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53" w:rsidRDefault="00586153" w:rsidP="00F22731">
      <w:pPr>
        <w:jc w:val="center"/>
        <w:rPr>
          <w:b/>
          <w:bCs/>
        </w:rPr>
      </w:pPr>
      <w:r>
        <w:rPr>
          <w:b/>
          <w:bCs/>
        </w:rPr>
        <w:t>INTEGRATED SAFEGUARDS DATA SHEET</w:t>
      </w:r>
    </w:p>
    <w:p w:rsidR="001D0165" w:rsidRDefault="001D0165" w:rsidP="00F22731">
      <w:pPr>
        <w:jc w:val="center"/>
        <w:rPr>
          <w:b/>
          <w:bCs/>
        </w:rPr>
      </w:pPr>
      <w:r>
        <w:rPr>
          <w:b/>
          <w:bCs/>
        </w:rPr>
        <w:t>(FCPF READINESS FUND)</w:t>
      </w:r>
    </w:p>
    <w:p w:rsidR="00586153" w:rsidRDefault="00586153">
      <w:pPr>
        <w:jc w:val="center"/>
        <w:rPr>
          <w:b/>
          <w:bCs/>
        </w:rPr>
      </w:pPr>
      <w:r>
        <w:rPr>
          <w:b/>
          <w:bCs/>
        </w:rPr>
        <w:t>CONCEPT STAGE</w:t>
      </w:r>
    </w:p>
    <w:p w:rsidR="00F22731" w:rsidRDefault="00F22731" w:rsidP="00672B92"/>
    <w:p w:rsidR="00586153" w:rsidRDefault="00586153" w:rsidP="00672B92">
      <w:r>
        <w:t xml:space="preserve">Report No.: </w:t>
      </w:r>
      <w:r w:rsidR="0037139B">
        <w:t>61683</w:t>
      </w:r>
      <w:r>
        <w:t xml:space="preserve"> </w:t>
      </w:r>
      <w:bookmarkStart w:id="0" w:name="ReportNo"/>
      <w:bookmarkStart w:id="1" w:name="REP_NO"/>
      <w:bookmarkEnd w:id="0"/>
      <w:bookmarkEnd w:id="1"/>
    </w:p>
    <w:p w:rsidR="00586153" w:rsidRDefault="00586153"/>
    <w:p w:rsidR="00586153" w:rsidRDefault="00586153">
      <w:pPr>
        <w:rPr>
          <w:b/>
          <w:bCs/>
        </w:rPr>
      </w:pPr>
      <w:r>
        <w:rPr>
          <w:b/>
          <w:bCs/>
        </w:rPr>
        <w:t xml:space="preserve">Date ISDS Prepared/Updated: </w:t>
      </w:r>
      <w:bookmarkStart w:id="2" w:name="DATEPREPARED"/>
      <w:bookmarkStart w:id="3" w:name="UPD_DATE"/>
      <w:bookmarkEnd w:id="2"/>
      <w:bookmarkEnd w:id="3"/>
    </w:p>
    <w:p w:rsidR="00586153" w:rsidRDefault="00586153"/>
    <w:p w:rsidR="00586153" w:rsidRDefault="00586153">
      <w:pPr>
        <w:rPr>
          <w:b/>
          <w:bCs/>
        </w:rPr>
      </w:pPr>
      <w:r>
        <w:rPr>
          <w:b/>
          <w:bCs/>
        </w:rPr>
        <w:t>I.  BASIC INFORMATION</w:t>
      </w:r>
    </w:p>
    <w:p w:rsidR="00586153" w:rsidRDefault="00586153"/>
    <w:p w:rsidR="00586153" w:rsidRDefault="00586153" w:rsidP="004A10EE">
      <w:pPr>
        <w:pBdr>
          <w:between w:val="single" w:sz="4" w:space="1" w:color="auto"/>
        </w:pBdr>
        <w:rPr>
          <w:b/>
          <w:bCs/>
        </w:rPr>
      </w:pPr>
      <w:r>
        <w:rPr>
          <w:b/>
          <w:bCs/>
        </w:rPr>
        <w:t>A.  Basic Project Data</w:t>
      </w:r>
    </w:p>
    <w:p w:rsidR="00586153" w:rsidRDefault="0058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699"/>
      </w:tblGrid>
      <w:tr w:rsidR="00586153" w:rsidTr="00C21499">
        <w:trPr>
          <w:trHeight w:val="280"/>
        </w:trPr>
        <w:tc>
          <w:tcPr>
            <w:tcW w:w="4698" w:type="dxa"/>
          </w:tcPr>
          <w:p w:rsidR="00586153" w:rsidRDefault="00586153">
            <w:r>
              <w:t xml:space="preserve">Country: </w:t>
            </w:r>
            <w:bookmarkStart w:id="4" w:name="COUNTRY"/>
            <w:bookmarkStart w:id="5" w:name="COUNTRY_NAME"/>
            <w:bookmarkEnd w:id="4"/>
            <w:bookmarkEnd w:id="5"/>
            <w:r w:rsidR="00AC63DB">
              <w:t>Nepal</w:t>
            </w:r>
          </w:p>
        </w:tc>
        <w:tc>
          <w:tcPr>
            <w:tcW w:w="4698" w:type="dxa"/>
          </w:tcPr>
          <w:p w:rsidR="00586153" w:rsidRDefault="00586153">
            <w:r>
              <w:t xml:space="preserve">Project ID: </w:t>
            </w:r>
            <w:bookmarkStart w:id="6" w:name="PROJECTCODE"/>
            <w:bookmarkStart w:id="7" w:name="PARENT_PSPID"/>
            <w:bookmarkEnd w:id="6"/>
            <w:bookmarkEnd w:id="7"/>
            <w:r w:rsidR="00AC63DB" w:rsidRPr="00181723">
              <w:rPr>
                <w:rStyle w:val="contenttitle"/>
                <w:szCs w:val="18"/>
              </w:rPr>
              <w:t>P116001</w:t>
            </w:r>
          </w:p>
        </w:tc>
      </w:tr>
      <w:tr w:rsidR="00586153" w:rsidTr="00C21499">
        <w:trPr>
          <w:trHeight w:val="280"/>
        </w:trPr>
        <w:tc>
          <w:tcPr>
            <w:tcW w:w="9397" w:type="dxa"/>
            <w:gridSpan w:val="2"/>
          </w:tcPr>
          <w:p w:rsidR="00586153" w:rsidRDefault="00586153" w:rsidP="00AC63DB">
            <w:r>
              <w:t xml:space="preserve">Project Name: </w:t>
            </w:r>
            <w:bookmarkStart w:id="8" w:name="PROJECTNAME"/>
            <w:bookmarkStart w:id="9" w:name="PROJECT_NAME"/>
            <w:bookmarkEnd w:id="8"/>
            <w:bookmarkEnd w:id="9"/>
            <w:r w:rsidR="00AC63DB" w:rsidRPr="00181723">
              <w:rPr>
                <w:rStyle w:val="contenttitle"/>
                <w:szCs w:val="18"/>
              </w:rPr>
              <w:t>REDD Readiness Preparation Program</w:t>
            </w:r>
            <w:r w:rsidR="00AC63DB" w:rsidRPr="00181723">
              <w:rPr>
                <w:rFonts w:ascii="Arial" w:hAnsi="Arial" w:cs="Arial"/>
                <w:szCs w:val="18"/>
              </w:rPr>
              <w:t> </w:t>
            </w:r>
          </w:p>
        </w:tc>
      </w:tr>
      <w:tr w:rsidR="00586153" w:rsidTr="00C21499">
        <w:trPr>
          <w:cantSplit/>
          <w:trHeight w:val="280"/>
        </w:trPr>
        <w:tc>
          <w:tcPr>
            <w:tcW w:w="9397" w:type="dxa"/>
            <w:gridSpan w:val="2"/>
          </w:tcPr>
          <w:p w:rsidR="00586153" w:rsidRDefault="00586153">
            <w:r>
              <w:t xml:space="preserve">Task Team Leader: </w:t>
            </w:r>
            <w:bookmarkStart w:id="10" w:name="VERNA"/>
            <w:bookmarkEnd w:id="10"/>
            <w:r w:rsidR="00AC63DB">
              <w:t xml:space="preserve">William B. </w:t>
            </w:r>
            <w:proofErr w:type="spellStart"/>
            <w:r w:rsidR="00AC63DB">
              <w:t>Magrath</w:t>
            </w:r>
            <w:proofErr w:type="spellEnd"/>
          </w:p>
        </w:tc>
      </w:tr>
      <w:tr w:rsidR="00586153" w:rsidTr="00C21499">
        <w:trPr>
          <w:cantSplit/>
          <w:trHeight w:val="280"/>
        </w:trPr>
        <w:tc>
          <w:tcPr>
            <w:tcW w:w="4698" w:type="dxa"/>
          </w:tcPr>
          <w:p w:rsidR="00586153" w:rsidRDefault="00586153">
            <w:r>
              <w:t xml:space="preserve">Estimated Appraisal Date: </w:t>
            </w:r>
            <w:bookmarkStart w:id="11" w:name="APPRAISALDATE"/>
            <w:bookmarkStart w:id="12" w:name="APPRAISAL_DATE"/>
            <w:bookmarkEnd w:id="11"/>
            <w:bookmarkEnd w:id="12"/>
            <w:r w:rsidR="00AC63DB">
              <w:t>NA</w:t>
            </w:r>
          </w:p>
        </w:tc>
        <w:tc>
          <w:tcPr>
            <w:tcW w:w="4698" w:type="dxa"/>
          </w:tcPr>
          <w:p w:rsidR="00586153" w:rsidRDefault="00586153">
            <w:r>
              <w:t xml:space="preserve">Estimated Board Date: </w:t>
            </w:r>
            <w:bookmarkStart w:id="13" w:name="BOARDAPPROVALDATE"/>
            <w:bookmarkStart w:id="14" w:name="BOARD_APPROVAL"/>
            <w:bookmarkEnd w:id="13"/>
            <w:bookmarkEnd w:id="14"/>
            <w:r w:rsidR="00AC63DB">
              <w:t>NA</w:t>
            </w:r>
          </w:p>
        </w:tc>
      </w:tr>
      <w:tr w:rsidR="00586153" w:rsidTr="00C21499">
        <w:trPr>
          <w:trHeight w:val="268"/>
        </w:trPr>
        <w:tc>
          <w:tcPr>
            <w:tcW w:w="4698" w:type="dxa"/>
          </w:tcPr>
          <w:p w:rsidR="00586153" w:rsidRDefault="00586153">
            <w:r>
              <w:t xml:space="preserve">Managing Unit: </w:t>
            </w:r>
            <w:bookmarkStart w:id="15" w:name="MANAGINGUNIT"/>
            <w:bookmarkStart w:id="16" w:name="MANAGING_UNIT_NAME"/>
            <w:bookmarkEnd w:id="15"/>
            <w:bookmarkEnd w:id="16"/>
            <w:r w:rsidR="00AC63DB">
              <w:t>SASDA</w:t>
            </w:r>
          </w:p>
        </w:tc>
        <w:tc>
          <w:tcPr>
            <w:tcW w:w="4698" w:type="dxa"/>
          </w:tcPr>
          <w:p w:rsidR="00586153" w:rsidRDefault="00586153">
            <w:r>
              <w:t xml:space="preserve">Lending Instrument: </w:t>
            </w:r>
            <w:bookmarkStart w:id="17" w:name="INSTR_NAME"/>
            <w:bookmarkEnd w:id="17"/>
            <w:r w:rsidR="00AC63DB">
              <w:t xml:space="preserve"> </w:t>
            </w:r>
          </w:p>
        </w:tc>
      </w:tr>
      <w:tr w:rsidR="00586153" w:rsidTr="00C21499">
        <w:trPr>
          <w:trHeight w:val="280"/>
        </w:trPr>
        <w:tc>
          <w:tcPr>
            <w:tcW w:w="9397" w:type="dxa"/>
            <w:gridSpan w:val="2"/>
          </w:tcPr>
          <w:p w:rsidR="00586153" w:rsidRDefault="00586153">
            <w:r>
              <w:t xml:space="preserve">Sector: </w:t>
            </w:r>
            <w:bookmarkStart w:id="18" w:name="SECTOR"/>
            <w:bookmarkStart w:id="19" w:name="SEC_SHORT_NAME"/>
            <w:bookmarkEnd w:id="18"/>
            <w:bookmarkEnd w:id="19"/>
            <w:r w:rsidR="00AC63DB">
              <w:t>Forestry</w:t>
            </w:r>
            <w:r w:rsidR="00B95AC1">
              <w:t xml:space="preserve"> </w:t>
            </w:r>
            <w:r w:rsidR="00AC63DB">
              <w:t>(80%); Agriculture (20%)</w:t>
            </w:r>
          </w:p>
        </w:tc>
      </w:tr>
      <w:tr w:rsidR="00586153" w:rsidTr="00C21499">
        <w:trPr>
          <w:cantSplit/>
          <w:trHeight w:val="548"/>
        </w:trPr>
        <w:tc>
          <w:tcPr>
            <w:tcW w:w="9397" w:type="dxa"/>
            <w:gridSpan w:val="2"/>
          </w:tcPr>
          <w:p w:rsidR="00586153" w:rsidRDefault="00586153" w:rsidP="009C13B9">
            <w:r>
              <w:t xml:space="preserve">Theme: </w:t>
            </w:r>
            <w:bookmarkStart w:id="20" w:name="THEME_NAME"/>
            <w:bookmarkEnd w:id="20"/>
            <w:r w:rsidR="00AC63DB">
              <w:t>Climate Change (67%); Other Environment and Natural Resource Management (33%)</w:t>
            </w:r>
          </w:p>
        </w:tc>
      </w:tr>
      <w:tr w:rsidR="00586153" w:rsidTr="00C21499">
        <w:trPr>
          <w:cantSplit/>
          <w:trHeight w:val="1418"/>
        </w:trPr>
        <w:tc>
          <w:tcPr>
            <w:tcW w:w="9397" w:type="dxa"/>
            <w:gridSpan w:val="2"/>
            <w:tcBorders>
              <w:bottom w:val="single" w:sz="4" w:space="0" w:color="auto"/>
            </w:tcBorders>
          </w:tcPr>
          <w:p w:rsidR="00586153" w:rsidRDefault="00586153">
            <w:pPr>
              <w:tabs>
                <w:tab w:val="left" w:pos="720"/>
                <w:tab w:val="decimal" w:pos="3240"/>
              </w:tabs>
            </w:pPr>
            <w:r>
              <w:t>IBRD Amount (</w:t>
            </w:r>
            <w:proofErr w:type="spellStart"/>
            <w:r>
              <w:t>US$m</w:t>
            </w:r>
            <w:proofErr w:type="spellEnd"/>
            <w:r>
              <w:t>.):</w:t>
            </w:r>
            <w:r>
              <w:tab/>
            </w:r>
            <w:bookmarkStart w:id="21" w:name="IBRD_AMT"/>
            <w:bookmarkEnd w:id="21"/>
          </w:p>
          <w:p w:rsidR="00586153" w:rsidRDefault="00586153">
            <w:pPr>
              <w:tabs>
                <w:tab w:val="left" w:pos="720"/>
                <w:tab w:val="decimal" w:pos="3240"/>
              </w:tabs>
            </w:pPr>
            <w:r>
              <w:t>IDA Amount (</w:t>
            </w:r>
            <w:proofErr w:type="spellStart"/>
            <w:r>
              <w:t>US$m</w:t>
            </w:r>
            <w:proofErr w:type="spellEnd"/>
            <w:r>
              <w:t>.):</w:t>
            </w:r>
            <w:r>
              <w:tab/>
            </w:r>
            <w:bookmarkStart w:id="22" w:name="IDA_AMT"/>
            <w:bookmarkEnd w:id="22"/>
          </w:p>
          <w:p w:rsidR="00586153" w:rsidRDefault="00586153">
            <w:pPr>
              <w:tabs>
                <w:tab w:val="left" w:pos="720"/>
                <w:tab w:val="decimal" w:pos="3240"/>
              </w:tabs>
            </w:pPr>
            <w:r>
              <w:t>GEF Amount (</w:t>
            </w:r>
            <w:proofErr w:type="spellStart"/>
            <w:r>
              <w:t>US$m</w:t>
            </w:r>
            <w:proofErr w:type="spellEnd"/>
            <w:r>
              <w:t>.):</w:t>
            </w:r>
            <w:r>
              <w:tab/>
            </w:r>
            <w:bookmarkStart w:id="23" w:name="GEF_AMT"/>
            <w:bookmarkEnd w:id="23"/>
          </w:p>
          <w:p w:rsidR="004A10EE" w:rsidRDefault="00586153">
            <w:pPr>
              <w:tabs>
                <w:tab w:val="left" w:pos="720"/>
                <w:tab w:val="decimal" w:pos="3240"/>
              </w:tabs>
            </w:pPr>
            <w:r>
              <w:t>PCF Amount (</w:t>
            </w:r>
            <w:proofErr w:type="spellStart"/>
            <w:r>
              <w:t>US$m</w:t>
            </w:r>
            <w:proofErr w:type="spellEnd"/>
            <w:r>
              <w:t>.):</w:t>
            </w:r>
            <w:r>
              <w:tab/>
            </w:r>
          </w:p>
          <w:p w:rsidR="001D0165" w:rsidRDefault="001D0165">
            <w:pPr>
              <w:tabs>
                <w:tab w:val="left" w:pos="720"/>
                <w:tab w:val="decimal" w:pos="3240"/>
              </w:tabs>
            </w:pPr>
            <w:r>
              <w:t>FCPF Amount (</w:t>
            </w:r>
            <w:proofErr w:type="spellStart"/>
            <w:r>
              <w:t>US$m</w:t>
            </w:r>
            <w:proofErr w:type="spellEnd"/>
            <w:r>
              <w:t>.):</w:t>
            </w:r>
            <w:r w:rsidR="00AC63DB">
              <w:t xml:space="preserve"> 3.6</w:t>
            </w:r>
          </w:p>
          <w:p w:rsidR="00586153" w:rsidRDefault="004A10EE" w:rsidP="004A10EE">
            <w:pPr>
              <w:tabs>
                <w:tab w:val="left" w:pos="720"/>
                <w:tab w:val="decimal" w:pos="7200"/>
              </w:tabs>
              <w:ind w:right="152"/>
            </w:pPr>
            <w:bookmarkStart w:id="24" w:name="PCF_AMT"/>
            <w:bookmarkEnd w:id="24"/>
            <w:r>
              <w:t xml:space="preserve">Other financing amounts by source: </w:t>
            </w:r>
          </w:p>
        </w:tc>
      </w:tr>
      <w:tr w:rsidR="004A10EE" w:rsidTr="00C21499">
        <w:trPr>
          <w:cantSplit/>
          <w:trHeight w:val="280"/>
        </w:trPr>
        <w:tc>
          <w:tcPr>
            <w:tcW w:w="9397" w:type="dxa"/>
            <w:gridSpan w:val="2"/>
          </w:tcPr>
          <w:p w:rsidR="004A10EE" w:rsidRDefault="004A10EE">
            <w:pPr>
              <w:tabs>
                <w:tab w:val="left" w:pos="720"/>
                <w:tab w:val="decimal" w:pos="7200"/>
              </w:tabs>
              <w:ind w:right="152"/>
            </w:pPr>
            <w:r>
              <w:t>Environmental Category:</w:t>
            </w:r>
            <w:r w:rsidR="00D602C5">
              <w:t xml:space="preserve"> </w:t>
            </w:r>
            <w:r w:rsidR="003712E5">
              <w:t>T</w:t>
            </w:r>
            <w:r w:rsidR="00D602C5">
              <w:t>B</w:t>
            </w:r>
            <w:r w:rsidR="003712E5">
              <w:t>D</w:t>
            </w:r>
          </w:p>
        </w:tc>
      </w:tr>
      <w:tr w:rsidR="00AD32A6" w:rsidTr="00C21499">
        <w:trPr>
          <w:cantSplit/>
          <w:trHeight w:val="280"/>
        </w:trPr>
        <w:tc>
          <w:tcPr>
            <w:tcW w:w="9397" w:type="dxa"/>
            <w:gridSpan w:val="2"/>
          </w:tcPr>
          <w:p w:rsidR="00AD32A6" w:rsidRDefault="00AD32A6">
            <w:pPr>
              <w:tabs>
                <w:tab w:val="left" w:pos="720"/>
                <w:tab w:val="decimal" w:pos="7200"/>
              </w:tabs>
              <w:ind w:right="152"/>
            </w:pPr>
            <w:r>
              <w:t xml:space="preserve">Simplified Processing                        Simple [ ]                         Repeater [ ] </w:t>
            </w:r>
          </w:p>
        </w:tc>
      </w:tr>
      <w:tr w:rsidR="004A10EE" w:rsidTr="00C21499">
        <w:trPr>
          <w:cantSplit/>
          <w:trHeight w:val="292"/>
        </w:trPr>
        <w:tc>
          <w:tcPr>
            <w:tcW w:w="9397" w:type="dxa"/>
            <w:gridSpan w:val="2"/>
          </w:tcPr>
          <w:p w:rsidR="004A10EE" w:rsidRDefault="004A10EE">
            <w:pPr>
              <w:tabs>
                <w:tab w:val="left" w:pos="720"/>
                <w:tab w:val="decimal" w:pos="7200"/>
              </w:tabs>
              <w:ind w:right="152"/>
            </w:pPr>
            <w:r>
              <w:t>Is this a transferred project                 Yes [ ]                              No [ ]</w:t>
            </w:r>
          </w:p>
        </w:tc>
      </w:tr>
    </w:tbl>
    <w:p w:rsidR="00181723" w:rsidRDefault="00181723">
      <w:pPr>
        <w:tabs>
          <w:tab w:val="left" w:pos="4428"/>
          <w:tab w:val="left" w:pos="8856"/>
        </w:tabs>
      </w:pPr>
    </w:p>
    <w:p w:rsidR="00181723" w:rsidRPr="00181723" w:rsidRDefault="00586153" w:rsidP="00181723">
      <w:pPr>
        <w:pStyle w:val="NoSpacing"/>
        <w:spacing w:after="120"/>
        <w:jc w:val="both"/>
        <w:rPr>
          <w:rFonts w:ascii="Times New Roman" w:hAnsi="Times New Roman"/>
          <w:b/>
          <w:sz w:val="24"/>
        </w:rPr>
      </w:pPr>
      <w:r w:rsidRPr="00181723">
        <w:rPr>
          <w:rFonts w:ascii="Times New Roman" w:hAnsi="Times New Roman"/>
          <w:b/>
          <w:bCs/>
          <w:sz w:val="24"/>
        </w:rPr>
        <w:t xml:space="preserve">B.  Project Objectives </w:t>
      </w:r>
      <w:r w:rsidRPr="00181723">
        <w:rPr>
          <w:rFonts w:ascii="Times New Roman" w:hAnsi="Times New Roman"/>
          <w:b/>
          <w:bCs/>
          <w:color w:val="000000"/>
          <w:sz w:val="24"/>
        </w:rPr>
        <w:t xml:space="preserve">[from section 2 of </w:t>
      </w:r>
      <w:r w:rsidR="001D0165" w:rsidRPr="00181723">
        <w:rPr>
          <w:rFonts w:ascii="Times New Roman" w:hAnsi="Times New Roman"/>
          <w:b/>
          <w:bCs/>
          <w:color w:val="000000"/>
          <w:sz w:val="24"/>
        </w:rPr>
        <w:t>R-PP Assessment Note</w:t>
      </w:r>
      <w:r w:rsidRPr="00181723">
        <w:rPr>
          <w:rFonts w:ascii="Times New Roman" w:hAnsi="Times New Roman"/>
          <w:b/>
          <w:bCs/>
          <w:color w:val="000000"/>
          <w:sz w:val="24"/>
        </w:rPr>
        <w:t>]</w:t>
      </w:r>
      <w:bookmarkStart w:id="25" w:name="ProjectDevelopmentObjectives"/>
      <w:r w:rsidR="0017157E" w:rsidRPr="00181723">
        <w:rPr>
          <w:rFonts w:ascii="Times New Roman" w:hAnsi="Times New Roman"/>
          <w:b/>
          <w:bCs/>
          <w:color w:val="000000"/>
          <w:sz w:val="24"/>
        </w:rPr>
        <w:t>:</w:t>
      </w:r>
      <w:r w:rsidR="00AC63DB" w:rsidRPr="00181723">
        <w:rPr>
          <w:rFonts w:ascii="Times New Roman" w:hAnsi="Times New Roman"/>
          <w:b/>
          <w:sz w:val="24"/>
        </w:rPr>
        <w:t xml:space="preserve"> </w:t>
      </w:r>
    </w:p>
    <w:p w:rsidR="00AC63DB" w:rsidRPr="00DC5A31" w:rsidRDefault="00AC63DB" w:rsidP="00181723">
      <w:pPr>
        <w:pStyle w:val="NoSpacing"/>
        <w:spacing w:after="240"/>
        <w:jc w:val="both"/>
        <w:rPr>
          <w:rFonts w:ascii="Times New Roman" w:hAnsi="Times New Roman"/>
          <w:sz w:val="24"/>
          <w:szCs w:val="24"/>
        </w:rPr>
      </w:pPr>
      <w:r w:rsidRPr="00DC5A31">
        <w:rPr>
          <w:rFonts w:ascii="Times New Roman" w:hAnsi="Times New Roman"/>
          <w:sz w:val="24"/>
          <w:szCs w:val="24"/>
        </w:rPr>
        <w:t>The objective of the Nepal Readiness Preparation Program is to prepare Nepal to engage in and benefit from the potentially emerging system of payment for environmental services of forests on the basis of environmentally and socially sound policies and programs to reduce deforestation and forest degradation, a credible and marketable counterfactual reference forest carbon emission “baseline” scenario, and technically robust systems of forest measurement and reporting. The Program will also develop forest policy and management systems, information and data, participatory methods and other human and institutional capacity of direct use in management and development of forests in Nepal for national poverty reduction, economic development and environmental purposes.</w:t>
      </w:r>
    </w:p>
    <w:p w:rsidR="00AC63DB" w:rsidRPr="00DC5A31" w:rsidRDefault="00AC63DB" w:rsidP="00A01664">
      <w:pPr>
        <w:spacing w:after="120"/>
        <w:jc w:val="both"/>
      </w:pPr>
      <w:r w:rsidRPr="00DC5A31">
        <w:t xml:space="preserve">The Program will produce a set of studies providing policy and investment recommendations the key anticipated country needs for full and effective marketing of forest-based carbon dioxide emissions reductions including an accepted national REDD strategy and implementation system; a supportable reference emissions level projection (baseline) and a </w:t>
      </w:r>
      <w:r w:rsidR="00B95AC1">
        <w:t>m</w:t>
      </w:r>
      <w:r w:rsidRPr="00DC5A31">
        <w:t xml:space="preserve">onitoring, </w:t>
      </w:r>
      <w:r w:rsidR="00B95AC1">
        <w:t>r</w:t>
      </w:r>
      <w:r w:rsidRPr="00DC5A31">
        <w:t xml:space="preserve">eporting and </w:t>
      </w:r>
      <w:r w:rsidR="00B95AC1">
        <w:t>v</w:t>
      </w:r>
      <w:r w:rsidRPr="00DC5A31">
        <w:t xml:space="preserve">erification system. </w:t>
      </w:r>
    </w:p>
    <w:p w:rsidR="00181723" w:rsidRDefault="00586153" w:rsidP="00AC63DB">
      <w:pPr>
        <w:spacing w:after="240"/>
        <w:rPr>
          <w:b/>
          <w:bCs/>
          <w:color w:val="000000"/>
        </w:rPr>
      </w:pPr>
      <w:bookmarkStart w:id="26" w:name="ISDS_DOTEXT"/>
      <w:bookmarkEnd w:id="25"/>
      <w:bookmarkEnd w:id="26"/>
      <w:r>
        <w:rPr>
          <w:b/>
          <w:bCs/>
        </w:rPr>
        <w:lastRenderedPageBreak/>
        <w:t xml:space="preserve">C.  Project Description </w:t>
      </w:r>
      <w:r>
        <w:rPr>
          <w:b/>
          <w:bCs/>
          <w:color w:val="000000"/>
        </w:rPr>
        <w:t xml:space="preserve">[from section 3 of </w:t>
      </w:r>
      <w:r w:rsidR="001D0165">
        <w:rPr>
          <w:b/>
          <w:bCs/>
          <w:color w:val="000000"/>
        </w:rPr>
        <w:t>R-PP Assessment Note</w:t>
      </w:r>
      <w:r>
        <w:rPr>
          <w:b/>
          <w:bCs/>
          <w:color w:val="000000"/>
        </w:rPr>
        <w:t>]</w:t>
      </w:r>
      <w:bookmarkStart w:id="27" w:name="ProjectDescription"/>
      <w:r w:rsidR="0017157E">
        <w:rPr>
          <w:b/>
          <w:bCs/>
          <w:color w:val="000000"/>
        </w:rPr>
        <w:t>:</w:t>
      </w:r>
      <w:r w:rsidR="00AC63DB">
        <w:rPr>
          <w:b/>
          <w:bCs/>
          <w:color w:val="000000"/>
        </w:rPr>
        <w:t xml:space="preserve"> </w:t>
      </w:r>
    </w:p>
    <w:p w:rsidR="00AC63DB" w:rsidRPr="00DC5A31" w:rsidRDefault="00AC63DB" w:rsidP="00181723">
      <w:pPr>
        <w:spacing w:after="240"/>
        <w:jc w:val="both"/>
      </w:pPr>
      <w:r w:rsidRPr="00DC5A31">
        <w:t>The Readiness Preparation Program is made up of four major components consisting of research studies, trials, feasibility and pre-feasibility studies, consultations and training.  Total costs of the program are estimated at US$7.5 million.  The Readiness Preparation Program unites work being done by multiple agencies of government, non-governmental organizations and with support from various donors. These activities comprise a multi-stakeholder, participatory approach that includes analysis and development of forest and payment for environmental services policies and institutions, estimation of a reference scenario for forest-related carbon emissions, design and development of an emission monitoring, reporting and verifications system, and overall management and support of the national REDD readiness process.</w:t>
      </w:r>
    </w:p>
    <w:p w:rsidR="00AC63DB" w:rsidRPr="0001119B" w:rsidRDefault="00AC63DB" w:rsidP="0001119B">
      <w:pPr>
        <w:spacing w:after="120"/>
        <w:jc w:val="both"/>
        <w:rPr>
          <w:b/>
          <w:bCs/>
          <w:iCs/>
          <w:color w:val="000000"/>
        </w:rPr>
      </w:pPr>
      <w:proofErr w:type="gramStart"/>
      <w:r w:rsidRPr="0001119B">
        <w:rPr>
          <w:b/>
        </w:rPr>
        <w:t>Component 1.</w:t>
      </w:r>
      <w:proofErr w:type="gramEnd"/>
      <w:r w:rsidRPr="0001119B">
        <w:rPr>
          <w:b/>
        </w:rPr>
        <w:t xml:space="preserve"> </w:t>
      </w:r>
      <w:r w:rsidRPr="0001119B">
        <w:rPr>
          <w:b/>
          <w:bCs/>
          <w:iCs/>
          <w:color w:val="000000"/>
        </w:rPr>
        <w:t>REDD Analysis and Policy Development (US$3.1 million)</w:t>
      </w:r>
    </w:p>
    <w:p w:rsidR="00AC63DB" w:rsidRPr="00DC5A31" w:rsidRDefault="0001119B" w:rsidP="0001119B">
      <w:pPr>
        <w:spacing w:after="120"/>
        <w:jc w:val="both"/>
      </w:pPr>
      <w:r>
        <w:rPr>
          <w:bCs/>
          <w:iCs/>
          <w:color w:val="000000"/>
        </w:rPr>
        <w:t>(a)</w:t>
      </w:r>
      <w:r w:rsidR="00AC63DB" w:rsidRPr="00DC5A31">
        <w:rPr>
          <w:bCs/>
          <w:iCs/>
          <w:color w:val="000000"/>
        </w:rPr>
        <w:t xml:space="preserve"> </w:t>
      </w:r>
      <w:r w:rsidR="00A01664">
        <w:rPr>
          <w:bCs/>
          <w:iCs/>
          <w:color w:val="000000"/>
        </w:rPr>
        <w:tab/>
      </w:r>
      <w:r w:rsidR="00AC63DB" w:rsidRPr="0001119B">
        <w:rPr>
          <w:bCs/>
          <w:iCs/>
          <w:color w:val="000000"/>
          <w:u w:val="single"/>
        </w:rPr>
        <w:t>Stakeholder Consultation and Participation (US$2.4 million</w:t>
      </w:r>
      <w:r w:rsidR="00AC63DB" w:rsidRPr="0001119B">
        <w:rPr>
          <w:bCs/>
          <w:iCs/>
          <w:color w:val="000000"/>
        </w:rPr>
        <w:t>)</w:t>
      </w:r>
      <w:r>
        <w:rPr>
          <w:bCs/>
          <w:iCs/>
          <w:color w:val="000000"/>
        </w:rPr>
        <w:t>.</w:t>
      </w:r>
      <w:r w:rsidR="00AC63DB" w:rsidRPr="00DC5A31">
        <w:rPr>
          <w:bCs/>
          <w:iCs/>
          <w:color w:val="000000"/>
        </w:rPr>
        <w:t xml:space="preserve">  </w:t>
      </w:r>
      <w:r w:rsidR="00AC63DB" w:rsidRPr="00DC5A31">
        <w:t xml:space="preserve">The Consultation and Participation Plan is intended to promote meaningful participation of all stakeholders and interest groups in the REDD readiness activities to enhance the potential positive benefits and reduce the risks or adverse effects. Proposed activities for the Plan include: awareness and outreach, capacity development and consultation. The component would support </w:t>
      </w:r>
      <w:r w:rsidR="00364597">
        <w:rPr>
          <w:lang w:val="en-GB" w:eastAsia="en-GB"/>
        </w:rPr>
        <w:t>radio and TV programs, n</w:t>
      </w:r>
      <w:r w:rsidR="00AC63DB" w:rsidRPr="00DC5A31">
        <w:rPr>
          <w:lang w:val="en-GB" w:eastAsia="en-GB"/>
        </w:rPr>
        <w:t xml:space="preserve">ewspaper articles, </w:t>
      </w:r>
      <w:r w:rsidR="00364597">
        <w:t>e</w:t>
      </w:r>
      <w:r w:rsidR="00AC63DB" w:rsidRPr="00DC5A31">
        <w:t xml:space="preserve">xtension materials, </w:t>
      </w:r>
      <w:r w:rsidR="00364597">
        <w:t>j</w:t>
      </w:r>
      <w:r w:rsidR="00AC63DB" w:rsidRPr="00DC5A31">
        <w:t xml:space="preserve">ournal and newspaper articles, </w:t>
      </w:r>
      <w:r w:rsidR="00364597">
        <w:t>a</w:t>
      </w:r>
      <w:r w:rsidR="00AC63DB" w:rsidRPr="00DC5A31">
        <w:t xml:space="preserve">wareness workshops, </w:t>
      </w:r>
      <w:r w:rsidR="00364597">
        <w:t>and w</w:t>
      </w:r>
      <w:r w:rsidR="00AC63DB" w:rsidRPr="00DC5A31">
        <w:t xml:space="preserve">ebsite updates. Capacity Development will include training for staff of implementing institutions </w:t>
      </w:r>
      <w:r w:rsidR="00364597">
        <w:rPr>
          <w:lang w:val="en-GB" w:eastAsia="en-GB"/>
        </w:rPr>
        <w:t>f</w:t>
      </w:r>
      <w:r w:rsidR="00AC63DB" w:rsidRPr="00DC5A31">
        <w:rPr>
          <w:lang w:val="en-GB" w:eastAsia="en-GB"/>
        </w:rPr>
        <w:t xml:space="preserve">ormation of a team of master trainers/facilitators, </w:t>
      </w:r>
      <w:r w:rsidR="00364597">
        <w:rPr>
          <w:lang w:val="en-GB" w:eastAsia="en-GB"/>
        </w:rPr>
        <w:t>t</w:t>
      </w:r>
      <w:r w:rsidR="00AC63DB" w:rsidRPr="00DC5A31">
        <w:rPr>
          <w:lang w:val="en-GB" w:eastAsia="en-GB"/>
        </w:rPr>
        <w:t xml:space="preserve">raining of </w:t>
      </w:r>
      <w:r w:rsidR="00364597">
        <w:rPr>
          <w:lang w:val="en-GB" w:eastAsia="en-GB"/>
        </w:rPr>
        <w:t>t</w:t>
      </w:r>
      <w:r w:rsidR="00AC63DB" w:rsidRPr="00DC5A31">
        <w:rPr>
          <w:lang w:val="en-GB" w:eastAsia="en-GB"/>
        </w:rPr>
        <w:t xml:space="preserve">rainers, </w:t>
      </w:r>
      <w:r w:rsidR="00364597">
        <w:rPr>
          <w:lang w:val="en-GB" w:eastAsia="en-GB"/>
        </w:rPr>
        <w:t>d</w:t>
      </w:r>
      <w:r w:rsidR="00AC63DB" w:rsidRPr="00DC5A31">
        <w:rPr>
          <w:lang w:val="en-GB" w:eastAsia="en-GB"/>
        </w:rPr>
        <w:t xml:space="preserve">istrict level training, workshops for journalists, support for forestry and other academic institutions, </w:t>
      </w:r>
      <w:r w:rsidR="00364597">
        <w:rPr>
          <w:lang w:val="en-GB" w:eastAsia="en-GB"/>
        </w:rPr>
        <w:t>d</w:t>
      </w:r>
      <w:r w:rsidR="00AC63DB" w:rsidRPr="00DC5A31">
        <w:rPr>
          <w:lang w:val="en-GB" w:eastAsia="en-GB"/>
        </w:rPr>
        <w:t xml:space="preserve">evelopment of training curricula and manuals, </w:t>
      </w:r>
      <w:r w:rsidR="00364597">
        <w:t>c</w:t>
      </w:r>
      <w:r w:rsidR="00AC63DB" w:rsidRPr="00DC5A31">
        <w:t xml:space="preserve">onsultation workshops, </w:t>
      </w:r>
      <w:r w:rsidR="00B86A7E">
        <w:t>p</w:t>
      </w:r>
      <w:r w:rsidR="00AC63DB" w:rsidRPr="00DC5A31">
        <w:t xml:space="preserve">ublic hearings, </w:t>
      </w:r>
      <w:r w:rsidR="00B86A7E">
        <w:t>p</w:t>
      </w:r>
      <w:r w:rsidR="00AC63DB" w:rsidRPr="00DC5A31">
        <w:t xml:space="preserve">ublic notice and feedback collection, </w:t>
      </w:r>
      <w:r w:rsidR="00364597">
        <w:t>r</w:t>
      </w:r>
      <w:r w:rsidR="00AC63DB" w:rsidRPr="00DC5A31">
        <w:t>ound-table meeting</w:t>
      </w:r>
      <w:r w:rsidR="00364597">
        <w:t>s</w:t>
      </w:r>
      <w:r w:rsidR="00AC63DB" w:rsidRPr="00DC5A31">
        <w:t xml:space="preserve">, consultations with experts, </w:t>
      </w:r>
      <w:r w:rsidR="00364597">
        <w:t>r</w:t>
      </w:r>
      <w:r w:rsidR="00AC63DB" w:rsidRPr="00DC5A31">
        <w:t>eflection/validation workshops.</w:t>
      </w:r>
    </w:p>
    <w:p w:rsidR="00AC63DB" w:rsidRPr="00DC5A31" w:rsidRDefault="0001119B" w:rsidP="0001119B">
      <w:pPr>
        <w:spacing w:after="120"/>
        <w:jc w:val="both"/>
      </w:pPr>
      <w:r>
        <w:rPr>
          <w:bCs/>
          <w:iCs/>
          <w:color w:val="000000"/>
        </w:rPr>
        <w:t>(b)</w:t>
      </w:r>
      <w:r w:rsidR="00AC63DB" w:rsidRPr="00DC5A31">
        <w:rPr>
          <w:bCs/>
          <w:iCs/>
          <w:color w:val="000000"/>
        </w:rPr>
        <w:t xml:space="preserve"> </w:t>
      </w:r>
      <w:r w:rsidR="00A01664">
        <w:rPr>
          <w:bCs/>
          <w:iCs/>
          <w:color w:val="000000"/>
        </w:rPr>
        <w:tab/>
      </w:r>
      <w:r w:rsidR="00AC63DB" w:rsidRPr="0001119B">
        <w:rPr>
          <w:bCs/>
          <w:iCs/>
          <w:color w:val="000000"/>
          <w:u w:val="single"/>
        </w:rPr>
        <w:t>Land Use and Forest Policy Analysis</w:t>
      </w:r>
      <w:r w:rsidR="00AC63DB" w:rsidRPr="0001119B">
        <w:rPr>
          <w:bCs/>
          <w:i/>
          <w:iCs/>
          <w:color w:val="000000"/>
          <w:u w:val="single"/>
        </w:rPr>
        <w:t xml:space="preserve"> </w:t>
      </w:r>
      <w:r w:rsidR="00AC63DB" w:rsidRPr="0001119B">
        <w:rPr>
          <w:bCs/>
          <w:iCs/>
          <w:color w:val="000000"/>
          <w:u w:val="single"/>
        </w:rPr>
        <w:t>(US$0.1 million)</w:t>
      </w:r>
      <w:r w:rsidR="00AC63DB" w:rsidRPr="0001119B">
        <w:rPr>
          <w:bCs/>
          <w:iCs/>
          <w:color w:val="000000"/>
        </w:rPr>
        <w:t>.</w:t>
      </w:r>
      <w:r w:rsidR="00AC63DB" w:rsidRPr="00DC5A31">
        <w:rPr>
          <w:bCs/>
          <w:iCs/>
          <w:color w:val="000000"/>
        </w:rPr>
        <w:t xml:space="preserve">  T</w:t>
      </w:r>
      <w:r w:rsidR="00AC63DB" w:rsidRPr="00DC5A31">
        <w:t xml:space="preserve">he following further in-depth studies will be conducted forest sector governance, law enforcement and policy implementation , </w:t>
      </w:r>
      <w:r w:rsidR="00B86A7E">
        <w:t>a</w:t>
      </w:r>
      <w:r w:rsidR="00AC63DB" w:rsidRPr="00DC5A31">
        <w:t xml:space="preserve"> study on the drivers of deforestation and forest degradation in </w:t>
      </w:r>
      <w:proofErr w:type="spellStart"/>
      <w:r w:rsidR="00AC63DB" w:rsidRPr="00DC5A31">
        <w:rPr>
          <w:i/>
        </w:rPr>
        <w:t>Terai</w:t>
      </w:r>
      <w:proofErr w:type="spellEnd"/>
      <w:r w:rsidR="00AC63DB" w:rsidRPr="00DC5A31">
        <w:rPr>
          <w:i/>
        </w:rPr>
        <w:t>,</w:t>
      </w:r>
      <w:r w:rsidR="00AC63DB" w:rsidRPr="00DC5A31">
        <w:t xml:space="preserve"> </w:t>
      </w:r>
      <w:proofErr w:type="spellStart"/>
      <w:r w:rsidR="00AC63DB" w:rsidRPr="00DC5A31">
        <w:rPr>
          <w:i/>
        </w:rPr>
        <w:t>Churia</w:t>
      </w:r>
      <w:proofErr w:type="spellEnd"/>
      <w:r w:rsidR="00AC63DB" w:rsidRPr="00DC5A31">
        <w:t xml:space="preserve"> and in the High Mountain physiographic regions, </w:t>
      </w:r>
      <w:r w:rsidR="00364597">
        <w:t>a</w:t>
      </w:r>
      <w:r w:rsidR="00AC63DB" w:rsidRPr="00DC5A31">
        <w:t xml:space="preserve"> study on the value-chain of forest </w:t>
      </w:r>
      <w:r w:rsidR="00B86A7E">
        <w:t>products (timber and a few key non-timber forest products</w:t>
      </w:r>
      <w:r w:rsidR="00AC63DB" w:rsidRPr="00DC5A31">
        <w:t xml:space="preserve">), </w:t>
      </w:r>
      <w:r w:rsidR="00364597">
        <w:t>a</w:t>
      </w:r>
      <w:r w:rsidR="00AC63DB" w:rsidRPr="00DC5A31">
        <w:t xml:space="preserve"> study on the existing and potential supply and demand situation for forest products in different regions, </w:t>
      </w:r>
      <w:r w:rsidR="00364597">
        <w:t>a</w:t>
      </w:r>
      <w:r w:rsidR="00AC63DB" w:rsidRPr="00DC5A31">
        <w:t xml:space="preserve"> study to develop coordination mechanisms amongst the Government Departments and between the government department and other stakeholders.</w:t>
      </w:r>
    </w:p>
    <w:p w:rsidR="00AC63DB" w:rsidRPr="00DC5A31" w:rsidRDefault="0001119B" w:rsidP="0001119B">
      <w:pPr>
        <w:spacing w:after="120"/>
        <w:jc w:val="both"/>
        <w:rPr>
          <w:lang w:val="en-CA"/>
        </w:rPr>
      </w:pPr>
      <w:r>
        <w:rPr>
          <w:bCs/>
          <w:iCs/>
          <w:color w:val="000000"/>
        </w:rPr>
        <w:t xml:space="preserve">(c) </w:t>
      </w:r>
      <w:r w:rsidR="00A01664">
        <w:rPr>
          <w:bCs/>
          <w:iCs/>
          <w:color w:val="000000"/>
        </w:rPr>
        <w:tab/>
      </w:r>
      <w:r w:rsidR="00AC63DB" w:rsidRPr="0001119B">
        <w:rPr>
          <w:bCs/>
          <w:iCs/>
          <w:color w:val="000000"/>
          <w:u w:val="single"/>
        </w:rPr>
        <w:t>Strategic Analysis</w:t>
      </w:r>
      <w:r w:rsidR="00AC63DB" w:rsidRPr="0001119B">
        <w:rPr>
          <w:bCs/>
          <w:i/>
          <w:iCs/>
          <w:color w:val="000000"/>
          <w:u w:val="single"/>
        </w:rPr>
        <w:t xml:space="preserve"> </w:t>
      </w:r>
      <w:r w:rsidR="00AC63DB" w:rsidRPr="0001119B">
        <w:rPr>
          <w:bCs/>
          <w:iCs/>
          <w:color w:val="000000"/>
          <w:u w:val="single"/>
        </w:rPr>
        <w:t>(US$0.2 million)</w:t>
      </w:r>
      <w:r w:rsidR="00AC63DB" w:rsidRPr="0001119B">
        <w:rPr>
          <w:bCs/>
          <w:iCs/>
          <w:color w:val="000000"/>
        </w:rPr>
        <w:t>.</w:t>
      </w:r>
      <w:r w:rsidR="00AC63DB" w:rsidRPr="00DC5A31">
        <w:rPr>
          <w:bCs/>
          <w:iCs/>
          <w:color w:val="000000"/>
        </w:rPr>
        <w:t xml:space="preserve">  T</w:t>
      </w:r>
      <w:r w:rsidR="00AC63DB" w:rsidRPr="00DC5A31">
        <w:rPr>
          <w:lang w:val="en-CA"/>
        </w:rPr>
        <w:t>he development of analytical studies will provide a scientific foundation for the National REDD Strategy. Studies will help fill the knowledge gaps about land use, the forestry sector, and the drivers of deforestation and forest degradation. Research will collect relevant information to facilitate the identification of the magnitude of the potential impacts of REDD in the country. These studies will be communicated to key stakeholders through a consultation process in the next stage of the REDD preparation process. Three broad analytical studies will be conducted assessing the value of the forest at the national level, evaluating the political economy of land use at the national level, assessing carbon emissions from drivers of deforestation and forest degradation.  Consultation for strategic options prioritization including the participation of representatives from the private sector, non-governmental organizations, academia, government officials, indigeno</w:t>
      </w:r>
      <w:r w:rsidR="00B86A7E">
        <w:rPr>
          <w:lang w:val="en-CA"/>
        </w:rPr>
        <w:t>us peoples, local communities, w</w:t>
      </w:r>
      <w:r w:rsidR="00AC63DB" w:rsidRPr="00DC5A31">
        <w:rPr>
          <w:lang w:val="en-CA"/>
        </w:rPr>
        <w:t xml:space="preserve">omen, </w:t>
      </w:r>
      <w:proofErr w:type="spellStart"/>
      <w:r w:rsidR="00B86A7E">
        <w:rPr>
          <w:lang w:val="en-CA"/>
        </w:rPr>
        <w:t>d</w:t>
      </w:r>
      <w:r w:rsidR="00AC63DB" w:rsidRPr="00DC5A31">
        <w:rPr>
          <w:lang w:val="en-CA"/>
        </w:rPr>
        <w:t>alits</w:t>
      </w:r>
      <w:proofErr w:type="spellEnd"/>
      <w:r w:rsidR="00AC63DB" w:rsidRPr="00DC5A31">
        <w:rPr>
          <w:lang w:val="en-CA"/>
        </w:rPr>
        <w:t xml:space="preserve">, </w:t>
      </w:r>
      <w:r w:rsidR="00B86A7E">
        <w:rPr>
          <w:lang w:val="en-CA"/>
        </w:rPr>
        <w:t>p</w:t>
      </w:r>
      <w:r w:rsidR="00AC63DB" w:rsidRPr="00DC5A31">
        <w:rPr>
          <w:lang w:val="en-CA"/>
        </w:rPr>
        <w:t>olit</w:t>
      </w:r>
      <w:r w:rsidR="00B86A7E">
        <w:rPr>
          <w:lang w:val="en-CA"/>
        </w:rPr>
        <w:t>ical parties and civil society, o</w:t>
      </w:r>
      <w:r w:rsidR="00AC63DB" w:rsidRPr="00DC5A31">
        <w:rPr>
          <w:lang w:val="en-CA"/>
        </w:rPr>
        <w:t xml:space="preserve">utreach of policies and studies, </w:t>
      </w:r>
      <w:r w:rsidR="00B86A7E">
        <w:rPr>
          <w:lang w:val="en-CA"/>
        </w:rPr>
        <w:lastRenderedPageBreak/>
        <w:t>s</w:t>
      </w:r>
      <w:r w:rsidR="00AC63DB" w:rsidRPr="00DC5A31">
        <w:rPr>
          <w:lang w:val="en-CA"/>
        </w:rPr>
        <w:t xml:space="preserve">trategic options assessment </w:t>
      </w:r>
      <w:r w:rsidR="00B86A7E">
        <w:rPr>
          <w:lang w:val="en-CA"/>
        </w:rPr>
        <w:t>e</w:t>
      </w:r>
      <w:r w:rsidR="00AC63DB" w:rsidRPr="00DC5A31">
        <w:rPr>
          <w:lang w:val="en-CA"/>
        </w:rPr>
        <w:t xml:space="preserve">conomic and financial assessments of selected strategic options, </w:t>
      </w:r>
      <w:r w:rsidR="00B86A7E">
        <w:rPr>
          <w:lang w:val="en-CA"/>
        </w:rPr>
        <w:t>p</w:t>
      </w:r>
      <w:r w:rsidR="00AC63DB" w:rsidRPr="00DC5A31">
        <w:rPr>
          <w:lang w:val="en-CA"/>
        </w:rPr>
        <w:t>reparation and consolidation of the REDD Strategy document and Endorsement and development of relevant plans</w:t>
      </w:r>
    </w:p>
    <w:p w:rsidR="00AC63DB" w:rsidRDefault="0001119B" w:rsidP="0001119B">
      <w:pPr>
        <w:tabs>
          <w:tab w:val="left" w:pos="360"/>
        </w:tabs>
        <w:jc w:val="both"/>
        <w:rPr>
          <w:rFonts w:eastAsia="Calibri"/>
        </w:rPr>
      </w:pPr>
      <w:r>
        <w:rPr>
          <w:bCs/>
          <w:iCs/>
          <w:color w:val="000000"/>
        </w:rPr>
        <w:t xml:space="preserve">(d) </w:t>
      </w:r>
      <w:r w:rsidR="00A01664">
        <w:rPr>
          <w:bCs/>
          <w:iCs/>
          <w:color w:val="000000"/>
        </w:rPr>
        <w:tab/>
      </w:r>
      <w:r w:rsidR="00A01664">
        <w:rPr>
          <w:bCs/>
          <w:iCs/>
          <w:color w:val="000000"/>
        </w:rPr>
        <w:tab/>
      </w:r>
      <w:r w:rsidR="00AC63DB" w:rsidRPr="0001119B">
        <w:rPr>
          <w:bCs/>
          <w:iCs/>
          <w:color w:val="000000"/>
          <w:u w:val="single"/>
        </w:rPr>
        <w:t>Implementation Framework Development (US$0.3 million)</w:t>
      </w:r>
      <w:r w:rsidR="00181723" w:rsidRPr="0001119B">
        <w:rPr>
          <w:bCs/>
          <w:iCs/>
          <w:color w:val="000000"/>
        </w:rPr>
        <w:t>.</w:t>
      </w:r>
      <w:r w:rsidR="00181723">
        <w:rPr>
          <w:bCs/>
          <w:iCs/>
          <w:color w:val="000000"/>
        </w:rPr>
        <w:t xml:space="preserve"> </w:t>
      </w:r>
      <w:r w:rsidR="00AC63DB" w:rsidRPr="00DC5A31">
        <w:rPr>
          <w:lang w:val="en-CA"/>
        </w:rPr>
        <w:t>Studies under this subcomponent will address</w:t>
      </w:r>
      <w:r w:rsidR="00AC63DB" w:rsidRPr="00DC5A31">
        <w:t xml:space="preserve"> (</w:t>
      </w:r>
      <w:proofErr w:type="spellStart"/>
      <w:r w:rsidR="00AC63DB" w:rsidRPr="00DC5A31">
        <w:t>i</w:t>
      </w:r>
      <w:proofErr w:type="spellEnd"/>
      <w:r w:rsidR="00AC63DB" w:rsidRPr="00DC5A31">
        <w:t xml:space="preserve">) Forest Carbon Ownership and Land Tenure; (ii) REDD Implementation; (iii) Financing Mechanisms; (iv) Stakeholder Engagement and Governance; (v) Data Management, Monitoring, Reporting and Verification; (vi) Institutional and Governance Reform; and (vii) Work Plan and Budget. </w:t>
      </w:r>
      <w:r w:rsidR="00AC63DB" w:rsidRPr="00DC5A31">
        <w:rPr>
          <w:b/>
          <w:i/>
          <w:iCs/>
        </w:rPr>
        <w:t xml:space="preserve">  </w:t>
      </w:r>
      <w:r w:rsidR="00AC63DB" w:rsidRPr="00DC5A31">
        <w:t xml:space="preserve">further studies/consultations including </w:t>
      </w:r>
      <w:r w:rsidR="00B86A7E">
        <w:t>a</w:t>
      </w:r>
      <w:r w:rsidR="00AC63DB" w:rsidRPr="00DC5A31">
        <w:t xml:space="preserve"> study and consultation process for establishing forest carbon ownership in Nepal </w:t>
      </w:r>
      <w:r w:rsidR="00B86A7E">
        <w:t>a</w:t>
      </w:r>
      <w:r w:rsidR="00AC63DB" w:rsidRPr="00DC5A31">
        <w:t xml:space="preserve"> study and detailed consultation on proposed ideas for REDD implementation mechanisms and the associated costs of the proposed institutional arrangements</w:t>
      </w:r>
      <w:r w:rsidR="00AC63DB" w:rsidRPr="00DC5A31">
        <w:rPr>
          <w:rFonts w:eastAsia="Calibri"/>
        </w:rPr>
        <w:t xml:space="preserve"> policies and programs for the implementation arrangements will be developed for approved by the government of Nepal.</w:t>
      </w:r>
    </w:p>
    <w:p w:rsidR="00181723" w:rsidRPr="00DC5A31" w:rsidRDefault="00181723" w:rsidP="00181723">
      <w:pPr>
        <w:ind w:firstLine="720"/>
        <w:jc w:val="both"/>
        <w:rPr>
          <w:rFonts w:eastAsia="Calibri"/>
        </w:rPr>
      </w:pPr>
    </w:p>
    <w:p w:rsidR="00AC63DB" w:rsidRPr="00DC5A31" w:rsidRDefault="0001119B" w:rsidP="0001119B">
      <w:pPr>
        <w:jc w:val="both"/>
        <w:rPr>
          <w:b/>
        </w:rPr>
      </w:pPr>
      <w:r>
        <w:rPr>
          <w:bCs/>
          <w:iCs/>
          <w:color w:val="000000"/>
        </w:rPr>
        <w:t xml:space="preserve">(e) </w:t>
      </w:r>
      <w:r w:rsidR="00A01664">
        <w:rPr>
          <w:bCs/>
          <w:iCs/>
          <w:color w:val="000000"/>
        </w:rPr>
        <w:tab/>
      </w:r>
      <w:r w:rsidR="00AC63DB" w:rsidRPr="0001119B">
        <w:rPr>
          <w:bCs/>
          <w:iCs/>
          <w:color w:val="000000"/>
          <w:u w:val="single"/>
        </w:rPr>
        <w:t>Social and Environmental Impact Assessment</w:t>
      </w:r>
      <w:r>
        <w:rPr>
          <w:bCs/>
          <w:iCs/>
          <w:color w:val="000000"/>
          <w:u w:val="single"/>
        </w:rPr>
        <w:t xml:space="preserve"> </w:t>
      </w:r>
      <w:r w:rsidR="00AC63DB" w:rsidRPr="0001119B">
        <w:rPr>
          <w:bCs/>
          <w:iCs/>
          <w:color w:val="000000"/>
          <w:u w:val="single"/>
        </w:rPr>
        <w:t>(US$0.2 million</w:t>
      </w:r>
      <w:r w:rsidR="00AC63DB" w:rsidRPr="00DC5A31">
        <w:rPr>
          <w:bCs/>
          <w:iCs/>
          <w:color w:val="000000"/>
        </w:rPr>
        <w:t>)</w:t>
      </w:r>
      <w:r>
        <w:rPr>
          <w:bCs/>
          <w:iCs/>
          <w:color w:val="000000"/>
        </w:rPr>
        <w:t>.</w:t>
      </w:r>
      <w:r w:rsidR="00AC63DB" w:rsidRPr="00DC5A31">
        <w:rPr>
          <w:bCs/>
          <w:iCs/>
          <w:color w:val="000000"/>
        </w:rPr>
        <w:t xml:space="preserve"> Studies leading to preparation </w:t>
      </w:r>
      <w:proofErr w:type="gramStart"/>
      <w:r w:rsidR="00AC63DB" w:rsidRPr="00DC5A31">
        <w:rPr>
          <w:bCs/>
          <w:iCs/>
          <w:color w:val="000000"/>
        </w:rPr>
        <w:t>of a social and environmental impacts</w:t>
      </w:r>
      <w:proofErr w:type="gramEnd"/>
      <w:r w:rsidR="00AC63DB" w:rsidRPr="00DC5A31">
        <w:rPr>
          <w:bCs/>
          <w:iCs/>
          <w:color w:val="000000"/>
        </w:rPr>
        <w:t xml:space="preserve"> of possible REDD arrangements and preparation of a Environmental and Social Management Framework. </w:t>
      </w:r>
    </w:p>
    <w:p w:rsidR="00181723" w:rsidRDefault="00181723" w:rsidP="00AC63DB">
      <w:pPr>
        <w:rPr>
          <w:b/>
        </w:rPr>
      </w:pPr>
    </w:p>
    <w:p w:rsidR="00AC63DB" w:rsidRPr="00DC5A31" w:rsidRDefault="00AC63DB" w:rsidP="0001119B">
      <w:pPr>
        <w:spacing w:after="120"/>
      </w:pPr>
      <w:proofErr w:type="gramStart"/>
      <w:r w:rsidRPr="00DC5A31">
        <w:rPr>
          <w:b/>
        </w:rPr>
        <w:t>Component 2.</w:t>
      </w:r>
      <w:proofErr w:type="gramEnd"/>
      <w:r w:rsidRPr="00DC5A31">
        <w:rPr>
          <w:bCs/>
          <w:iCs/>
          <w:color w:val="000000"/>
        </w:rPr>
        <w:t xml:space="preserve"> </w:t>
      </w:r>
      <w:r w:rsidRPr="00DC5A31">
        <w:rPr>
          <w:b/>
          <w:bCs/>
          <w:iCs/>
          <w:color w:val="000000"/>
        </w:rPr>
        <w:t>Reference Scenario Formulation</w:t>
      </w:r>
      <w:r w:rsidRPr="00DC5A31">
        <w:rPr>
          <w:bCs/>
          <w:iCs/>
          <w:color w:val="000000"/>
        </w:rPr>
        <w:t xml:space="preserve"> </w:t>
      </w:r>
      <w:r w:rsidRPr="00181723">
        <w:rPr>
          <w:b/>
          <w:bCs/>
          <w:iCs/>
          <w:color w:val="000000"/>
        </w:rPr>
        <w:t xml:space="preserve">(US$ 1.4 million).  </w:t>
      </w:r>
      <w:r w:rsidRPr="00DC5A31">
        <w:t>This component will use existing and new data and modeling techniques to formulate a projection of “business-as-usual” emissions of carbon from forest-related sources in Nepal against which emission reductions and transaction can be conducted. It will include creation of a biomass surface from Land Resource Mapping Project (LRMP) data, creation of a comparable current biomass surface based on the planned FRA activities; development of a country wide economic model, and capacity building activities.</w:t>
      </w:r>
    </w:p>
    <w:p w:rsidR="00AC63DB" w:rsidRPr="00DC5A31" w:rsidRDefault="00AC63DB" w:rsidP="00196CF1">
      <w:pPr>
        <w:spacing w:after="120"/>
        <w:jc w:val="both"/>
      </w:pPr>
      <w:proofErr w:type="gramStart"/>
      <w:r w:rsidRPr="00DC5A31">
        <w:rPr>
          <w:b/>
        </w:rPr>
        <w:t>Component 3.</w:t>
      </w:r>
      <w:proofErr w:type="gramEnd"/>
      <w:r w:rsidRPr="00DC5A31">
        <w:rPr>
          <w:b/>
          <w:bCs/>
          <w:iCs/>
          <w:color w:val="000000"/>
        </w:rPr>
        <w:t xml:space="preserve"> </w:t>
      </w:r>
      <w:proofErr w:type="gramStart"/>
      <w:r w:rsidRPr="00DC5A31">
        <w:rPr>
          <w:b/>
          <w:bCs/>
          <w:iCs/>
          <w:color w:val="000000"/>
        </w:rPr>
        <w:t>Monitoring, Reporting and Verification Systems Development</w:t>
      </w:r>
      <w:r w:rsidRPr="00DC5A31">
        <w:rPr>
          <w:bCs/>
          <w:iCs/>
          <w:color w:val="000000"/>
        </w:rPr>
        <w:t xml:space="preserve"> </w:t>
      </w:r>
      <w:r w:rsidRPr="0001119B">
        <w:rPr>
          <w:b/>
          <w:bCs/>
          <w:iCs/>
          <w:color w:val="000000"/>
        </w:rPr>
        <w:t>(US$ 1.8 million)</w:t>
      </w:r>
      <w:r w:rsidRPr="00DC5A31">
        <w:rPr>
          <w:bCs/>
          <w:iCs/>
          <w:color w:val="000000"/>
        </w:rPr>
        <w:t>.</w:t>
      </w:r>
      <w:proofErr w:type="gramEnd"/>
      <w:r w:rsidRPr="00DC5A31">
        <w:rPr>
          <w:bCs/>
          <w:iCs/>
          <w:color w:val="000000"/>
        </w:rPr>
        <w:t xml:space="preserve">  This component will develop information sources and systems capable of supporting future emissions reductions claims and transactions.  It will extend current and planned systems of timber and non</w:t>
      </w:r>
      <w:r w:rsidR="00A01664">
        <w:rPr>
          <w:bCs/>
          <w:iCs/>
          <w:color w:val="000000"/>
        </w:rPr>
        <w:t>-</w:t>
      </w:r>
      <w:r w:rsidRPr="00DC5A31">
        <w:rPr>
          <w:bCs/>
          <w:iCs/>
          <w:color w:val="000000"/>
        </w:rPr>
        <w:t xml:space="preserve">timber forest products surveys, inventories and data management systems to include carbon accounts.  This will involve field surveys, studies, modeling and systems design work and will include acquisition of satellite-based information and data from new </w:t>
      </w:r>
      <w:r w:rsidR="00B95AC1">
        <w:rPr>
          <w:bCs/>
          <w:iCs/>
          <w:color w:val="000000"/>
        </w:rPr>
        <w:t xml:space="preserve">forest </w:t>
      </w:r>
      <w:proofErr w:type="spellStart"/>
      <w:r w:rsidR="00B86A7E">
        <w:rPr>
          <w:bCs/>
          <w:iCs/>
          <w:color w:val="000000"/>
        </w:rPr>
        <w:t>forest</w:t>
      </w:r>
      <w:proofErr w:type="spellEnd"/>
      <w:r w:rsidR="00B86A7E">
        <w:rPr>
          <w:bCs/>
          <w:iCs/>
          <w:color w:val="000000"/>
        </w:rPr>
        <w:t xml:space="preserve"> mapping system</w:t>
      </w:r>
      <w:r w:rsidR="00B95AC1">
        <w:rPr>
          <w:bCs/>
          <w:iCs/>
          <w:color w:val="000000"/>
        </w:rPr>
        <w:t>.</w:t>
      </w:r>
    </w:p>
    <w:p w:rsidR="00AC63DB" w:rsidRPr="00DC5A31" w:rsidRDefault="00AC63DB" w:rsidP="00196CF1">
      <w:pPr>
        <w:jc w:val="both"/>
      </w:pPr>
      <w:proofErr w:type="gramStart"/>
      <w:r w:rsidRPr="00DC5A31">
        <w:rPr>
          <w:b/>
        </w:rPr>
        <w:t>Component 4.</w:t>
      </w:r>
      <w:proofErr w:type="gramEnd"/>
      <w:r w:rsidRPr="00DC5A31">
        <w:rPr>
          <w:b/>
          <w:bCs/>
          <w:iCs/>
          <w:color w:val="000000"/>
        </w:rPr>
        <w:t xml:space="preserve"> </w:t>
      </w:r>
      <w:proofErr w:type="gramStart"/>
      <w:r w:rsidRPr="00DC5A31">
        <w:rPr>
          <w:b/>
          <w:bCs/>
          <w:iCs/>
          <w:color w:val="000000"/>
        </w:rPr>
        <w:t xml:space="preserve">Program M&amp;E and National Readiness Management </w:t>
      </w:r>
      <w:r w:rsidRPr="0001119B">
        <w:rPr>
          <w:b/>
          <w:bCs/>
          <w:iCs/>
          <w:color w:val="000000"/>
        </w:rPr>
        <w:t>(US$ 1.2 million)</w:t>
      </w:r>
      <w:r w:rsidRPr="0001119B">
        <w:rPr>
          <w:bCs/>
          <w:iCs/>
          <w:color w:val="000000"/>
        </w:rPr>
        <w:t>.</w:t>
      </w:r>
      <w:proofErr w:type="gramEnd"/>
      <w:r w:rsidRPr="00DC5A31">
        <w:rPr>
          <w:bCs/>
          <w:iCs/>
          <w:color w:val="000000"/>
        </w:rPr>
        <w:t xml:space="preserve"> This component will support the national REDD institutions including the </w:t>
      </w:r>
      <w:r w:rsidRPr="00DC5A31">
        <w:t>REDD Multi-</w:t>
      </w:r>
      <w:proofErr w:type="spellStart"/>
      <w:r w:rsidRPr="00DC5A31">
        <w:t>sectoral</w:t>
      </w:r>
      <w:proofErr w:type="spellEnd"/>
      <w:r w:rsidRPr="00DC5A31">
        <w:t>, Multi-stakeholder Coordinating and Monitoring Committee as the apex body; the REDD Working Group (RWG) at the operational level; and the REDD-Forestry and Climate Change Cell as the coordinating entity.  It will provide technical and administrative support to the REDD Cell, including support for financial management, procurement and consultant selection, contract management and overall management and consolidation of work under the program.</w:t>
      </w:r>
    </w:p>
    <w:p w:rsidR="00586153" w:rsidRDefault="00586153" w:rsidP="00B95AC1">
      <w:pPr>
        <w:spacing w:after="120"/>
      </w:pPr>
      <w:bookmarkStart w:id="28" w:name="ISDS_PROJDESC_TEXT"/>
      <w:bookmarkEnd w:id="28"/>
    </w:p>
    <w:bookmarkEnd w:id="27"/>
    <w:p w:rsidR="00672B92" w:rsidRDefault="00586153" w:rsidP="00672B92">
      <w:pPr>
        <w:keepNext/>
        <w:rPr>
          <w:b/>
          <w:bCs/>
        </w:rPr>
      </w:pPr>
      <w:r>
        <w:rPr>
          <w:b/>
          <w:bCs/>
        </w:rPr>
        <w:t xml:space="preserve">D.  Project location </w:t>
      </w:r>
      <w:bookmarkStart w:id="29" w:name="ISDS_PROJLOC_TEXT"/>
      <w:bookmarkEnd w:id="29"/>
      <w:r w:rsidR="00672B92">
        <w:rPr>
          <w:b/>
          <w:bCs/>
        </w:rPr>
        <w:t>and salient physical characteristics relevant to the safeguard analysis</w:t>
      </w:r>
      <w:r w:rsidR="00F22731">
        <w:rPr>
          <w:b/>
          <w:bCs/>
        </w:rPr>
        <w:t xml:space="preserve"> (if known)</w:t>
      </w:r>
      <w:r w:rsidR="0017157E">
        <w:rPr>
          <w:b/>
          <w:bCs/>
        </w:rPr>
        <w:t>:</w:t>
      </w:r>
      <w:r w:rsidR="00AC63DB">
        <w:rPr>
          <w:b/>
          <w:bCs/>
        </w:rPr>
        <w:t xml:space="preserve">  NA</w:t>
      </w:r>
    </w:p>
    <w:p w:rsidR="00586153" w:rsidRDefault="00586153"/>
    <w:p w:rsidR="00586153" w:rsidRDefault="00586153">
      <w:pPr>
        <w:rPr>
          <w:b/>
          <w:bCs/>
        </w:rPr>
      </w:pPr>
      <w:r>
        <w:rPr>
          <w:b/>
          <w:bCs/>
        </w:rPr>
        <w:t>E.  Borrower’s Institutional Capacity for Safeguard Policies</w:t>
      </w:r>
      <w:r w:rsidR="0017157E">
        <w:rPr>
          <w:b/>
          <w:bCs/>
        </w:rPr>
        <w:t>:</w:t>
      </w:r>
      <w:r>
        <w:rPr>
          <w:b/>
          <w:bCs/>
        </w:rPr>
        <w:t xml:space="preserve"> </w:t>
      </w:r>
    </w:p>
    <w:p w:rsidR="007E455F" w:rsidRPr="00DC5A31" w:rsidRDefault="007E455F" w:rsidP="00A01664">
      <w:pPr>
        <w:ind w:firstLine="720"/>
        <w:jc w:val="both"/>
      </w:pPr>
      <w:bookmarkStart w:id="30" w:name="ISDS_SAFEGUARD_TEXT"/>
      <w:bookmarkEnd w:id="30"/>
      <w:r w:rsidRPr="00DC5A31">
        <w:t xml:space="preserve">Nepal has its own policy framework to address social environmental impacts in the development process.  The responsibility for enforcing these policies lies with various </w:t>
      </w:r>
      <w:r w:rsidRPr="00DC5A31">
        <w:lastRenderedPageBreak/>
        <w:t xml:space="preserve">institutions at different levels of the government.  Generally, the capacity with these agencies is weak and has been gradually improving with continuous assistance with from international agencies.  The REDD Cell itself is in the process of mobilization.  Considerations will be given to the staffing and expertise needs for the implementation of the Environmental and Social Management Frameworks.  Principles as outlined in the Bank’s safeguard policies, particularly relating to indigenous communities, will be followed in the execution of the studies under the Grant. A Consultation and Participation Plan has been developed to continue the consultation efforts for the grant activities.  </w:t>
      </w:r>
    </w:p>
    <w:p w:rsidR="00586153" w:rsidRDefault="00586153"/>
    <w:p w:rsidR="00586153" w:rsidRDefault="00814AA7">
      <w:pPr>
        <w:rPr>
          <w:b/>
          <w:bCs/>
        </w:rPr>
      </w:pPr>
      <w:r w:rsidRPr="00814AA7">
        <w:rPr>
          <w:b/>
          <w:bCs/>
        </w:rPr>
        <w:t>F.  Environmental and Social Safeguards Specialists</w:t>
      </w:r>
      <w:r w:rsidR="004A10EE">
        <w:rPr>
          <w:b/>
          <w:bCs/>
        </w:rPr>
        <w:t xml:space="preserve"> on the Team</w:t>
      </w:r>
      <w:r w:rsidR="0017157E">
        <w:rPr>
          <w:b/>
          <w:bCs/>
        </w:rPr>
        <w:t>:</w:t>
      </w:r>
    </w:p>
    <w:p w:rsidR="007E455F" w:rsidRDefault="007E455F">
      <w:pPr>
        <w:rPr>
          <w:b/>
          <w:bCs/>
        </w:rPr>
      </w:pPr>
    </w:p>
    <w:p w:rsidR="0001119B" w:rsidRPr="0001119B" w:rsidRDefault="0001119B" w:rsidP="0001119B">
      <w:pPr>
        <w:ind w:firstLine="360"/>
        <w:rPr>
          <w:bCs/>
        </w:rPr>
      </w:pPr>
      <w:r w:rsidRPr="0001119B">
        <w:rPr>
          <w:bCs/>
        </w:rPr>
        <w:t xml:space="preserve">Mr. </w:t>
      </w:r>
      <w:proofErr w:type="spellStart"/>
      <w:r w:rsidRPr="0001119B">
        <w:rPr>
          <w:bCs/>
        </w:rPr>
        <w:t>Chaohua</w:t>
      </w:r>
      <w:proofErr w:type="spellEnd"/>
      <w:r w:rsidRPr="0001119B">
        <w:rPr>
          <w:bCs/>
        </w:rPr>
        <w:t xml:space="preserve"> Zhang (SASDS)</w:t>
      </w:r>
    </w:p>
    <w:p w:rsidR="007E455F" w:rsidRPr="0001119B" w:rsidRDefault="007E455F" w:rsidP="0001119B">
      <w:pPr>
        <w:ind w:firstLine="360"/>
        <w:rPr>
          <w:bCs/>
        </w:rPr>
      </w:pPr>
      <w:r w:rsidRPr="0001119B">
        <w:rPr>
          <w:bCs/>
        </w:rPr>
        <w:t xml:space="preserve">Mr. </w:t>
      </w:r>
      <w:proofErr w:type="spellStart"/>
      <w:r w:rsidRPr="0001119B">
        <w:rPr>
          <w:bCs/>
        </w:rPr>
        <w:t>Drona</w:t>
      </w:r>
      <w:proofErr w:type="spellEnd"/>
      <w:r w:rsidRPr="0001119B">
        <w:rPr>
          <w:bCs/>
        </w:rPr>
        <w:t xml:space="preserve"> Raj </w:t>
      </w:r>
      <w:proofErr w:type="spellStart"/>
      <w:r w:rsidRPr="0001119B">
        <w:rPr>
          <w:bCs/>
        </w:rPr>
        <w:t>Ghimire</w:t>
      </w:r>
      <w:proofErr w:type="spellEnd"/>
      <w:r w:rsidR="0001119B" w:rsidRPr="0001119B">
        <w:rPr>
          <w:bCs/>
        </w:rPr>
        <w:t xml:space="preserve"> (SASDI)</w:t>
      </w:r>
    </w:p>
    <w:p w:rsidR="00814AA7" w:rsidRDefault="00814AA7">
      <w:bookmarkStart w:id="31" w:name="SPEC_TEAM"/>
      <w:bookmarkEnd w:id="31"/>
    </w:p>
    <w:p w:rsidR="00586153" w:rsidRDefault="00586153">
      <w:pPr>
        <w:keepNext/>
        <w:keepLines/>
        <w:rPr>
          <w:b/>
          <w:bCs/>
        </w:rPr>
      </w:pPr>
      <w:r>
        <w:rPr>
          <w:b/>
          <w:bCs/>
        </w:rPr>
        <w:t>II</w:t>
      </w:r>
      <w:proofErr w:type="gramStart"/>
      <w:r>
        <w:rPr>
          <w:b/>
          <w:bCs/>
        </w:rPr>
        <w:t>.  SAFEGUARD</w:t>
      </w:r>
      <w:proofErr w:type="gramEnd"/>
      <w:r>
        <w:rPr>
          <w:b/>
          <w:bCs/>
        </w:rPr>
        <w:t xml:space="preserve"> POLICIES THAT MIGHT APPLY</w:t>
      </w:r>
    </w:p>
    <w:p w:rsidR="00F22731" w:rsidRDefault="00F22731">
      <w:pPr>
        <w:keepNext/>
        <w:keepLines/>
        <w:rPr>
          <w:b/>
          <w:bCs/>
        </w:rPr>
      </w:pPr>
    </w:p>
    <w:p w:rsidR="001D0165" w:rsidRDefault="001D0165" w:rsidP="0001119B">
      <w:pPr>
        <w:jc w:val="both"/>
      </w:pPr>
      <w:r w:rsidRPr="00AD733B">
        <w:t xml:space="preserve">The FCPF readiness preparation grant must comply with World Bank safeguard policies regarding the management of environmental and social </w:t>
      </w:r>
      <w:r>
        <w:t>impacts.</w:t>
      </w:r>
    </w:p>
    <w:p w:rsidR="001D0165" w:rsidRDefault="001D0165" w:rsidP="0001119B">
      <w:pPr>
        <w:jc w:val="both"/>
      </w:pPr>
    </w:p>
    <w:p w:rsidR="001D0165" w:rsidRDefault="001D0165" w:rsidP="0001119B">
      <w:pPr>
        <w:jc w:val="both"/>
      </w:pPr>
      <w:r w:rsidRPr="00AD733B">
        <w:t>The readiness preparation phase is meant primarily for technical assistance and capacity building activities, with the objective to prepare the country for large scale intervention yet to come. The grant will not finance any implementation of REDD+ activities on the ground (investments, pilot activities). The readiness preparation grant will help the country to prepare for the implementation of REDD+ and support work on an Environmental and Social Management Framework (ESMF), to be in place at least in a draft version at the end of the implementation of this grant agreement. The ESMF is part of the Readiness Package, which is the final product of the readiness preparation process under the FCPF.</w:t>
      </w:r>
    </w:p>
    <w:p w:rsidR="001D0165" w:rsidRDefault="001D0165" w:rsidP="0001119B">
      <w:pPr>
        <w:jc w:val="both"/>
      </w:pPr>
    </w:p>
    <w:p w:rsidR="001D0165" w:rsidRDefault="001D0165" w:rsidP="0001119B">
      <w:pPr>
        <w:jc w:val="both"/>
      </w:pPr>
      <w:r w:rsidRPr="00AD733B">
        <w:t>For the future potential</w:t>
      </w:r>
      <w:r w:rsidR="003F745C">
        <w:t>,</w:t>
      </w:r>
      <w:r w:rsidR="00BD5D9F">
        <w:t xml:space="preserve"> environmental and social impacts and risks</w:t>
      </w:r>
      <w:r w:rsidRPr="00AD733B">
        <w:t xml:space="preserve"> from the implementation of the REDD+ Strategy (which is not known at this present stage), the SESA would allow </w:t>
      </w:r>
      <w:proofErr w:type="spellStart"/>
      <w:r w:rsidRPr="00AD733B">
        <w:t>i</w:t>
      </w:r>
      <w:proofErr w:type="spellEnd"/>
      <w:r w:rsidRPr="00AD733B">
        <w:t>) social and environmental considerations to be integrated into the final strategy; ii) this to be done in a participatory manner</w:t>
      </w:r>
      <w:r w:rsidR="00BD5D9F">
        <w:t xml:space="preserve"> including disclosure of draft and final documents</w:t>
      </w:r>
      <w:r w:rsidRPr="00AD733B">
        <w:t xml:space="preserve">; and iii) a framework to be put in place in case there are future </w:t>
      </w:r>
      <w:r w:rsidR="00BD5D9F">
        <w:t>adverse impacts</w:t>
      </w:r>
    </w:p>
    <w:p w:rsidR="001D0165" w:rsidRDefault="001D0165" w:rsidP="0001119B">
      <w:pPr>
        <w:jc w:val="both"/>
      </w:pPr>
    </w:p>
    <w:p w:rsidR="001D0165" w:rsidRDefault="001D0165" w:rsidP="0001119B">
      <w:pPr>
        <w:jc w:val="both"/>
      </w:pPr>
      <w:r w:rsidRPr="00AD733B">
        <w:t>The critical elements of this grant agreement include the preparation of elements for a REDD+ strategy and the definition of the benefit sharing system, which will have potential impacts both socially as well as environmentally. The impacts may benefit certain groups or certain locations, but may also bring risks that may be detrimental for others. As part of this grant agreement, the potential risks will be identified and mitigation options</w:t>
      </w:r>
      <w:r>
        <w:t xml:space="preserve"> will be identified.</w:t>
      </w:r>
    </w:p>
    <w:p w:rsidR="001D0165" w:rsidRDefault="001D0165" w:rsidP="0001119B">
      <w:pPr>
        <w:jc w:val="both"/>
      </w:pPr>
    </w:p>
    <w:p w:rsidR="001D0165" w:rsidRDefault="001D0165" w:rsidP="0001119B">
      <w:pPr>
        <w:jc w:val="both"/>
      </w:pPr>
      <w:proofErr w:type="gramStart"/>
      <w:r w:rsidRPr="00AD733B">
        <w:t xml:space="preserve">For the preparation of a possible </w:t>
      </w:r>
      <w:r w:rsidR="00D602C5">
        <w:t>d</w:t>
      </w:r>
      <w:r w:rsidRPr="00AD733B">
        <w:t xml:space="preserve">emonstration </w:t>
      </w:r>
      <w:r w:rsidR="00D602C5">
        <w:t>p</w:t>
      </w:r>
      <w:r w:rsidRPr="00AD733B">
        <w:t>roject to be supported financially by a subsequent Bank instrument (e.g., the Forest Investment Program or FCPF Carbon Fund), a full safeguards assessment must be</w:t>
      </w:r>
      <w:r>
        <w:t xml:space="preserve"> prepared.</w:t>
      </w:r>
      <w:proofErr w:type="gramEnd"/>
    </w:p>
    <w:p w:rsidR="00B86A7E" w:rsidRDefault="00B86A7E" w:rsidP="0001119B">
      <w:pPr>
        <w:jc w:val="both"/>
      </w:pPr>
    </w:p>
    <w:p w:rsidR="001D0165" w:rsidRPr="001228EF" w:rsidRDefault="001D0165" w:rsidP="0001119B">
      <w:pPr>
        <w:jc w:val="both"/>
      </w:pPr>
      <w:r w:rsidRPr="00AD733B">
        <w:lastRenderedPageBreak/>
        <w:t xml:space="preserve">It is envisioned that the safeguards policies mentioned below </w:t>
      </w:r>
      <w:r w:rsidR="00BD5D9F">
        <w:t xml:space="preserve">will </w:t>
      </w:r>
      <w:r w:rsidR="00572214">
        <w:t xml:space="preserve">be </w:t>
      </w:r>
      <w:r w:rsidR="00BD5D9F">
        <w:t xml:space="preserve">considered during </w:t>
      </w:r>
      <w:r w:rsidRPr="00AD733B">
        <w:t>the elaboration of the REDD+ strategy, which will be revised and eventually triggered under the future investment phase and carbon</w:t>
      </w:r>
      <w:r>
        <w:t xml:space="preserve"> transactions.</w:t>
      </w:r>
    </w:p>
    <w:p w:rsidR="001D0165" w:rsidRDefault="001D0165">
      <w:pPr>
        <w:keepNext/>
        <w:keepLines/>
        <w:rPr>
          <w:b/>
          <w:bCs/>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6048"/>
        <w:gridCol w:w="1176"/>
        <w:gridCol w:w="1176"/>
        <w:gridCol w:w="1176"/>
      </w:tblGrid>
      <w:tr w:rsidR="00586153">
        <w:trPr>
          <w:tblHeader/>
        </w:trPr>
        <w:tc>
          <w:tcPr>
            <w:tcW w:w="6048" w:type="dxa"/>
            <w:tcBorders>
              <w:top w:val="single" w:sz="12" w:space="0" w:color="auto"/>
              <w:left w:val="single" w:sz="4" w:space="0" w:color="auto"/>
              <w:bottom w:val="single" w:sz="12" w:space="0" w:color="auto"/>
            </w:tcBorders>
          </w:tcPr>
          <w:p w:rsidR="00586153" w:rsidRPr="00F22731" w:rsidRDefault="00586153">
            <w:pPr>
              <w:keepNext/>
            </w:pPr>
            <w:r>
              <w:rPr>
                <w:b/>
                <w:bCs/>
              </w:rPr>
              <w:t>Safeguard Policies Triggered</w:t>
            </w:r>
            <w:r w:rsidR="00F22731">
              <w:rPr>
                <w:b/>
                <w:bCs/>
              </w:rPr>
              <w:t xml:space="preserve"> </w:t>
            </w:r>
            <w:r w:rsidR="00F22731" w:rsidRPr="00F22731">
              <w:rPr>
                <w:b/>
                <w:bCs/>
                <w:i/>
                <w:sz w:val="20"/>
                <w:szCs w:val="20"/>
              </w:rPr>
              <w:t>(please explain why)</w:t>
            </w:r>
          </w:p>
        </w:tc>
        <w:tc>
          <w:tcPr>
            <w:tcW w:w="1176" w:type="dxa"/>
            <w:tcBorders>
              <w:top w:val="single" w:sz="12" w:space="0" w:color="auto"/>
              <w:left w:val="single" w:sz="4" w:space="0" w:color="auto"/>
              <w:bottom w:val="single" w:sz="12" w:space="0" w:color="auto"/>
            </w:tcBorders>
          </w:tcPr>
          <w:p w:rsidR="00586153" w:rsidRDefault="00586153">
            <w:pPr>
              <w:keepNext/>
              <w:jc w:val="center"/>
              <w:rPr>
                <w:b/>
                <w:bCs/>
              </w:rPr>
            </w:pPr>
            <w:r>
              <w:rPr>
                <w:b/>
                <w:bCs/>
              </w:rPr>
              <w:t>Yes</w:t>
            </w:r>
          </w:p>
        </w:tc>
        <w:tc>
          <w:tcPr>
            <w:tcW w:w="1176" w:type="dxa"/>
            <w:tcBorders>
              <w:top w:val="single" w:sz="12" w:space="0" w:color="auto"/>
              <w:left w:val="single" w:sz="4" w:space="0" w:color="auto"/>
              <w:bottom w:val="single" w:sz="12" w:space="0" w:color="auto"/>
              <w:right w:val="single" w:sz="4" w:space="0" w:color="auto"/>
            </w:tcBorders>
          </w:tcPr>
          <w:p w:rsidR="00586153" w:rsidRDefault="00586153">
            <w:pPr>
              <w:keepNext/>
              <w:jc w:val="center"/>
              <w:rPr>
                <w:b/>
                <w:bCs/>
              </w:rPr>
            </w:pPr>
            <w:r>
              <w:rPr>
                <w:b/>
                <w:bCs/>
              </w:rPr>
              <w:t>No</w:t>
            </w:r>
          </w:p>
        </w:tc>
        <w:tc>
          <w:tcPr>
            <w:tcW w:w="1176" w:type="dxa"/>
            <w:tcBorders>
              <w:top w:val="single" w:sz="12" w:space="0" w:color="auto"/>
              <w:left w:val="single" w:sz="4" w:space="0" w:color="auto"/>
              <w:bottom w:val="single" w:sz="12" w:space="0" w:color="auto"/>
              <w:right w:val="single" w:sz="4" w:space="0" w:color="auto"/>
            </w:tcBorders>
          </w:tcPr>
          <w:p w:rsidR="00586153" w:rsidRDefault="00586153">
            <w:pPr>
              <w:keepNext/>
              <w:jc w:val="center"/>
              <w:rPr>
                <w:b/>
                <w:bCs/>
              </w:rPr>
            </w:pPr>
            <w:r>
              <w:rPr>
                <w:b/>
                <w:bCs/>
              </w:rPr>
              <w:t>TBD</w:t>
            </w:r>
          </w:p>
        </w:tc>
      </w:tr>
      <w:tr w:rsidR="00586153">
        <w:tc>
          <w:tcPr>
            <w:tcW w:w="6048" w:type="dxa"/>
            <w:tcBorders>
              <w:top w:val="single" w:sz="12" w:space="0" w:color="auto"/>
              <w:left w:val="single" w:sz="4" w:space="0" w:color="auto"/>
              <w:bottom w:val="nil"/>
            </w:tcBorders>
          </w:tcPr>
          <w:p w:rsidR="00586153" w:rsidRPr="00F22731" w:rsidRDefault="00586153">
            <w:pPr>
              <w:keepNext/>
              <w:rPr>
                <w:bCs/>
              </w:rPr>
            </w:pPr>
            <w:r>
              <w:rPr>
                <w:b/>
                <w:bCs/>
              </w:rPr>
              <w:t>Environmental Assessment (OP/BP 4.01)</w:t>
            </w:r>
          </w:p>
        </w:tc>
        <w:tc>
          <w:tcPr>
            <w:tcW w:w="1176" w:type="dxa"/>
            <w:tcBorders>
              <w:top w:val="single" w:sz="12" w:space="0" w:color="auto"/>
              <w:left w:val="single" w:sz="4" w:space="0" w:color="auto"/>
              <w:bottom w:val="nil"/>
            </w:tcBorders>
          </w:tcPr>
          <w:p w:rsidR="00586153" w:rsidRDefault="00D602C5">
            <w:pPr>
              <w:keepNext/>
              <w:jc w:val="center"/>
              <w:rPr>
                <w:rFonts w:ascii="Arial" w:hAnsi="Arial" w:cs="Arial"/>
                <w:b/>
                <w:bCs/>
              </w:rPr>
            </w:pPr>
            <w:bookmarkStart w:id="32" w:name="EnvironmentalAssessment_Y"/>
            <w:bookmarkEnd w:id="32"/>
            <w:r>
              <w:rPr>
                <w:rFonts w:ascii="Arial" w:hAnsi="Arial" w:cs="Arial"/>
                <w:b/>
                <w:bCs/>
              </w:rPr>
              <w:t>X</w:t>
            </w:r>
          </w:p>
        </w:tc>
        <w:tc>
          <w:tcPr>
            <w:tcW w:w="1176" w:type="dxa"/>
            <w:tcBorders>
              <w:top w:val="single" w:sz="12" w:space="0" w:color="auto"/>
              <w:left w:val="single" w:sz="4" w:space="0" w:color="auto"/>
              <w:bottom w:val="nil"/>
              <w:right w:val="single" w:sz="4" w:space="0" w:color="auto"/>
            </w:tcBorders>
          </w:tcPr>
          <w:p w:rsidR="00586153" w:rsidRPr="00A01664" w:rsidRDefault="00586153">
            <w:pPr>
              <w:keepNext/>
              <w:jc w:val="center"/>
              <w:rPr>
                <w:b/>
                <w:bCs/>
              </w:rPr>
            </w:pPr>
            <w:bookmarkStart w:id="33" w:name="EnvironmentalAssessment_N"/>
            <w:bookmarkEnd w:id="33"/>
          </w:p>
        </w:tc>
        <w:tc>
          <w:tcPr>
            <w:tcW w:w="1176" w:type="dxa"/>
            <w:tcBorders>
              <w:top w:val="single" w:sz="12"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34" w:name="EnvironmentalAssessment_"/>
            <w:bookmarkEnd w:id="34"/>
          </w:p>
        </w:tc>
      </w:tr>
      <w:tr w:rsidR="00586153">
        <w:tc>
          <w:tcPr>
            <w:tcW w:w="9576" w:type="dxa"/>
            <w:gridSpan w:val="4"/>
            <w:tcBorders>
              <w:top w:val="single" w:sz="4" w:space="0" w:color="auto"/>
              <w:left w:val="single" w:sz="4" w:space="0" w:color="auto"/>
              <w:bottom w:val="nil"/>
              <w:right w:val="single" w:sz="4" w:space="0" w:color="auto"/>
            </w:tcBorders>
          </w:tcPr>
          <w:p w:rsidR="00586153" w:rsidRPr="00A01664" w:rsidRDefault="00586153">
            <w:pPr>
              <w:ind w:firstLine="360"/>
              <w:rPr>
                <w:bCs/>
              </w:rPr>
            </w:pPr>
            <w:bookmarkStart w:id="35" w:name="ISDS_SG_ENVIRON_TEXT"/>
            <w:bookmarkStart w:id="36" w:name="EnvironmentalAssessment_Row"/>
            <w:bookmarkEnd w:id="35"/>
            <w:bookmarkEnd w:id="36"/>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Natural Habitats (OP/BP 4.04)</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37" w:name="NaturalHabitats_Y"/>
            <w:bookmarkEnd w:id="37"/>
          </w:p>
        </w:tc>
        <w:tc>
          <w:tcPr>
            <w:tcW w:w="1176" w:type="dxa"/>
            <w:tcBorders>
              <w:top w:val="single" w:sz="4" w:space="0" w:color="auto"/>
              <w:left w:val="single" w:sz="4" w:space="0" w:color="auto"/>
              <w:bottom w:val="nil"/>
              <w:right w:val="single" w:sz="4" w:space="0" w:color="auto"/>
            </w:tcBorders>
          </w:tcPr>
          <w:p w:rsidR="00586153" w:rsidRPr="00CE7B99" w:rsidRDefault="007E455F">
            <w:pPr>
              <w:keepNext/>
              <w:jc w:val="center"/>
              <w:rPr>
                <w:rFonts w:ascii="Arial" w:hAnsi="Arial" w:cs="Arial"/>
                <w:b/>
                <w:bCs/>
              </w:rPr>
            </w:pPr>
            <w:bookmarkStart w:id="38" w:name="NaturalHabitats_N"/>
            <w:bookmarkEnd w:id="38"/>
            <w:r w:rsidRPr="00CE7B99">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39" w:name="NaturalHabitats_"/>
            <w:bookmarkEnd w:id="39"/>
          </w:p>
        </w:tc>
      </w:tr>
      <w:tr w:rsidR="00586153">
        <w:tc>
          <w:tcPr>
            <w:tcW w:w="9576" w:type="dxa"/>
            <w:gridSpan w:val="4"/>
            <w:tcBorders>
              <w:top w:val="single" w:sz="4" w:space="0" w:color="auto"/>
              <w:left w:val="single" w:sz="4" w:space="0" w:color="auto"/>
              <w:bottom w:val="nil"/>
              <w:right w:val="single" w:sz="4" w:space="0" w:color="auto"/>
            </w:tcBorders>
          </w:tcPr>
          <w:p w:rsidR="00586153" w:rsidRPr="00CE7B99" w:rsidRDefault="00586153">
            <w:pPr>
              <w:ind w:firstLine="360"/>
              <w:rPr>
                <w:rFonts w:ascii="Arial" w:hAnsi="Arial" w:cs="Arial"/>
                <w:bCs/>
              </w:rPr>
            </w:pPr>
            <w:bookmarkStart w:id="40" w:name="ISDS_SG_NATURAL_TEXT"/>
            <w:bookmarkStart w:id="41" w:name="NaturalHabitats_Row"/>
            <w:bookmarkEnd w:id="40"/>
            <w:bookmarkEnd w:id="41"/>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Forests (OP/BP 4.36)</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42" w:name="Forests_Y"/>
            <w:bookmarkEnd w:id="42"/>
          </w:p>
        </w:tc>
        <w:tc>
          <w:tcPr>
            <w:tcW w:w="1176" w:type="dxa"/>
            <w:tcBorders>
              <w:top w:val="single" w:sz="4" w:space="0" w:color="auto"/>
              <w:left w:val="single" w:sz="4" w:space="0" w:color="auto"/>
              <w:bottom w:val="nil"/>
              <w:right w:val="single" w:sz="4" w:space="0" w:color="auto"/>
            </w:tcBorders>
          </w:tcPr>
          <w:p w:rsidR="00586153" w:rsidRPr="00CE7B99" w:rsidRDefault="007E455F">
            <w:pPr>
              <w:keepNext/>
              <w:jc w:val="center"/>
              <w:rPr>
                <w:rFonts w:ascii="Arial" w:hAnsi="Arial" w:cs="Arial"/>
                <w:b/>
                <w:bCs/>
              </w:rPr>
            </w:pPr>
            <w:bookmarkStart w:id="43" w:name="Forests_N"/>
            <w:bookmarkEnd w:id="43"/>
            <w:r w:rsidRPr="00CE7B99">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44" w:name="Forests_"/>
            <w:bookmarkEnd w:id="44"/>
          </w:p>
        </w:tc>
      </w:tr>
      <w:tr w:rsidR="00586153">
        <w:tc>
          <w:tcPr>
            <w:tcW w:w="9576" w:type="dxa"/>
            <w:gridSpan w:val="4"/>
            <w:tcBorders>
              <w:top w:val="single" w:sz="4" w:space="0" w:color="auto"/>
              <w:left w:val="single" w:sz="4" w:space="0" w:color="auto"/>
              <w:bottom w:val="nil"/>
              <w:right w:val="single" w:sz="4" w:space="0" w:color="auto"/>
            </w:tcBorders>
          </w:tcPr>
          <w:p w:rsidR="00586153" w:rsidRPr="00CE7B99" w:rsidRDefault="00586153">
            <w:pPr>
              <w:ind w:firstLine="360"/>
              <w:rPr>
                <w:rFonts w:ascii="Arial" w:hAnsi="Arial" w:cs="Arial"/>
                <w:bCs/>
              </w:rPr>
            </w:pPr>
            <w:bookmarkStart w:id="45" w:name="ISDS_SG_FOREST_TEXT"/>
            <w:bookmarkStart w:id="46" w:name="Forests_Row"/>
            <w:bookmarkEnd w:id="45"/>
            <w:bookmarkEnd w:id="46"/>
          </w:p>
        </w:tc>
      </w:tr>
      <w:tr w:rsidR="00586153">
        <w:tc>
          <w:tcPr>
            <w:tcW w:w="6048" w:type="dxa"/>
            <w:tcBorders>
              <w:top w:val="single" w:sz="4" w:space="0" w:color="auto"/>
              <w:left w:val="single" w:sz="4" w:space="0" w:color="auto"/>
              <w:bottom w:val="nil"/>
            </w:tcBorders>
          </w:tcPr>
          <w:p w:rsidR="00586153" w:rsidRDefault="00586153">
            <w:pPr>
              <w:keepNext/>
              <w:rPr>
                <w:b/>
                <w:bCs/>
              </w:rPr>
            </w:pPr>
            <w:smartTag w:uri="urn:schemas-microsoft-com:office:smarttags" w:element="place">
              <w:r>
                <w:rPr>
                  <w:b/>
                  <w:bCs/>
                </w:rPr>
                <w:t>Pest</w:t>
              </w:r>
            </w:smartTag>
            <w:r>
              <w:rPr>
                <w:b/>
                <w:bCs/>
              </w:rPr>
              <w:t xml:space="preserve"> Management (OP 4.09)</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47" w:name="PestManagement_Y"/>
            <w:bookmarkEnd w:id="47"/>
          </w:p>
        </w:tc>
        <w:tc>
          <w:tcPr>
            <w:tcW w:w="1176" w:type="dxa"/>
            <w:tcBorders>
              <w:top w:val="single" w:sz="4" w:space="0" w:color="auto"/>
              <w:left w:val="single" w:sz="4" w:space="0" w:color="auto"/>
              <w:bottom w:val="nil"/>
              <w:right w:val="single" w:sz="4" w:space="0" w:color="auto"/>
            </w:tcBorders>
          </w:tcPr>
          <w:p w:rsidR="00586153" w:rsidRPr="00CE7B99" w:rsidRDefault="007E455F">
            <w:pPr>
              <w:keepNext/>
              <w:jc w:val="center"/>
              <w:rPr>
                <w:rFonts w:ascii="Arial" w:hAnsi="Arial" w:cs="Arial"/>
                <w:b/>
                <w:bCs/>
              </w:rPr>
            </w:pPr>
            <w:bookmarkStart w:id="48" w:name="PestManagement_N"/>
            <w:bookmarkEnd w:id="48"/>
            <w:r w:rsidRPr="00CE7B99">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49" w:name="PestManagement_"/>
            <w:bookmarkEnd w:id="49"/>
          </w:p>
        </w:tc>
      </w:tr>
      <w:tr w:rsidR="00586153">
        <w:tc>
          <w:tcPr>
            <w:tcW w:w="9576" w:type="dxa"/>
            <w:gridSpan w:val="4"/>
            <w:tcBorders>
              <w:top w:val="single" w:sz="4" w:space="0" w:color="auto"/>
              <w:left w:val="single" w:sz="4" w:space="0" w:color="auto"/>
              <w:bottom w:val="nil"/>
              <w:right w:val="single" w:sz="4" w:space="0" w:color="auto"/>
            </w:tcBorders>
          </w:tcPr>
          <w:p w:rsidR="00586153" w:rsidRPr="00CE7B99" w:rsidRDefault="00586153">
            <w:pPr>
              <w:ind w:firstLine="360"/>
              <w:rPr>
                <w:rFonts w:ascii="Arial" w:hAnsi="Arial" w:cs="Arial"/>
                <w:bCs/>
              </w:rPr>
            </w:pPr>
            <w:bookmarkStart w:id="50" w:name="ISDS_SG_PEST_TEXT"/>
            <w:bookmarkStart w:id="51" w:name="PestManagement_Row"/>
            <w:bookmarkEnd w:id="50"/>
            <w:bookmarkEnd w:id="51"/>
          </w:p>
        </w:tc>
      </w:tr>
      <w:tr w:rsidR="00586153">
        <w:tc>
          <w:tcPr>
            <w:tcW w:w="6048" w:type="dxa"/>
            <w:tcBorders>
              <w:top w:val="single" w:sz="4" w:space="0" w:color="auto"/>
              <w:left w:val="single" w:sz="4" w:space="0" w:color="auto"/>
              <w:bottom w:val="nil"/>
            </w:tcBorders>
          </w:tcPr>
          <w:p w:rsidR="00586153" w:rsidRDefault="00604C98">
            <w:pPr>
              <w:keepNext/>
              <w:rPr>
                <w:b/>
                <w:bCs/>
              </w:rPr>
            </w:pPr>
            <w:r>
              <w:rPr>
                <w:b/>
                <w:bCs/>
              </w:rPr>
              <w:t>Physical Cultural Resources (OP/BP 4.11)</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52" w:name="CulturalProperty_Y"/>
            <w:bookmarkEnd w:id="52"/>
          </w:p>
        </w:tc>
        <w:tc>
          <w:tcPr>
            <w:tcW w:w="1176" w:type="dxa"/>
            <w:tcBorders>
              <w:top w:val="single" w:sz="4" w:space="0" w:color="auto"/>
              <w:left w:val="single" w:sz="4" w:space="0" w:color="auto"/>
              <w:bottom w:val="nil"/>
              <w:right w:val="single" w:sz="4" w:space="0" w:color="auto"/>
            </w:tcBorders>
          </w:tcPr>
          <w:p w:rsidR="00586153" w:rsidRPr="00CE7B99" w:rsidRDefault="007E455F">
            <w:pPr>
              <w:keepNext/>
              <w:jc w:val="center"/>
              <w:rPr>
                <w:rFonts w:ascii="Arial" w:hAnsi="Arial" w:cs="Arial"/>
                <w:b/>
                <w:bCs/>
              </w:rPr>
            </w:pPr>
            <w:bookmarkStart w:id="53" w:name="CulturalProperty_N"/>
            <w:bookmarkEnd w:id="53"/>
            <w:r w:rsidRPr="00CE7B99">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54" w:name="CulturalProperty_"/>
            <w:bookmarkEnd w:id="54"/>
          </w:p>
        </w:tc>
      </w:tr>
      <w:tr w:rsidR="00586153">
        <w:tc>
          <w:tcPr>
            <w:tcW w:w="9576" w:type="dxa"/>
            <w:gridSpan w:val="4"/>
            <w:tcBorders>
              <w:top w:val="single" w:sz="4" w:space="0" w:color="auto"/>
              <w:left w:val="single" w:sz="4" w:space="0" w:color="auto"/>
              <w:bottom w:val="nil"/>
              <w:right w:val="single" w:sz="4" w:space="0" w:color="auto"/>
            </w:tcBorders>
          </w:tcPr>
          <w:p w:rsidR="00586153" w:rsidRPr="00CE7B99" w:rsidRDefault="00586153">
            <w:pPr>
              <w:ind w:firstLine="360"/>
              <w:rPr>
                <w:rFonts w:ascii="Arial" w:hAnsi="Arial" w:cs="Arial"/>
                <w:bCs/>
              </w:rPr>
            </w:pPr>
            <w:bookmarkStart w:id="55" w:name="ISDS_SG_CULT_TEXT"/>
            <w:bookmarkStart w:id="56" w:name="CulturalProperty_Row"/>
            <w:bookmarkEnd w:id="55"/>
            <w:bookmarkEnd w:id="56"/>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Indige</w:t>
            </w:r>
            <w:r w:rsidR="00C93BE7">
              <w:rPr>
                <w:b/>
                <w:bCs/>
              </w:rPr>
              <w:t>nous Peoples (OP/BP 4.1</w:t>
            </w:r>
            <w:r>
              <w:rPr>
                <w:b/>
                <w:bCs/>
              </w:rPr>
              <w:t>0)</w:t>
            </w:r>
          </w:p>
        </w:tc>
        <w:tc>
          <w:tcPr>
            <w:tcW w:w="1176" w:type="dxa"/>
            <w:tcBorders>
              <w:top w:val="single" w:sz="4" w:space="0" w:color="auto"/>
              <w:left w:val="single" w:sz="4" w:space="0" w:color="auto"/>
              <w:bottom w:val="nil"/>
            </w:tcBorders>
          </w:tcPr>
          <w:p w:rsidR="00586153" w:rsidRDefault="00D602C5">
            <w:pPr>
              <w:keepNext/>
              <w:jc w:val="center"/>
              <w:rPr>
                <w:rFonts w:ascii="Arial" w:hAnsi="Arial" w:cs="Arial"/>
                <w:b/>
                <w:bCs/>
              </w:rPr>
            </w:pPr>
            <w:bookmarkStart w:id="57" w:name="IndigenousPeoples_Y"/>
            <w:bookmarkEnd w:id="57"/>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Pr="00CE7B99" w:rsidRDefault="00586153">
            <w:pPr>
              <w:keepNext/>
              <w:jc w:val="center"/>
              <w:rPr>
                <w:rFonts w:ascii="Arial" w:hAnsi="Arial" w:cs="Arial"/>
                <w:b/>
                <w:bCs/>
              </w:rPr>
            </w:pPr>
            <w:bookmarkStart w:id="58" w:name="IndigenousPeoples_N"/>
            <w:bookmarkEnd w:id="58"/>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59" w:name="IndigenousPeoples_"/>
            <w:bookmarkEnd w:id="59"/>
          </w:p>
        </w:tc>
      </w:tr>
      <w:tr w:rsidR="00586153">
        <w:tc>
          <w:tcPr>
            <w:tcW w:w="9576" w:type="dxa"/>
            <w:gridSpan w:val="4"/>
            <w:tcBorders>
              <w:top w:val="single" w:sz="4" w:space="0" w:color="auto"/>
              <w:left w:val="single" w:sz="4" w:space="0" w:color="auto"/>
              <w:bottom w:val="nil"/>
              <w:right w:val="single" w:sz="4" w:space="0" w:color="auto"/>
            </w:tcBorders>
          </w:tcPr>
          <w:p w:rsidR="00586153" w:rsidRPr="00CE7B99" w:rsidRDefault="00586153">
            <w:pPr>
              <w:ind w:firstLine="360"/>
              <w:rPr>
                <w:rFonts w:ascii="Arial" w:hAnsi="Arial" w:cs="Arial"/>
                <w:bCs/>
              </w:rPr>
            </w:pPr>
            <w:bookmarkStart w:id="60" w:name="ISDS_SG_INDIG_TEXT"/>
            <w:bookmarkStart w:id="61" w:name="IndigenousPeoples_Row"/>
            <w:bookmarkEnd w:id="60"/>
            <w:bookmarkEnd w:id="61"/>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Involuntary Resettlement (OP/BP 4.12)</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62" w:name="InvoluntaryResettlement_Y"/>
            <w:bookmarkEnd w:id="62"/>
          </w:p>
        </w:tc>
        <w:tc>
          <w:tcPr>
            <w:tcW w:w="1176" w:type="dxa"/>
            <w:tcBorders>
              <w:top w:val="single" w:sz="4" w:space="0" w:color="auto"/>
              <w:left w:val="single" w:sz="4" w:space="0" w:color="auto"/>
              <w:bottom w:val="nil"/>
              <w:right w:val="single" w:sz="4" w:space="0" w:color="auto"/>
            </w:tcBorders>
          </w:tcPr>
          <w:p w:rsidR="00586153" w:rsidRPr="00CE7B99" w:rsidRDefault="007E455F">
            <w:pPr>
              <w:keepNext/>
              <w:jc w:val="center"/>
              <w:rPr>
                <w:rFonts w:ascii="Arial" w:hAnsi="Arial" w:cs="Arial"/>
                <w:b/>
                <w:bCs/>
              </w:rPr>
            </w:pPr>
            <w:bookmarkStart w:id="63" w:name="InvoluntaryResettlement_N"/>
            <w:bookmarkEnd w:id="63"/>
            <w:r w:rsidRPr="00CE7B99">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64" w:name="InvoluntaryResettlement_"/>
            <w:bookmarkEnd w:id="64"/>
          </w:p>
        </w:tc>
      </w:tr>
      <w:tr w:rsidR="00586153">
        <w:tc>
          <w:tcPr>
            <w:tcW w:w="9576" w:type="dxa"/>
            <w:gridSpan w:val="4"/>
            <w:tcBorders>
              <w:top w:val="single" w:sz="4" w:space="0" w:color="auto"/>
              <w:left w:val="single" w:sz="4" w:space="0" w:color="auto"/>
              <w:bottom w:val="nil"/>
              <w:right w:val="single" w:sz="4" w:space="0" w:color="auto"/>
            </w:tcBorders>
          </w:tcPr>
          <w:p w:rsidR="00586153" w:rsidRPr="00CE7B99" w:rsidRDefault="00586153">
            <w:pPr>
              <w:ind w:firstLine="360"/>
              <w:rPr>
                <w:rFonts w:ascii="Arial" w:hAnsi="Arial" w:cs="Arial"/>
                <w:bCs/>
              </w:rPr>
            </w:pPr>
            <w:bookmarkStart w:id="65" w:name="ISDS_SG_RESETTLE_TEXT"/>
            <w:bookmarkStart w:id="66" w:name="InvoluntaryResettlement_Row"/>
            <w:bookmarkEnd w:id="65"/>
            <w:bookmarkEnd w:id="66"/>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Safety of Dams (OP/BP 4.37)</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67" w:name="SafetyofDams_Y"/>
            <w:bookmarkEnd w:id="67"/>
          </w:p>
        </w:tc>
        <w:tc>
          <w:tcPr>
            <w:tcW w:w="1176" w:type="dxa"/>
            <w:tcBorders>
              <w:top w:val="single" w:sz="4" w:space="0" w:color="auto"/>
              <w:left w:val="single" w:sz="4" w:space="0" w:color="auto"/>
              <w:bottom w:val="nil"/>
              <w:right w:val="single" w:sz="4" w:space="0" w:color="auto"/>
            </w:tcBorders>
          </w:tcPr>
          <w:p w:rsidR="00586153" w:rsidRPr="00CE7B99" w:rsidRDefault="007E455F">
            <w:pPr>
              <w:keepNext/>
              <w:jc w:val="center"/>
              <w:rPr>
                <w:rFonts w:ascii="Arial" w:hAnsi="Arial" w:cs="Arial"/>
                <w:b/>
                <w:bCs/>
              </w:rPr>
            </w:pPr>
            <w:bookmarkStart w:id="68" w:name="SafetyofDams_N"/>
            <w:bookmarkEnd w:id="68"/>
            <w:r w:rsidRPr="00CE7B99">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69" w:name="SafetyofDams_"/>
            <w:bookmarkEnd w:id="69"/>
          </w:p>
        </w:tc>
      </w:tr>
      <w:tr w:rsidR="00586153">
        <w:tc>
          <w:tcPr>
            <w:tcW w:w="9576" w:type="dxa"/>
            <w:gridSpan w:val="4"/>
            <w:tcBorders>
              <w:top w:val="single" w:sz="4" w:space="0" w:color="auto"/>
              <w:left w:val="single" w:sz="4" w:space="0" w:color="auto"/>
              <w:bottom w:val="single" w:sz="4" w:space="0" w:color="auto"/>
              <w:right w:val="single" w:sz="4" w:space="0" w:color="auto"/>
            </w:tcBorders>
          </w:tcPr>
          <w:p w:rsidR="00586153" w:rsidRPr="00CE7B99" w:rsidRDefault="00586153">
            <w:pPr>
              <w:ind w:firstLine="360"/>
              <w:rPr>
                <w:rFonts w:ascii="Arial" w:hAnsi="Arial" w:cs="Arial"/>
                <w:bCs/>
              </w:rPr>
            </w:pPr>
            <w:bookmarkStart w:id="70" w:name="ISDS_SG_DAM_TEXT"/>
            <w:bookmarkStart w:id="71" w:name="SafetyofDams_Row"/>
            <w:bookmarkEnd w:id="70"/>
            <w:bookmarkEnd w:id="71"/>
          </w:p>
        </w:tc>
      </w:tr>
      <w:tr w:rsidR="00586153">
        <w:tc>
          <w:tcPr>
            <w:tcW w:w="6048" w:type="dxa"/>
            <w:tcBorders>
              <w:top w:val="single" w:sz="4" w:space="0" w:color="auto"/>
              <w:left w:val="single" w:sz="4" w:space="0" w:color="auto"/>
              <w:bottom w:val="single" w:sz="4" w:space="0" w:color="auto"/>
            </w:tcBorders>
          </w:tcPr>
          <w:p w:rsidR="00586153" w:rsidRDefault="00586153">
            <w:pPr>
              <w:keepNext/>
              <w:rPr>
                <w:b/>
                <w:bCs/>
              </w:rPr>
            </w:pPr>
            <w:r>
              <w:rPr>
                <w:b/>
                <w:bCs/>
              </w:rPr>
              <w:t>Projects on International Waterways (OP/BP</w:t>
            </w:r>
            <w:r>
              <w:t xml:space="preserve"> </w:t>
            </w:r>
            <w:r>
              <w:rPr>
                <w:b/>
                <w:bCs/>
              </w:rPr>
              <w:t>7.50)</w:t>
            </w:r>
          </w:p>
        </w:tc>
        <w:tc>
          <w:tcPr>
            <w:tcW w:w="1176" w:type="dxa"/>
            <w:tcBorders>
              <w:top w:val="single" w:sz="4" w:space="0" w:color="auto"/>
              <w:left w:val="single" w:sz="4" w:space="0" w:color="auto"/>
              <w:bottom w:val="single" w:sz="4" w:space="0" w:color="auto"/>
            </w:tcBorders>
          </w:tcPr>
          <w:p w:rsidR="00586153" w:rsidRDefault="00586153">
            <w:pPr>
              <w:keepNext/>
              <w:jc w:val="center"/>
              <w:rPr>
                <w:rFonts w:ascii="Arial" w:hAnsi="Arial" w:cs="Arial"/>
                <w:b/>
                <w:bCs/>
              </w:rPr>
            </w:pPr>
            <w:bookmarkStart w:id="72" w:name="ProjectsinInternationalWaters_Y"/>
            <w:bookmarkEnd w:id="72"/>
          </w:p>
        </w:tc>
        <w:tc>
          <w:tcPr>
            <w:tcW w:w="1176" w:type="dxa"/>
            <w:tcBorders>
              <w:top w:val="single" w:sz="4" w:space="0" w:color="auto"/>
              <w:left w:val="single" w:sz="4" w:space="0" w:color="auto"/>
              <w:bottom w:val="single" w:sz="4" w:space="0" w:color="auto"/>
              <w:right w:val="single" w:sz="4" w:space="0" w:color="auto"/>
            </w:tcBorders>
          </w:tcPr>
          <w:p w:rsidR="00586153" w:rsidRPr="00CE7B99" w:rsidRDefault="007E455F">
            <w:pPr>
              <w:keepNext/>
              <w:jc w:val="center"/>
              <w:rPr>
                <w:rFonts w:ascii="Arial" w:hAnsi="Arial" w:cs="Arial"/>
                <w:b/>
                <w:bCs/>
              </w:rPr>
            </w:pPr>
            <w:bookmarkStart w:id="73" w:name="ProjectsinInternationalWaters_N"/>
            <w:bookmarkEnd w:id="73"/>
            <w:r w:rsidRPr="00CE7B99">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74" w:name="ProjectsinInternationalWaters_"/>
            <w:bookmarkEnd w:id="74"/>
          </w:p>
        </w:tc>
      </w:tr>
      <w:tr w:rsidR="00586153">
        <w:tc>
          <w:tcPr>
            <w:tcW w:w="9576" w:type="dxa"/>
            <w:gridSpan w:val="4"/>
            <w:tcBorders>
              <w:top w:val="single" w:sz="4" w:space="0" w:color="auto"/>
              <w:left w:val="single" w:sz="4" w:space="0" w:color="auto"/>
              <w:bottom w:val="single" w:sz="4" w:space="0" w:color="auto"/>
              <w:right w:val="single" w:sz="4" w:space="0" w:color="auto"/>
            </w:tcBorders>
          </w:tcPr>
          <w:p w:rsidR="00586153" w:rsidRPr="00CE7B99" w:rsidRDefault="00586153">
            <w:pPr>
              <w:ind w:firstLine="360"/>
              <w:rPr>
                <w:rFonts w:ascii="Arial" w:hAnsi="Arial" w:cs="Arial"/>
                <w:bCs/>
              </w:rPr>
            </w:pPr>
            <w:bookmarkStart w:id="75" w:name="ISDS_SG_INT_WAT_TEXT"/>
            <w:bookmarkStart w:id="76" w:name="ProjectsinInternationalWaters_Row"/>
            <w:bookmarkEnd w:id="75"/>
            <w:bookmarkEnd w:id="76"/>
          </w:p>
        </w:tc>
      </w:tr>
      <w:tr w:rsidR="00586153">
        <w:tc>
          <w:tcPr>
            <w:tcW w:w="6048" w:type="dxa"/>
            <w:tcBorders>
              <w:top w:val="single" w:sz="4" w:space="0" w:color="auto"/>
              <w:left w:val="single" w:sz="4" w:space="0" w:color="auto"/>
              <w:bottom w:val="single" w:sz="4" w:space="0" w:color="auto"/>
              <w:right w:val="single" w:sz="4" w:space="0" w:color="auto"/>
            </w:tcBorders>
          </w:tcPr>
          <w:p w:rsidR="00586153" w:rsidRDefault="00586153">
            <w:pPr>
              <w:keepNext/>
              <w:rPr>
                <w:b/>
                <w:bCs/>
              </w:rPr>
            </w:pPr>
            <w:r>
              <w:rPr>
                <w:b/>
                <w:bCs/>
              </w:rPr>
              <w:t>Projects in Disputed Areas (OP/BP 7.60)</w:t>
            </w:r>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77" w:name="ProjectsinDisputedAreas_Y"/>
            <w:bookmarkEnd w:id="77"/>
          </w:p>
        </w:tc>
        <w:tc>
          <w:tcPr>
            <w:tcW w:w="1176" w:type="dxa"/>
            <w:tcBorders>
              <w:top w:val="single" w:sz="4" w:space="0" w:color="auto"/>
              <w:left w:val="single" w:sz="4" w:space="0" w:color="auto"/>
              <w:bottom w:val="single" w:sz="4" w:space="0" w:color="auto"/>
              <w:right w:val="single" w:sz="4" w:space="0" w:color="auto"/>
            </w:tcBorders>
          </w:tcPr>
          <w:p w:rsidR="00586153" w:rsidRPr="00CE7B99" w:rsidRDefault="007E455F">
            <w:pPr>
              <w:keepNext/>
              <w:jc w:val="center"/>
              <w:rPr>
                <w:rFonts w:ascii="Arial" w:hAnsi="Arial" w:cs="Arial"/>
                <w:b/>
                <w:bCs/>
              </w:rPr>
            </w:pPr>
            <w:bookmarkStart w:id="78" w:name="ProjectsinDisputedAreas_N"/>
            <w:bookmarkEnd w:id="78"/>
            <w:r w:rsidRPr="00CE7B99">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79" w:name="ProjectsinDisputedAreas_"/>
            <w:bookmarkEnd w:id="79"/>
          </w:p>
        </w:tc>
      </w:tr>
      <w:tr w:rsidR="00586153" w:rsidTr="00D55953">
        <w:tc>
          <w:tcPr>
            <w:tcW w:w="9576" w:type="dxa"/>
            <w:gridSpan w:val="4"/>
            <w:tcBorders>
              <w:top w:val="single" w:sz="4" w:space="0" w:color="auto"/>
              <w:left w:val="single" w:sz="4" w:space="0" w:color="auto"/>
              <w:bottom w:val="single" w:sz="4" w:space="0" w:color="auto"/>
              <w:right w:val="single" w:sz="4" w:space="0" w:color="auto"/>
            </w:tcBorders>
          </w:tcPr>
          <w:p w:rsidR="00586153" w:rsidRPr="00CE7B99" w:rsidRDefault="00586153">
            <w:pPr>
              <w:ind w:firstLine="360"/>
              <w:rPr>
                <w:rFonts w:ascii="Arial" w:hAnsi="Arial" w:cs="Arial"/>
                <w:bCs/>
              </w:rPr>
            </w:pPr>
            <w:bookmarkStart w:id="80" w:name="ISDS_SG_DIS_AREA_TEXT"/>
            <w:bookmarkStart w:id="81" w:name="ProjectsinDisputedAreas_Row"/>
            <w:bookmarkEnd w:id="80"/>
            <w:bookmarkEnd w:id="81"/>
          </w:p>
        </w:tc>
      </w:tr>
      <w:tr w:rsidR="00D55953" w:rsidTr="00A01664">
        <w:tc>
          <w:tcPr>
            <w:tcW w:w="6048" w:type="dxa"/>
            <w:tcBorders>
              <w:top w:val="single" w:sz="4" w:space="0" w:color="auto"/>
              <w:left w:val="single" w:sz="4" w:space="0" w:color="auto"/>
              <w:bottom w:val="single" w:sz="12" w:space="0" w:color="auto"/>
              <w:right w:val="single" w:sz="4" w:space="0" w:color="auto"/>
            </w:tcBorders>
          </w:tcPr>
          <w:p w:rsidR="00D55953" w:rsidRDefault="00D55953" w:rsidP="00D55953">
            <w:pPr>
              <w:rPr>
                <w:b/>
                <w:bCs/>
              </w:rPr>
            </w:pPr>
            <w:r>
              <w:rPr>
                <w:b/>
                <w:bCs/>
              </w:rPr>
              <w:t xml:space="preserve">Piloting the Use of Borrower Systems to Address Environmental and Social Safeguard Issues in Bank-Supported Projects (OP/BP 4.00) </w:t>
            </w:r>
          </w:p>
        </w:tc>
        <w:tc>
          <w:tcPr>
            <w:tcW w:w="1176" w:type="dxa"/>
            <w:tcBorders>
              <w:top w:val="single" w:sz="4" w:space="0" w:color="auto"/>
              <w:left w:val="single" w:sz="4" w:space="0" w:color="auto"/>
              <w:bottom w:val="single" w:sz="12" w:space="0" w:color="auto"/>
              <w:right w:val="single" w:sz="4" w:space="0" w:color="auto"/>
            </w:tcBorders>
          </w:tcPr>
          <w:p w:rsidR="00D55953" w:rsidRPr="00A01664" w:rsidRDefault="00D55953" w:rsidP="00D602C5">
            <w:pPr>
              <w:jc w:val="center"/>
              <w:rPr>
                <w:b/>
                <w:bCs/>
              </w:rPr>
            </w:pPr>
          </w:p>
        </w:tc>
        <w:tc>
          <w:tcPr>
            <w:tcW w:w="1176" w:type="dxa"/>
            <w:tcBorders>
              <w:top w:val="single" w:sz="4" w:space="0" w:color="auto"/>
              <w:left w:val="single" w:sz="4" w:space="0" w:color="auto"/>
              <w:bottom w:val="single" w:sz="12" w:space="0" w:color="auto"/>
              <w:right w:val="single" w:sz="4" w:space="0" w:color="auto"/>
            </w:tcBorders>
          </w:tcPr>
          <w:p w:rsidR="00D55953" w:rsidRPr="00CE7B99" w:rsidRDefault="00CE7B99" w:rsidP="007E455F">
            <w:pPr>
              <w:jc w:val="center"/>
              <w:rPr>
                <w:rFonts w:ascii="Arial" w:hAnsi="Arial" w:cs="Arial"/>
                <w:b/>
                <w:bCs/>
              </w:rPr>
            </w:pPr>
            <w:r w:rsidRPr="00CE7B99">
              <w:rPr>
                <w:rFonts w:ascii="Arial" w:hAnsi="Arial" w:cs="Arial"/>
                <w:b/>
                <w:bCs/>
              </w:rPr>
              <w:t>X</w:t>
            </w:r>
          </w:p>
        </w:tc>
        <w:tc>
          <w:tcPr>
            <w:tcW w:w="1176" w:type="dxa"/>
            <w:tcBorders>
              <w:top w:val="single" w:sz="4" w:space="0" w:color="auto"/>
              <w:left w:val="single" w:sz="4" w:space="0" w:color="auto"/>
              <w:bottom w:val="single" w:sz="12" w:space="0" w:color="auto"/>
              <w:right w:val="single" w:sz="4" w:space="0" w:color="auto"/>
            </w:tcBorders>
          </w:tcPr>
          <w:p w:rsidR="00D55953" w:rsidRDefault="00D55953" w:rsidP="00D55953">
            <w:pPr>
              <w:rPr>
                <w:bCs/>
              </w:rPr>
            </w:pPr>
          </w:p>
        </w:tc>
      </w:tr>
    </w:tbl>
    <w:p w:rsidR="00586153" w:rsidRDefault="00586153"/>
    <w:p w:rsidR="00586153" w:rsidRDefault="00586153"/>
    <w:p w:rsidR="00586153" w:rsidRDefault="00586153">
      <w:pPr>
        <w:rPr>
          <w:b/>
          <w:bCs/>
        </w:rPr>
      </w:pPr>
      <w:r>
        <w:rPr>
          <w:b/>
          <w:bCs/>
        </w:rPr>
        <w:t>III. SAFEGUARD PREPARATION PLAN</w:t>
      </w:r>
    </w:p>
    <w:p w:rsidR="00586153" w:rsidRDefault="00586153"/>
    <w:p w:rsidR="00586153" w:rsidRPr="00364424" w:rsidRDefault="00586153" w:rsidP="00A01664">
      <w:pPr>
        <w:numPr>
          <w:ilvl w:val="0"/>
          <w:numId w:val="1"/>
        </w:numPr>
        <w:autoSpaceDE w:val="0"/>
        <w:autoSpaceDN w:val="0"/>
        <w:adjustRightInd w:val="0"/>
        <w:spacing w:line="240" w:lineRule="atLeast"/>
        <w:rPr>
          <w:i/>
        </w:rPr>
      </w:pPr>
      <w:r>
        <w:t xml:space="preserve">Target date for the Quality Enhancement Review (QER), at which time the PAD-stage ISDS would be prepared:  </w:t>
      </w:r>
      <w:bookmarkStart w:id="82" w:name="QER_DATE"/>
      <w:bookmarkStart w:id="83" w:name="QER_NA"/>
      <w:bookmarkEnd w:id="82"/>
      <w:bookmarkEnd w:id="83"/>
      <w:r w:rsidR="00364424" w:rsidRPr="00364424">
        <w:rPr>
          <w:i/>
        </w:rPr>
        <w:t>[N/A]</w:t>
      </w:r>
    </w:p>
    <w:p w:rsidR="00586153" w:rsidRPr="00364424" w:rsidRDefault="00586153">
      <w:pPr>
        <w:autoSpaceDE w:val="0"/>
        <w:autoSpaceDN w:val="0"/>
        <w:adjustRightInd w:val="0"/>
        <w:spacing w:line="240" w:lineRule="atLeast"/>
        <w:rPr>
          <w:i/>
        </w:rPr>
      </w:pPr>
    </w:p>
    <w:p w:rsidR="00586153" w:rsidRPr="00364424" w:rsidRDefault="00586153" w:rsidP="00A01664">
      <w:pPr>
        <w:numPr>
          <w:ilvl w:val="0"/>
          <w:numId w:val="1"/>
        </w:numPr>
        <w:autoSpaceDE w:val="0"/>
        <w:autoSpaceDN w:val="0"/>
        <w:adjustRightInd w:val="0"/>
        <w:spacing w:line="240" w:lineRule="atLeast"/>
        <w:rPr>
          <w:i/>
        </w:rPr>
      </w:pPr>
      <w:r>
        <w:t>For simple projects that will not require a QER, the target date for preparing the PAD-stage ISDS</w:t>
      </w:r>
      <w:r w:rsidRPr="00364424">
        <w:rPr>
          <w:i/>
        </w:rPr>
        <w:t xml:space="preserve">:  </w:t>
      </w:r>
      <w:bookmarkStart w:id="84" w:name="PAD_DATE"/>
      <w:bookmarkStart w:id="85" w:name="PAD_NA"/>
      <w:bookmarkEnd w:id="84"/>
      <w:bookmarkEnd w:id="85"/>
      <w:r w:rsidR="00364424" w:rsidRPr="00364424">
        <w:rPr>
          <w:i/>
        </w:rPr>
        <w:t>[</w:t>
      </w:r>
      <w:r w:rsidR="00ED1203">
        <w:rPr>
          <w:i/>
        </w:rPr>
        <w:t>N/A</w:t>
      </w:r>
      <w:r w:rsidR="00364424" w:rsidRPr="00364424">
        <w:rPr>
          <w:i/>
        </w:rPr>
        <w:t>]</w:t>
      </w:r>
    </w:p>
    <w:p w:rsidR="00586153" w:rsidRDefault="00586153">
      <w:pPr>
        <w:autoSpaceDE w:val="0"/>
        <w:autoSpaceDN w:val="0"/>
        <w:adjustRightInd w:val="0"/>
        <w:spacing w:line="240" w:lineRule="atLeast"/>
      </w:pPr>
    </w:p>
    <w:p w:rsidR="0017157E" w:rsidRDefault="00586153" w:rsidP="0017157E">
      <w:pPr>
        <w:numPr>
          <w:ilvl w:val="0"/>
          <w:numId w:val="1"/>
        </w:numPr>
        <w:autoSpaceDE w:val="0"/>
        <w:autoSpaceDN w:val="0"/>
        <w:adjustRightInd w:val="0"/>
        <w:spacing w:line="240" w:lineRule="atLeast"/>
      </w:pPr>
      <w:r>
        <w:t xml:space="preserve">Time frame for launching and completing the safeguard-related studies that may be </w:t>
      </w:r>
      <w:r w:rsidR="0017157E">
        <w:t xml:space="preserve">needed.  </w:t>
      </w:r>
    </w:p>
    <w:p w:rsidR="00586153" w:rsidRDefault="0017157E" w:rsidP="0017157E">
      <w:pPr>
        <w:autoSpaceDE w:val="0"/>
        <w:autoSpaceDN w:val="0"/>
        <w:adjustRightInd w:val="0"/>
        <w:spacing w:line="240" w:lineRule="atLeast"/>
      </w:pPr>
      <w:r>
        <w:t xml:space="preserve">      </w:t>
      </w:r>
      <w:r w:rsidR="00586153">
        <w:t>The specific studies and their timing</w:t>
      </w:r>
      <w:r w:rsidR="00586153">
        <w:rPr>
          <w:rStyle w:val="FootnoteReference"/>
        </w:rPr>
        <w:footnoteReference w:id="2"/>
      </w:r>
      <w:r w:rsidR="00586153">
        <w:t xml:space="preserve"> should be </w:t>
      </w:r>
      <w:r>
        <w:t>specified in the PAD-stage ISDS:</w:t>
      </w:r>
    </w:p>
    <w:p w:rsidR="00586153" w:rsidRDefault="00586153" w:rsidP="0017157E">
      <w:pPr>
        <w:autoSpaceDE w:val="0"/>
        <w:autoSpaceDN w:val="0"/>
        <w:adjustRightInd w:val="0"/>
        <w:spacing w:line="240" w:lineRule="atLeast"/>
        <w:ind w:left="360"/>
      </w:pPr>
      <w:bookmarkStart w:id="86" w:name="ISDS_TIMEFRAME"/>
      <w:bookmarkEnd w:id="86"/>
    </w:p>
    <w:p w:rsidR="00586153" w:rsidRDefault="00586153"/>
    <w:p w:rsidR="00586153" w:rsidRDefault="00586153">
      <w:pPr>
        <w:keepNext/>
        <w:keepLines/>
        <w:rPr>
          <w:b/>
        </w:rPr>
      </w:pPr>
      <w:r>
        <w:rPr>
          <w:b/>
        </w:rPr>
        <w:t>IV</w:t>
      </w:r>
      <w:proofErr w:type="gramStart"/>
      <w:r>
        <w:rPr>
          <w:b/>
        </w:rPr>
        <w:t>.  APPROVALS</w:t>
      </w:r>
      <w:proofErr w:type="gramEnd"/>
    </w:p>
    <w:p w:rsidR="00A01664" w:rsidRPr="00A01664" w:rsidRDefault="00A01664" w:rsidP="00A01664">
      <w:pPr>
        <w:keepNext/>
        <w:keepLines/>
        <w:rPr>
          <w:sz w:val="22"/>
        </w:rPr>
      </w:pPr>
    </w:p>
    <w:tbl>
      <w:tblPr>
        <w:tblW w:w="9266" w:type="dxa"/>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003"/>
        <w:gridCol w:w="3633"/>
        <w:gridCol w:w="1630"/>
      </w:tblGrid>
      <w:tr w:rsidR="00A01664" w:rsidRPr="00A01664" w:rsidTr="00EB6F3D">
        <w:trPr>
          <w:cantSplit/>
          <w:jc w:val="center"/>
        </w:trPr>
        <w:tc>
          <w:tcPr>
            <w:tcW w:w="400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i/>
                <w:iCs/>
                <w:sz w:val="20"/>
              </w:rPr>
            </w:pPr>
            <w:r w:rsidRPr="00A01664">
              <w:rPr>
                <w:b/>
                <w:bCs/>
                <w:i/>
                <w:iCs/>
                <w:sz w:val="20"/>
              </w:rPr>
              <w:t>Signed and submitted by:</w:t>
            </w:r>
          </w:p>
        </w:tc>
        <w:tc>
          <w:tcPr>
            <w:tcW w:w="363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iCs/>
                <w:sz w:val="20"/>
              </w:rPr>
            </w:pPr>
          </w:p>
        </w:tc>
        <w:tc>
          <w:tcPr>
            <w:tcW w:w="1630"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jc w:val="center"/>
              <w:rPr>
                <w:b/>
                <w:bCs/>
                <w:iCs/>
                <w:sz w:val="20"/>
              </w:rPr>
            </w:pPr>
          </w:p>
        </w:tc>
      </w:tr>
      <w:tr w:rsidR="00A01664" w:rsidRPr="00A01664" w:rsidTr="00EB6F3D">
        <w:trPr>
          <w:cantSplit/>
          <w:jc w:val="center"/>
        </w:trPr>
        <w:tc>
          <w:tcPr>
            <w:tcW w:w="400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sz w:val="20"/>
              </w:rPr>
            </w:pPr>
            <w:r w:rsidRPr="00A01664">
              <w:rPr>
                <w:b/>
                <w:bCs/>
                <w:sz w:val="20"/>
              </w:rPr>
              <w:t>Task Team Leader:</w:t>
            </w:r>
          </w:p>
        </w:tc>
        <w:tc>
          <w:tcPr>
            <w:tcW w:w="363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sz w:val="20"/>
              </w:rPr>
            </w:pPr>
            <w:r w:rsidRPr="00A01664">
              <w:rPr>
                <w:b/>
                <w:bCs/>
                <w:sz w:val="20"/>
              </w:rPr>
              <w:t xml:space="preserve">Mr. William </w:t>
            </w:r>
            <w:proofErr w:type="spellStart"/>
            <w:r w:rsidRPr="00A01664">
              <w:rPr>
                <w:b/>
                <w:bCs/>
                <w:sz w:val="20"/>
              </w:rPr>
              <w:t>Magrath</w:t>
            </w:r>
            <w:proofErr w:type="spellEnd"/>
          </w:p>
        </w:tc>
        <w:tc>
          <w:tcPr>
            <w:tcW w:w="1630" w:type="dxa"/>
            <w:tcBorders>
              <w:top w:val="single" w:sz="4" w:space="0" w:color="auto"/>
              <w:left w:val="single" w:sz="4" w:space="0" w:color="auto"/>
              <w:bottom w:val="single" w:sz="4" w:space="0" w:color="auto"/>
              <w:right w:val="single" w:sz="4" w:space="0" w:color="auto"/>
            </w:tcBorders>
          </w:tcPr>
          <w:p w:rsidR="00A01664" w:rsidRPr="00A01664" w:rsidRDefault="00ED1203" w:rsidP="00EB6F3D">
            <w:pPr>
              <w:keepNext/>
              <w:keepLines/>
              <w:jc w:val="center"/>
              <w:rPr>
                <w:b/>
                <w:bCs/>
                <w:iCs/>
                <w:sz w:val="20"/>
              </w:rPr>
            </w:pPr>
            <w:r>
              <w:rPr>
                <w:b/>
                <w:bCs/>
                <w:iCs/>
                <w:sz w:val="20"/>
              </w:rPr>
              <w:t>12/17/2010</w:t>
            </w:r>
          </w:p>
        </w:tc>
      </w:tr>
      <w:tr w:rsidR="00A01664" w:rsidRPr="00A01664" w:rsidTr="00EB6F3D">
        <w:trPr>
          <w:cantSplit/>
          <w:jc w:val="center"/>
        </w:trPr>
        <w:tc>
          <w:tcPr>
            <w:tcW w:w="4003" w:type="dxa"/>
            <w:tcBorders>
              <w:left w:val="single" w:sz="4" w:space="0" w:color="auto"/>
              <w:bottom w:val="single" w:sz="4" w:space="0" w:color="auto"/>
              <w:right w:val="single" w:sz="4" w:space="0" w:color="auto"/>
            </w:tcBorders>
          </w:tcPr>
          <w:p w:rsidR="00A01664" w:rsidRPr="00A01664" w:rsidRDefault="00A01664" w:rsidP="00EB6F3D">
            <w:pPr>
              <w:keepNext/>
              <w:keepLines/>
              <w:rPr>
                <w:b/>
                <w:bCs/>
                <w:i/>
                <w:iCs/>
                <w:sz w:val="20"/>
              </w:rPr>
            </w:pPr>
            <w:r w:rsidRPr="00A01664">
              <w:rPr>
                <w:b/>
                <w:bCs/>
                <w:i/>
                <w:iCs/>
                <w:sz w:val="20"/>
              </w:rPr>
              <w:t>Approved by:</w:t>
            </w:r>
          </w:p>
        </w:tc>
        <w:tc>
          <w:tcPr>
            <w:tcW w:w="3633" w:type="dxa"/>
            <w:tcBorders>
              <w:left w:val="single" w:sz="4" w:space="0" w:color="auto"/>
              <w:bottom w:val="single" w:sz="4" w:space="0" w:color="auto"/>
              <w:right w:val="single" w:sz="4" w:space="0" w:color="auto"/>
            </w:tcBorders>
          </w:tcPr>
          <w:p w:rsidR="00A01664" w:rsidRPr="00A01664" w:rsidRDefault="00A01664" w:rsidP="00EB6F3D">
            <w:pPr>
              <w:keepNext/>
              <w:keepLines/>
              <w:rPr>
                <w:b/>
                <w:bCs/>
                <w:iCs/>
                <w:sz w:val="20"/>
              </w:rPr>
            </w:pPr>
          </w:p>
        </w:tc>
        <w:tc>
          <w:tcPr>
            <w:tcW w:w="1630" w:type="dxa"/>
            <w:tcBorders>
              <w:left w:val="single" w:sz="4" w:space="0" w:color="auto"/>
              <w:bottom w:val="single" w:sz="4" w:space="0" w:color="auto"/>
              <w:right w:val="single" w:sz="4" w:space="0" w:color="auto"/>
            </w:tcBorders>
          </w:tcPr>
          <w:p w:rsidR="00A01664" w:rsidRPr="00A01664" w:rsidRDefault="00A01664" w:rsidP="00EB6F3D">
            <w:pPr>
              <w:keepNext/>
              <w:keepLines/>
              <w:jc w:val="center"/>
              <w:rPr>
                <w:b/>
                <w:bCs/>
                <w:iCs/>
                <w:sz w:val="20"/>
              </w:rPr>
            </w:pPr>
          </w:p>
        </w:tc>
      </w:tr>
      <w:tr w:rsidR="00A01664" w:rsidRPr="00A01664" w:rsidTr="00EB6F3D">
        <w:trPr>
          <w:cantSplit/>
          <w:jc w:val="center"/>
        </w:trPr>
        <w:tc>
          <w:tcPr>
            <w:tcW w:w="400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sz w:val="20"/>
              </w:rPr>
            </w:pPr>
            <w:r w:rsidRPr="00A01664">
              <w:rPr>
                <w:b/>
                <w:bCs/>
                <w:sz w:val="20"/>
              </w:rPr>
              <w:t>Regional Safeguards Coordinator:</w:t>
            </w:r>
          </w:p>
        </w:tc>
        <w:tc>
          <w:tcPr>
            <w:tcW w:w="363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sz w:val="20"/>
              </w:rPr>
            </w:pPr>
            <w:r w:rsidRPr="00A01664">
              <w:rPr>
                <w:b/>
                <w:bCs/>
                <w:sz w:val="20"/>
              </w:rPr>
              <w:t xml:space="preserve">Mr. Sanjay </w:t>
            </w:r>
            <w:proofErr w:type="spellStart"/>
            <w:r w:rsidRPr="00A01664">
              <w:rPr>
                <w:b/>
                <w:bCs/>
                <w:sz w:val="20"/>
              </w:rPr>
              <w:t>Srivastava</w:t>
            </w:r>
            <w:proofErr w:type="spellEnd"/>
          </w:p>
        </w:tc>
        <w:tc>
          <w:tcPr>
            <w:tcW w:w="1630"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jc w:val="center"/>
              <w:rPr>
                <w:b/>
                <w:bCs/>
                <w:iCs/>
                <w:sz w:val="20"/>
              </w:rPr>
            </w:pPr>
            <w:r w:rsidRPr="00A01664">
              <w:rPr>
                <w:b/>
                <w:bCs/>
                <w:iCs/>
                <w:sz w:val="20"/>
              </w:rPr>
              <w:t>Date</w:t>
            </w:r>
          </w:p>
        </w:tc>
      </w:tr>
      <w:tr w:rsidR="00A01664" w:rsidRPr="00A01664" w:rsidTr="00EB6F3D">
        <w:trPr>
          <w:cantSplit/>
          <w:jc w:val="center"/>
        </w:trPr>
        <w:tc>
          <w:tcPr>
            <w:tcW w:w="9266" w:type="dxa"/>
            <w:gridSpan w:val="3"/>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ind w:left="198"/>
              <w:rPr>
                <w:b/>
                <w:bCs/>
                <w:iCs/>
                <w:sz w:val="20"/>
              </w:rPr>
            </w:pPr>
            <w:r w:rsidRPr="00A01664">
              <w:rPr>
                <w:b/>
                <w:bCs/>
                <w:iCs/>
                <w:sz w:val="20"/>
              </w:rPr>
              <w:t xml:space="preserve">Comments:  </w:t>
            </w:r>
          </w:p>
        </w:tc>
      </w:tr>
      <w:tr w:rsidR="00A01664" w:rsidRPr="00A01664" w:rsidTr="00EB6F3D">
        <w:trPr>
          <w:cantSplit/>
          <w:jc w:val="center"/>
        </w:trPr>
        <w:tc>
          <w:tcPr>
            <w:tcW w:w="400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sz w:val="20"/>
              </w:rPr>
            </w:pPr>
            <w:r w:rsidRPr="00A01664">
              <w:rPr>
                <w:b/>
                <w:bCs/>
                <w:sz w:val="20"/>
              </w:rPr>
              <w:t>Sector Manager:</w:t>
            </w:r>
          </w:p>
        </w:tc>
        <w:tc>
          <w:tcPr>
            <w:tcW w:w="3633"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rPr>
                <w:b/>
                <w:bCs/>
                <w:sz w:val="20"/>
              </w:rPr>
            </w:pPr>
            <w:r w:rsidRPr="00A01664">
              <w:rPr>
                <w:b/>
                <w:bCs/>
                <w:sz w:val="20"/>
              </w:rPr>
              <w:t xml:space="preserve">Mr. Simeon K. </w:t>
            </w:r>
            <w:proofErr w:type="spellStart"/>
            <w:r w:rsidRPr="00A01664">
              <w:rPr>
                <w:b/>
                <w:bCs/>
                <w:sz w:val="20"/>
              </w:rPr>
              <w:t>Ehui</w:t>
            </w:r>
            <w:proofErr w:type="spellEnd"/>
          </w:p>
        </w:tc>
        <w:tc>
          <w:tcPr>
            <w:tcW w:w="1630" w:type="dxa"/>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jc w:val="center"/>
              <w:rPr>
                <w:b/>
                <w:bCs/>
                <w:iCs/>
                <w:sz w:val="20"/>
              </w:rPr>
            </w:pPr>
            <w:r w:rsidRPr="00A01664">
              <w:rPr>
                <w:b/>
                <w:bCs/>
                <w:iCs/>
                <w:sz w:val="20"/>
              </w:rPr>
              <w:t>Date</w:t>
            </w:r>
          </w:p>
        </w:tc>
      </w:tr>
      <w:tr w:rsidR="00A01664" w:rsidRPr="00A01664" w:rsidTr="00EB6F3D">
        <w:trPr>
          <w:cantSplit/>
          <w:jc w:val="center"/>
        </w:trPr>
        <w:tc>
          <w:tcPr>
            <w:tcW w:w="9266" w:type="dxa"/>
            <w:gridSpan w:val="3"/>
            <w:tcBorders>
              <w:top w:val="single" w:sz="4" w:space="0" w:color="auto"/>
              <w:left w:val="single" w:sz="4" w:space="0" w:color="auto"/>
              <w:bottom w:val="single" w:sz="4" w:space="0" w:color="auto"/>
              <w:right w:val="single" w:sz="4" w:space="0" w:color="auto"/>
            </w:tcBorders>
          </w:tcPr>
          <w:p w:rsidR="00A01664" w:rsidRPr="00A01664" w:rsidRDefault="00A01664" w:rsidP="00EB6F3D">
            <w:pPr>
              <w:keepNext/>
              <w:keepLines/>
              <w:ind w:left="198"/>
              <w:rPr>
                <w:b/>
                <w:bCs/>
                <w:iCs/>
                <w:sz w:val="20"/>
              </w:rPr>
            </w:pPr>
            <w:r w:rsidRPr="00A01664">
              <w:rPr>
                <w:b/>
                <w:bCs/>
                <w:iCs/>
                <w:sz w:val="20"/>
              </w:rPr>
              <w:t xml:space="preserve">Comments:  </w:t>
            </w:r>
          </w:p>
        </w:tc>
      </w:tr>
    </w:tbl>
    <w:p w:rsidR="00586153" w:rsidRDefault="00586153">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Pr="009605A8" w:rsidRDefault="009605A8">
      <w:pPr>
        <w:autoSpaceDE w:val="0"/>
        <w:autoSpaceDN w:val="0"/>
        <w:adjustRightInd w:val="0"/>
        <w:spacing w:line="240" w:lineRule="atLeast"/>
        <w:rPr>
          <w:sz w:val="18"/>
          <w:szCs w:val="18"/>
        </w:rPr>
      </w:pPr>
      <w:r>
        <w:tab/>
      </w:r>
      <w:r>
        <w:tab/>
      </w:r>
      <w:r>
        <w:tab/>
      </w:r>
      <w:r>
        <w:tab/>
      </w:r>
      <w:r>
        <w:tab/>
      </w:r>
      <w:r>
        <w:tab/>
      </w:r>
      <w:r>
        <w:tab/>
      </w:r>
      <w:r>
        <w:tab/>
      </w:r>
      <w:r w:rsidRPr="009605A8">
        <w:rPr>
          <w:sz w:val="18"/>
          <w:szCs w:val="18"/>
        </w:rPr>
        <w:t xml:space="preserve"> </w:t>
      </w:r>
    </w:p>
    <w:sectPr w:rsidR="009605A8" w:rsidRPr="009605A8" w:rsidSect="002478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5D" w:rsidRDefault="0062775D">
      <w:r>
        <w:separator/>
      </w:r>
    </w:p>
  </w:endnote>
  <w:endnote w:type="continuationSeparator" w:id="0">
    <w:p w:rsidR="0062775D" w:rsidRDefault="00627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5D" w:rsidRDefault="0062775D">
      <w:r>
        <w:separator/>
      </w:r>
    </w:p>
  </w:footnote>
  <w:footnote w:type="continuationSeparator" w:id="0">
    <w:p w:rsidR="0062775D" w:rsidRDefault="0062775D">
      <w:r>
        <w:continuationSeparator/>
      </w:r>
    </w:p>
  </w:footnote>
  <w:footnote w:type="continuationNotice" w:id="1">
    <w:p w:rsidR="0062775D" w:rsidRDefault="0062775D"/>
  </w:footnote>
  <w:footnote w:id="2">
    <w:p w:rsidR="00586153" w:rsidRDefault="00586153">
      <w:pPr>
        <w:pStyle w:val="FootnoteText"/>
      </w:pPr>
      <w:r>
        <w:rPr>
          <w:rStyle w:val="FootnoteReference"/>
        </w:rPr>
        <w:footnoteRef/>
      </w:r>
      <w:r>
        <w:t xml:space="preserve"> </w:t>
      </w:r>
      <w:r>
        <w:rPr>
          <w:position w:val="6"/>
          <w:sz w:val="18"/>
        </w:rPr>
        <w:t>Reminder: The Bank's Disclosure Policy requires that safeguard-related documents be disclosed before appraisal (</w:t>
      </w:r>
      <w:proofErr w:type="spellStart"/>
      <w:r>
        <w:rPr>
          <w:position w:val="6"/>
          <w:sz w:val="18"/>
        </w:rPr>
        <w:t>i</w:t>
      </w:r>
      <w:proofErr w:type="spellEnd"/>
      <w:r>
        <w:rPr>
          <w:position w:val="6"/>
          <w:sz w:val="18"/>
        </w:rPr>
        <w:t xml:space="preserve">) at the </w:t>
      </w:r>
      <w:proofErr w:type="spellStart"/>
      <w:r>
        <w:rPr>
          <w:position w:val="6"/>
          <w:sz w:val="18"/>
        </w:rPr>
        <w:t>InfoShop</w:t>
      </w:r>
      <w:proofErr w:type="spellEnd"/>
      <w:r>
        <w:rPr>
          <w:position w:val="6"/>
          <w:sz w:val="18"/>
        </w:rPr>
        <w:t xml:space="preserve"> and (ii) in-country, at publicly accessible locations and in a form and language that are accessible to potentially affected persons.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6D48"/>
    <w:multiLevelType w:val="hybridMultilevel"/>
    <w:tmpl w:val="C91A9F0C"/>
    <w:lvl w:ilvl="0" w:tplc="D3A4EC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439E6"/>
    <w:multiLevelType w:val="multilevel"/>
    <w:tmpl w:val="1D744B2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320210F"/>
    <w:multiLevelType w:val="hybridMultilevel"/>
    <w:tmpl w:val="97FC2BF4"/>
    <w:lvl w:ilvl="0" w:tplc="78C8158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C11663"/>
    <w:multiLevelType w:val="multilevel"/>
    <w:tmpl w:val="17C2F67E"/>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
    <w:nsid w:val="7FE30505"/>
    <w:multiLevelType w:val="hybridMultilevel"/>
    <w:tmpl w:val="D8AE2344"/>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1"/>
  </w:num>
  <w:num w:numId="6">
    <w:abstractNumId w:val="1"/>
  </w:num>
  <w:num w:numId="7">
    <w:abstractNumId w:val="3"/>
  </w:num>
  <w:num w:numId="8">
    <w:abstractNumId w:val="1"/>
  </w:num>
  <w:num w:numId="9">
    <w:abstractNumId w:val="3"/>
  </w:num>
  <w:num w:numId="10">
    <w:abstractNumId w:val="1"/>
  </w:num>
  <w:num w:numId="11">
    <w:abstractNumId w:val="3"/>
  </w:num>
  <w:num w:numId="12">
    <w:abstractNumId w:val="1"/>
  </w:num>
  <w:num w:numId="13">
    <w:abstractNumId w:val="3"/>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3553"/>
  </w:hdrShapeDefaults>
  <w:footnotePr>
    <w:footnote w:id="-1"/>
    <w:footnote w:id="0"/>
    <w:footnote w:id="1"/>
  </w:footnotePr>
  <w:endnotePr>
    <w:endnote w:id="-1"/>
    <w:endnote w:id="0"/>
  </w:endnotePr>
  <w:compat/>
  <w:rsids>
    <w:rsidRoot w:val="00814AA7"/>
    <w:rsid w:val="0001119B"/>
    <w:rsid w:val="0001765A"/>
    <w:rsid w:val="00095242"/>
    <w:rsid w:val="0017157E"/>
    <w:rsid w:val="00181723"/>
    <w:rsid w:val="00193DAC"/>
    <w:rsid w:val="00196CF1"/>
    <w:rsid w:val="001A4DE4"/>
    <w:rsid w:val="001B2809"/>
    <w:rsid w:val="001D0165"/>
    <w:rsid w:val="00247821"/>
    <w:rsid w:val="002673E2"/>
    <w:rsid w:val="00360AA6"/>
    <w:rsid w:val="00364424"/>
    <w:rsid w:val="00364597"/>
    <w:rsid w:val="00366887"/>
    <w:rsid w:val="003712E5"/>
    <w:rsid w:val="0037139B"/>
    <w:rsid w:val="003744C0"/>
    <w:rsid w:val="003F745C"/>
    <w:rsid w:val="00436BBF"/>
    <w:rsid w:val="004A10EE"/>
    <w:rsid w:val="004A641C"/>
    <w:rsid w:val="004F5CDE"/>
    <w:rsid w:val="00572214"/>
    <w:rsid w:val="00586153"/>
    <w:rsid w:val="00594C28"/>
    <w:rsid w:val="005D31FF"/>
    <w:rsid w:val="005E3393"/>
    <w:rsid w:val="00604C98"/>
    <w:rsid w:val="0062775D"/>
    <w:rsid w:val="00635451"/>
    <w:rsid w:val="00657035"/>
    <w:rsid w:val="00672B92"/>
    <w:rsid w:val="007141C2"/>
    <w:rsid w:val="00776883"/>
    <w:rsid w:val="007769D2"/>
    <w:rsid w:val="0079309B"/>
    <w:rsid w:val="007A2AD4"/>
    <w:rsid w:val="007E455F"/>
    <w:rsid w:val="00814AA7"/>
    <w:rsid w:val="00866BE6"/>
    <w:rsid w:val="00883EB2"/>
    <w:rsid w:val="00886F6C"/>
    <w:rsid w:val="00894608"/>
    <w:rsid w:val="009605A8"/>
    <w:rsid w:val="009C13B9"/>
    <w:rsid w:val="00A01664"/>
    <w:rsid w:val="00A32666"/>
    <w:rsid w:val="00AA6EF9"/>
    <w:rsid w:val="00AC178A"/>
    <w:rsid w:val="00AC63DB"/>
    <w:rsid w:val="00AD32A6"/>
    <w:rsid w:val="00B86A7E"/>
    <w:rsid w:val="00B95AC1"/>
    <w:rsid w:val="00BA367B"/>
    <w:rsid w:val="00BD5D9F"/>
    <w:rsid w:val="00BE0053"/>
    <w:rsid w:val="00BF01D6"/>
    <w:rsid w:val="00C21499"/>
    <w:rsid w:val="00C474E0"/>
    <w:rsid w:val="00C93BE7"/>
    <w:rsid w:val="00CE7B99"/>
    <w:rsid w:val="00D52C5D"/>
    <w:rsid w:val="00D55953"/>
    <w:rsid w:val="00D602C5"/>
    <w:rsid w:val="00D719B8"/>
    <w:rsid w:val="00ED1203"/>
    <w:rsid w:val="00F22731"/>
    <w:rsid w:val="00F6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21"/>
    <w:rPr>
      <w:sz w:val="24"/>
      <w:szCs w:val="24"/>
    </w:rPr>
  </w:style>
  <w:style w:type="paragraph" w:styleId="Heading1">
    <w:name w:val="heading 1"/>
    <w:basedOn w:val="Normal"/>
    <w:next w:val="Normal"/>
    <w:qFormat/>
    <w:rsid w:val="00247821"/>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247821"/>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247821"/>
    <w:pPr>
      <w:keepNext/>
      <w:keepLines/>
      <w:spacing w:before="120" w:after="240"/>
      <w:outlineLvl w:val="2"/>
    </w:pPr>
    <w:rPr>
      <w:rFonts w:cs="Arial"/>
      <w:b/>
      <w:bCs/>
      <w:szCs w:val="26"/>
    </w:rPr>
  </w:style>
  <w:style w:type="paragraph" w:styleId="Heading4">
    <w:name w:val="heading 4"/>
    <w:basedOn w:val="Normal"/>
    <w:next w:val="Normal"/>
    <w:qFormat/>
    <w:rsid w:val="00247821"/>
    <w:pPr>
      <w:keepNext/>
      <w:keepLines/>
      <w:spacing w:before="120" w:after="240"/>
      <w:outlineLvl w:val="3"/>
    </w:pPr>
    <w:rPr>
      <w:b/>
      <w:bCs/>
      <w:i/>
      <w:szCs w:val="28"/>
    </w:rPr>
  </w:style>
  <w:style w:type="paragraph" w:styleId="Heading5">
    <w:name w:val="heading 5"/>
    <w:basedOn w:val="Normal"/>
    <w:next w:val="Normal"/>
    <w:qFormat/>
    <w:rsid w:val="00247821"/>
    <w:pPr>
      <w:keepNext/>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247821"/>
    <w:pPr>
      <w:spacing w:after="240"/>
    </w:pPr>
    <w:rPr>
      <w:szCs w:val="20"/>
    </w:rPr>
  </w:style>
  <w:style w:type="paragraph" w:styleId="FootnoteText">
    <w:name w:val="footnote text"/>
    <w:basedOn w:val="Normal"/>
    <w:semiHidden/>
    <w:rsid w:val="00247821"/>
    <w:rPr>
      <w:sz w:val="20"/>
      <w:szCs w:val="20"/>
    </w:rPr>
  </w:style>
  <w:style w:type="character" w:styleId="FootnoteReference">
    <w:name w:val="footnote reference"/>
    <w:basedOn w:val="DefaultParagraphFont"/>
    <w:semiHidden/>
    <w:rsid w:val="00247821"/>
    <w:rPr>
      <w:vertAlign w:val="superscript"/>
    </w:rPr>
  </w:style>
  <w:style w:type="paragraph" w:styleId="BodyText">
    <w:name w:val="Body Text"/>
    <w:basedOn w:val="Normal"/>
    <w:rsid w:val="00247821"/>
    <w:rPr>
      <w:i/>
      <w:iCs/>
    </w:rPr>
  </w:style>
  <w:style w:type="paragraph" w:styleId="BodyText2">
    <w:name w:val="Body Text 2"/>
    <w:basedOn w:val="Normal"/>
    <w:rsid w:val="00247821"/>
    <w:rPr>
      <w:b/>
      <w:bCs/>
    </w:rPr>
  </w:style>
  <w:style w:type="character" w:styleId="CommentReference">
    <w:name w:val="annotation reference"/>
    <w:basedOn w:val="DefaultParagraphFont"/>
    <w:semiHidden/>
    <w:rsid w:val="00247821"/>
    <w:rPr>
      <w:sz w:val="16"/>
      <w:szCs w:val="16"/>
    </w:rPr>
  </w:style>
  <w:style w:type="paragraph" w:styleId="CommentText">
    <w:name w:val="annotation text"/>
    <w:basedOn w:val="Normal"/>
    <w:link w:val="CommentTextChar"/>
    <w:semiHidden/>
    <w:rsid w:val="00247821"/>
    <w:rPr>
      <w:sz w:val="20"/>
      <w:szCs w:val="20"/>
    </w:rPr>
  </w:style>
  <w:style w:type="character" w:styleId="Hyperlink">
    <w:name w:val="Hyperlink"/>
    <w:basedOn w:val="DefaultParagraphFont"/>
    <w:rsid w:val="00247821"/>
    <w:rPr>
      <w:color w:val="0000FF"/>
      <w:u w:val="single"/>
    </w:rPr>
  </w:style>
  <w:style w:type="character" w:styleId="FollowedHyperlink">
    <w:name w:val="FollowedHyperlink"/>
    <w:basedOn w:val="DefaultParagraphFont"/>
    <w:rsid w:val="00247821"/>
    <w:rPr>
      <w:color w:val="800080"/>
      <w:u w:val="single"/>
    </w:rPr>
  </w:style>
  <w:style w:type="paragraph" w:customStyle="1" w:styleId="Heading1a">
    <w:name w:val="Heading 1a"/>
    <w:basedOn w:val="Normal"/>
    <w:next w:val="Normal"/>
    <w:rsid w:val="00247821"/>
    <w:pPr>
      <w:keepNext/>
      <w:keepLines/>
      <w:numPr>
        <w:numId w:val="2"/>
      </w:numPr>
      <w:spacing w:before="1440" w:after="240"/>
      <w:jc w:val="center"/>
      <w:outlineLvl w:val="0"/>
    </w:pPr>
    <w:rPr>
      <w:b/>
      <w:caps/>
      <w:sz w:val="32"/>
    </w:rPr>
  </w:style>
  <w:style w:type="paragraph" w:customStyle="1" w:styleId="MainParawithChapter">
    <w:name w:val="Main Para with Chapter#"/>
    <w:basedOn w:val="Normal"/>
    <w:rsid w:val="00247821"/>
    <w:pPr>
      <w:numPr>
        <w:ilvl w:val="1"/>
        <w:numId w:val="4"/>
      </w:numPr>
      <w:tabs>
        <w:tab w:val="clear" w:pos="720"/>
      </w:tabs>
      <w:spacing w:after="240"/>
      <w:ind w:left="0" w:firstLine="0"/>
      <w:outlineLvl w:val="1"/>
    </w:pPr>
  </w:style>
  <w:style w:type="paragraph" w:customStyle="1" w:styleId="MainParanoChapter">
    <w:name w:val="Main Para no Chapter #"/>
    <w:basedOn w:val="Normal"/>
    <w:rsid w:val="00247821"/>
    <w:pPr>
      <w:numPr>
        <w:ilvl w:val="1"/>
        <w:numId w:val="5"/>
      </w:numPr>
      <w:tabs>
        <w:tab w:val="clear" w:pos="720"/>
      </w:tabs>
      <w:spacing w:after="240"/>
      <w:ind w:left="0" w:firstLine="0"/>
      <w:outlineLvl w:val="1"/>
    </w:pPr>
  </w:style>
  <w:style w:type="paragraph" w:customStyle="1" w:styleId="Sub-Para1underX">
    <w:name w:val="Sub-Para 1 under X."/>
    <w:basedOn w:val="Normal"/>
    <w:rsid w:val="00247821"/>
    <w:pPr>
      <w:numPr>
        <w:ilvl w:val="2"/>
        <w:numId w:val="6"/>
      </w:numPr>
      <w:tabs>
        <w:tab w:val="clear" w:pos="1080"/>
      </w:tabs>
      <w:spacing w:after="240"/>
      <w:ind w:left="1440" w:hanging="720"/>
      <w:outlineLvl w:val="2"/>
    </w:pPr>
  </w:style>
  <w:style w:type="paragraph" w:customStyle="1" w:styleId="Sub-Para1underXY">
    <w:name w:val="Sub-Para 1 under X.Y"/>
    <w:basedOn w:val="Normal"/>
    <w:rsid w:val="00247821"/>
    <w:pPr>
      <w:numPr>
        <w:ilvl w:val="2"/>
        <w:numId w:val="7"/>
      </w:numPr>
      <w:tabs>
        <w:tab w:val="clear" w:pos="1440"/>
      </w:tabs>
      <w:spacing w:after="240"/>
      <w:ind w:left="1440" w:hanging="720"/>
      <w:outlineLvl w:val="2"/>
    </w:pPr>
  </w:style>
  <w:style w:type="paragraph" w:customStyle="1" w:styleId="Sub-Para2underX">
    <w:name w:val="Sub-Para 2 under X."/>
    <w:basedOn w:val="Normal"/>
    <w:rsid w:val="00247821"/>
    <w:pPr>
      <w:numPr>
        <w:ilvl w:val="3"/>
        <w:numId w:val="8"/>
      </w:numPr>
      <w:tabs>
        <w:tab w:val="clear" w:pos="1800"/>
      </w:tabs>
      <w:spacing w:after="240"/>
      <w:ind w:left="2160" w:hanging="720"/>
      <w:outlineLvl w:val="3"/>
    </w:pPr>
  </w:style>
  <w:style w:type="paragraph" w:customStyle="1" w:styleId="Sub-Para2underXY">
    <w:name w:val="Sub-Para 2 under X.Y"/>
    <w:basedOn w:val="Normal"/>
    <w:rsid w:val="00247821"/>
    <w:pPr>
      <w:numPr>
        <w:ilvl w:val="3"/>
        <w:numId w:val="9"/>
      </w:numPr>
      <w:tabs>
        <w:tab w:val="clear" w:pos="2160"/>
      </w:tabs>
      <w:spacing w:after="240"/>
      <w:ind w:left="2160" w:hanging="720"/>
      <w:outlineLvl w:val="3"/>
    </w:pPr>
  </w:style>
  <w:style w:type="paragraph" w:customStyle="1" w:styleId="Sub-Para3underX">
    <w:name w:val="Sub-Para 3 under X."/>
    <w:basedOn w:val="Normal"/>
    <w:rsid w:val="00247821"/>
    <w:pPr>
      <w:numPr>
        <w:ilvl w:val="4"/>
        <w:numId w:val="10"/>
      </w:numPr>
      <w:tabs>
        <w:tab w:val="clear" w:pos="1440"/>
      </w:tabs>
      <w:spacing w:after="240"/>
      <w:ind w:left="2880" w:hanging="720"/>
      <w:outlineLvl w:val="4"/>
    </w:pPr>
  </w:style>
  <w:style w:type="paragraph" w:customStyle="1" w:styleId="Sub-Para3underXY">
    <w:name w:val="Sub-Para 3 under X.Y"/>
    <w:basedOn w:val="Normal"/>
    <w:rsid w:val="00247821"/>
    <w:pPr>
      <w:numPr>
        <w:ilvl w:val="4"/>
        <w:numId w:val="11"/>
      </w:numPr>
      <w:tabs>
        <w:tab w:val="clear" w:pos="1800"/>
      </w:tabs>
      <w:spacing w:after="240"/>
      <w:ind w:left="2880" w:hanging="720"/>
      <w:outlineLvl w:val="4"/>
    </w:pPr>
  </w:style>
  <w:style w:type="paragraph" w:customStyle="1" w:styleId="Sub-Para4underX">
    <w:name w:val="Sub-Para 4 under X."/>
    <w:basedOn w:val="Normal"/>
    <w:rsid w:val="00247821"/>
    <w:pPr>
      <w:numPr>
        <w:ilvl w:val="5"/>
        <w:numId w:val="12"/>
      </w:numPr>
      <w:tabs>
        <w:tab w:val="clear" w:pos="2160"/>
      </w:tabs>
      <w:spacing w:after="240"/>
      <w:ind w:left="3600" w:hanging="720"/>
      <w:outlineLvl w:val="5"/>
    </w:pPr>
  </w:style>
  <w:style w:type="paragraph" w:customStyle="1" w:styleId="Sub-Para4underXY">
    <w:name w:val="Sub-Para 4 under X.Y"/>
    <w:basedOn w:val="Normal"/>
    <w:rsid w:val="00247821"/>
    <w:pPr>
      <w:numPr>
        <w:ilvl w:val="5"/>
        <w:numId w:val="13"/>
      </w:numPr>
      <w:tabs>
        <w:tab w:val="clear" w:pos="2520"/>
      </w:tabs>
      <w:spacing w:after="240"/>
      <w:ind w:left="3600" w:hanging="720"/>
      <w:outlineLvl w:val="5"/>
    </w:pPr>
  </w:style>
  <w:style w:type="paragraph" w:customStyle="1" w:styleId="Bullet">
    <w:name w:val="Bullet"/>
    <w:basedOn w:val="Normal"/>
    <w:rsid w:val="00247821"/>
    <w:pPr>
      <w:numPr>
        <w:numId w:val="14"/>
      </w:numPr>
      <w:tabs>
        <w:tab w:val="clear" w:pos="1440"/>
      </w:tabs>
    </w:pPr>
  </w:style>
  <w:style w:type="paragraph" w:styleId="BalloonText">
    <w:name w:val="Balloon Text"/>
    <w:basedOn w:val="Normal"/>
    <w:semiHidden/>
    <w:rsid w:val="00247821"/>
    <w:rPr>
      <w:rFonts w:ascii="Tahoma" w:hAnsi="Tahoma" w:cs="Tahoma"/>
      <w:sz w:val="16"/>
      <w:szCs w:val="16"/>
    </w:rPr>
  </w:style>
  <w:style w:type="paragraph" w:styleId="CommentSubject">
    <w:name w:val="annotation subject"/>
    <w:basedOn w:val="CommentText"/>
    <w:next w:val="CommentText"/>
    <w:link w:val="CommentSubjectChar"/>
    <w:rsid w:val="00364424"/>
    <w:rPr>
      <w:b/>
      <w:bCs/>
    </w:rPr>
  </w:style>
  <w:style w:type="character" w:customStyle="1" w:styleId="CommentTextChar">
    <w:name w:val="Comment Text Char"/>
    <w:basedOn w:val="DefaultParagraphFont"/>
    <w:link w:val="CommentText"/>
    <w:semiHidden/>
    <w:rsid w:val="00364424"/>
  </w:style>
  <w:style w:type="character" w:customStyle="1" w:styleId="CommentSubjectChar">
    <w:name w:val="Comment Subject Char"/>
    <w:basedOn w:val="CommentTextChar"/>
    <w:link w:val="CommentSubject"/>
    <w:rsid w:val="00364424"/>
  </w:style>
  <w:style w:type="character" w:customStyle="1" w:styleId="contenttitle">
    <w:name w:val="contenttitle"/>
    <w:basedOn w:val="DefaultParagraphFont"/>
    <w:rsid w:val="00AC63DB"/>
  </w:style>
  <w:style w:type="paragraph" w:styleId="NoSpacing">
    <w:name w:val="No Spacing"/>
    <w:basedOn w:val="Normal"/>
    <w:link w:val="NoSpacingChar"/>
    <w:uiPriority w:val="1"/>
    <w:qFormat/>
    <w:rsid w:val="00AC63DB"/>
    <w:rPr>
      <w:rFonts w:ascii="Cambria" w:eastAsia="Calibri" w:hAnsi="Cambria"/>
      <w:sz w:val="22"/>
      <w:szCs w:val="22"/>
      <w:lang w:bidi="en-US"/>
    </w:rPr>
  </w:style>
  <w:style w:type="character" w:customStyle="1" w:styleId="NoSpacingChar">
    <w:name w:val="No Spacing Char"/>
    <w:basedOn w:val="DefaultParagraphFont"/>
    <w:link w:val="NoSpacing"/>
    <w:uiPriority w:val="1"/>
    <w:rsid w:val="00AC63DB"/>
    <w:rPr>
      <w:rFonts w:ascii="Cambria" w:eastAsia="Calibri" w:hAnsi="Cambria"/>
      <w:sz w:val="22"/>
      <w:szCs w:val="22"/>
      <w:lang w:bidi="en-US"/>
    </w:rPr>
  </w:style>
  <w:style w:type="paragraph" w:styleId="ListParagraph">
    <w:name w:val="List Paragraph"/>
    <w:basedOn w:val="Normal"/>
    <w:uiPriority w:val="34"/>
    <w:qFormat/>
    <w:rsid w:val="00011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E98E-F7B6-4B26-A097-5108634D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1886</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Integrated Safeguards Data Sheet</vt:lpstr>
    </vt:vector>
  </TitlesOfParts>
  <Company>World Bank Group</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 Sheet</dc:title>
  <dc:creator>OPCS</dc:creator>
  <cp:lastModifiedBy>wb20953</cp:lastModifiedBy>
  <cp:revision>2</cp:revision>
  <cp:lastPrinted>2010-11-10T17:27:00Z</cp:lastPrinted>
  <dcterms:created xsi:type="dcterms:W3CDTF">2011-05-06T19:48:00Z</dcterms:created>
  <dcterms:modified xsi:type="dcterms:W3CDTF">2011-05-06T19:48:00Z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TEAMLEADER">
    <vt:lpwstr>Name</vt:lpwstr>
  </property>
  <property fmtid="{D5CDD505-2E9C-101B-9397-08002B2CF9AE}" pid="4" name="PPNewISDS">
    <vt:bool>true</vt:bool>
  </property>
</Properties>
</file>