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26FA" w:rsidRDefault="00283684">
      <w:pPr>
        <w:jc w:val="center"/>
        <w:rPr>
          <w:b/>
          <w:bCs/>
        </w:rPr>
      </w:pPr>
      <w:r>
        <w:rPr>
          <w:b/>
          <w:bCs/>
        </w:rPr>
        <w:t xml:space="preserve">PROGRAM </w:t>
      </w:r>
      <w:r w:rsidR="00A126FA">
        <w:rPr>
          <w:b/>
          <w:bCs/>
        </w:rPr>
        <w:t>INFORMATION DOCUMENT (PID)</w:t>
      </w:r>
    </w:p>
    <w:p w:rsidR="00A126FA" w:rsidRDefault="00A126FA">
      <w:pPr>
        <w:jc w:val="center"/>
        <w:rPr>
          <w:b/>
          <w:bCs/>
        </w:rPr>
      </w:pPr>
      <w:r>
        <w:rPr>
          <w:b/>
          <w:bCs/>
        </w:rPr>
        <w:t>CONCEPT STAGE</w:t>
      </w:r>
    </w:p>
    <w:p w:rsidR="00283684" w:rsidRDefault="0078016C" w:rsidP="00C67E15">
      <w:pPr>
        <w:jc w:val="right"/>
      </w:pPr>
      <w:r>
        <w:t>July 28</w:t>
      </w:r>
      <w:r w:rsidR="008D4175">
        <w:t>, 2011</w:t>
      </w:r>
    </w:p>
    <w:p w:rsidR="008D4175" w:rsidRDefault="008D4175" w:rsidP="001D607D">
      <w:pPr>
        <w:ind w:right="720"/>
        <w:jc w:val="right"/>
      </w:pPr>
    </w:p>
    <w:p w:rsidR="001D607D" w:rsidRDefault="001D607D" w:rsidP="001D607D">
      <w:pPr>
        <w:ind w:right="720"/>
        <w:jc w:val="right"/>
      </w:pPr>
      <w:r>
        <w:t xml:space="preserve">Report No.:  </w:t>
      </w:r>
      <w:bookmarkStart w:id="0" w:name="ReportNo"/>
      <w:r w:rsidR="004211CC">
        <w:t>AB6674</w:t>
      </w:r>
      <w:bookmarkEnd w:id="0"/>
    </w:p>
    <w:p w:rsidR="00C67E15" w:rsidRPr="00AA5A30" w:rsidRDefault="00C67E15">
      <w:pPr>
        <w:jc w:val="center"/>
        <w:rPr>
          <w:b/>
          <w:bCs/>
          <w:i/>
        </w:rPr>
      </w:pPr>
    </w:p>
    <w:tbl>
      <w:tblPr>
        <w:tblW w:w="9540" w:type="dxa"/>
        <w:tblInd w:w="108" w:type="dxa"/>
        <w:tblBorders>
          <w:top w:val="single" w:sz="4" w:space="0" w:color="auto"/>
          <w:left w:val="single" w:sz="4" w:space="0" w:color="auto"/>
          <w:bottom w:val="single" w:sz="4" w:space="0" w:color="auto"/>
          <w:right w:val="single" w:sz="4" w:space="0" w:color="auto"/>
        </w:tblBorders>
        <w:tblLook w:val="0000"/>
      </w:tblPr>
      <w:tblGrid>
        <w:gridCol w:w="3420"/>
        <w:gridCol w:w="6120"/>
      </w:tblGrid>
      <w:tr w:rsidR="001D607D" w:rsidTr="008D4175">
        <w:tc>
          <w:tcPr>
            <w:tcW w:w="3420" w:type="dxa"/>
            <w:tcBorders>
              <w:top w:val="single" w:sz="4" w:space="0" w:color="auto"/>
              <w:left w:val="single" w:sz="4" w:space="0" w:color="auto"/>
              <w:bottom w:val="single" w:sz="4" w:space="0" w:color="auto"/>
              <w:right w:val="single" w:sz="4" w:space="0" w:color="auto"/>
            </w:tcBorders>
          </w:tcPr>
          <w:p w:rsidR="001D607D" w:rsidRDefault="001D607D" w:rsidP="008D4175">
            <w:pPr>
              <w:rPr>
                <w:b/>
                <w:bCs/>
              </w:rPr>
            </w:pPr>
            <w:r>
              <w:rPr>
                <w:b/>
                <w:bCs/>
              </w:rPr>
              <w:t>Operation Name</w:t>
            </w:r>
          </w:p>
        </w:tc>
        <w:tc>
          <w:tcPr>
            <w:tcW w:w="6120" w:type="dxa"/>
            <w:tcBorders>
              <w:top w:val="single" w:sz="4" w:space="0" w:color="auto"/>
              <w:left w:val="single" w:sz="4" w:space="0" w:color="auto"/>
              <w:bottom w:val="single" w:sz="4" w:space="0" w:color="auto"/>
              <w:right w:val="single" w:sz="4" w:space="0" w:color="auto"/>
            </w:tcBorders>
          </w:tcPr>
          <w:p w:rsidR="001D607D" w:rsidRDefault="004211CC" w:rsidP="008D4175">
            <w:bookmarkStart w:id="1" w:name="PROJECTNAME"/>
            <w:r>
              <w:t>RIO STATE DEVELOPMENT POLICY LOAN III</w:t>
            </w:r>
            <w:bookmarkEnd w:id="1"/>
          </w:p>
        </w:tc>
      </w:tr>
      <w:tr w:rsidR="001D607D" w:rsidTr="008D4175">
        <w:tc>
          <w:tcPr>
            <w:tcW w:w="3420" w:type="dxa"/>
            <w:tcBorders>
              <w:top w:val="single" w:sz="4" w:space="0" w:color="auto"/>
              <w:left w:val="single" w:sz="4" w:space="0" w:color="auto"/>
              <w:bottom w:val="single" w:sz="4" w:space="0" w:color="auto"/>
              <w:right w:val="single" w:sz="4" w:space="0" w:color="auto"/>
            </w:tcBorders>
          </w:tcPr>
          <w:p w:rsidR="001D607D" w:rsidRDefault="001D607D" w:rsidP="008D4175">
            <w:pPr>
              <w:rPr>
                <w:b/>
                <w:bCs/>
              </w:rPr>
            </w:pPr>
            <w:r>
              <w:rPr>
                <w:b/>
                <w:bCs/>
              </w:rPr>
              <w:t>Region</w:t>
            </w:r>
          </w:p>
        </w:tc>
        <w:tc>
          <w:tcPr>
            <w:tcW w:w="6120" w:type="dxa"/>
            <w:tcBorders>
              <w:top w:val="single" w:sz="4" w:space="0" w:color="auto"/>
              <w:left w:val="single" w:sz="4" w:space="0" w:color="auto"/>
              <w:bottom w:val="single" w:sz="4" w:space="0" w:color="auto"/>
              <w:right w:val="single" w:sz="4" w:space="0" w:color="auto"/>
            </w:tcBorders>
          </w:tcPr>
          <w:p w:rsidR="001D607D" w:rsidRDefault="004211CC" w:rsidP="008D4175">
            <w:bookmarkStart w:id="2" w:name="REGION"/>
            <w:r>
              <w:t>LATIN AMERICA AND CARIBBEAN</w:t>
            </w:r>
            <w:bookmarkEnd w:id="2"/>
          </w:p>
        </w:tc>
      </w:tr>
      <w:tr w:rsidR="001D607D" w:rsidTr="008D4175">
        <w:tc>
          <w:tcPr>
            <w:tcW w:w="3420" w:type="dxa"/>
            <w:tcBorders>
              <w:top w:val="single" w:sz="4" w:space="0" w:color="auto"/>
              <w:left w:val="single" w:sz="4" w:space="0" w:color="auto"/>
              <w:bottom w:val="single" w:sz="4" w:space="0" w:color="auto"/>
              <w:right w:val="single" w:sz="4" w:space="0" w:color="auto"/>
            </w:tcBorders>
          </w:tcPr>
          <w:p w:rsidR="001D607D" w:rsidRDefault="001D607D" w:rsidP="008D4175">
            <w:pPr>
              <w:rPr>
                <w:b/>
                <w:bCs/>
              </w:rPr>
            </w:pPr>
            <w:r>
              <w:rPr>
                <w:b/>
                <w:bCs/>
              </w:rPr>
              <w:t>Country</w:t>
            </w:r>
          </w:p>
        </w:tc>
        <w:tc>
          <w:tcPr>
            <w:tcW w:w="6120" w:type="dxa"/>
            <w:tcBorders>
              <w:top w:val="single" w:sz="4" w:space="0" w:color="auto"/>
              <w:left w:val="single" w:sz="4" w:space="0" w:color="auto"/>
              <w:bottom w:val="single" w:sz="4" w:space="0" w:color="auto"/>
              <w:right w:val="single" w:sz="4" w:space="0" w:color="auto"/>
            </w:tcBorders>
          </w:tcPr>
          <w:p w:rsidR="001D607D" w:rsidRDefault="004211CC" w:rsidP="008D4175">
            <w:bookmarkStart w:id="3" w:name="COUNTRY"/>
            <w:r>
              <w:t>Brazil</w:t>
            </w:r>
            <w:bookmarkEnd w:id="3"/>
          </w:p>
        </w:tc>
      </w:tr>
      <w:tr w:rsidR="001D607D" w:rsidTr="008D4175">
        <w:tc>
          <w:tcPr>
            <w:tcW w:w="3420" w:type="dxa"/>
            <w:tcBorders>
              <w:top w:val="single" w:sz="4" w:space="0" w:color="auto"/>
              <w:left w:val="single" w:sz="4" w:space="0" w:color="auto"/>
              <w:bottom w:val="single" w:sz="4" w:space="0" w:color="auto"/>
              <w:right w:val="single" w:sz="4" w:space="0" w:color="auto"/>
            </w:tcBorders>
          </w:tcPr>
          <w:p w:rsidR="001D607D" w:rsidRDefault="001D607D" w:rsidP="008D4175">
            <w:pPr>
              <w:rPr>
                <w:b/>
                <w:bCs/>
              </w:rPr>
            </w:pPr>
            <w:r>
              <w:rPr>
                <w:b/>
                <w:bCs/>
              </w:rPr>
              <w:t>Sector</w:t>
            </w:r>
          </w:p>
        </w:tc>
        <w:tc>
          <w:tcPr>
            <w:tcW w:w="6120" w:type="dxa"/>
            <w:tcBorders>
              <w:top w:val="single" w:sz="4" w:space="0" w:color="auto"/>
              <w:left w:val="single" w:sz="4" w:space="0" w:color="auto"/>
              <w:bottom w:val="single" w:sz="4" w:space="0" w:color="auto"/>
              <w:right w:val="single" w:sz="4" w:space="0" w:color="auto"/>
            </w:tcBorders>
          </w:tcPr>
          <w:p w:rsidR="001D607D" w:rsidRDefault="004211CC" w:rsidP="008D4175">
            <w:bookmarkStart w:id="4" w:name="SECTOR"/>
            <w:r>
              <w:t>Sub-national government administration (50%);</w:t>
            </w:r>
            <w:r w:rsidR="008D4175">
              <w:t xml:space="preserve"> </w:t>
            </w:r>
            <w:r>
              <w:t>Secondary education (30%);</w:t>
            </w:r>
            <w:r w:rsidR="008D4175">
              <w:t xml:space="preserve"> </w:t>
            </w:r>
            <w:r>
              <w:t>Health (20%)</w:t>
            </w:r>
            <w:bookmarkEnd w:id="4"/>
          </w:p>
        </w:tc>
      </w:tr>
      <w:tr w:rsidR="001D607D" w:rsidTr="008D4175">
        <w:tc>
          <w:tcPr>
            <w:tcW w:w="3420" w:type="dxa"/>
            <w:tcBorders>
              <w:top w:val="single" w:sz="4" w:space="0" w:color="auto"/>
              <w:left w:val="single" w:sz="4" w:space="0" w:color="auto"/>
              <w:bottom w:val="single" w:sz="4" w:space="0" w:color="auto"/>
              <w:right w:val="single" w:sz="4" w:space="0" w:color="auto"/>
            </w:tcBorders>
          </w:tcPr>
          <w:p w:rsidR="001D607D" w:rsidRDefault="001D607D" w:rsidP="008D4175">
            <w:pPr>
              <w:rPr>
                <w:b/>
                <w:bCs/>
              </w:rPr>
            </w:pPr>
            <w:r>
              <w:rPr>
                <w:b/>
                <w:bCs/>
              </w:rPr>
              <w:t>Operation ID</w:t>
            </w:r>
          </w:p>
        </w:tc>
        <w:tc>
          <w:tcPr>
            <w:tcW w:w="6120" w:type="dxa"/>
            <w:tcBorders>
              <w:top w:val="single" w:sz="4" w:space="0" w:color="auto"/>
              <w:left w:val="single" w:sz="4" w:space="0" w:color="auto"/>
              <w:bottom w:val="single" w:sz="4" w:space="0" w:color="auto"/>
              <w:right w:val="single" w:sz="4" w:space="0" w:color="auto"/>
            </w:tcBorders>
          </w:tcPr>
          <w:p w:rsidR="001D607D" w:rsidRDefault="004211CC" w:rsidP="008D4175">
            <w:bookmarkStart w:id="5" w:name="PROJECTCODE"/>
            <w:r>
              <w:t>P126465</w:t>
            </w:r>
            <w:bookmarkEnd w:id="5"/>
          </w:p>
        </w:tc>
      </w:tr>
      <w:tr w:rsidR="001D607D" w:rsidTr="008D4175">
        <w:tc>
          <w:tcPr>
            <w:tcW w:w="3420" w:type="dxa"/>
            <w:tcBorders>
              <w:top w:val="single" w:sz="4" w:space="0" w:color="auto"/>
              <w:left w:val="single" w:sz="4" w:space="0" w:color="auto"/>
              <w:bottom w:val="single" w:sz="4" w:space="0" w:color="auto"/>
              <w:right w:val="single" w:sz="4" w:space="0" w:color="auto"/>
            </w:tcBorders>
          </w:tcPr>
          <w:p w:rsidR="001D607D" w:rsidRDefault="001D607D" w:rsidP="008D4175">
            <w:pPr>
              <w:rPr>
                <w:b/>
                <w:bCs/>
              </w:rPr>
            </w:pPr>
            <w:r>
              <w:rPr>
                <w:b/>
                <w:bCs/>
              </w:rPr>
              <w:t>Lending Instrument</w:t>
            </w:r>
          </w:p>
        </w:tc>
        <w:tc>
          <w:tcPr>
            <w:tcW w:w="6120" w:type="dxa"/>
            <w:tcBorders>
              <w:top w:val="single" w:sz="4" w:space="0" w:color="auto"/>
              <w:left w:val="single" w:sz="4" w:space="0" w:color="auto"/>
              <w:bottom w:val="single" w:sz="4" w:space="0" w:color="auto"/>
              <w:right w:val="single" w:sz="4" w:space="0" w:color="auto"/>
            </w:tcBorders>
          </w:tcPr>
          <w:p w:rsidR="001D607D" w:rsidRDefault="004211CC" w:rsidP="008D4175">
            <w:bookmarkStart w:id="6" w:name="INSTR_NAME"/>
            <w:r>
              <w:t>Development Policy Lending</w:t>
            </w:r>
            <w:bookmarkEnd w:id="6"/>
          </w:p>
        </w:tc>
      </w:tr>
      <w:tr w:rsidR="001D607D" w:rsidTr="008D4175">
        <w:tc>
          <w:tcPr>
            <w:tcW w:w="3420" w:type="dxa"/>
            <w:tcBorders>
              <w:top w:val="single" w:sz="4" w:space="0" w:color="auto"/>
              <w:left w:val="single" w:sz="4" w:space="0" w:color="auto"/>
              <w:bottom w:val="single" w:sz="4" w:space="0" w:color="auto"/>
              <w:right w:val="single" w:sz="4" w:space="0" w:color="auto"/>
            </w:tcBorders>
          </w:tcPr>
          <w:p w:rsidR="001D607D" w:rsidRDefault="001D607D" w:rsidP="008D4175">
            <w:pPr>
              <w:rPr>
                <w:b/>
                <w:bCs/>
              </w:rPr>
            </w:pPr>
            <w:r>
              <w:rPr>
                <w:b/>
                <w:bCs/>
              </w:rPr>
              <w:t>Borrower(s)</w:t>
            </w:r>
          </w:p>
        </w:tc>
        <w:tc>
          <w:tcPr>
            <w:tcW w:w="6120" w:type="dxa"/>
            <w:tcBorders>
              <w:top w:val="single" w:sz="4" w:space="0" w:color="auto"/>
              <w:left w:val="single" w:sz="4" w:space="0" w:color="auto"/>
              <w:bottom w:val="single" w:sz="4" w:space="0" w:color="auto"/>
              <w:right w:val="single" w:sz="4" w:space="0" w:color="auto"/>
            </w:tcBorders>
          </w:tcPr>
          <w:p w:rsidR="001D607D" w:rsidRDefault="004211CC" w:rsidP="008D4175">
            <w:bookmarkStart w:id="7" w:name="BORROWERNAME"/>
            <w:r>
              <w:t>THE STATE OF RIO DE JANEIRO</w:t>
            </w:r>
            <w:bookmarkEnd w:id="7"/>
          </w:p>
        </w:tc>
      </w:tr>
      <w:tr w:rsidR="004211CC" w:rsidTr="008D4175">
        <w:trPr>
          <w:trHeight w:val="140"/>
        </w:trPr>
        <w:tc>
          <w:tcPr>
            <w:tcW w:w="3420" w:type="dxa"/>
            <w:tcBorders>
              <w:top w:val="single" w:sz="4" w:space="0" w:color="auto"/>
              <w:left w:val="single" w:sz="4" w:space="0" w:color="auto"/>
              <w:bottom w:val="nil"/>
              <w:right w:val="single" w:sz="4" w:space="0" w:color="auto"/>
            </w:tcBorders>
          </w:tcPr>
          <w:p w:rsidR="004211CC" w:rsidRDefault="004211CC" w:rsidP="008D4175">
            <w:pPr>
              <w:rPr>
                <w:b/>
                <w:bCs/>
              </w:rPr>
            </w:pPr>
          </w:p>
        </w:tc>
        <w:tc>
          <w:tcPr>
            <w:tcW w:w="6120" w:type="dxa"/>
            <w:tcBorders>
              <w:top w:val="single" w:sz="4" w:space="0" w:color="auto"/>
              <w:left w:val="single" w:sz="4" w:space="0" w:color="auto"/>
              <w:bottom w:val="nil"/>
              <w:right w:val="single" w:sz="4" w:space="0" w:color="auto"/>
            </w:tcBorders>
          </w:tcPr>
          <w:p w:rsidR="004211CC" w:rsidRPr="0078016C" w:rsidRDefault="004211CC" w:rsidP="008D4175">
            <w:pPr>
              <w:rPr>
                <w:lang w:val="pt-BR"/>
              </w:rPr>
            </w:pPr>
            <w:r w:rsidRPr="0078016C">
              <w:rPr>
                <w:lang w:val="pt-BR"/>
              </w:rPr>
              <w:t>Secretaria de Fazenda</w:t>
            </w:r>
          </w:p>
          <w:p w:rsidR="004211CC" w:rsidRPr="0078016C" w:rsidRDefault="004211CC" w:rsidP="008D4175">
            <w:pPr>
              <w:rPr>
                <w:lang w:val="pt-BR"/>
              </w:rPr>
            </w:pPr>
            <w:proofErr w:type="gramStart"/>
            <w:r w:rsidRPr="0078016C">
              <w:rPr>
                <w:lang w:val="pt-BR"/>
              </w:rPr>
              <w:t>42 Rua</w:t>
            </w:r>
            <w:proofErr w:type="gramEnd"/>
            <w:r w:rsidRPr="0078016C">
              <w:rPr>
                <w:lang w:val="pt-BR"/>
              </w:rPr>
              <w:t xml:space="preserve"> da </w:t>
            </w:r>
            <w:proofErr w:type="spellStart"/>
            <w:r w:rsidRPr="0078016C">
              <w:rPr>
                <w:lang w:val="pt-BR"/>
              </w:rPr>
              <w:t>Alfandega</w:t>
            </w:r>
            <w:proofErr w:type="spellEnd"/>
          </w:p>
          <w:p w:rsidR="004211CC" w:rsidRPr="0078016C" w:rsidRDefault="004211CC" w:rsidP="008D4175">
            <w:pPr>
              <w:rPr>
                <w:lang w:val="pt-BR"/>
              </w:rPr>
            </w:pPr>
            <w:r w:rsidRPr="0078016C">
              <w:rPr>
                <w:lang w:val="pt-BR"/>
              </w:rPr>
              <w:t>Centro Rio de Janeiro</w:t>
            </w:r>
          </w:p>
          <w:p w:rsidR="004211CC" w:rsidRPr="0078016C" w:rsidRDefault="004211CC" w:rsidP="008D4175">
            <w:pPr>
              <w:rPr>
                <w:lang w:val="pt-BR"/>
              </w:rPr>
            </w:pPr>
            <w:r w:rsidRPr="0078016C">
              <w:rPr>
                <w:lang w:val="pt-BR"/>
              </w:rPr>
              <w:t>Rio de Janeiro</w:t>
            </w:r>
          </w:p>
          <w:p w:rsidR="004211CC" w:rsidRDefault="004211CC" w:rsidP="008D4175">
            <w:r>
              <w:t>RJ</w:t>
            </w:r>
          </w:p>
          <w:p w:rsidR="004211CC" w:rsidRDefault="004211CC" w:rsidP="008D4175">
            <w:r>
              <w:t>Brazil</w:t>
            </w:r>
          </w:p>
          <w:p w:rsidR="004211CC" w:rsidRDefault="004211CC" w:rsidP="008D4175">
            <w:r>
              <w:t>Tel: (55-21) 2334 4300</w:t>
            </w:r>
            <w:r>
              <w:tab/>
            </w:r>
          </w:p>
          <w:p w:rsidR="004211CC" w:rsidRDefault="004211CC" w:rsidP="008D4175">
            <w:r>
              <w:t>ptafner@fazenda.rj.gov.br</w:t>
            </w:r>
          </w:p>
        </w:tc>
      </w:tr>
      <w:tr w:rsidR="001D607D" w:rsidTr="008D4175">
        <w:trPr>
          <w:trHeight w:val="140"/>
        </w:trPr>
        <w:tc>
          <w:tcPr>
            <w:tcW w:w="3420" w:type="dxa"/>
            <w:tcBorders>
              <w:top w:val="single" w:sz="4" w:space="0" w:color="auto"/>
              <w:left w:val="single" w:sz="4" w:space="0" w:color="auto"/>
              <w:bottom w:val="nil"/>
              <w:right w:val="single" w:sz="4" w:space="0" w:color="auto"/>
            </w:tcBorders>
          </w:tcPr>
          <w:p w:rsidR="001D607D" w:rsidRDefault="001D607D" w:rsidP="008D4175">
            <w:pPr>
              <w:rPr>
                <w:b/>
                <w:bCs/>
              </w:rPr>
            </w:pPr>
            <w:r>
              <w:rPr>
                <w:b/>
                <w:bCs/>
              </w:rPr>
              <w:t>Implementing Agency</w:t>
            </w:r>
          </w:p>
        </w:tc>
        <w:tc>
          <w:tcPr>
            <w:tcW w:w="6120" w:type="dxa"/>
            <w:tcBorders>
              <w:top w:val="single" w:sz="4" w:space="0" w:color="auto"/>
              <w:left w:val="single" w:sz="4" w:space="0" w:color="auto"/>
              <w:bottom w:val="nil"/>
              <w:right w:val="single" w:sz="4" w:space="0" w:color="auto"/>
            </w:tcBorders>
          </w:tcPr>
          <w:p w:rsidR="001D607D" w:rsidRDefault="008D4175" w:rsidP="008D4175">
            <w:bookmarkStart w:id="8" w:name="ImplementingAgency"/>
            <w:r>
              <w:t>S</w:t>
            </w:r>
            <w:r w:rsidR="004211CC">
              <w:t>ECRETARIA DE FAZENDA</w:t>
            </w:r>
            <w:bookmarkEnd w:id="8"/>
          </w:p>
        </w:tc>
      </w:tr>
      <w:tr w:rsidR="001D607D" w:rsidTr="008D4175">
        <w:tc>
          <w:tcPr>
            <w:tcW w:w="3420" w:type="dxa"/>
            <w:tcBorders>
              <w:top w:val="single" w:sz="4" w:space="0" w:color="auto"/>
              <w:left w:val="single" w:sz="4" w:space="0" w:color="auto"/>
              <w:bottom w:val="single" w:sz="4" w:space="0" w:color="auto"/>
              <w:right w:val="single" w:sz="4" w:space="0" w:color="auto"/>
            </w:tcBorders>
          </w:tcPr>
          <w:p w:rsidR="001D607D" w:rsidRDefault="001D607D" w:rsidP="008D4175">
            <w:pPr>
              <w:rPr>
                <w:b/>
                <w:bCs/>
              </w:rPr>
            </w:pPr>
            <w:r>
              <w:rPr>
                <w:b/>
                <w:bCs/>
              </w:rPr>
              <w:t>Date PID Prepared</w:t>
            </w:r>
          </w:p>
        </w:tc>
        <w:tc>
          <w:tcPr>
            <w:tcW w:w="6120" w:type="dxa"/>
            <w:tcBorders>
              <w:top w:val="single" w:sz="4" w:space="0" w:color="auto"/>
              <w:left w:val="single" w:sz="4" w:space="0" w:color="auto"/>
              <w:bottom w:val="single" w:sz="4" w:space="0" w:color="auto"/>
              <w:right w:val="single" w:sz="4" w:space="0" w:color="auto"/>
            </w:tcBorders>
          </w:tcPr>
          <w:p w:rsidR="001D607D" w:rsidRDefault="00FA3293" w:rsidP="008D4175">
            <w:bookmarkStart w:id="9" w:name="DATEPREPARED"/>
            <w:r>
              <w:t>July 28</w:t>
            </w:r>
            <w:r w:rsidR="004211CC">
              <w:t>, 2011</w:t>
            </w:r>
            <w:bookmarkEnd w:id="9"/>
          </w:p>
        </w:tc>
      </w:tr>
      <w:tr w:rsidR="001D607D" w:rsidTr="008D4175">
        <w:tc>
          <w:tcPr>
            <w:tcW w:w="3420" w:type="dxa"/>
            <w:tcBorders>
              <w:top w:val="single" w:sz="4" w:space="0" w:color="auto"/>
              <w:left w:val="single" w:sz="4" w:space="0" w:color="auto"/>
              <w:bottom w:val="single" w:sz="4" w:space="0" w:color="auto"/>
              <w:right w:val="single" w:sz="4" w:space="0" w:color="auto"/>
            </w:tcBorders>
          </w:tcPr>
          <w:p w:rsidR="001D607D" w:rsidRDefault="001D607D" w:rsidP="008D4175">
            <w:pPr>
              <w:rPr>
                <w:b/>
                <w:bCs/>
              </w:rPr>
            </w:pPr>
            <w:r w:rsidRPr="00DE739D">
              <w:rPr>
                <w:b/>
                <w:bCs/>
              </w:rPr>
              <w:t>Estimated Date of Appraisal</w:t>
            </w:r>
          </w:p>
        </w:tc>
        <w:tc>
          <w:tcPr>
            <w:tcW w:w="6120" w:type="dxa"/>
            <w:tcBorders>
              <w:top w:val="single" w:sz="4" w:space="0" w:color="auto"/>
              <w:left w:val="single" w:sz="4" w:space="0" w:color="auto"/>
              <w:bottom w:val="single" w:sz="4" w:space="0" w:color="auto"/>
              <w:right w:val="single" w:sz="4" w:space="0" w:color="auto"/>
            </w:tcBorders>
          </w:tcPr>
          <w:p w:rsidR="001D607D" w:rsidRDefault="004211CC" w:rsidP="008D4175">
            <w:bookmarkStart w:id="10" w:name="APPRAISALDATE"/>
            <w:r>
              <w:t>November 14, 2011</w:t>
            </w:r>
            <w:bookmarkEnd w:id="10"/>
          </w:p>
        </w:tc>
      </w:tr>
      <w:tr w:rsidR="001D607D" w:rsidTr="008D4175">
        <w:tc>
          <w:tcPr>
            <w:tcW w:w="3420" w:type="dxa"/>
            <w:tcBorders>
              <w:top w:val="single" w:sz="4" w:space="0" w:color="auto"/>
              <w:left w:val="single" w:sz="4" w:space="0" w:color="auto"/>
              <w:bottom w:val="single" w:sz="4" w:space="0" w:color="auto"/>
              <w:right w:val="single" w:sz="4" w:space="0" w:color="auto"/>
            </w:tcBorders>
          </w:tcPr>
          <w:p w:rsidR="001D607D" w:rsidRDefault="001D607D" w:rsidP="008D4175">
            <w:pPr>
              <w:rPr>
                <w:b/>
                <w:bCs/>
              </w:rPr>
            </w:pPr>
            <w:r>
              <w:rPr>
                <w:b/>
                <w:bCs/>
              </w:rPr>
              <w:t>Estimated Date of Board Approval</w:t>
            </w:r>
          </w:p>
        </w:tc>
        <w:tc>
          <w:tcPr>
            <w:tcW w:w="6120" w:type="dxa"/>
            <w:tcBorders>
              <w:top w:val="single" w:sz="4" w:space="0" w:color="auto"/>
              <w:left w:val="single" w:sz="4" w:space="0" w:color="auto"/>
              <w:bottom w:val="single" w:sz="4" w:space="0" w:color="auto"/>
              <w:right w:val="single" w:sz="4" w:space="0" w:color="auto"/>
            </w:tcBorders>
          </w:tcPr>
          <w:p w:rsidR="001D607D" w:rsidRDefault="004211CC" w:rsidP="008D4175">
            <w:bookmarkStart w:id="11" w:name="BOARDAPPROVALDATE"/>
            <w:r>
              <w:t>January 31, 2012</w:t>
            </w:r>
            <w:bookmarkEnd w:id="11"/>
          </w:p>
        </w:tc>
      </w:tr>
      <w:tr w:rsidR="001D607D" w:rsidTr="008D4175">
        <w:tc>
          <w:tcPr>
            <w:tcW w:w="3420" w:type="dxa"/>
            <w:tcBorders>
              <w:top w:val="single" w:sz="4" w:space="0" w:color="auto"/>
              <w:left w:val="single" w:sz="4" w:space="0" w:color="auto"/>
              <w:bottom w:val="single" w:sz="4" w:space="0" w:color="auto"/>
              <w:right w:val="single" w:sz="4" w:space="0" w:color="auto"/>
            </w:tcBorders>
          </w:tcPr>
          <w:p w:rsidR="001D607D" w:rsidRDefault="001D607D" w:rsidP="008D4175">
            <w:pPr>
              <w:rPr>
                <w:b/>
                <w:bCs/>
              </w:rPr>
            </w:pPr>
            <w:r>
              <w:rPr>
                <w:b/>
                <w:bCs/>
              </w:rPr>
              <w:t>Corporate Review Decision</w:t>
            </w:r>
          </w:p>
        </w:tc>
        <w:tc>
          <w:tcPr>
            <w:tcW w:w="6120" w:type="dxa"/>
            <w:tcBorders>
              <w:top w:val="single" w:sz="4" w:space="0" w:color="auto"/>
              <w:left w:val="single" w:sz="4" w:space="0" w:color="auto"/>
              <w:bottom w:val="single" w:sz="4" w:space="0" w:color="auto"/>
              <w:right w:val="single" w:sz="4" w:space="0" w:color="auto"/>
            </w:tcBorders>
          </w:tcPr>
          <w:p w:rsidR="001D607D" w:rsidRPr="00DE739D" w:rsidRDefault="001D607D" w:rsidP="008D4175">
            <w:pPr>
              <w:rPr>
                <w:i/>
                <w:u w:val="single"/>
              </w:rPr>
            </w:pPr>
            <w:r w:rsidRPr="00577870">
              <w:t xml:space="preserve">Following the </w:t>
            </w:r>
            <w:r>
              <w:t xml:space="preserve">corporate </w:t>
            </w:r>
            <w:r w:rsidRPr="00577870">
              <w:t>review, the decision was taken to proceed with the preparation of the operation.</w:t>
            </w:r>
            <w:r>
              <w:rPr>
                <w:i/>
                <w:u w:val="single"/>
              </w:rPr>
              <w:t xml:space="preserve"> </w:t>
            </w:r>
          </w:p>
        </w:tc>
      </w:tr>
    </w:tbl>
    <w:p w:rsidR="00671A99" w:rsidRDefault="00671A99" w:rsidP="00A126FA"/>
    <w:p w:rsidR="00671A99" w:rsidRPr="008D4175" w:rsidRDefault="00671A99" w:rsidP="00671A99">
      <w:pPr>
        <w:numPr>
          <w:ilvl w:val="0"/>
          <w:numId w:val="24"/>
        </w:numPr>
        <w:rPr>
          <w:b/>
          <w:i/>
        </w:rPr>
      </w:pPr>
      <w:r w:rsidRPr="00671A99">
        <w:rPr>
          <w:b/>
          <w:sz w:val="23"/>
          <w:szCs w:val="23"/>
        </w:rPr>
        <w:t xml:space="preserve">Key development issues and rationale for Bank involvement </w:t>
      </w:r>
    </w:p>
    <w:p w:rsidR="008D4175" w:rsidRPr="00671A99" w:rsidRDefault="008D4175" w:rsidP="008D4175">
      <w:pPr>
        <w:ind w:left="720"/>
        <w:rPr>
          <w:b/>
          <w:i/>
        </w:rPr>
      </w:pPr>
    </w:p>
    <w:p w:rsidR="008D4175" w:rsidRDefault="008D4175" w:rsidP="008D4175">
      <w:pPr>
        <w:pStyle w:val="Body"/>
        <w:numPr>
          <w:ilvl w:val="0"/>
          <w:numId w:val="0"/>
        </w:numPr>
        <w:spacing w:after="0"/>
      </w:pPr>
      <w:r w:rsidRPr="00CE5808">
        <w:t>Brazil and the World Bank Group have a long-standing partnership.</w:t>
      </w:r>
      <w:r w:rsidRPr="00CB72F4">
        <w:t xml:space="preserve"> The Country Partnership Strategy (CPS) for </w:t>
      </w:r>
      <w:proofErr w:type="gramStart"/>
      <w:r w:rsidRPr="00CB72F4">
        <w:t>Brazil,</w:t>
      </w:r>
      <w:proofErr w:type="gramEnd"/>
      <w:r w:rsidRPr="00CB72F4">
        <w:rPr>
          <w:vertAlign w:val="superscript"/>
        </w:rPr>
        <w:footnoteReference w:id="1"/>
      </w:r>
      <w:r w:rsidRPr="00CB72F4">
        <w:t xml:space="preserve"> recognizes significant achievements in tackling development challenges using innovative approaches, and contributing to shaping the global policy agenda. </w:t>
      </w:r>
      <w:r>
        <w:t xml:space="preserve">The CPS </w:t>
      </w:r>
      <w:r w:rsidRPr="00CB72F4">
        <w:t>also respond</w:t>
      </w:r>
      <w:r>
        <w:t>s</w:t>
      </w:r>
      <w:r w:rsidRPr="00CB72F4">
        <w:t xml:space="preserve"> to </w:t>
      </w:r>
      <w:r>
        <w:t xml:space="preserve">the </w:t>
      </w:r>
      <w:r w:rsidRPr="00CB72F4">
        <w:t xml:space="preserve">demand for more flexible and efficient products that are better suited to the country’s evolving needs, while maintaining a focus on key long-range development </w:t>
      </w:r>
      <w:r>
        <w:t>issues</w:t>
      </w:r>
      <w:r w:rsidRPr="00CB72F4">
        <w:t xml:space="preserve">. </w:t>
      </w:r>
    </w:p>
    <w:p w:rsidR="008D4175" w:rsidRPr="00CB72F4" w:rsidRDefault="008D4175" w:rsidP="008D4175">
      <w:pPr>
        <w:pStyle w:val="Body"/>
        <w:numPr>
          <w:ilvl w:val="0"/>
          <w:numId w:val="0"/>
        </w:numPr>
        <w:spacing w:after="0"/>
      </w:pPr>
    </w:p>
    <w:p w:rsidR="008D4175" w:rsidRDefault="008D4175" w:rsidP="008D4175">
      <w:pPr>
        <w:pStyle w:val="Body"/>
        <w:numPr>
          <w:ilvl w:val="0"/>
          <w:numId w:val="0"/>
        </w:numPr>
        <w:spacing w:after="0"/>
      </w:pPr>
      <w:r w:rsidRPr="00CE5808">
        <w:t xml:space="preserve">The aim of this operation is to strengthen the partnership with the state of Rio de Janeiro by </w:t>
      </w:r>
      <w:r>
        <w:t xml:space="preserve">consolidating reforms which </w:t>
      </w:r>
      <w:r w:rsidRPr="00CE5808">
        <w:t xml:space="preserve">address complex and challenging development issues that </w:t>
      </w:r>
      <w:r w:rsidRPr="00CB72F4">
        <w:t xml:space="preserve">have significant long-term implications. </w:t>
      </w:r>
      <w:r w:rsidRPr="00CE5808">
        <w:t>The proposed operation responds to the needs of the state government of Rio de Janeiro</w:t>
      </w:r>
      <w:r>
        <w:t xml:space="preserve">.  The DPL will help the GORJ reinforce fiscal discipline and </w:t>
      </w:r>
      <w:r>
        <w:lastRenderedPageBreak/>
        <w:t xml:space="preserve">public service delivery, in the face of increasing pressures on expenditure. It will support the </w:t>
      </w:r>
      <w:r w:rsidRPr="00303880">
        <w:t>improve</w:t>
      </w:r>
      <w:r>
        <w:t>ment of</w:t>
      </w:r>
      <w:r w:rsidRPr="00303880">
        <w:t xml:space="preserve"> the </w:t>
      </w:r>
      <w:r>
        <w:t xml:space="preserve">public financial management </w:t>
      </w:r>
      <w:r w:rsidRPr="00303880">
        <w:t>of the State</w:t>
      </w:r>
      <w:r>
        <w:t xml:space="preserve"> and </w:t>
      </w:r>
      <w:r w:rsidRPr="00303880">
        <w:t>strengthen policies in the education and health sec</w:t>
      </w:r>
      <w:r>
        <w:t>tors to deliver better services</w:t>
      </w:r>
      <w:r w:rsidRPr="00303880">
        <w:t>.</w:t>
      </w:r>
    </w:p>
    <w:p w:rsidR="008D4175" w:rsidRPr="00CB72F4" w:rsidRDefault="008D4175" w:rsidP="008D4175">
      <w:pPr>
        <w:pStyle w:val="Body"/>
        <w:numPr>
          <w:ilvl w:val="0"/>
          <w:numId w:val="0"/>
        </w:numPr>
        <w:spacing w:after="0"/>
      </w:pPr>
    </w:p>
    <w:p w:rsidR="008D4175" w:rsidRDefault="008D4175" w:rsidP="008D4175">
      <w:pPr>
        <w:pStyle w:val="Body"/>
        <w:numPr>
          <w:ilvl w:val="0"/>
          <w:numId w:val="0"/>
        </w:numPr>
        <w:spacing w:after="0"/>
      </w:pPr>
      <w:r w:rsidRPr="00A638E2">
        <w:t xml:space="preserve">The proposed operation is fully consistent with and closely linked to the objectives of the Brazil CPS, 2008-2011. This operation is one of a number of sub-national DPLs and </w:t>
      </w:r>
      <w:proofErr w:type="spellStart"/>
      <w:r w:rsidRPr="00A638E2">
        <w:t>SWAps</w:t>
      </w:r>
      <w:proofErr w:type="spellEnd"/>
      <w:r w:rsidRPr="00A638E2">
        <w:t xml:space="preserve"> designed to reinforce fiscal discipline, public </w:t>
      </w:r>
      <w:r>
        <w:t xml:space="preserve">financial </w:t>
      </w:r>
      <w:r w:rsidRPr="00A638E2">
        <w:t>management and service delivery as an integral part of the Bank’s Country Partnership Strategy in Brazil.  By focusing on a State with such a large economy and high inequality as Rio de Janeiro, the DPL will address both the Growth and Equity pillars of the CPS. In particular, the policy measures supported by the loan are aligned with the CPS objectives of (</w:t>
      </w:r>
      <w:proofErr w:type="spellStart"/>
      <w:r w:rsidRPr="00A638E2">
        <w:t>i</w:t>
      </w:r>
      <w:proofErr w:type="spellEnd"/>
      <w:r w:rsidRPr="00A638E2">
        <w:t xml:space="preserve">) strengthening macroeconomic fundamentals; (ii) reducing poverty, vulnerability and social exclusion by increasing efficiency, quality of spending and accountability of the health and education sectors, especially at the sub-national level; and (iii) improving public </w:t>
      </w:r>
      <w:r>
        <w:t>financial</w:t>
      </w:r>
      <w:r w:rsidRPr="00A638E2">
        <w:t xml:space="preserve"> management. By supporting policies </w:t>
      </w:r>
      <w:r>
        <w:t>such increasing State revenue performance, improving e</w:t>
      </w:r>
      <w:r w:rsidRPr="001E4EEC">
        <w:t>fficiency in tax collection</w:t>
      </w:r>
      <w:r>
        <w:t xml:space="preserve">, implementing </w:t>
      </w:r>
      <w:r w:rsidRPr="001E4EEC">
        <w:t>a merit-based selection process for school directors</w:t>
      </w:r>
      <w:r>
        <w:t xml:space="preserve">, </w:t>
      </w:r>
      <w:r w:rsidRPr="00A638E2">
        <w:t xml:space="preserve">the DPL will contribute </w:t>
      </w:r>
      <w:r>
        <w:t xml:space="preserve">to </w:t>
      </w:r>
      <w:r w:rsidRPr="00A638E2">
        <w:t xml:space="preserve">improve </w:t>
      </w:r>
      <w:r>
        <w:t>such</w:t>
      </w:r>
      <w:r w:rsidRPr="00A638E2">
        <w:t xml:space="preserve"> CPS outcome indicators for </w:t>
      </w:r>
      <w:r>
        <w:t xml:space="preserve">the whole country.  </w:t>
      </w:r>
    </w:p>
    <w:p w:rsidR="008D4175" w:rsidRDefault="008D4175" w:rsidP="008D4175">
      <w:pPr>
        <w:pStyle w:val="Body"/>
        <w:numPr>
          <w:ilvl w:val="0"/>
          <w:numId w:val="0"/>
        </w:numPr>
        <w:spacing w:after="0"/>
      </w:pPr>
    </w:p>
    <w:p w:rsidR="003103C4" w:rsidRDefault="003103C4" w:rsidP="003103C4">
      <w:pPr>
        <w:numPr>
          <w:ilvl w:val="0"/>
          <w:numId w:val="24"/>
        </w:numPr>
        <w:rPr>
          <w:b/>
        </w:rPr>
      </w:pPr>
      <w:r w:rsidRPr="008D1059">
        <w:rPr>
          <w:b/>
        </w:rPr>
        <w:t>Proposed</w:t>
      </w:r>
      <w:r>
        <w:rPr>
          <w:b/>
        </w:rPr>
        <w:t xml:space="preserve"> O</w:t>
      </w:r>
      <w:r w:rsidRPr="008D1059">
        <w:rPr>
          <w:b/>
        </w:rPr>
        <w:t>bjective(s)</w:t>
      </w:r>
    </w:p>
    <w:p w:rsidR="008D4175" w:rsidRDefault="008D4175" w:rsidP="008D4175">
      <w:pPr>
        <w:ind w:left="720"/>
        <w:rPr>
          <w:b/>
        </w:rPr>
      </w:pPr>
    </w:p>
    <w:p w:rsidR="008D4175" w:rsidRPr="008D4175" w:rsidRDefault="008D4175" w:rsidP="008D4175">
      <w:pPr>
        <w:pStyle w:val="Heading3"/>
        <w:spacing w:before="0"/>
        <w:rPr>
          <w:rFonts w:cs="Times New Roman"/>
          <w:color w:val="000000" w:themeColor="text1"/>
        </w:rPr>
      </w:pPr>
      <w:bookmarkStart w:id="12" w:name="_Toc296502527"/>
      <w:bookmarkStart w:id="13" w:name="_Toc296504525"/>
      <w:r w:rsidRPr="008D4175">
        <w:rPr>
          <w:rFonts w:cs="Times New Roman"/>
          <w:b w:val="0"/>
          <w:color w:val="000000" w:themeColor="text1"/>
        </w:rPr>
        <w:t>The objective of the proposed operation is to support the fiscal consolidation and the efficiency of the public financial management and service delivery of the Government of Rio de Janeiro (GORJ), through improved (</w:t>
      </w:r>
      <w:proofErr w:type="spellStart"/>
      <w:r w:rsidRPr="008D4175">
        <w:rPr>
          <w:rFonts w:cs="Times New Roman"/>
          <w:b w:val="0"/>
          <w:color w:val="000000" w:themeColor="text1"/>
        </w:rPr>
        <w:t>i</w:t>
      </w:r>
      <w:proofErr w:type="spellEnd"/>
      <w:r w:rsidRPr="008D4175">
        <w:rPr>
          <w:rFonts w:cs="Times New Roman"/>
          <w:b w:val="0"/>
          <w:color w:val="000000" w:themeColor="text1"/>
        </w:rPr>
        <w:t>) tax policy and administration, (ii) coverage and quality of health and education services, and (iii) strengthened management of investment and costing of policies</w:t>
      </w:r>
      <w:bookmarkEnd w:id="12"/>
      <w:bookmarkEnd w:id="13"/>
      <w:r w:rsidRPr="008D4175">
        <w:rPr>
          <w:rFonts w:cs="Times New Roman"/>
          <w:b w:val="0"/>
          <w:color w:val="000000" w:themeColor="text1"/>
        </w:rPr>
        <w:t>.</w:t>
      </w:r>
    </w:p>
    <w:p w:rsidR="00A126FA" w:rsidRDefault="00A126FA" w:rsidP="00A126FA">
      <w:pPr>
        <w:rPr>
          <w:sz w:val="22"/>
          <w:szCs w:val="22"/>
        </w:rPr>
      </w:pPr>
    </w:p>
    <w:p w:rsidR="00A126FA" w:rsidRDefault="00A126FA" w:rsidP="00A126FA">
      <w:pPr>
        <w:numPr>
          <w:ilvl w:val="0"/>
          <w:numId w:val="24"/>
        </w:numPr>
        <w:rPr>
          <w:b/>
        </w:rPr>
      </w:pPr>
      <w:r w:rsidRPr="005B0352">
        <w:rPr>
          <w:b/>
        </w:rPr>
        <w:t>Preliminary Description</w:t>
      </w:r>
    </w:p>
    <w:p w:rsidR="008D4175" w:rsidRDefault="008D4175" w:rsidP="008D4175">
      <w:pPr>
        <w:ind w:left="720"/>
        <w:rPr>
          <w:b/>
        </w:rPr>
      </w:pPr>
    </w:p>
    <w:p w:rsidR="008D4175" w:rsidRDefault="008D4175" w:rsidP="008D4175">
      <w:pPr>
        <w:pStyle w:val="Body"/>
        <w:numPr>
          <w:ilvl w:val="0"/>
          <w:numId w:val="0"/>
        </w:numPr>
        <w:spacing w:after="0"/>
      </w:pPr>
      <w:r w:rsidRPr="00167A99">
        <w:t xml:space="preserve">The proposed operation is a </w:t>
      </w:r>
      <w:r>
        <w:t>stand-alone d</w:t>
      </w:r>
      <w:r w:rsidRPr="00167A99">
        <w:t>evelopment policy loan. The ($</w:t>
      </w:r>
      <w:r>
        <w:t>485</w:t>
      </w:r>
      <w:r w:rsidRPr="00167A99">
        <w:t xml:space="preserve"> million) will be disbursed once the loan goes into effect</w:t>
      </w:r>
      <w:r>
        <w:t xml:space="preserve"> and </w:t>
      </w:r>
      <w:r w:rsidRPr="00167A99">
        <w:t>is contingent upon the government</w:t>
      </w:r>
      <w:r w:rsidRPr="00302B46">
        <w:t>’</w:t>
      </w:r>
      <w:r w:rsidRPr="00167A99">
        <w:t xml:space="preserve">s </w:t>
      </w:r>
      <w:r>
        <w:t>completion of prior policy actions, which will be set forth</w:t>
      </w:r>
      <w:r w:rsidRPr="00167A99">
        <w:t xml:space="preserve"> in the loan agreement.</w:t>
      </w:r>
      <w:r w:rsidRPr="00FB22F5">
        <w:rPr>
          <w:b/>
        </w:rPr>
        <w:t xml:space="preserve"> </w:t>
      </w:r>
      <w:r w:rsidRPr="00E03084">
        <w:rPr>
          <w:szCs w:val="24"/>
        </w:rPr>
        <w:t xml:space="preserve">The four DPL policy areas </w:t>
      </w:r>
      <w:r>
        <w:rPr>
          <w:szCs w:val="24"/>
        </w:rPr>
        <w:t xml:space="preserve">supported by this DPL </w:t>
      </w:r>
      <w:r w:rsidRPr="00E03084">
        <w:rPr>
          <w:szCs w:val="24"/>
        </w:rPr>
        <w:t xml:space="preserve">are described in the next section and in more detail in </w:t>
      </w:r>
      <w:r>
        <w:rPr>
          <w:szCs w:val="24"/>
        </w:rPr>
        <w:t>Table 8</w:t>
      </w:r>
      <w:r w:rsidRPr="00E03084">
        <w:rPr>
          <w:szCs w:val="24"/>
        </w:rPr>
        <w:t>. These policy areas are</w:t>
      </w:r>
      <w:r w:rsidRPr="00D81EA8">
        <w:rPr>
          <w:szCs w:val="24"/>
        </w:rPr>
        <w:t>: (</w:t>
      </w:r>
      <w:proofErr w:type="spellStart"/>
      <w:r w:rsidRPr="00D81EA8">
        <w:rPr>
          <w:szCs w:val="24"/>
        </w:rPr>
        <w:t>i</w:t>
      </w:r>
      <w:proofErr w:type="spellEnd"/>
      <w:r w:rsidRPr="00D81EA8">
        <w:rPr>
          <w:szCs w:val="24"/>
        </w:rPr>
        <w:t xml:space="preserve">) Fiscal Consolidation; (ii) </w:t>
      </w:r>
      <w:r>
        <w:rPr>
          <w:szCs w:val="24"/>
        </w:rPr>
        <w:t xml:space="preserve">Public Financial Management; (iii) </w:t>
      </w:r>
      <w:r w:rsidRPr="00D81EA8">
        <w:rPr>
          <w:szCs w:val="24"/>
        </w:rPr>
        <w:t xml:space="preserve">Quality and Efficiency of the Education System; </w:t>
      </w:r>
      <w:r>
        <w:rPr>
          <w:szCs w:val="24"/>
        </w:rPr>
        <w:t xml:space="preserve">and, </w:t>
      </w:r>
      <w:proofErr w:type="gramStart"/>
      <w:r w:rsidRPr="00D81EA8">
        <w:rPr>
          <w:szCs w:val="24"/>
        </w:rPr>
        <w:t>(i</w:t>
      </w:r>
      <w:r>
        <w:rPr>
          <w:szCs w:val="24"/>
        </w:rPr>
        <w:t>v</w:t>
      </w:r>
      <w:r w:rsidRPr="00D81EA8">
        <w:rPr>
          <w:szCs w:val="24"/>
        </w:rPr>
        <w:t>)</w:t>
      </w:r>
      <w:r>
        <w:rPr>
          <w:szCs w:val="24"/>
        </w:rPr>
        <w:t xml:space="preserve"> </w:t>
      </w:r>
      <w:r w:rsidRPr="00D81EA8">
        <w:rPr>
          <w:szCs w:val="24"/>
        </w:rPr>
        <w:t>Coverage</w:t>
      </w:r>
      <w:proofErr w:type="gramEnd"/>
      <w:r w:rsidRPr="00D81EA8">
        <w:rPr>
          <w:szCs w:val="24"/>
        </w:rPr>
        <w:t xml:space="preserve"> and Efficiency of Health Services</w:t>
      </w:r>
      <w:r>
        <w:t xml:space="preserve">. </w:t>
      </w:r>
      <w:r w:rsidRPr="00E03084">
        <w:rPr>
          <w:szCs w:val="24"/>
        </w:rPr>
        <w:t xml:space="preserve">The World Bank and GORJ have </w:t>
      </w:r>
      <w:r>
        <w:rPr>
          <w:szCs w:val="24"/>
        </w:rPr>
        <w:t xml:space="preserve">tentatively </w:t>
      </w:r>
      <w:r w:rsidRPr="00E03084">
        <w:rPr>
          <w:szCs w:val="24"/>
        </w:rPr>
        <w:t>agreed upon the prior actions listed as conditions for presenting the DPL to the Bank’s Board</w:t>
      </w:r>
      <w:r w:rsidRPr="00E03084">
        <w:rPr>
          <w:b/>
          <w:szCs w:val="24"/>
        </w:rPr>
        <w:t xml:space="preserve"> </w:t>
      </w:r>
      <w:r w:rsidRPr="00E03084">
        <w:rPr>
          <w:szCs w:val="24"/>
        </w:rPr>
        <w:t>for approval</w:t>
      </w:r>
      <w:r w:rsidRPr="003A7157">
        <w:t xml:space="preserve">. </w:t>
      </w:r>
    </w:p>
    <w:p w:rsidR="008D4175" w:rsidRPr="003A7157" w:rsidRDefault="008D4175" w:rsidP="008D4175">
      <w:pPr>
        <w:pStyle w:val="Body"/>
        <w:numPr>
          <w:ilvl w:val="0"/>
          <w:numId w:val="0"/>
        </w:numPr>
        <w:spacing w:after="0"/>
      </w:pPr>
    </w:p>
    <w:p w:rsidR="008D4175" w:rsidRDefault="008D4175" w:rsidP="008D4175">
      <w:pPr>
        <w:pStyle w:val="Body"/>
        <w:numPr>
          <w:ilvl w:val="0"/>
          <w:numId w:val="0"/>
        </w:numPr>
        <w:spacing w:after="0"/>
      </w:pPr>
      <w:r w:rsidRPr="003A7157">
        <w:t>T</w:t>
      </w:r>
      <w:r w:rsidRPr="008A137C">
        <w:t xml:space="preserve">he policy actions supported by the Bank </w:t>
      </w:r>
      <w:r>
        <w:t xml:space="preserve">will </w:t>
      </w:r>
      <w:r w:rsidRPr="008A137C">
        <w:t xml:space="preserve">go beyond </w:t>
      </w:r>
      <w:r>
        <w:t>the prior actions agreed upon. The</w:t>
      </w:r>
      <w:r w:rsidRPr="00167A99">
        <w:t xml:space="preserve"> operation support</w:t>
      </w:r>
      <w:r>
        <w:t>s</w:t>
      </w:r>
      <w:r w:rsidRPr="00167A99">
        <w:t xml:space="preserve"> a much broader set of government policy actions in the </w:t>
      </w:r>
      <w:r>
        <w:t>four</w:t>
      </w:r>
      <w:r w:rsidRPr="00167A99">
        <w:t xml:space="preserve"> policy areas. Following good practice principles on conditionality the </w:t>
      </w:r>
      <w:r>
        <w:t xml:space="preserve">operation’s </w:t>
      </w:r>
      <w:r w:rsidRPr="00167A99">
        <w:t>policy matrix</w:t>
      </w:r>
      <w:r>
        <w:t xml:space="preserve"> will</w:t>
      </w:r>
      <w:r w:rsidRPr="00167A99">
        <w:t xml:space="preserve"> use a limited number of prior actions </w:t>
      </w:r>
      <w:r>
        <w:t xml:space="preserve">that have been chosen according to their importance in </w:t>
      </w:r>
      <w:r w:rsidRPr="00167A99">
        <w:t xml:space="preserve">achieving results. These actions are part of a comprehensive reform plan with a solid track record of implementation. </w:t>
      </w:r>
    </w:p>
    <w:p w:rsidR="00FF23CF" w:rsidRDefault="00FF23CF" w:rsidP="00FF23CF">
      <w:pPr>
        <w:ind w:firstLine="720"/>
        <w:rPr>
          <w:b/>
        </w:rPr>
      </w:pPr>
    </w:p>
    <w:p w:rsidR="008D4175" w:rsidRDefault="008D4175" w:rsidP="00FF23CF">
      <w:pPr>
        <w:ind w:firstLine="720"/>
        <w:rPr>
          <w:b/>
        </w:rPr>
      </w:pPr>
    </w:p>
    <w:p w:rsidR="008D4175" w:rsidRDefault="008D4175" w:rsidP="00FF23CF">
      <w:pPr>
        <w:ind w:firstLine="720"/>
        <w:rPr>
          <w:b/>
        </w:rPr>
      </w:pPr>
    </w:p>
    <w:p w:rsidR="00AA5A30" w:rsidRDefault="00AA5A30" w:rsidP="00AA5A30">
      <w:pPr>
        <w:numPr>
          <w:ilvl w:val="0"/>
          <w:numId w:val="24"/>
        </w:numPr>
        <w:rPr>
          <w:b/>
        </w:rPr>
      </w:pPr>
      <w:r>
        <w:rPr>
          <w:b/>
        </w:rPr>
        <w:lastRenderedPageBreak/>
        <w:t>Poverty and Social Impacts and Environment Aspects</w:t>
      </w:r>
    </w:p>
    <w:p w:rsidR="008D4175" w:rsidRDefault="008D4175" w:rsidP="00AA5A30">
      <w:pPr>
        <w:pStyle w:val="CM4"/>
        <w:spacing w:after="252" w:line="253" w:lineRule="atLeast"/>
        <w:rPr>
          <w:i/>
          <w:iCs/>
          <w:color w:val="00007F"/>
          <w:sz w:val="22"/>
          <w:szCs w:val="22"/>
        </w:rPr>
      </w:pPr>
    </w:p>
    <w:p w:rsidR="00AA5A30" w:rsidRDefault="00AA5A30" w:rsidP="00AA5A30">
      <w:pPr>
        <w:pStyle w:val="CM4"/>
        <w:spacing w:after="252" w:line="253" w:lineRule="atLeast"/>
        <w:rPr>
          <w:i/>
          <w:iCs/>
          <w:color w:val="00007F"/>
          <w:sz w:val="22"/>
          <w:szCs w:val="22"/>
        </w:rPr>
      </w:pPr>
      <w:r>
        <w:rPr>
          <w:i/>
          <w:iCs/>
          <w:color w:val="00007F"/>
          <w:sz w:val="22"/>
          <w:szCs w:val="22"/>
        </w:rPr>
        <w:t xml:space="preserve">Poverty and Social Impacts </w:t>
      </w:r>
    </w:p>
    <w:p w:rsidR="008D4175" w:rsidRDefault="008D4175" w:rsidP="008D4175">
      <w:pPr>
        <w:pStyle w:val="Body"/>
        <w:numPr>
          <w:ilvl w:val="0"/>
          <w:numId w:val="0"/>
        </w:numPr>
        <w:spacing w:after="0"/>
      </w:pPr>
      <w:r>
        <w:t xml:space="preserve">The specific policies supported by this DPL are expected to have significant positive social impacts.  </w:t>
      </w:r>
      <w:r w:rsidRPr="00276560">
        <w:t>Poverty and social inequality are high in the RMRJ</w:t>
      </w:r>
      <w:r>
        <w:t xml:space="preserve">. </w:t>
      </w:r>
      <w:r w:rsidRPr="00276560">
        <w:t>The poverty rate reached 10.2 percent in the city of Rio de Janeiro in 2008 and 13.7 percent in the metropolitan region as a whole. In peripheral areas it rose to over 30 percent, and in the informal settlements it ranges from 16 percent to 24 percent. Nearly 45 percent of</w:t>
      </w:r>
      <w:r w:rsidRPr="00BE26CA">
        <w:rPr>
          <w:color w:val="FF0000"/>
        </w:rPr>
        <w:t xml:space="preserve"> </w:t>
      </w:r>
      <w:r w:rsidRPr="00276560">
        <w:t xml:space="preserve">the city’s poor live in informal settlements. The metropolitan </w:t>
      </w:r>
      <w:proofErr w:type="spellStart"/>
      <w:r w:rsidRPr="00276560">
        <w:t>Gini</w:t>
      </w:r>
      <w:proofErr w:type="spellEnd"/>
      <w:r w:rsidRPr="00276560">
        <w:t xml:space="preserve"> Index remained stable during the past decade, dropping slightly from 0.578 to 0.576.  </w:t>
      </w:r>
    </w:p>
    <w:p w:rsidR="008D4175" w:rsidRDefault="008D4175" w:rsidP="008D4175">
      <w:pPr>
        <w:pStyle w:val="Body"/>
        <w:numPr>
          <w:ilvl w:val="0"/>
          <w:numId w:val="0"/>
        </w:numPr>
        <w:spacing w:after="0"/>
      </w:pPr>
    </w:p>
    <w:p w:rsidR="008D4175" w:rsidRDefault="008D4175" w:rsidP="008D4175">
      <w:pPr>
        <w:pStyle w:val="Body"/>
        <w:numPr>
          <w:ilvl w:val="0"/>
          <w:numId w:val="0"/>
        </w:numPr>
        <w:spacing w:after="0"/>
      </w:pPr>
      <w:r>
        <w:t xml:space="preserve">The policies and reforms supported by this operation include consolidating fiscal sustainability, improving the delivery of health and educational services and improving the efficiency of public financial management. Each of these policies has a likely overall positive poverty and social impact.  Reforms in health and education are expected to generate the most rapid positive gains for poor people and vulnerable populations.  </w:t>
      </w:r>
    </w:p>
    <w:p w:rsidR="008D4175" w:rsidRDefault="008D4175" w:rsidP="008D4175">
      <w:pPr>
        <w:pStyle w:val="Body"/>
        <w:numPr>
          <w:ilvl w:val="0"/>
          <w:numId w:val="0"/>
        </w:numPr>
        <w:spacing w:after="0"/>
      </w:pPr>
    </w:p>
    <w:p w:rsidR="008D4175" w:rsidRDefault="008D4175" w:rsidP="008D4175">
      <w:pPr>
        <w:pStyle w:val="Body"/>
        <w:numPr>
          <w:ilvl w:val="0"/>
          <w:numId w:val="0"/>
        </w:numPr>
        <w:spacing w:after="0"/>
      </w:pPr>
      <w:proofErr w:type="gramStart"/>
      <w:r w:rsidRPr="00BE26CA">
        <w:rPr>
          <w:b/>
        </w:rPr>
        <w:t>Fiscal Consolidation</w:t>
      </w:r>
      <w:r>
        <w:t>.</w:t>
      </w:r>
      <w:proofErr w:type="gramEnd"/>
      <w:r>
        <w:t xml:space="preserve">  Improved fiscal sustainability and expansion of fiscal space for investment would likely have positive social impacts due to government's ability to improve public services and public investments.  When public services improve, low income groups with a history of very low access to these services experience relatively larger gains.  More investments are also likely to benefit lower-income groups via increased job opportunities in construction and related activities.</w:t>
      </w:r>
    </w:p>
    <w:p w:rsidR="008D4175" w:rsidRDefault="008D4175" w:rsidP="008D4175">
      <w:pPr>
        <w:pStyle w:val="ListParagraph"/>
        <w:rPr>
          <w:b/>
        </w:rPr>
      </w:pPr>
    </w:p>
    <w:p w:rsidR="008D4175" w:rsidRDefault="008D4175" w:rsidP="008D4175">
      <w:pPr>
        <w:pStyle w:val="Body"/>
        <w:numPr>
          <w:ilvl w:val="0"/>
          <w:numId w:val="0"/>
        </w:numPr>
        <w:spacing w:after="0"/>
      </w:pPr>
      <w:proofErr w:type="gramStart"/>
      <w:r w:rsidRPr="00BE26CA">
        <w:rPr>
          <w:b/>
        </w:rPr>
        <w:t>Education.</w:t>
      </w:r>
      <w:proofErr w:type="gramEnd"/>
      <w:r>
        <w:t xml:space="preserve">  Since poverty and extreme poverty is closely correlated with lower-levels of education, the Government's program to improve education quality and efficiency is expected to have highly positive social outcomes with markedly greater gains for poor people and vulnerable groups who usually have no alternative to the public school system.</w:t>
      </w:r>
      <w:r w:rsidDel="001A3FB6">
        <w:t xml:space="preserve"> </w:t>
      </w:r>
    </w:p>
    <w:p w:rsidR="008D4175" w:rsidRDefault="008D4175" w:rsidP="008D4175">
      <w:pPr>
        <w:pStyle w:val="ListParagraph"/>
        <w:rPr>
          <w:b/>
        </w:rPr>
      </w:pPr>
    </w:p>
    <w:p w:rsidR="008D4175" w:rsidRDefault="008D4175" w:rsidP="008D4175">
      <w:pPr>
        <w:pStyle w:val="Body"/>
        <w:numPr>
          <w:ilvl w:val="0"/>
          <w:numId w:val="0"/>
        </w:numPr>
        <w:spacing w:after="0"/>
      </w:pPr>
      <w:proofErr w:type="gramStart"/>
      <w:r w:rsidRPr="00BE26CA">
        <w:rPr>
          <w:b/>
        </w:rPr>
        <w:t>Health.</w:t>
      </w:r>
      <w:proofErr w:type="gramEnd"/>
      <w:r w:rsidRPr="00BE26CA">
        <w:rPr>
          <w:b/>
        </w:rPr>
        <w:t xml:space="preserve">  </w:t>
      </w:r>
      <w:r w:rsidRPr="00BE26CA">
        <w:t>I</w:t>
      </w:r>
      <w:r>
        <w:t xml:space="preserve">ncreasing access and efficiency of health services in small municipalities and outside of the Metropolitan area are expected to have overall positive social impacts, especially for the poor and more vulnerable groups who must rely on public health services.  The UPA model for urgent and emergency care is already demonstrating its </w:t>
      </w:r>
      <w:r w:rsidRPr="00BE26CA">
        <w:t>effectiveness,</w:t>
      </w:r>
      <w:r>
        <w:t xml:space="preserve"> especially for the poor in Metropolitan Rio.  The main risks include the need for: (</w:t>
      </w:r>
      <w:proofErr w:type="spellStart"/>
      <w:r>
        <w:t>i</w:t>
      </w:r>
      <w:proofErr w:type="spellEnd"/>
      <w:r>
        <w:t>) better inter-institutional coordination of health services overall; and (ii) better informed consumers and positive interactions between the UPA and the community where it is located.  The first is being addressed by the introduction of an inter-institutional and interagency system to improve coordination among services, as well as implementation of a real-time information monitoring system for UPAs. The community issues are being addressed by public awareness campaigns, as well as consultations with and involvement of communities in their local UPAs. The PAHI is also expected to produce positive social and distributional impact due to improvements in the delivery of maternal and child care in the smaller municipalities, which would benefit disproportionately poorer people.</w:t>
      </w:r>
    </w:p>
    <w:p w:rsidR="008D4175" w:rsidRDefault="008D4175" w:rsidP="008D4175"/>
    <w:p w:rsidR="00604289" w:rsidRDefault="00604289" w:rsidP="008D4175"/>
    <w:p w:rsidR="00604289" w:rsidRPr="008D4175" w:rsidRDefault="00604289" w:rsidP="008D4175"/>
    <w:p w:rsidR="00A126FA" w:rsidRPr="00B14B1C" w:rsidRDefault="00A126FA" w:rsidP="00A126FA">
      <w:pPr>
        <w:numPr>
          <w:ilvl w:val="0"/>
          <w:numId w:val="24"/>
        </w:numPr>
        <w:rPr>
          <w:b/>
        </w:rPr>
      </w:pPr>
      <w:r w:rsidRPr="00B14B1C">
        <w:rPr>
          <w:b/>
        </w:rPr>
        <w:lastRenderedPageBreak/>
        <w:t>Tentative financing</w:t>
      </w:r>
    </w:p>
    <w:p w:rsidR="00F34B6F" w:rsidRDefault="00F34B6F" w:rsidP="0059349F">
      <w:pPr>
        <w:ind w:firstLine="720"/>
      </w:pPr>
    </w:p>
    <w:tbl>
      <w:tblPr>
        <w:tblW w:w="0" w:type="auto"/>
        <w:tblLook w:val="0000"/>
      </w:tblPr>
      <w:tblGrid>
        <w:gridCol w:w="7488"/>
        <w:gridCol w:w="1980"/>
      </w:tblGrid>
      <w:tr w:rsidR="00A126FA" w:rsidTr="00F34B6F">
        <w:tc>
          <w:tcPr>
            <w:tcW w:w="7488" w:type="dxa"/>
          </w:tcPr>
          <w:p w:rsidR="00A126FA" w:rsidRDefault="00A126FA" w:rsidP="00A126FA">
            <w:r>
              <w:t>Source:</w:t>
            </w:r>
            <w:bookmarkStart w:id="14" w:name="FINANCINGTAB_PID"/>
            <w:bookmarkEnd w:id="14"/>
          </w:p>
        </w:tc>
        <w:tc>
          <w:tcPr>
            <w:tcW w:w="1980" w:type="dxa"/>
          </w:tcPr>
          <w:p w:rsidR="00A126FA" w:rsidRDefault="00A126FA" w:rsidP="00A126FA">
            <w:pPr>
              <w:tabs>
                <w:tab w:val="decimal" w:pos="252"/>
              </w:tabs>
              <w:jc w:val="center"/>
            </w:pPr>
            <w:r>
              <w:t>($m.)</w:t>
            </w:r>
          </w:p>
        </w:tc>
      </w:tr>
      <w:tr w:rsidR="004211CC" w:rsidTr="00F34B6F">
        <w:tc>
          <w:tcPr>
            <w:tcW w:w="7488" w:type="dxa"/>
          </w:tcPr>
          <w:p w:rsidR="004211CC" w:rsidRDefault="004211CC" w:rsidP="00A126FA">
            <w:pPr>
              <w:tabs>
                <w:tab w:val="right" w:pos="7200"/>
              </w:tabs>
            </w:pPr>
            <w:r>
              <w:t>Borrower</w:t>
            </w:r>
          </w:p>
        </w:tc>
        <w:tc>
          <w:tcPr>
            <w:tcW w:w="1980" w:type="dxa"/>
          </w:tcPr>
          <w:p w:rsidR="004211CC" w:rsidRDefault="004211CC" w:rsidP="00A126FA">
            <w:pPr>
              <w:tabs>
                <w:tab w:val="decimal" w:pos="252"/>
              </w:tabs>
              <w:jc w:val="center"/>
            </w:pPr>
            <w:r>
              <w:t>0</w:t>
            </w:r>
          </w:p>
        </w:tc>
      </w:tr>
      <w:tr w:rsidR="004211CC" w:rsidTr="00F34B6F">
        <w:tc>
          <w:tcPr>
            <w:tcW w:w="7488" w:type="dxa"/>
          </w:tcPr>
          <w:p w:rsidR="004211CC" w:rsidRDefault="004211CC" w:rsidP="00A126FA">
            <w:pPr>
              <w:tabs>
                <w:tab w:val="right" w:pos="7200"/>
              </w:tabs>
            </w:pPr>
            <w:r>
              <w:t>International Bank for Reconstruction and Development</w:t>
            </w:r>
          </w:p>
        </w:tc>
        <w:tc>
          <w:tcPr>
            <w:tcW w:w="1980" w:type="dxa"/>
          </w:tcPr>
          <w:p w:rsidR="004211CC" w:rsidRDefault="00FA3293" w:rsidP="00A126FA">
            <w:pPr>
              <w:tabs>
                <w:tab w:val="decimal" w:pos="252"/>
              </w:tabs>
              <w:jc w:val="center"/>
            </w:pPr>
            <w:r>
              <w:t>300</w:t>
            </w:r>
          </w:p>
        </w:tc>
      </w:tr>
      <w:tr w:rsidR="00A126FA" w:rsidTr="00F34B6F">
        <w:tc>
          <w:tcPr>
            <w:tcW w:w="7488" w:type="dxa"/>
          </w:tcPr>
          <w:p w:rsidR="00A126FA" w:rsidRDefault="00A126FA" w:rsidP="00A126FA">
            <w:pPr>
              <w:tabs>
                <w:tab w:val="right" w:pos="7200"/>
              </w:tabs>
            </w:pPr>
            <w:r>
              <w:t>Borrower/Recipient</w:t>
            </w:r>
          </w:p>
        </w:tc>
        <w:tc>
          <w:tcPr>
            <w:tcW w:w="1980" w:type="dxa"/>
          </w:tcPr>
          <w:p w:rsidR="00A126FA" w:rsidRDefault="00A126FA" w:rsidP="00A126FA">
            <w:pPr>
              <w:tabs>
                <w:tab w:val="decimal" w:pos="252"/>
              </w:tabs>
              <w:jc w:val="center"/>
            </w:pPr>
          </w:p>
        </w:tc>
      </w:tr>
      <w:tr w:rsidR="00A126FA" w:rsidTr="00F34B6F">
        <w:tc>
          <w:tcPr>
            <w:tcW w:w="7488" w:type="dxa"/>
          </w:tcPr>
          <w:p w:rsidR="00A126FA" w:rsidRDefault="00A126FA" w:rsidP="00A126FA">
            <w:pPr>
              <w:tabs>
                <w:tab w:val="right" w:pos="7200"/>
              </w:tabs>
            </w:pPr>
            <w:r>
              <w:t>IBRD</w:t>
            </w:r>
          </w:p>
          <w:p w:rsidR="00071B65" w:rsidRDefault="00071B65" w:rsidP="00A126FA">
            <w:pPr>
              <w:tabs>
                <w:tab w:val="right" w:pos="7200"/>
              </w:tabs>
            </w:pPr>
            <w:r>
              <w:t>Others (</w:t>
            </w:r>
            <w:proofErr w:type="spellStart"/>
            <w:r>
              <w:t>specifiy</w:t>
            </w:r>
            <w:proofErr w:type="spellEnd"/>
            <w:r>
              <w:t>)</w:t>
            </w:r>
          </w:p>
        </w:tc>
        <w:tc>
          <w:tcPr>
            <w:tcW w:w="1980" w:type="dxa"/>
          </w:tcPr>
          <w:p w:rsidR="00A126FA" w:rsidRDefault="00A126FA" w:rsidP="00A126FA">
            <w:pPr>
              <w:tabs>
                <w:tab w:val="decimal" w:pos="252"/>
              </w:tabs>
              <w:jc w:val="center"/>
            </w:pPr>
          </w:p>
        </w:tc>
      </w:tr>
      <w:tr w:rsidR="00A126FA" w:rsidTr="00F34B6F">
        <w:tc>
          <w:tcPr>
            <w:tcW w:w="7488" w:type="dxa"/>
          </w:tcPr>
          <w:p w:rsidR="00A126FA" w:rsidRDefault="00A126FA" w:rsidP="00A126FA">
            <w:pPr>
              <w:tabs>
                <w:tab w:val="right" w:pos="7200"/>
              </w:tabs>
            </w:pPr>
            <w:r>
              <w:tab/>
              <w:t>Total</w:t>
            </w:r>
          </w:p>
        </w:tc>
        <w:tc>
          <w:tcPr>
            <w:tcW w:w="1980" w:type="dxa"/>
          </w:tcPr>
          <w:p w:rsidR="00A126FA" w:rsidRDefault="00FA3293" w:rsidP="00A126FA">
            <w:pPr>
              <w:tabs>
                <w:tab w:val="decimal" w:pos="252"/>
              </w:tabs>
              <w:jc w:val="center"/>
            </w:pPr>
            <w:r>
              <w:t>300</w:t>
            </w:r>
            <w:r w:rsidR="008D4175">
              <w:t xml:space="preserve"> </w:t>
            </w:r>
          </w:p>
        </w:tc>
      </w:tr>
    </w:tbl>
    <w:p w:rsidR="00F34B6F" w:rsidRDefault="00F34B6F" w:rsidP="00F34B6F">
      <w:pPr>
        <w:ind w:left="720"/>
        <w:rPr>
          <w:b/>
        </w:rPr>
      </w:pPr>
    </w:p>
    <w:p w:rsidR="00A126FA" w:rsidRPr="003E3D6A" w:rsidRDefault="00A126FA" w:rsidP="00A126FA">
      <w:pPr>
        <w:numPr>
          <w:ilvl w:val="0"/>
          <w:numId w:val="24"/>
        </w:numPr>
        <w:rPr>
          <w:b/>
        </w:rPr>
      </w:pPr>
      <w:r w:rsidRPr="00B14B1C">
        <w:rPr>
          <w:b/>
        </w:rPr>
        <w:t>Contact point</w:t>
      </w:r>
    </w:p>
    <w:p w:rsidR="008D4175" w:rsidRDefault="008D4175" w:rsidP="008F0B46">
      <w:pPr>
        <w:pStyle w:val="ListParagraph"/>
        <w:ind w:left="0"/>
        <w:rPr>
          <w:b/>
        </w:rPr>
      </w:pPr>
    </w:p>
    <w:p w:rsidR="008F0B46" w:rsidRDefault="008F0B46" w:rsidP="008F0B46">
      <w:pPr>
        <w:pStyle w:val="ListParagraph"/>
        <w:ind w:left="0"/>
      </w:pPr>
      <w:r w:rsidRPr="00225112">
        <w:rPr>
          <w:b/>
        </w:rPr>
        <w:t>World Bank</w:t>
      </w:r>
      <w:r w:rsidR="00F34B6F">
        <w:rPr>
          <w:b/>
        </w:rPr>
        <w:t xml:space="preserve"> </w:t>
      </w:r>
    </w:p>
    <w:p w:rsidR="004211CC" w:rsidRDefault="004211CC" w:rsidP="008F0B46">
      <w:bookmarkStart w:id="15" w:name="ContactInfo"/>
      <w:r>
        <w:t xml:space="preserve">Contact: </w:t>
      </w:r>
      <w:proofErr w:type="spellStart"/>
      <w:r>
        <w:t>Yaye</w:t>
      </w:r>
      <w:proofErr w:type="spellEnd"/>
      <w:r>
        <w:t xml:space="preserve"> </w:t>
      </w:r>
      <w:proofErr w:type="spellStart"/>
      <w:r>
        <w:t>Seynabou</w:t>
      </w:r>
      <w:proofErr w:type="spellEnd"/>
      <w:r>
        <w:t xml:space="preserve"> </w:t>
      </w:r>
      <w:proofErr w:type="spellStart"/>
      <w:r>
        <w:t>Sakho</w:t>
      </w:r>
      <w:proofErr w:type="spellEnd"/>
    </w:p>
    <w:p w:rsidR="004211CC" w:rsidRDefault="004211CC" w:rsidP="008F0B46">
      <w:r>
        <w:t xml:space="preserve">Title: </w:t>
      </w:r>
      <w:proofErr w:type="spellStart"/>
      <w:r>
        <w:t>Sr</w:t>
      </w:r>
      <w:proofErr w:type="spellEnd"/>
      <w:r>
        <w:t xml:space="preserve"> Country Economist</w:t>
      </w:r>
    </w:p>
    <w:p w:rsidR="004211CC" w:rsidRDefault="004211CC" w:rsidP="008F0B46">
      <w:r>
        <w:t>Tel: (202) 458-9732</w:t>
      </w:r>
    </w:p>
    <w:p w:rsidR="004211CC" w:rsidRDefault="004211CC" w:rsidP="008F0B46">
      <w:r>
        <w:t xml:space="preserve">Fax: </w:t>
      </w:r>
    </w:p>
    <w:p w:rsidR="008F0B46" w:rsidRDefault="004211CC" w:rsidP="008F0B46">
      <w:r>
        <w:t>Email: ysakho@worldbank.org</w:t>
      </w:r>
      <w:bookmarkEnd w:id="15"/>
    </w:p>
    <w:p w:rsidR="008F0B46" w:rsidRPr="00225112" w:rsidRDefault="008F0B46" w:rsidP="008F0B46">
      <w:pPr>
        <w:rPr>
          <w:b/>
        </w:rPr>
      </w:pPr>
      <w:r w:rsidRPr="00225112">
        <w:rPr>
          <w:b/>
        </w:rPr>
        <w:t>Borrower</w:t>
      </w:r>
    </w:p>
    <w:p w:rsidR="008F0B46" w:rsidRPr="0078016C" w:rsidRDefault="008F0B46" w:rsidP="008F0B46">
      <w:pPr>
        <w:rPr>
          <w:lang w:val="pt-BR"/>
        </w:rPr>
      </w:pPr>
      <w:proofErr w:type="spellStart"/>
      <w:r w:rsidRPr="0078016C">
        <w:rPr>
          <w:lang w:val="pt-BR"/>
        </w:rPr>
        <w:t>Contact</w:t>
      </w:r>
      <w:proofErr w:type="spellEnd"/>
      <w:r w:rsidRPr="0078016C">
        <w:rPr>
          <w:lang w:val="pt-BR"/>
        </w:rPr>
        <w:t>:</w:t>
      </w:r>
      <w:r w:rsidR="008D4175" w:rsidRPr="0078016C">
        <w:rPr>
          <w:lang w:val="pt-BR"/>
        </w:rPr>
        <w:t xml:space="preserve"> Paulo Sergio Braga </w:t>
      </w:r>
      <w:proofErr w:type="spellStart"/>
      <w:r w:rsidR="008D4175" w:rsidRPr="0078016C">
        <w:rPr>
          <w:lang w:val="pt-BR"/>
        </w:rPr>
        <w:t>Tafner</w:t>
      </w:r>
      <w:proofErr w:type="spellEnd"/>
      <w:r w:rsidRPr="0078016C">
        <w:rPr>
          <w:lang w:val="pt-BR"/>
        </w:rPr>
        <w:tab/>
      </w:r>
    </w:p>
    <w:p w:rsidR="008F0B46" w:rsidRDefault="008F0B46" w:rsidP="008F0B46">
      <w:r>
        <w:t>Title:</w:t>
      </w:r>
      <w:r>
        <w:tab/>
      </w:r>
      <w:r>
        <w:tab/>
      </w:r>
    </w:p>
    <w:p w:rsidR="008F0B46" w:rsidRDefault="008D4175" w:rsidP="008F0B46">
      <w:r>
        <w:t>Tel: (55-21) 2334 4300</w:t>
      </w:r>
      <w:r w:rsidR="008F0B46">
        <w:tab/>
      </w:r>
      <w:r w:rsidR="008F0B46">
        <w:tab/>
      </w:r>
    </w:p>
    <w:p w:rsidR="008D4175" w:rsidRDefault="008F0B46" w:rsidP="008D4175">
      <w:r>
        <w:t>Email:</w:t>
      </w:r>
      <w:r>
        <w:tab/>
      </w:r>
      <w:r w:rsidR="008D4175">
        <w:t>ptafner@fazenda.rj.gov.br</w:t>
      </w:r>
    </w:p>
    <w:p w:rsidR="008F0B46" w:rsidRDefault="008F0B46" w:rsidP="008F0B46">
      <w:r>
        <w:tab/>
      </w:r>
    </w:p>
    <w:p w:rsidR="0059349F" w:rsidRPr="0059349F" w:rsidRDefault="0059349F" w:rsidP="0059349F">
      <w:pPr>
        <w:numPr>
          <w:ilvl w:val="0"/>
          <w:numId w:val="24"/>
        </w:numPr>
        <w:rPr>
          <w:b/>
        </w:rPr>
      </w:pPr>
      <w:r w:rsidRPr="0059349F">
        <w:rPr>
          <w:b/>
        </w:rPr>
        <w:t>For more information contact:</w:t>
      </w:r>
    </w:p>
    <w:p w:rsidR="0059349F" w:rsidRPr="00C82216" w:rsidRDefault="0059349F" w:rsidP="008F0B46">
      <w:r w:rsidRPr="00C82216">
        <w:t xml:space="preserve">The </w:t>
      </w:r>
      <w:proofErr w:type="spellStart"/>
      <w:r w:rsidRPr="00C82216">
        <w:t>InfoShop</w:t>
      </w:r>
      <w:proofErr w:type="spellEnd"/>
    </w:p>
    <w:p w:rsidR="0059349F" w:rsidRPr="00C82216" w:rsidRDefault="0059349F" w:rsidP="008F0B46">
      <w:r w:rsidRPr="00C82216">
        <w:t>The World Bank</w:t>
      </w:r>
    </w:p>
    <w:p w:rsidR="0059349F" w:rsidRPr="00C82216" w:rsidRDefault="0059349F" w:rsidP="008F0B46">
      <w:r w:rsidRPr="00C82216">
        <w:t>1818 H Street, NW</w:t>
      </w:r>
    </w:p>
    <w:p w:rsidR="0059349F" w:rsidRPr="00C82216" w:rsidRDefault="0059349F" w:rsidP="008F0B46">
      <w:r w:rsidRPr="00C82216">
        <w:t>Washington, D.C. 20433</w:t>
      </w:r>
    </w:p>
    <w:p w:rsidR="0059349F" w:rsidRPr="00C82216" w:rsidRDefault="0059349F" w:rsidP="008F0B46">
      <w:r w:rsidRPr="00C82216">
        <w:t>Telephone:  (202) 458-</w:t>
      </w:r>
      <w:r w:rsidR="00C070C8">
        <w:t>4500</w:t>
      </w:r>
    </w:p>
    <w:p w:rsidR="0059349F" w:rsidRPr="00C82216" w:rsidRDefault="0059349F" w:rsidP="008F0B46">
      <w:r w:rsidRPr="00C82216">
        <w:t>Fax:  (202) 522-1500</w:t>
      </w:r>
    </w:p>
    <w:p w:rsidR="0059349F" w:rsidRPr="00C82216" w:rsidRDefault="0059349F" w:rsidP="008F0B46">
      <w:r w:rsidRPr="00C82216">
        <w:t>Web: http://www.worldbank.org/infoshop</w:t>
      </w:r>
    </w:p>
    <w:p w:rsidR="0059349F" w:rsidRPr="00A30F2B" w:rsidRDefault="0059349F" w:rsidP="00A126FA"/>
    <w:sectPr w:rsidR="0059349F" w:rsidRPr="00A30F2B" w:rsidSect="00731BC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4175" w:rsidRDefault="008D4175">
      <w:r>
        <w:separator/>
      </w:r>
    </w:p>
  </w:endnote>
  <w:endnote w:type="continuationSeparator" w:id="0">
    <w:p w:rsidR="008D4175" w:rsidRDefault="008D41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4175" w:rsidRDefault="008D4175">
      <w:r>
        <w:separator/>
      </w:r>
    </w:p>
  </w:footnote>
  <w:footnote w:type="continuationSeparator" w:id="0">
    <w:p w:rsidR="008D4175" w:rsidRDefault="008D4175">
      <w:r>
        <w:continuationSeparator/>
      </w:r>
    </w:p>
  </w:footnote>
  <w:footnote w:id="1">
    <w:p w:rsidR="008D4175" w:rsidRDefault="008D4175" w:rsidP="008D4175">
      <w:pPr>
        <w:pStyle w:val="FootnoteText"/>
        <w:jc w:val="both"/>
      </w:pPr>
      <w:r>
        <w:rPr>
          <w:rStyle w:val="FootnoteReference"/>
        </w:rPr>
        <w:footnoteRef/>
      </w:r>
      <w:r>
        <w:t xml:space="preserve"> </w:t>
      </w:r>
      <w:r w:rsidRPr="00167A99">
        <w:t>CPS 2008-2011 (Report No. 42677-BR) discussed by the Executive Directors on May 1, 2008, and the Progress Report (Report No. 53356-BR) discussed by the Executive Directors on April 20, 2010</w:t>
      </w:r>
      <w: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D3240"/>
    <w:multiLevelType w:val="hybridMultilevel"/>
    <w:tmpl w:val="FC38B6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DEC5416"/>
    <w:multiLevelType w:val="hybridMultilevel"/>
    <w:tmpl w:val="11E85B56"/>
    <w:lvl w:ilvl="0" w:tplc="2AE8936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F2F2C6D"/>
    <w:multiLevelType w:val="hybridMultilevel"/>
    <w:tmpl w:val="37648210"/>
    <w:lvl w:ilvl="0" w:tplc="516C19B2">
      <w:start w:val="1"/>
      <w:numFmt w:val="lowerLetter"/>
      <w:lvlText w:val="%1."/>
      <w:lvlJc w:val="left"/>
      <w:pPr>
        <w:tabs>
          <w:tab w:val="num" w:pos="360"/>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07E67DA"/>
    <w:multiLevelType w:val="hybridMultilevel"/>
    <w:tmpl w:val="CD48F9AA"/>
    <w:lvl w:ilvl="0" w:tplc="3AECCFB8">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4890280"/>
    <w:multiLevelType w:val="multilevel"/>
    <w:tmpl w:val="99CEE76E"/>
    <w:lvl w:ilvl="0">
      <w:start w:val="1"/>
      <w:numFmt w:val="upperRoman"/>
      <w:lvlText w:val="%1."/>
      <w:lvlJc w:val="left"/>
      <w:pPr>
        <w:tabs>
          <w:tab w:val="num" w:pos="720"/>
        </w:tabs>
        <w:ind w:left="720" w:hanging="720"/>
      </w:pPr>
      <w:rPr>
        <w:rFonts w:ascii="Times New Roman Bold" w:hAnsi="Times New Roman Bold" w:hint="default"/>
        <w:b/>
        <w:i w:val="0"/>
        <w:sz w:val="24"/>
        <w:szCs w:val="24"/>
      </w:rPr>
    </w:lvl>
    <w:lvl w:ilvl="1">
      <w:start w:val="1"/>
      <w:numFmt w:val="decimal"/>
      <w:lvlText w:val="%2."/>
      <w:lvlJc w:val="left"/>
      <w:pPr>
        <w:tabs>
          <w:tab w:val="num" w:pos="720"/>
        </w:tabs>
        <w:ind w:left="720" w:hanging="720"/>
      </w:pPr>
      <w:rPr>
        <w:rFonts w:hint="default"/>
        <w:b w:val="0"/>
        <w:i w:val="0"/>
        <w:sz w:val="24"/>
        <w:szCs w:val="24"/>
      </w:rPr>
    </w:lvl>
    <w:lvl w:ilvl="2">
      <w:start w:val="5"/>
      <w:numFmt w:val="decimal"/>
      <w:lvlText w:val="%3."/>
      <w:lvlJc w:val="left"/>
      <w:pPr>
        <w:tabs>
          <w:tab w:val="num" w:pos="720"/>
        </w:tabs>
        <w:ind w:left="720" w:hanging="720"/>
      </w:pPr>
      <w:rPr>
        <w:rFonts w:hint="default"/>
        <w:b w:val="0"/>
        <w:i w:val="0"/>
        <w:sz w:val="24"/>
        <w:szCs w:val="24"/>
      </w:rPr>
    </w:lvl>
    <w:lvl w:ilvl="3">
      <w:start w:val="1"/>
      <w:numFmt w:val="lowerLetter"/>
      <w:lvlText w:val="%4."/>
      <w:lvlJc w:val="left"/>
      <w:pPr>
        <w:tabs>
          <w:tab w:val="num" w:pos="1080"/>
        </w:tabs>
        <w:ind w:left="1080" w:hanging="360"/>
      </w:pPr>
      <w:rPr>
        <w:rFonts w:hint="default"/>
        <w:b w:val="0"/>
        <w:i w:val="0"/>
        <w:sz w:val="24"/>
        <w:szCs w:val="24"/>
      </w:rPr>
    </w:lvl>
    <w:lvl w:ilvl="4">
      <w:start w:val="1"/>
      <w:numFmt w:val="lowerRoman"/>
      <w:lvlText w:val="(%5)"/>
      <w:lvlJc w:val="left"/>
      <w:pPr>
        <w:tabs>
          <w:tab w:val="num" w:pos="2160"/>
        </w:tabs>
        <w:ind w:left="2160" w:hanging="720"/>
      </w:pPr>
      <w:rPr>
        <w:rFonts w:hint="default"/>
        <w:b w:val="0"/>
        <w:i w:val="0"/>
        <w:sz w:val="24"/>
        <w:szCs w:val="24"/>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178573C1"/>
    <w:multiLevelType w:val="hybridMultilevel"/>
    <w:tmpl w:val="FFA4E436"/>
    <w:lvl w:ilvl="0" w:tplc="F602485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5AD1EC3"/>
    <w:multiLevelType w:val="hybridMultilevel"/>
    <w:tmpl w:val="9D38E544"/>
    <w:lvl w:ilvl="0" w:tplc="30DA9A92">
      <w:start w:val="1"/>
      <w:numFmt w:val="decimal"/>
      <w:lvlText w:val="%1."/>
      <w:lvlJc w:val="left"/>
      <w:pPr>
        <w:tabs>
          <w:tab w:val="num" w:pos="360"/>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8B72C36"/>
    <w:multiLevelType w:val="hybridMultilevel"/>
    <w:tmpl w:val="95B816F8"/>
    <w:lvl w:ilvl="0" w:tplc="121AB9A0">
      <w:start w:val="1"/>
      <w:numFmt w:val="lowerLetter"/>
      <w:lvlText w:val="%1."/>
      <w:lvlJc w:val="left"/>
      <w:pPr>
        <w:tabs>
          <w:tab w:val="num" w:pos="360"/>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B43649E"/>
    <w:multiLevelType w:val="hybridMultilevel"/>
    <w:tmpl w:val="7F660714"/>
    <w:lvl w:ilvl="0" w:tplc="121AB9A0">
      <w:start w:val="1"/>
      <w:numFmt w:val="lowerLetter"/>
      <w:lvlText w:val="%1."/>
      <w:lvlJc w:val="left"/>
      <w:pPr>
        <w:tabs>
          <w:tab w:val="num" w:pos="360"/>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19439E6"/>
    <w:multiLevelType w:val="multilevel"/>
    <w:tmpl w:val="65669098"/>
    <w:lvl w:ilvl="0">
      <w:start w:val="1"/>
      <w:numFmt w:val="none"/>
      <w:pStyle w:val="Heading1a"/>
      <w:suff w:val="nothing"/>
      <w:lvlText w:val="%1"/>
      <w:lvlJc w:val="left"/>
      <w:pPr>
        <w:ind w:left="0" w:firstLine="0"/>
      </w:pPr>
      <w:rPr>
        <w:rFonts w:hint="default"/>
      </w:rPr>
    </w:lvl>
    <w:lvl w:ilvl="1">
      <w:start w:val="1"/>
      <w:numFmt w:val="decimal"/>
      <w:lvlText w:val="%2."/>
      <w:lvlJc w:val="left"/>
      <w:pPr>
        <w:tabs>
          <w:tab w:val="num" w:pos="720"/>
        </w:tabs>
        <w:ind w:left="720" w:hanging="720"/>
      </w:pPr>
      <w:rPr>
        <w:rFonts w:hint="default"/>
      </w:rPr>
    </w:lvl>
    <w:lvl w:ilvl="2">
      <w:start w:val="1"/>
      <w:numFmt w:val="lowerLetter"/>
      <w:lvlText w:val="(%3)"/>
      <w:lvlJc w:val="left"/>
      <w:pPr>
        <w:tabs>
          <w:tab w:val="num" w:pos="1080"/>
        </w:tabs>
        <w:ind w:left="720" w:hanging="360"/>
      </w:pPr>
      <w:rPr>
        <w:rFonts w:hint="default"/>
      </w:rPr>
    </w:lvl>
    <w:lvl w:ilvl="3">
      <w:start w:val="1"/>
      <w:numFmt w:val="lowerRoman"/>
      <w:lvlText w:val="(%4)"/>
      <w:lvlJc w:val="left"/>
      <w:pPr>
        <w:tabs>
          <w:tab w:val="num" w:pos="1800"/>
        </w:tabs>
        <w:ind w:left="1080" w:hanging="360"/>
      </w:pPr>
      <w:rPr>
        <w:rFonts w:hint="default"/>
      </w:rPr>
    </w:lvl>
    <w:lvl w:ilvl="4">
      <w:start w:val="1"/>
      <w:numFmt w:val="lowerLetter"/>
      <w:pStyle w:val="Sub-Para3underX"/>
      <w:lvlText w:val="%5."/>
      <w:lvlJc w:val="left"/>
      <w:pPr>
        <w:tabs>
          <w:tab w:val="num" w:pos="1440"/>
        </w:tabs>
        <w:ind w:left="1440" w:hanging="360"/>
      </w:pPr>
      <w:rPr>
        <w:rFonts w:hint="default"/>
      </w:rPr>
    </w:lvl>
    <w:lvl w:ilvl="5">
      <w:start w:val="1"/>
      <w:numFmt w:val="lowerRoman"/>
      <w:pStyle w:val="Sub-Para4underX"/>
      <w:lvlText w:val="%6."/>
      <w:lvlJc w:val="left"/>
      <w:pPr>
        <w:tabs>
          <w:tab w:val="num" w:pos="2160"/>
        </w:tabs>
        <w:ind w:left="180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34846D13"/>
    <w:multiLevelType w:val="hybridMultilevel"/>
    <w:tmpl w:val="7A1E68AA"/>
    <w:lvl w:ilvl="0" w:tplc="B066C178">
      <w:start w:val="1"/>
      <w:numFmt w:val="decimal"/>
      <w:lvlText w:val="%1."/>
      <w:lvlJc w:val="left"/>
      <w:pPr>
        <w:tabs>
          <w:tab w:val="num" w:pos="360"/>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7155CD0"/>
    <w:multiLevelType w:val="hybridMultilevel"/>
    <w:tmpl w:val="B0147E7C"/>
    <w:lvl w:ilvl="0" w:tplc="2A2E7AB6">
      <w:start w:val="1"/>
      <w:numFmt w:val="bullet"/>
      <w:lvlText w:val=""/>
      <w:lvlJc w:val="left"/>
      <w:pPr>
        <w:tabs>
          <w:tab w:val="num" w:pos="360"/>
        </w:tabs>
        <w:ind w:left="360" w:hanging="360"/>
      </w:pPr>
      <w:rPr>
        <w:rFonts w:ascii="Symbol" w:hAnsi="Symbol" w:hint="default"/>
      </w:rPr>
    </w:lvl>
    <w:lvl w:ilvl="1" w:tplc="121AB9A0">
      <w:start w:val="1"/>
      <w:numFmt w:val="lowerLetter"/>
      <w:lvlText w:val="%2."/>
      <w:lvlJc w:val="left"/>
      <w:pPr>
        <w:tabs>
          <w:tab w:val="num" w:pos="1440"/>
        </w:tabs>
        <w:ind w:left="1368" w:hanging="288"/>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7156FA8"/>
    <w:multiLevelType w:val="hybridMultilevel"/>
    <w:tmpl w:val="B6F45794"/>
    <w:lvl w:ilvl="0" w:tplc="30DA9A92">
      <w:start w:val="1"/>
      <w:numFmt w:val="decimal"/>
      <w:lvlText w:val="%1."/>
      <w:lvlJc w:val="left"/>
      <w:pPr>
        <w:tabs>
          <w:tab w:val="num" w:pos="360"/>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A7314D1"/>
    <w:multiLevelType w:val="hybridMultilevel"/>
    <w:tmpl w:val="A39660A8"/>
    <w:lvl w:ilvl="0" w:tplc="74AC854E">
      <w:start w:val="1"/>
      <w:numFmt w:val="bullet"/>
      <w:lvlText w:val=""/>
      <w:lvlJc w:val="left"/>
      <w:pPr>
        <w:tabs>
          <w:tab w:val="num" w:pos="648"/>
        </w:tabs>
        <w:ind w:left="288"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1F80BE6"/>
    <w:multiLevelType w:val="hybridMultilevel"/>
    <w:tmpl w:val="5EAA3448"/>
    <w:lvl w:ilvl="0" w:tplc="38BCDD8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7990A89"/>
    <w:multiLevelType w:val="hybridMultilevel"/>
    <w:tmpl w:val="A7B8CFC4"/>
    <w:lvl w:ilvl="0" w:tplc="DA56D010">
      <w:start w:val="3"/>
      <w:numFmt w:val="decimal"/>
      <w:lvlText w:val="%1."/>
      <w:lvlJc w:val="left"/>
      <w:pPr>
        <w:tabs>
          <w:tab w:val="num" w:pos="360"/>
        </w:tabs>
        <w:ind w:left="288" w:hanging="288"/>
      </w:pPr>
      <w:rPr>
        <w:rFonts w:hint="default"/>
      </w:rPr>
    </w:lvl>
    <w:lvl w:ilvl="1" w:tplc="121AB9A0">
      <w:start w:val="1"/>
      <w:numFmt w:val="lowerLetter"/>
      <w:lvlText w:val="%2."/>
      <w:lvlJc w:val="left"/>
      <w:pPr>
        <w:tabs>
          <w:tab w:val="num" w:pos="1440"/>
        </w:tabs>
        <w:ind w:left="1368" w:hanging="288"/>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DE92C30"/>
    <w:multiLevelType w:val="hybridMultilevel"/>
    <w:tmpl w:val="F49C954C"/>
    <w:lvl w:ilvl="0" w:tplc="3AECCFB8">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83778CF"/>
    <w:multiLevelType w:val="hybridMultilevel"/>
    <w:tmpl w:val="61880A9C"/>
    <w:lvl w:ilvl="0" w:tplc="545E059A">
      <w:start w:val="12"/>
      <w:numFmt w:val="decimal"/>
      <w:lvlText w:val="%1."/>
      <w:lvlJc w:val="left"/>
      <w:pPr>
        <w:tabs>
          <w:tab w:val="num" w:pos="720"/>
        </w:tabs>
        <w:ind w:left="720" w:hanging="720"/>
      </w:pPr>
      <w:rPr>
        <w:rFonts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8684E9D"/>
    <w:multiLevelType w:val="hybridMultilevel"/>
    <w:tmpl w:val="4ABC9A9C"/>
    <w:lvl w:ilvl="0" w:tplc="09AA25A8">
      <w:start w:val="1"/>
      <w:numFmt w:val="decimal"/>
      <w:lvlText w:val="%1."/>
      <w:lvlJc w:val="left"/>
      <w:pPr>
        <w:tabs>
          <w:tab w:val="num" w:pos="720"/>
        </w:tabs>
        <w:ind w:left="720" w:hanging="720"/>
      </w:pPr>
      <w:rPr>
        <w:rFonts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B150CF4"/>
    <w:multiLevelType w:val="hybridMultilevel"/>
    <w:tmpl w:val="52C84FC2"/>
    <w:lvl w:ilvl="0" w:tplc="121AB9A0">
      <w:start w:val="1"/>
      <w:numFmt w:val="lowerLetter"/>
      <w:lvlText w:val="%1."/>
      <w:lvlJc w:val="left"/>
      <w:pPr>
        <w:tabs>
          <w:tab w:val="num" w:pos="360"/>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EF10F9A"/>
    <w:multiLevelType w:val="hybridMultilevel"/>
    <w:tmpl w:val="C9D47E20"/>
    <w:lvl w:ilvl="0" w:tplc="1CE4D924">
      <w:start w:val="1"/>
      <w:numFmt w:val="decimal"/>
      <w:pStyle w:val="Body"/>
      <w:lvlText w:val="%1."/>
      <w:lvlJc w:val="left"/>
      <w:pPr>
        <w:ind w:left="720" w:hanging="360"/>
      </w:pPr>
      <w:rPr>
        <w:rFonts w:hint="default"/>
        <w:b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3624AC9"/>
    <w:multiLevelType w:val="hybridMultilevel"/>
    <w:tmpl w:val="99CEE76E"/>
    <w:lvl w:ilvl="0" w:tplc="BE3EE3F6">
      <w:start w:val="1"/>
      <w:numFmt w:val="upperRoman"/>
      <w:lvlText w:val="%1."/>
      <w:lvlJc w:val="left"/>
      <w:pPr>
        <w:tabs>
          <w:tab w:val="num" w:pos="720"/>
        </w:tabs>
        <w:ind w:left="720" w:hanging="720"/>
      </w:pPr>
      <w:rPr>
        <w:rFonts w:ascii="Times New Roman Bold" w:hAnsi="Times New Roman Bold" w:hint="default"/>
        <w:b/>
        <w:i w:val="0"/>
        <w:sz w:val="24"/>
        <w:szCs w:val="24"/>
      </w:rPr>
    </w:lvl>
    <w:lvl w:ilvl="1" w:tplc="09AA25A8">
      <w:start w:val="1"/>
      <w:numFmt w:val="decimal"/>
      <w:lvlText w:val="%2."/>
      <w:lvlJc w:val="left"/>
      <w:pPr>
        <w:tabs>
          <w:tab w:val="num" w:pos="720"/>
        </w:tabs>
        <w:ind w:left="720" w:hanging="720"/>
      </w:pPr>
      <w:rPr>
        <w:rFonts w:hint="default"/>
        <w:b w:val="0"/>
        <w:i w:val="0"/>
        <w:sz w:val="24"/>
        <w:szCs w:val="24"/>
      </w:rPr>
    </w:lvl>
    <w:lvl w:ilvl="2" w:tplc="0CE071D6">
      <w:start w:val="5"/>
      <w:numFmt w:val="decimal"/>
      <w:lvlText w:val="%3."/>
      <w:lvlJc w:val="left"/>
      <w:pPr>
        <w:tabs>
          <w:tab w:val="num" w:pos="720"/>
        </w:tabs>
        <w:ind w:left="720" w:hanging="720"/>
      </w:pPr>
      <w:rPr>
        <w:rFonts w:hint="default"/>
        <w:b w:val="0"/>
        <w:i w:val="0"/>
        <w:sz w:val="24"/>
        <w:szCs w:val="24"/>
      </w:rPr>
    </w:lvl>
    <w:lvl w:ilvl="3" w:tplc="9210D27A">
      <w:start w:val="1"/>
      <w:numFmt w:val="lowerLetter"/>
      <w:lvlText w:val="%4."/>
      <w:lvlJc w:val="left"/>
      <w:pPr>
        <w:tabs>
          <w:tab w:val="num" w:pos="1080"/>
        </w:tabs>
        <w:ind w:left="1080" w:hanging="360"/>
      </w:pPr>
      <w:rPr>
        <w:rFonts w:hint="default"/>
        <w:b w:val="0"/>
        <w:i w:val="0"/>
        <w:sz w:val="24"/>
        <w:szCs w:val="24"/>
      </w:rPr>
    </w:lvl>
    <w:lvl w:ilvl="4" w:tplc="465A5734">
      <w:start w:val="1"/>
      <w:numFmt w:val="lowerRoman"/>
      <w:lvlText w:val="(%5)"/>
      <w:lvlJc w:val="left"/>
      <w:pPr>
        <w:tabs>
          <w:tab w:val="num" w:pos="2160"/>
        </w:tabs>
        <w:ind w:left="2160" w:hanging="720"/>
      </w:pPr>
      <w:rPr>
        <w:rFonts w:hint="default"/>
        <w:b w:val="0"/>
        <w:i w:val="0"/>
        <w:sz w:val="24"/>
        <w:szCs w:val="24"/>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3C11663"/>
    <w:multiLevelType w:val="multilevel"/>
    <w:tmpl w:val="94A882F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1440"/>
        </w:tabs>
        <w:ind w:left="1080" w:hanging="360"/>
      </w:pPr>
      <w:rPr>
        <w:rFonts w:hint="default"/>
      </w:rPr>
    </w:lvl>
    <w:lvl w:ilvl="3">
      <w:start w:val="1"/>
      <w:numFmt w:val="lowerRoman"/>
      <w:lvlText w:val="(%4)"/>
      <w:lvlJc w:val="left"/>
      <w:pPr>
        <w:tabs>
          <w:tab w:val="num" w:pos="216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1.%2.%3.%4.%5.%6.%7."/>
      <w:lvlJc w:val="left"/>
      <w:pPr>
        <w:tabs>
          <w:tab w:val="num" w:pos="7200"/>
        </w:tabs>
        <w:ind w:left="6120" w:hanging="1080"/>
      </w:pPr>
      <w:rPr>
        <w:rFonts w:hint="default"/>
      </w:rPr>
    </w:lvl>
    <w:lvl w:ilvl="7">
      <w:start w:val="1"/>
      <w:numFmt w:val="decimal"/>
      <w:lvlText w:val="%1.%2.%3.%4.%5.%6.%7.%8."/>
      <w:lvlJc w:val="left"/>
      <w:pPr>
        <w:tabs>
          <w:tab w:val="num" w:pos="7560"/>
        </w:tabs>
        <w:ind w:left="6624" w:hanging="1224"/>
      </w:pPr>
      <w:rPr>
        <w:rFonts w:hint="default"/>
      </w:rPr>
    </w:lvl>
    <w:lvl w:ilvl="8">
      <w:start w:val="1"/>
      <w:numFmt w:val="decimal"/>
      <w:lvlText w:val="%1.%2.%3.%4.%5.%6.%7.%8.%9."/>
      <w:lvlJc w:val="left"/>
      <w:pPr>
        <w:tabs>
          <w:tab w:val="num" w:pos="8280"/>
        </w:tabs>
        <w:ind w:left="7200" w:hanging="1440"/>
      </w:pPr>
      <w:rPr>
        <w:rFonts w:hint="default"/>
      </w:rPr>
    </w:lvl>
  </w:abstractNum>
  <w:abstractNum w:abstractNumId="23">
    <w:nsid w:val="773D2F0C"/>
    <w:multiLevelType w:val="hybridMultilevel"/>
    <w:tmpl w:val="74B021AC"/>
    <w:lvl w:ilvl="0" w:tplc="BD46BA2E">
      <w:start w:val="1"/>
      <w:numFmt w:val="upperRoman"/>
      <w:lvlText w:val="%1."/>
      <w:lvlJc w:val="left"/>
      <w:pPr>
        <w:tabs>
          <w:tab w:val="num" w:pos="720"/>
        </w:tabs>
        <w:ind w:left="720" w:hanging="720"/>
      </w:pPr>
      <w:rPr>
        <w:rFonts w:ascii="Times New Roman Bold" w:hAnsi="Times New Roman Bold" w:hint="default"/>
        <w:b/>
        <w:i w:val="0"/>
        <w:sz w:val="24"/>
        <w:szCs w:val="24"/>
      </w:rPr>
    </w:lvl>
    <w:lvl w:ilvl="1" w:tplc="54FCD87A">
      <w:start w:val="1"/>
      <w:numFmt w:val="lowerLetter"/>
      <w:lvlText w:val="%2."/>
      <w:lvlJc w:val="left"/>
      <w:pPr>
        <w:tabs>
          <w:tab w:val="num" w:pos="1440"/>
        </w:tabs>
        <w:ind w:left="1440" w:hanging="720"/>
      </w:pPr>
      <w:rPr>
        <w:rFonts w:hint="default"/>
        <w:b w:val="0"/>
        <w:i w:val="0"/>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896538E"/>
    <w:multiLevelType w:val="hybridMultilevel"/>
    <w:tmpl w:val="6B90D6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ED6383F"/>
    <w:multiLevelType w:val="hybridMultilevel"/>
    <w:tmpl w:val="09E86072"/>
    <w:lvl w:ilvl="0" w:tplc="E94A504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FE30505"/>
    <w:multiLevelType w:val="hybridMultilevel"/>
    <w:tmpl w:val="25E07446"/>
    <w:lvl w:ilvl="0" w:tplc="FFFFFFFF">
      <w:start w:val="1"/>
      <w:numFmt w:val="bullet"/>
      <w:pStyle w:val="Bullet"/>
      <w:lvlText w:val=""/>
      <w:lvlJc w:val="left"/>
      <w:pPr>
        <w:tabs>
          <w:tab w:val="num" w:pos="1440"/>
        </w:tabs>
        <w:ind w:left="1440" w:hanging="72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6"/>
  </w:num>
  <w:num w:numId="3">
    <w:abstractNumId w:val="25"/>
  </w:num>
  <w:num w:numId="4">
    <w:abstractNumId w:val="1"/>
  </w:num>
  <w:num w:numId="5">
    <w:abstractNumId w:val="13"/>
  </w:num>
  <w:num w:numId="6">
    <w:abstractNumId w:val="0"/>
  </w:num>
  <w:num w:numId="7">
    <w:abstractNumId w:val="19"/>
  </w:num>
  <w:num w:numId="8">
    <w:abstractNumId w:val="7"/>
  </w:num>
  <w:num w:numId="9">
    <w:abstractNumId w:val="15"/>
  </w:num>
  <w:num w:numId="10">
    <w:abstractNumId w:val="2"/>
  </w:num>
  <w:num w:numId="11">
    <w:abstractNumId w:val="10"/>
  </w:num>
  <w:num w:numId="12">
    <w:abstractNumId w:val="14"/>
  </w:num>
  <w:num w:numId="13">
    <w:abstractNumId w:val="9"/>
  </w:num>
  <w:num w:numId="14">
    <w:abstractNumId w:val="22"/>
  </w:num>
  <w:num w:numId="15">
    <w:abstractNumId w:val="26"/>
  </w:num>
  <w:num w:numId="16">
    <w:abstractNumId w:val="8"/>
  </w:num>
  <w:num w:numId="17">
    <w:abstractNumId w:val="11"/>
  </w:num>
  <w:num w:numId="18">
    <w:abstractNumId w:val="24"/>
  </w:num>
  <w:num w:numId="19">
    <w:abstractNumId w:val="16"/>
  </w:num>
  <w:num w:numId="20">
    <w:abstractNumId w:val="3"/>
  </w:num>
  <w:num w:numId="21">
    <w:abstractNumId w:val="21"/>
  </w:num>
  <w:num w:numId="22">
    <w:abstractNumId w:val="17"/>
  </w:num>
  <w:num w:numId="23">
    <w:abstractNumId w:val="5"/>
  </w:num>
  <w:num w:numId="24">
    <w:abstractNumId w:val="23"/>
  </w:num>
  <w:num w:numId="25">
    <w:abstractNumId w:val="18"/>
  </w:num>
  <w:num w:numId="26">
    <w:abstractNumId w:val="4"/>
  </w:num>
  <w:num w:numId="27">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A126FA"/>
    <w:rsid w:val="00007917"/>
    <w:rsid w:val="00030402"/>
    <w:rsid w:val="00071B65"/>
    <w:rsid w:val="000736A2"/>
    <w:rsid w:val="00086692"/>
    <w:rsid w:val="000D2D1B"/>
    <w:rsid w:val="00101C42"/>
    <w:rsid w:val="001527BE"/>
    <w:rsid w:val="00171E5D"/>
    <w:rsid w:val="00182A0D"/>
    <w:rsid w:val="001936A8"/>
    <w:rsid w:val="001A4469"/>
    <w:rsid w:val="001D607D"/>
    <w:rsid w:val="001E638A"/>
    <w:rsid w:val="002428DC"/>
    <w:rsid w:val="00283684"/>
    <w:rsid w:val="003103C4"/>
    <w:rsid w:val="00335C23"/>
    <w:rsid w:val="00337CE7"/>
    <w:rsid w:val="003723D9"/>
    <w:rsid w:val="00383CBB"/>
    <w:rsid w:val="003E3E86"/>
    <w:rsid w:val="003F02CA"/>
    <w:rsid w:val="004211CC"/>
    <w:rsid w:val="004C6525"/>
    <w:rsid w:val="004D6196"/>
    <w:rsid w:val="004F0F64"/>
    <w:rsid w:val="00577870"/>
    <w:rsid w:val="00586A53"/>
    <w:rsid w:val="0059349F"/>
    <w:rsid w:val="00604289"/>
    <w:rsid w:val="00671A99"/>
    <w:rsid w:val="00674243"/>
    <w:rsid w:val="0067697E"/>
    <w:rsid w:val="00690F9A"/>
    <w:rsid w:val="006C5D18"/>
    <w:rsid w:val="006F3FC6"/>
    <w:rsid w:val="00701460"/>
    <w:rsid w:val="007150F6"/>
    <w:rsid w:val="00731BC4"/>
    <w:rsid w:val="0078016C"/>
    <w:rsid w:val="007863D3"/>
    <w:rsid w:val="00787B7C"/>
    <w:rsid w:val="00793D7D"/>
    <w:rsid w:val="007B7DB3"/>
    <w:rsid w:val="008410D9"/>
    <w:rsid w:val="008451FE"/>
    <w:rsid w:val="008D4175"/>
    <w:rsid w:val="008F0B46"/>
    <w:rsid w:val="00914E33"/>
    <w:rsid w:val="00915DAE"/>
    <w:rsid w:val="00921E31"/>
    <w:rsid w:val="00923AC9"/>
    <w:rsid w:val="00963593"/>
    <w:rsid w:val="00996EEB"/>
    <w:rsid w:val="009B1BF2"/>
    <w:rsid w:val="009B6060"/>
    <w:rsid w:val="009F5E4D"/>
    <w:rsid w:val="00A05BC0"/>
    <w:rsid w:val="00A126FA"/>
    <w:rsid w:val="00A25C56"/>
    <w:rsid w:val="00AA5A30"/>
    <w:rsid w:val="00AB0F65"/>
    <w:rsid w:val="00B17C5F"/>
    <w:rsid w:val="00B677C4"/>
    <w:rsid w:val="00C070C8"/>
    <w:rsid w:val="00C63E52"/>
    <w:rsid w:val="00C67E15"/>
    <w:rsid w:val="00C96CBF"/>
    <w:rsid w:val="00CF0F6D"/>
    <w:rsid w:val="00D2365D"/>
    <w:rsid w:val="00D545E4"/>
    <w:rsid w:val="00DE739D"/>
    <w:rsid w:val="00E528E0"/>
    <w:rsid w:val="00EC042A"/>
    <w:rsid w:val="00F0622C"/>
    <w:rsid w:val="00F34A55"/>
    <w:rsid w:val="00F34B6F"/>
    <w:rsid w:val="00F41703"/>
    <w:rsid w:val="00F7168A"/>
    <w:rsid w:val="00FA3192"/>
    <w:rsid w:val="00FA3293"/>
    <w:rsid w:val="00FF23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31BC4"/>
    <w:rPr>
      <w:sz w:val="24"/>
      <w:szCs w:val="24"/>
    </w:rPr>
  </w:style>
  <w:style w:type="paragraph" w:styleId="Heading1">
    <w:name w:val="heading 1"/>
    <w:basedOn w:val="Normal"/>
    <w:next w:val="Normal"/>
    <w:qFormat/>
    <w:rsid w:val="00731BC4"/>
    <w:pPr>
      <w:keepNext/>
      <w:outlineLvl w:val="0"/>
    </w:pPr>
    <w:rPr>
      <w:b/>
      <w:bCs/>
    </w:rPr>
  </w:style>
  <w:style w:type="paragraph" w:styleId="Heading2">
    <w:name w:val="heading 2"/>
    <w:basedOn w:val="Normal"/>
    <w:next w:val="Normal"/>
    <w:qFormat/>
    <w:rsid w:val="00731BC4"/>
    <w:pPr>
      <w:keepNext/>
      <w:jc w:val="center"/>
      <w:outlineLvl w:val="1"/>
    </w:pPr>
    <w:rPr>
      <w:b/>
      <w:bCs/>
    </w:rPr>
  </w:style>
  <w:style w:type="paragraph" w:styleId="Heading3">
    <w:name w:val="heading 3"/>
    <w:basedOn w:val="Normal"/>
    <w:next w:val="Normal"/>
    <w:link w:val="Heading3Char"/>
    <w:semiHidden/>
    <w:unhideWhenUsed/>
    <w:qFormat/>
    <w:rsid w:val="008D417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731BC4"/>
    <w:pPr>
      <w:ind w:left="-108"/>
      <w:jc w:val="both"/>
    </w:pPr>
  </w:style>
  <w:style w:type="character" w:styleId="CommentReference">
    <w:name w:val="annotation reference"/>
    <w:basedOn w:val="DefaultParagraphFont"/>
    <w:semiHidden/>
    <w:rsid w:val="00731BC4"/>
    <w:rPr>
      <w:sz w:val="16"/>
      <w:szCs w:val="16"/>
    </w:rPr>
  </w:style>
  <w:style w:type="paragraph" w:styleId="CommentText">
    <w:name w:val="annotation text"/>
    <w:basedOn w:val="Normal"/>
    <w:semiHidden/>
    <w:rsid w:val="00731BC4"/>
    <w:rPr>
      <w:sz w:val="20"/>
      <w:szCs w:val="20"/>
    </w:rPr>
  </w:style>
  <w:style w:type="paragraph" w:styleId="BalloonText">
    <w:name w:val="Balloon Text"/>
    <w:basedOn w:val="Normal"/>
    <w:semiHidden/>
    <w:rsid w:val="00731BC4"/>
    <w:rPr>
      <w:rFonts w:ascii="Tahoma" w:hAnsi="Tahoma" w:cs="Tahoma"/>
      <w:sz w:val="16"/>
      <w:szCs w:val="16"/>
    </w:rPr>
  </w:style>
  <w:style w:type="paragraph" w:customStyle="1" w:styleId="Heading1a">
    <w:name w:val="Heading 1a"/>
    <w:basedOn w:val="Normal"/>
    <w:next w:val="Normal"/>
    <w:rsid w:val="00731BC4"/>
    <w:pPr>
      <w:keepNext/>
      <w:keepLines/>
      <w:numPr>
        <w:numId w:val="13"/>
      </w:numPr>
      <w:spacing w:before="1440" w:after="240"/>
      <w:jc w:val="center"/>
      <w:outlineLvl w:val="0"/>
    </w:pPr>
    <w:rPr>
      <w:b/>
      <w:caps/>
      <w:sz w:val="32"/>
    </w:rPr>
  </w:style>
  <w:style w:type="paragraph" w:customStyle="1" w:styleId="MainParanoChapter">
    <w:name w:val="Main Para no Chapter #"/>
    <w:basedOn w:val="Normal"/>
    <w:rsid w:val="00731BC4"/>
    <w:pPr>
      <w:spacing w:after="240"/>
      <w:outlineLvl w:val="1"/>
    </w:pPr>
  </w:style>
  <w:style w:type="paragraph" w:customStyle="1" w:styleId="Sub-Para1underX">
    <w:name w:val="Sub-Para 1 under X."/>
    <w:basedOn w:val="Normal"/>
    <w:rsid w:val="00731BC4"/>
    <w:pPr>
      <w:spacing w:after="240"/>
      <w:ind w:left="1440" w:hanging="720"/>
      <w:outlineLvl w:val="2"/>
    </w:pPr>
  </w:style>
  <w:style w:type="paragraph" w:customStyle="1" w:styleId="Sub-Para2underX">
    <w:name w:val="Sub-Para 2 under X."/>
    <w:basedOn w:val="Normal"/>
    <w:rsid w:val="00731BC4"/>
    <w:pPr>
      <w:spacing w:after="240"/>
      <w:ind w:left="2160" w:hanging="720"/>
      <w:outlineLvl w:val="3"/>
    </w:pPr>
  </w:style>
  <w:style w:type="paragraph" w:customStyle="1" w:styleId="Sub-Para3underX">
    <w:name w:val="Sub-Para 3 under X."/>
    <w:basedOn w:val="Normal"/>
    <w:rsid w:val="00731BC4"/>
    <w:pPr>
      <w:numPr>
        <w:ilvl w:val="4"/>
        <w:numId w:val="13"/>
      </w:numPr>
      <w:tabs>
        <w:tab w:val="clear" w:pos="1440"/>
      </w:tabs>
      <w:spacing w:after="240"/>
      <w:ind w:left="2880" w:hanging="720"/>
      <w:outlineLvl w:val="4"/>
    </w:pPr>
  </w:style>
  <w:style w:type="paragraph" w:customStyle="1" w:styleId="Sub-Para4underX">
    <w:name w:val="Sub-Para 4 under X."/>
    <w:basedOn w:val="Normal"/>
    <w:rsid w:val="00731BC4"/>
    <w:pPr>
      <w:numPr>
        <w:ilvl w:val="5"/>
        <w:numId w:val="13"/>
      </w:numPr>
      <w:tabs>
        <w:tab w:val="clear" w:pos="2160"/>
      </w:tabs>
      <w:spacing w:after="240"/>
      <w:ind w:left="3600" w:hanging="720"/>
      <w:outlineLvl w:val="5"/>
    </w:pPr>
  </w:style>
  <w:style w:type="paragraph" w:customStyle="1" w:styleId="Bullet">
    <w:name w:val="Bullet"/>
    <w:basedOn w:val="Normal"/>
    <w:rsid w:val="00731BC4"/>
    <w:pPr>
      <w:numPr>
        <w:numId w:val="15"/>
      </w:numPr>
      <w:tabs>
        <w:tab w:val="clear" w:pos="1440"/>
      </w:tabs>
    </w:pPr>
  </w:style>
  <w:style w:type="character" w:styleId="FootnoteReference">
    <w:name w:val="footnote reference"/>
    <w:aliases w:val="16 Point,Superscript 6 Point,ftref,Footnote Reference Number,Footnote Reference_LVL6,Footnote Reference_LVL61,Footnote Reference_LVL62,Footnote Reference_LVL63,Footnote Reference_LVL64,Знак сноски-FN,referencia nota al pie"/>
    <w:basedOn w:val="DefaultParagraphFont"/>
    <w:uiPriority w:val="99"/>
    <w:rsid w:val="00731BC4"/>
    <w:rPr>
      <w:vertAlign w:val="superscript"/>
    </w:rPr>
  </w:style>
  <w:style w:type="paragraph" w:styleId="FootnoteText">
    <w:name w:val="footnote text"/>
    <w:aliases w:val="FOOTNOTES,fn,single space,footnote text,Geneva 9,Font: Geneva 9,Boston 10,f,Footnote Text Char Char Car,Footnote,text,Texto nota pie Car,Footnote Text Char1,Footnote Text Char1 Char Char,Footnote Text Char Char Char Char,ft,Car,Char"/>
    <w:basedOn w:val="Normal"/>
    <w:link w:val="FootnoteTextChar"/>
    <w:uiPriority w:val="99"/>
    <w:rsid w:val="00731BC4"/>
    <w:rPr>
      <w:sz w:val="20"/>
      <w:szCs w:val="20"/>
    </w:rPr>
  </w:style>
  <w:style w:type="table" w:styleId="TableGrid">
    <w:name w:val="Table Grid"/>
    <w:basedOn w:val="TableNormal"/>
    <w:rsid w:val="00A126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F41703"/>
    <w:rPr>
      <w:color w:val="0000FF"/>
      <w:u w:val="single"/>
    </w:rPr>
  </w:style>
  <w:style w:type="character" w:customStyle="1" w:styleId="FootnoteTextChar">
    <w:name w:val="Footnote Text Char"/>
    <w:aliases w:val="FOOTNOTES Char,fn Char,single space Char,footnote text Char,Geneva 9 Char,Font: Geneva 9 Char,Boston 10 Char,f Char,Footnote Text Char Char Car Char,Footnote Char,text Char,Texto nota pie Car Char,Footnote Text Char1 Char,ft Char"/>
    <w:basedOn w:val="DefaultParagraphFont"/>
    <w:link w:val="FootnoteText"/>
    <w:uiPriority w:val="99"/>
    <w:rsid w:val="00F41703"/>
    <w:rPr>
      <w:lang w:val="en-US" w:eastAsia="en-US" w:bidi="ar-SA"/>
    </w:rPr>
  </w:style>
  <w:style w:type="character" w:styleId="FollowedHyperlink">
    <w:name w:val="FollowedHyperlink"/>
    <w:basedOn w:val="DefaultParagraphFont"/>
    <w:rsid w:val="001527BE"/>
    <w:rPr>
      <w:color w:val="800080"/>
      <w:u w:val="single"/>
    </w:rPr>
  </w:style>
  <w:style w:type="paragraph" w:styleId="ListParagraph">
    <w:name w:val="List Paragraph"/>
    <w:basedOn w:val="Normal"/>
    <w:uiPriority w:val="99"/>
    <w:qFormat/>
    <w:rsid w:val="00FF23CF"/>
    <w:pPr>
      <w:ind w:left="720"/>
      <w:contextualSpacing/>
    </w:pPr>
  </w:style>
  <w:style w:type="paragraph" w:customStyle="1" w:styleId="CM3">
    <w:name w:val="CM3"/>
    <w:basedOn w:val="Normal"/>
    <w:next w:val="Normal"/>
    <w:uiPriority w:val="99"/>
    <w:rsid w:val="00671A99"/>
    <w:pPr>
      <w:widowControl w:val="0"/>
      <w:autoSpaceDE w:val="0"/>
      <w:autoSpaceDN w:val="0"/>
      <w:adjustRightInd w:val="0"/>
    </w:pPr>
    <w:rPr>
      <w:rFonts w:eastAsiaTheme="minorEastAsia"/>
    </w:rPr>
  </w:style>
  <w:style w:type="paragraph" w:customStyle="1" w:styleId="CM1">
    <w:name w:val="CM1"/>
    <w:basedOn w:val="Normal"/>
    <w:next w:val="Normal"/>
    <w:uiPriority w:val="99"/>
    <w:rsid w:val="00671A99"/>
    <w:pPr>
      <w:widowControl w:val="0"/>
      <w:autoSpaceDE w:val="0"/>
      <w:autoSpaceDN w:val="0"/>
      <w:adjustRightInd w:val="0"/>
      <w:spacing w:line="253" w:lineRule="atLeast"/>
    </w:pPr>
    <w:rPr>
      <w:rFonts w:eastAsiaTheme="minorEastAsia"/>
    </w:rPr>
  </w:style>
  <w:style w:type="paragraph" w:customStyle="1" w:styleId="CM4">
    <w:name w:val="CM4"/>
    <w:basedOn w:val="Normal"/>
    <w:next w:val="Normal"/>
    <w:uiPriority w:val="99"/>
    <w:rsid w:val="00AA5A30"/>
    <w:pPr>
      <w:widowControl w:val="0"/>
      <w:autoSpaceDE w:val="0"/>
      <w:autoSpaceDN w:val="0"/>
      <w:adjustRightInd w:val="0"/>
    </w:pPr>
    <w:rPr>
      <w:rFonts w:eastAsiaTheme="minorEastAsia"/>
    </w:rPr>
  </w:style>
  <w:style w:type="character" w:customStyle="1" w:styleId="Heading3Char">
    <w:name w:val="Heading 3 Char"/>
    <w:basedOn w:val="DefaultParagraphFont"/>
    <w:link w:val="Heading3"/>
    <w:semiHidden/>
    <w:rsid w:val="008D4175"/>
    <w:rPr>
      <w:rFonts w:asciiTheme="majorHAnsi" w:eastAsiaTheme="majorEastAsia" w:hAnsiTheme="majorHAnsi" w:cstheme="majorBidi"/>
      <w:b/>
      <w:bCs/>
      <w:color w:val="4F81BD" w:themeColor="accent1"/>
      <w:sz w:val="24"/>
      <w:szCs w:val="24"/>
    </w:rPr>
  </w:style>
  <w:style w:type="paragraph" w:customStyle="1" w:styleId="Body">
    <w:name w:val="Body"/>
    <w:basedOn w:val="Normal"/>
    <w:link w:val="BodyChar"/>
    <w:qFormat/>
    <w:rsid w:val="008D4175"/>
    <w:pPr>
      <w:numPr>
        <w:numId w:val="27"/>
      </w:numPr>
      <w:overflowPunct w:val="0"/>
      <w:autoSpaceDE w:val="0"/>
      <w:autoSpaceDN w:val="0"/>
      <w:adjustRightInd w:val="0"/>
      <w:spacing w:after="120"/>
      <w:ind w:left="0" w:firstLine="0"/>
      <w:jc w:val="both"/>
      <w:textAlignment w:val="baseline"/>
    </w:pPr>
    <w:rPr>
      <w:szCs w:val="20"/>
    </w:rPr>
  </w:style>
  <w:style w:type="character" w:customStyle="1" w:styleId="BodyChar">
    <w:name w:val="Body Char"/>
    <w:basedOn w:val="DefaultParagraphFont"/>
    <w:link w:val="Body"/>
    <w:rsid w:val="008D4175"/>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FD2A47-A701-44F8-A893-4D49A6EE0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1257</Words>
  <Characters>7295</Characters>
  <Application>Microsoft Office Word</Application>
  <DocSecurity>0</DocSecurity>
  <Lines>187</Lines>
  <Paragraphs>98</Paragraphs>
  <ScaleCrop>false</ScaleCrop>
  <HeadingPairs>
    <vt:vector size="2" baseType="variant">
      <vt:variant>
        <vt:lpstr>Title</vt:lpstr>
      </vt:variant>
      <vt:variant>
        <vt:i4>1</vt:i4>
      </vt:variant>
    </vt:vector>
  </HeadingPairs>
  <TitlesOfParts>
    <vt:vector size="1" baseType="lpstr">
      <vt:lpstr>PROJECT INFORMATION DOCUMENT (PID)</vt:lpstr>
    </vt:vector>
  </TitlesOfParts>
  <Company>World Bank Group</Company>
  <LinksUpToDate>false</LinksUpToDate>
  <CharactersWithSpaces>8454</CharactersWithSpaces>
  <SharedDoc>false</SharedDoc>
  <HLinks>
    <vt:vector size="108" baseType="variant">
      <vt:variant>
        <vt:i4>3145827</vt:i4>
      </vt:variant>
      <vt:variant>
        <vt:i4>51</vt:i4>
      </vt:variant>
      <vt:variant>
        <vt:i4>0</vt:i4>
      </vt:variant>
      <vt:variant>
        <vt:i4>5</vt:i4>
      </vt:variant>
      <vt:variant>
        <vt:lpwstr>http://intresources.worldbank.org/INTSAFEPOL/Resources/Project0Inform1cument1Concept0Stage.doc</vt:lpwstr>
      </vt:variant>
      <vt:variant>
        <vt:lpwstr/>
      </vt:variant>
      <vt:variant>
        <vt:i4>3145827</vt:i4>
      </vt:variant>
      <vt:variant>
        <vt:i4>48</vt:i4>
      </vt:variant>
      <vt:variant>
        <vt:i4>0</vt:i4>
      </vt:variant>
      <vt:variant>
        <vt:i4>5</vt:i4>
      </vt:variant>
      <vt:variant>
        <vt:lpwstr>http://intresources.worldbank.org/INTSAFEPOL/Resources/Project0Inform1cument1Concept0Stage.doc</vt:lpwstr>
      </vt:variant>
      <vt:variant>
        <vt:lpwstr/>
      </vt:variant>
      <vt:variant>
        <vt:i4>4259851</vt:i4>
      </vt:variant>
      <vt:variant>
        <vt:i4>45</vt:i4>
      </vt:variant>
      <vt:variant>
        <vt:i4>0</vt:i4>
      </vt:variant>
      <vt:variant>
        <vt:i4>5</vt:i4>
      </vt:variant>
      <vt:variant>
        <vt:lpwstr>http://wbln0011.worldbank.org/Institutional/Manuals/OpManual.nsf/BProw/47D35C1186367F338525672C007D07AE?OpenDocument</vt:lpwstr>
      </vt:variant>
      <vt:variant>
        <vt:lpwstr/>
      </vt:variant>
      <vt:variant>
        <vt:i4>524300</vt:i4>
      </vt:variant>
      <vt:variant>
        <vt:i4>42</vt:i4>
      </vt:variant>
      <vt:variant>
        <vt:i4>0</vt:i4>
      </vt:variant>
      <vt:variant>
        <vt:i4>5</vt:i4>
      </vt:variant>
      <vt:variant>
        <vt:lpwstr>http://wbln0011.worldbank.org/Institutional/Manuals/OpManual.nsf/OPolw/5F511C57E7F3A3DD8525672C007D07A2?OpenDocument</vt:lpwstr>
      </vt:variant>
      <vt:variant>
        <vt:lpwstr/>
      </vt:variant>
      <vt:variant>
        <vt:i4>1310812</vt:i4>
      </vt:variant>
      <vt:variant>
        <vt:i4>39</vt:i4>
      </vt:variant>
      <vt:variant>
        <vt:i4>0</vt:i4>
      </vt:variant>
      <vt:variant>
        <vt:i4>5</vt:i4>
      </vt:variant>
      <vt:variant>
        <vt:lpwstr>http://wbln0011.worldbank.org/Institutional/Manuals/OpManual.nsf/BProw/5DB8B30312AD33108525672C007D0788?OpenDocument</vt:lpwstr>
      </vt:variant>
      <vt:variant>
        <vt:lpwstr/>
      </vt:variant>
      <vt:variant>
        <vt:i4>6160465</vt:i4>
      </vt:variant>
      <vt:variant>
        <vt:i4>36</vt:i4>
      </vt:variant>
      <vt:variant>
        <vt:i4>0</vt:i4>
      </vt:variant>
      <vt:variant>
        <vt:i4>5</vt:i4>
      </vt:variant>
      <vt:variant>
        <vt:lpwstr>http://wbln0011.worldbank.org/Institutional/Manuals/OpManual.nsf/OPolw/72CC6840FC533D508525672C007D076B?OpenDocument</vt:lpwstr>
      </vt:variant>
      <vt:variant>
        <vt:lpwstr/>
      </vt:variant>
      <vt:variant>
        <vt:i4>4718598</vt:i4>
      </vt:variant>
      <vt:variant>
        <vt:i4>33</vt:i4>
      </vt:variant>
      <vt:variant>
        <vt:i4>0</vt:i4>
      </vt:variant>
      <vt:variant>
        <vt:i4>5</vt:i4>
      </vt:variant>
      <vt:variant>
        <vt:lpwstr>http://wbln0011.worldbank.org/Institutional/Manuals/OpManual.nsf/BProw/D3448207C94C92628525672C007D0733?OpenDocument</vt:lpwstr>
      </vt:variant>
      <vt:variant>
        <vt:lpwstr/>
      </vt:variant>
      <vt:variant>
        <vt:i4>917588</vt:i4>
      </vt:variant>
      <vt:variant>
        <vt:i4>30</vt:i4>
      </vt:variant>
      <vt:variant>
        <vt:i4>0</vt:i4>
      </vt:variant>
      <vt:variant>
        <vt:i4>5</vt:i4>
      </vt:variant>
      <vt:variant>
        <vt:lpwstr>http://wbln0011.worldbank.org/Institutional/Manuals/OpManual.nsf/OPolw/C12766B6C9D109548525672C007D07B9?OpenDocument</vt:lpwstr>
      </vt:variant>
      <vt:variant>
        <vt:lpwstr/>
      </vt:variant>
      <vt:variant>
        <vt:i4>1507330</vt:i4>
      </vt:variant>
      <vt:variant>
        <vt:i4>27</vt:i4>
      </vt:variant>
      <vt:variant>
        <vt:i4>0</vt:i4>
      </vt:variant>
      <vt:variant>
        <vt:i4>5</vt:i4>
      </vt:variant>
      <vt:variant>
        <vt:lpwstr>http://wbln0011.worldbank.org/Institutional/Manuals/OpManual.nsf/GPraw/97FA41A3D754DE318525672C007D07EB?OpenDocument</vt:lpwstr>
      </vt:variant>
      <vt:variant>
        <vt:lpwstr/>
      </vt:variant>
      <vt:variant>
        <vt:i4>458833</vt:i4>
      </vt:variant>
      <vt:variant>
        <vt:i4>24</vt:i4>
      </vt:variant>
      <vt:variant>
        <vt:i4>0</vt:i4>
      </vt:variant>
      <vt:variant>
        <vt:i4>5</vt:i4>
      </vt:variant>
      <vt:variant>
        <vt:lpwstr>http://wbln0011.worldbank.org/Institutional/Manuals/OpManual.nsf/OPolw/C972D5438F4D1FB78525672C007D077A?OpenDocument</vt:lpwstr>
      </vt:variant>
      <vt:variant>
        <vt:lpwstr/>
      </vt:variant>
      <vt:variant>
        <vt:i4>2031707</vt:i4>
      </vt:variant>
      <vt:variant>
        <vt:i4>21</vt:i4>
      </vt:variant>
      <vt:variant>
        <vt:i4>0</vt:i4>
      </vt:variant>
      <vt:variant>
        <vt:i4>5</vt:i4>
      </vt:variant>
      <vt:variant>
        <vt:lpwstr>http://wbln0011.worldbank.org/Institutional/Manuals/OpManual.nsf/bytype/383197ED73D421A385256B180072D46D?OpenDocument</vt:lpwstr>
      </vt:variant>
      <vt:variant>
        <vt:lpwstr/>
      </vt:variant>
      <vt:variant>
        <vt:i4>4653139</vt:i4>
      </vt:variant>
      <vt:variant>
        <vt:i4>18</vt:i4>
      </vt:variant>
      <vt:variant>
        <vt:i4>0</vt:i4>
      </vt:variant>
      <vt:variant>
        <vt:i4>5</vt:i4>
      </vt:variant>
      <vt:variant>
        <vt:lpwstr>http://wbln0011.worldbank.org/Institutional/Manuals/OpManual.nsf/bytype/AA37778A8BCF64A585256B1800645AC5?OpenDocument</vt:lpwstr>
      </vt:variant>
      <vt:variant>
        <vt:lpwstr/>
      </vt:variant>
      <vt:variant>
        <vt:i4>852049</vt:i4>
      </vt:variant>
      <vt:variant>
        <vt:i4>15</vt:i4>
      </vt:variant>
      <vt:variant>
        <vt:i4>0</vt:i4>
      </vt:variant>
      <vt:variant>
        <vt:i4>5</vt:i4>
      </vt:variant>
      <vt:variant>
        <vt:lpwstr>http://wbln0011.worldbank.org/Institutional/Manuals/OpManual.nsf/OPolw/665DA6CA847982168525672C007D07A3?OpenDocument</vt:lpwstr>
      </vt:variant>
      <vt:variant>
        <vt:lpwstr/>
      </vt:variant>
      <vt:variant>
        <vt:i4>5177358</vt:i4>
      </vt:variant>
      <vt:variant>
        <vt:i4>12</vt:i4>
      </vt:variant>
      <vt:variant>
        <vt:i4>0</vt:i4>
      </vt:variant>
      <vt:variant>
        <vt:i4>5</vt:i4>
      </vt:variant>
      <vt:variant>
        <vt:lpwstr>http://wbln0011.worldbank.org/Institutional/Manuals/OpManual.nsf/BProw/62B0042EF3FBA64D8525672C007D0773?OpenDocument</vt:lpwstr>
      </vt:variant>
      <vt:variant>
        <vt:lpwstr/>
      </vt:variant>
      <vt:variant>
        <vt:i4>5898323</vt:i4>
      </vt:variant>
      <vt:variant>
        <vt:i4>9</vt:i4>
      </vt:variant>
      <vt:variant>
        <vt:i4>0</vt:i4>
      </vt:variant>
      <vt:variant>
        <vt:i4>5</vt:i4>
      </vt:variant>
      <vt:variant>
        <vt:lpwstr>http://wbln0011.worldbank.org/Institutional/Manuals/OpManual.nsf/OPolw/71432937FA0B753F8525672C007D07AA?OpenDocument</vt:lpwstr>
      </vt:variant>
      <vt:variant>
        <vt:lpwstr/>
      </vt:variant>
      <vt:variant>
        <vt:i4>4194313</vt:i4>
      </vt:variant>
      <vt:variant>
        <vt:i4>6</vt:i4>
      </vt:variant>
      <vt:variant>
        <vt:i4>0</vt:i4>
      </vt:variant>
      <vt:variant>
        <vt:i4>5</vt:i4>
      </vt:variant>
      <vt:variant>
        <vt:lpwstr>http://wbln0011.worldbank.org/Institutional/Manuals/OpManual.nsf/BProw/C4241D657823FD818525672C007D096E?OpenDocument</vt:lpwstr>
      </vt:variant>
      <vt:variant>
        <vt:lpwstr/>
      </vt:variant>
      <vt:variant>
        <vt:i4>5374035</vt:i4>
      </vt:variant>
      <vt:variant>
        <vt:i4>3</vt:i4>
      </vt:variant>
      <vt:variant>
        <vt:i4>0</vt:i4>
      </vt:variant>
      <vt:variant>
        <vt:i4>5</vt:i4>
      </vt:variant>
      <vt:variant>
        <vt:lpwstr>http://wbln0011.worldbank.org/Institutional/Manuals/OpManual.nsf/OPolw/9367A2A9D9DAEED38525672C007D0972?OpenDocument</vt:lpwstr>
      </vt:variant>
      <vt:variant>
        <vt:lpwstr/>
      </vt:variant>
      <vt:variant>
        <vt:i4>5111876</vt:i4>
      </vt:variant>
      <vt:variant>
        <vt:i4>0</vt:i4>
      </vt:variant>
      <vt:variant>
        <vt:i4>0</vt:i4>
      </vt:variant>
      <vt:variant>
        <vt:i4>5</vt:i4>
      </vt:variant>
      <vt:variant>
        <vt:lpwstr>http://www.worldbank.org/environmentalassessment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INFORMATION DOCUMENT (PID)</dc:title>
  <dc:creator>Jason Mayfield</dc:creator>
  <cp:lastModifiedBy>Roland Clarke</cp:lastModifiedBy>
  <cp:revision>3</cp:revision>
  <cp:lastPrinted>2009-11-17T16:33:00Z</cp:lastPrinted>
  <dcterms:created xsi:type="dcterms:W3CDTF">2011-08-05T21:17:00Z</dcterms:created>
  <dcterms:modified xsi:type="dcterms:W3CDTF">2011-08-05T21:20:00Z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portNo">
    <vt:lpwstr>AB6674</vt:lpwstr>
  </property>
  <property fmtid="{D5CDD505-2E9C-101B-9397-08002B2CF9AE}" pid="3" name="TEAMLEADER">
    <vt:lpwstr>Yaye Seynabou Sakho</vt:lpwstr>
  </property>
</Properties>
</file>