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4F4" w:rsidRPr="00577EB1" w:rsidRDefault="00F60D2E" w:rsidP="001D6703">
      <w:pPr>
        <w:spacing w:after="0"/>
        <w:outlineLvl w:val="0"/>
        <w:rPr>
          <w:rStyle w:val="StyleBold"/>
          <w:rFonts w:asciiTheme="minorHAnsi" w:eastAsiaTheme="minorHAnsi" w:hAnsiTheme="minorHAnsi" w:cstheme="minorBidi"/>
          <w:lang w:val="fr-FR"/>
        </w:rPr>
      </w:pPr>
      <w:bookmarkStart w:id="0" w:name="_Toc236747829"/>
      <w:r w:rsidRPr="00577EB1">
        <w:rPr>
          <w:rStyle w:val="StyleBold"/>
          <w:rFonts w:ascii="Arial" w:hAnsi="Arial"/>
          <w:b w:val="0"/>
          <w:bCs w:val="0"/>
          <w:lang w:val="fr-FR"/>
        </w:rPr>
        <w:t>R</w:t>
      </w:r>
      <w:r w:rsidR="008374F0" w:rsidRPr="00577EB1">
        <w:rPr>
          <w:rStyle w:val="StyleBold"/>
          <w:rFonts w:ascii="Arial" w:hAnsi="Arial"/>
          <w:b w:val="0"/>
          <w:bCs w:val="0"/>
          <w:lang w:val="fr-FR"/>
        </w:rPr>
        <w:t>ap</w:t>
      </w:r>
      <w:r w:rsidR="00A524F4" w:rsidRPr="00577EB1">
        <w:rPr>
          <w:rStyle w:val="StyleBold"/>
          <w:rFonts w:ascii="Arial" w:hAnsi="Arial"/>
          <w:b w:val="0"/>
          <w:bCs w:val="0"/>
          <w:lang w:val="fr-FR"/>
        </w:rPr>
        <w:t xml:space="preserve">port </w:t>
      </w:r>
      <w:r w:rsidR="008374F0" w:rsidRPr="00577EB1">
        <w:rPr>
          <w:rStyle w:val="StyleBold"/>
          <w:rFonts w:ascii="Arial" w:hAnsi="Arial"/>
          <w:b w:val="0"/>
          <w:bCs w:val="0"/>
          <w:lang w:val="fr-FR"/>
        </w:rPr>
        <w:t>N°</w:t>
      </w:r>
      <w:r w:rsidR="00D74990" w:rsidRPr="00577EB1">
        <w:rPr>
          <w:rStyle w:val="StyleBold"/>
          <w:rFonts w:ascii="Arial" w:hAnsi="Arial"/>
          <w:b w:val="0"/>
          <w:bCs w:val="0"/>
          <w:lang w:val="fr-FR"/>
        </w:rPr>
        <w:t xml:space="preserve"> </w:t>
      </w:r>
      <w:r w:rsidR="00762AAB" w:rsidRPr="00577EB1">
        <w:rPr>
          <w:rStyle w:val="StyleBold"/>
          <w:rFonts w:ascii="Arial" w:hAnsi="Arial"/>
          <w:b w:val="0"/>
          <w:bCs w:val="0"/>
          <w:lang w:val="fr-FR"/>
        </w:rPr>
        <w:t>54491-</w:t>
      </w:r>
      <w:r w:rsidR="00D74990" w:rsidRPr="00577EB1">
        <w:rPr>
          <w:rStyle w:val="StyleBold"/>
          <w:rFonts w:ascii="Arial" w:hAnsi="Arial"/>
          <w:b w:val="0"/>
          <w:bCs w:val="0"/>
          <w:lang w:val="fr-FR"/>
        </w:rPr>
        <w:t>BF</w:t>
      </w:r>
    </w:p>
    <w:p w:rsidR="00A524F4" w:rsidRPr="00577EB1" w:rsidRDefault="00A524F4" w:rsidP="00F60D2E">
      <w:pPr>
        <w:autoSpaceDE w:val="0"/>
        <w:autoSpaceDN w:val="0"/>
        <w:adjustRightInd w:val="0"/>
        <w:spacing w:after="0"/>
        <w:rPr>
          <w:b/>
          <w:bCs/>
          <w:sz w:val="32"/>
          <w:szCs w:val="20"/>
          <w:lang w:val="fr-FR"/>
        </w:rPr>
      </w:pPr>
    </w:p>
    <w:p w:rsidR="00F60D2E" w:rsidRPr="00577EB1" w:rsidRDefault="00F60D2E" w:rsidP="00F60D2E">
      <w:pPr>
        <w:autoSpaceDE w:val="0"/>
        <w:autoSpaceDN w:val="0"/>
        <w:adjustRightInd w:val="0"/>
        <w:spacing w:after="0"/>
        <w:rPr>
          <w:b/>
          <w:bCs/>
          <w:sz w:val="32"/>
          <w:szCs w:val="20"/>
          <w:lang w:val="fr-FR"/>
        </w:rPr>
      </w:pPr>
    </w:p>
    <w:p w:rsidR="001D6703" w:rsidRPr="00577EB1" w:rsidRDefault="001D6703" w:rsidP="00F60D2E">
      <w:pPr>
        <w:autoSpaceDE w:val="0"/>
        <w:autoSpaceDN w:val="0"/>
        <w:adjustRightInd w:val="0"/>
        <w:spacing w:after="0"/>
        <w:rPr>
          <w:b/>
          <w:bCs/>
          <w:sz w:val="32"/>
          <w:szCs w:val="20"/>
          <w:lang w:val="fr-FR"/>
        </w:rPr>
      </w:pPr>
    </w:p>
    <w:p w:rsidR="00A524F4" w:rsidRPr="00577EB1" w:rsidRDefault="00D621CB" w:rsidP="001D6703">
      <w:pPr>
        <w:spacing w:after="0"/>
        <w:outlineLvl w:val="0"/>
        <w:rPr>
          <w:rStyle w:val="StyleBold"/>
          <w:lang w:val="fr-FR"/>
        </w:rPr>
      </w:pPr>
      <w:r w:rsidRPr="00577EB1">
        <w:rPr>
          <w:rStyle w:val="StyleBold"/>
          <w:rFonts w:ascii="Arial" w:hAnsi="Arial"/>
          <w:sz w:val="40"/>
          <w:szCs w:val="40"/>
          <w:lang w:val="fr-FR"/>
        </w:rPr>
        <w:t>Burkina Faso</w:t>
      </w:r>
    </w:p>
    <w:p w:rsidR="00A524F4" w:rsidRPr="00577EB1" w:rsidRDefault="008374F0" w:rsidP="001D6703">
      <w:pPr>
        <w:spacing w:after="0"/>
        <w:outlineLvl w:val="0"/>
        <w:rPr>
          <w:rStyle w:val="StyleBold"/>
          <w:lang w:val="fr-FR"/>
        </w:rPr>
      </w:pPr>
      <w:r w:rsidRPr="00577EB1">
        <w:rPr>
          <w:rStyle w:val="StyleBold"/>
          <w:rFonts w:ascii="Arial" w:hAnsi="Arial"/>
          <w:sz w:val="40"/>
          <w:szCs w:val="40"/>
          <w:lang w:val="fr-FR"/>
        </w:rPr>
        <w:t>Filets sociaux</w:t>
      </w:r>
    </w:p>
    <w:p w:rsidR="00F60D2E" w:rsidRPr="00577EB1" w:rsidRDefault="00F60D2E" w:rsidP="00F60D2E">
      <w:pPr>
        <w:spacing w:after="0"/>
        <w:rPr>
          <w:sz w:val="32"/>
          <w:szCs w:val="32"/>
          <w:lang w:val="fr-FR"/>
        </w:rPr>
      </w:pPr>
    </w:p>
    <w:p w:rsidR="00F60D2E" w:rsidRPr="00577EB1" w:rsidRDefault="00F60D2E" w:rsidP="00F60D2E">
      <w:pPr>
        <w:spacing w:after="0"/>
        <w:rPr>
          <w:sz w:val="32"/>
          <w:szCs w:val="32"/>
          <w:lang w:val="fr-FR"/>
        </w:rPr>
      </w:pPr>
    </w:p>
    <w:p w:rsidR="00F60D2E" w:rsidRPr="00577EB1" w:rsidRDefault="00F60D2E" w:rsidP="00F60D2E">
      <w:pPr>
        <w:spacing w:after="0"/>
        <w:rPr>
          <w:sz w:val="32"/>
          <w:szCs w:val="32"/>
          <w:lang w:val="fr-FR"/>
        </w:rPr>
      </w:pPr>
    </w:p>
    <w:p w:rsidR="00F60D2E" w:rsidRPr="00577EB1" w:rsidRDefault="00554CB7" w:rsidP="001D6703">
      <w:pPr>
        <w:spacing w:after="0"/>
        <w:outlineLvl w:val="0"/>
        <w:rPr>
          <w:rStyle w:val="StyleBold"/>
          <w:lang w:val="fr-FR"/>
        </w:rPr>
      </w:pPr>
      <w:r>
        <w:rPr>
          <w:rStyle w:val="StyleBold"/>
          <w:rFonts w:ascii="Arial" w:hAnsi="Arial"/>
          <w:lang w:val="fr-FR"/>
        </w:rPr>
        <w:t xml:space="preserve">Le </w:t>
      </w:r>
      <w:r w:rsidR="00D0122E">
        <w:rPr>
          <w:rStyle w:val="StyleBold"/>
          <w:rFonts w:ascii="Arial" w:hAnsi="Arial"/>
          <w:lang w:val="fr-FR"/>
        </w:rPr>
        <w:t>31 janvier 2011</w:t>
      </w:r>
    </w:p>
    <w:p w:rsidR="00F60D2E" w:rsidRPr="00577EB1" w:rsidRDefault="00F60D2E" w:rsidP="00F60D2E">
      <w:pPr>
        <w:spacing w:after="0"/>
        <w:rPr>
          <w:sz w:val="32"/>
          <w:lang w:val="fr-FR"/>
        </w:rPr>
      </w:pPr>
    </w:p>
    <w:p w:rsidR="006D157D" w:rsidRPr="00577EB1" w:rsidRDefault="006D157D" w:rsidP="00F60D2E">
      <w:pPr>
        <w:spacing w:after="0"/>
        <w:rPr>
          <w:sz w:val="32"/>
          <w:lang w:val="fr-FR"/>
        </w:rPr>
      </w:pPr>
    </w:p>
    <w:p w:rsidR="00F60D2E" w:rsidRPr="00577EB1" w:rsidRDefault="00F60D2E" w:rsidP="00F60D2E">
      <w:pPr>
        <w:spacing w:after="0"/>
        <w:rPr>
          <w:sz w:val="32"/>
          <w:lang w:val="fr-FR"/>
        </w:rPr>
      </w:pPr>
    </w:p>
    <w:p w:rsidR="00F60D2E" w:rsidRPr="00577EB1" w:rsidRDefault="008374F0" w:rsidP="001D6703">
      <w:pPr>
        <w:spacing w:after="0"/>
        <w:outlineLvl w:val="0"/>
        <w:rPr>
          <w:rStyle w:val="StyleBold"/>
          <w:lang w:val="fr-FR"/>
        </w:rPr>
      </w:pPr>
      <w:r w:rsidRPr="00577EB1">
        <w:rPr>
          <w:rStyle w:val="StyleBold"/>
          <w:rFonts w:ascii="Arial" w:hAnsi="Arial"/>
          <w:b w:val="0"/>
          <w:lang w:val="fr-FR"/>
        </w:rPr>
        <w:t>Département du développement humain</w:t>
      </w:r>
    </w:p>
    <w:p w:rsidR="00C26FD7" w:rsidRPr="00577EB1" w:rsidRDefault="008374F0" w:rsidP="001D6703">
      <w:pPr>
        <w:spacing w:after="0"/>
        <w:outlineLvl w:val="0"/>
        <w:rPr>
          <w:rStyle w:val="StyleBold"/>
          <w:lang w:val="fr-FR"/>
        </w:rPr>
      </w:pPr>
      <w:r w:rsidRPr="00577EB1">
        <w:rPr>
          <w:rStyle w:val="StyleBold"/>
          <w:rFonts w:ascii="Arial" w:hAnsi="Arial"/>
          <w:b w:val="0"/>
          <w:lang w:val="fr-FR"/>
        </w:rPr>
        <w:t>Unité de la protection sociale</w:t>
      </w:r>
    </w:p>
    <w:p w:rsidR="00F60D2E" w:rsidRPr="00577EB1" w:rsidRDefault="008374F0" w:rsidP="001D6703">
      <w:pPr>
        <w:spacing w:after="0"/>
        <w:outlineLvl w:val="0"/>
        <w:rPr>
          <w:rStyle w:val="StyleBold"/>
          <w:lang w:val="fr-FR"/>
        </w:rPr>
      </w:pPr>
      <w:r w:rsidRPr="00577EB1">
        <w:rPr>
          <w:rStyle w:val="StyleBold"/>
          <w:rFonts w:ascii="Arial" w:hAnsi="Arial"/>
          <w:b w:val="0"/>
          <w:lang w:val="fr-FR"/>
        </w:rPr>
        <w:t>Région Afrique</w:t>
      </w:r>
    </w:p>
    <w:p w:rsidR="001D6703" w:rsidRPr="00577EB1" w:rsidRDefault="001D6703" w:rsidP="00F60D2E">
      <w:pPr>
        <w:spacing w:after="0"/>
        <w:rPr>
          <w:rStyle w:val="content1"/>
          <w:highlight w:val="yellow"/>
          <w:lang w:val="fr-FR"/>
        </w:rPr>
      </w:pPr>
    </w:p>
    <w:p w:rsidR="001D6703" w:rsidRPr="007D6095" w:rsidRDefault="001D6703" w:rsidP="00F60D2E">
      <w:pPr>
        <w:spacing w:after="0"/>
        <w:rPr>
          <w:rStyle w:val="content1"/>
          <w:lang w:val="fr-FR"/>
        </w:rPr>
      </w:pPr>
    </w:p>
    <w:p w:rsidR="001D6703" w:rsidRPr="007D6095" w:rsidRDefault="001D6703" w:rsidP="00F60D2E">
      <w:pPr>
        <w:spacing w:after="0"/>
        <w:rPr>
          <w:rStyle w:val="content1"/>
          <w:lang w:val="fr-FR"/>
        </w:rPr>
      </w:pPr>
    </w:p>
    <w:p w:rsidR="001D6703" w:rsidRPr="007D6095" w:rsidRDefault="001D6703" w:rsidP="00F60D2E">
      <w:pPr>
        <w:spacing w:after="0"/>
        <w:rPr>
          <w:rStyle w:val="content1"/>
          <w:lang w:val="fr-FR"/>
        </w:rPr>
      </w:pPr>
    </w:p>
    <w:p w:rsidR="001D6703" w:rsidRPr="007D6095" w:rsidRDefault="001D6703" w:rsidP="00F60D2E">
      <w:pPr>
        <w:spacing w:after="0"/>
        <w:rPr>
          <w:rStyle w:val="content1"/>
          <w:lang w:val="fr-FR"/>
        </w:rPr>
      </w:pPr>
    </w:p>
    <w:p w:rsidR="00F60D2E" w:rsidRPr="007D6095" w:rsidRDefault="00F60D2E" w:rsidP="00F60D2E">
      <w:pPr>
        <w:tabs>
          <w:tab w:val="clear" w:pos="709"/>
          <w:tab w:val="left" w:pos="720"/>
        </w:tabs>
        <w:spacing w:after="0"/>
        <w:outlineLvl w:val="0"/>
        <w:rPr>
          <w:rStyle w:val="content1"/>
          <w:lang w:val="fr-FR"/>
        </w:rPr>
      </w:pPr>
    </w:p>
    <w:p w:rsidR="00F60D2E" w:rsidRPr="007D6095" w:rsidRDefault="00DD1BCF" w:rsidP="00F60D2E">
      <w:pPr>
        <w:tabs>
          <w:tab w:val="clear" w:pos="709"/>
          <w:tab w:val="left" w:pos="720"/>
        </w:tabs>
        <w:spacing w:after="0"/>
        <w:outlineLvl w:val="0"/>
        <w:rPr>
          <w:rStyle w:val="content1"/>
          <w:lang w:val="fr-FR"/>
        </w:rPr>
      </w:pPr>
      <w:r w:rsidRPr="007D6095">
        <w:rPr>
          <w:b/>
          <w:noProof/>
          <w:sz w:val="21"/>
        </w:rPr>
        <w:drawing>
          <wp:inline distT="0" distB="0" distL="0" distR="0">
            <wp:extent cx="695325" cy="6953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95325" cy="695325"/>
                    </a:xfrm>
                    <a:prstGeom prst="rect">
                      <a:avLst/>
                    </a:prstGeom>
                    <a:noFill/>
                    <a:ln w="9525">
                      <a:noFill/>
                      <a:miter lim="800000"/>
                      <a:headEnd/>
                      <a:tailEnd/>
                    </a:ln>
                  </pic:spPr>
                </pic:pic>
              </a:graphicData>
            </a:graphic>
          </wp:inline>
        </w:drawing>
      </w:r>
    </w:p>
    <w:p w:rsidR="00F60D2E" w:rsidRPr="007D6095" w:rsidRDefault="00F60D2E" w:rsidP="00F60D2E">
      <w:pPr>
        <w:tabs>
          <w:tab w:val="clear" w:pos="709"/>
          <w:tab w:val="left" w:pos="720"/>
        </w:tabs>
        <w:spacing w:after="0"/>
        <w:outlineLvl w:val="0"/>
        <w:rPr>
          <w:rStyle w:val="content1"/>
          <w:lang w:val="fr-FR"/>
        </w:rPr>
      </w:pPr>
    </w:p>
    <w:p w:rsidR="00F60D2E" w:rsidRPr="007D6095" w:rsidRDefault="00F60D2E" w:rsidP="00F60D2E">
      <w:pPr>
        <w:tabs>
          <w:tab w:val="clear" w:pos="709"/>
          <w:tab w:val="left" w:pos="720"/>
        </w:tabs>
        <w:spacing w:after="0"/>
        <w:outlineLvl w:val="0"/>
        <w:rPr>
          <w:rStyle w:val="content1"/>
          <w:lang w:val="fr-FR"/>
        </w:rPr>
      </w:pPr>
    </w:p>
    <w:p w:rsidR="00F60D2E" w:rsidRPr="007D6095" w:rsidRDefault="00F60D2E" w:rsidP="00F60D2E">
      <w:pPr>
        <w:tabs>
          <w:tab w:val="clear" w:pos="709"/>
          <w:tab w:val="left" w:pos="720"/>
        </w:tabs>
        <w:spacing w:after="0"/>
        <w:rPr>
          <w:rStyle w:val="content1"/>
          <w:lang w:val="fr-FR"/>
        </w:rPr>
      </w:pPr>
    </w:p>
    <w:p w:rsidR="00F60D2E" w:rsidRPr="007D6095" w:rsidRDefault="00F60D2E" w:rsidP="00F60D2E">
      <w:pPr>
        <w:tabs>
          <w:tab w:val="clear" w:pos="709"/>
          <w:tab w:val="left" w:pos="720"/>
        </w:tabs>
        <w:spacing w:after="0"/>
        <w:rPr>
          <w:rStyle w:val="content1"/>
          <w:lang w:val="fr-FR"/>
        </w:rPr>
      </w:pPr>
    </w:p>
    <w:p w:rsidR="00F60D2E" w:rsidRPr="00577EB1" w:rsidRDefault="00F60D2E" w:rsidP="00F60D2E">
      <w:pPr>
        <w:tabs>
          <w:tab w:val="clear" w:pos="709"/>
          <w:tab w:val="left" w:pos="720"/>
        </w:tabs>
        <w:spacing w:after="0"/>
        <w:rPr>
          <w:rStyle w:val="content1"/>
          <w:highlight w:val="yellow"/>
          <w:lang w:val="fr-FR"/>
        </w:rPr>
      </w:pPr>
    </w:p>
    <w:p w:rsidR="00F60D2E" w:rsidRPr="00577EB1" w:rsidRDefault="00F60D2E" w:rsidP="00F60D2E">
      <w:pPr>
        <w:tabs>
          <w:tab w:val="clear" w:pos="709"/>
          <w:tab w:val="left" w:pos="720"/>
        </w:tabs>
        <w:spacing w:after="0"/>
        <w:rPr>
          <w:rStyle w:val="content1"/>
          <w:highlight w:val="yellow"/>
          <w:lang w:val="fr-FR"/>
        </w:rPr>
      </w:pPr>
    </w:p>
    <w:p w:rsidR="00F60D2E" w:rsidRPr="00577EB1" w:rsidRDefault="00F60D2E" w:rsidP="00F60D2E">
      <w:pPr>
        <w:tabs>
          <w:tab w:val="clear" w:pos="709"/>
          <w:tab w:val="left" w:pos="720"/>
        </w:tabs>
        <w:spacing w:after="0"/>
        <w:rPr>
          <w:rStyle w:val="content1"/>
          <w:highlight w:val="yellow"/>
          <w:lang w:val="fr-FR"/>
        </w:rPr>
      </w:pPr>
    </w:p>
    <w:p w:rsidR="0044117B" w:rsidRPr="00577EB1" w:rsidRDefault="0044117B" w:rsidP="00F60D2E">
      <w:pPr>
        <w:tabs>
          <w:tab w:val="clear" w:pos="709"/>
          <w:tab w:val="left" w:pos="720"/>
        </w:tabs>
        <w:spacing w:after="0"/>
        <w:rPr>
          <w:rStyle w:val="content1"/>
          <w:highlight w:val="yellow"/>
          <w:lang w:val="fr-FR"/>
        </w:rPr>
      </w:pPr>
    </w:p>
    <w:p w:rsidR="0044117B" w:rsidRPr="00577EB1" w:rsidRDefault="0044117B" w:rsidP="00F60D2E">
      <w:pPr>
        <w:tabs>
          <w:tab w:val="clear" w:pos="709"/>
          <w:tab w:val="left" w:pos="720"/>
        </w:tabs>
        <w:spacing w:after="0"/>
        <w:rPr>
          <w:rStyle w:val="content1"/>
          <w:highlight w:val="yellow"/>
          <w:lang w:val="fr-FR"/>
        </w:rPr>
      </w:pPr>
    </w:p>
    <w:p w:rsidR="0044117B" w:rsidRPr="00577EB1" w:rsidRDefault="0044117B" w:rsidP="00F60D2E">
      <w:pPr>
        <w:tabs>
          <w:tab w:val="clear" w:pos="709"/>
          <w:tab w:val="left" w:pos="720"/>
        </w:tabs>
        <w:spacing w:after="0"/>
        <w:rPr>
          <w:rStyle w:val="content1"/>
          <w:highlight w:val="yellow"/>
          <w:lang w:val="fr-FR"/>
        </w:rPr>
      </w:pPr>
    </w:p>
    <w:p w:rsidR="001D6703" w:rsidRPr="00577EB1" w:rsidRDefault="001D6703" w:rsidP="00F60D2E">
      <w:pPr>
        <w:tabs>
          <w:tab w:val="clear" w:pos="709"/>
          <w:tab w:val="left" w:pos="720"/>
        </w:tabs>
        <w:spacing w:after="0"/>
        <w:rPr>
          <w:rStyle w:val="content1"/>
          <w:highlight w:val="yellow"/>
          <w:lang w:val="fr-FR"/>
        </w:rPr>
      </w:pPr>
    </w:p>
    <w:p w:rsidR="001D6703" w:rsidRPr="00577EB1" w:rsidRDefault="001D6703" w:rsidP="00F60D2E">
      <w:pPr>
        <w:tabs>
          <w:tab w:val="clear" w:pos="709"/>
          <w:tab w:val="left" w:pos="720"/>
        </w:tabs>
        <w:spacing w:after="0"/>
        <w:rPr>
          <w:rStyle w:val="content1"/>
          <w:highlight w:val="yellow"/>
          <w:lang w:val="fr-FR"/>
        </w:rPr>
      </w:pPr>
    </w:p>
    <w:p w:rsidR="001D6703" w:rsidRDefault="001D6703"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Pr="00577EB1" w:rsidRDefault="00E132CD" w:rsidP="00F60D2E">
      <w:pPr>
        <w:tabs>
          <w:tab w:val="clear" w:pos="709"/>
          <w:tab w:val="left" w:pos="720"/>
        </w:tabs>
        <w:spacing w:after="0"/>
        <w:rPr>
          <w:rStyle w:val="content1"/>
          <w:highlight w:val="yellow"/>
          <w:lang w:val="fr-FR"/>
        </w:rPr>
      </w:pPr>
    </w:p>
    <w:p w:rsidR="001D6703" w:rsidRPr="00577EB1" w:rsidRDefault="001D6703" w:rsidP="00F60D2E">
      <w:pPr>
        <w:tabs>
          <w:tab w:val="clear" w:pos="709"/>
          <w:tab w:val="left" w:pos="720"/>
        </w:tabs>
        <w:spacing w:after="0"/>
        <w:rPr>
          <w:rStyle w:val="content1"/>
          <w:highlight w:val="yellow"/>
          <w:lang w:val="fr-FR"/>
        </w:rPr>
      </w:pPr>
    </w:p>
    <w:p w:rsidR="001D6703" w:rsidRPr="00577EB1" w:rsidRDefault="001D6703" w:rsidP="00F60D2E">
      <w:pPr>
        <w:tabs>
          <w:tab w:val="clear" w:pos="709"/>
          <w:tab w:val="left" w:pos="720"/>
        </w:tabs>
        <w:spacing w:after="0"/>
        <w:rPr>
          <w:rStyle w:val="content1"/>
          <w:highlight w:val="yellow"/>
          <w:lang w:val="fr-FR"/>
        </w:rPr>
      </w:pPr>
    </w:p>
    <w:p w:rsidR="0044117B" w:rsidRPr="00577EB1" w:rsidRDefault="0044117B" w:rsidP="00F60D2E">
      <w:pPr>
        <w:tabs>
          <w:tab w:val="clear" w:pos="709"/>
          <w:tab w:val="left" w:pos="720"/>
        </w:tabs>
        <w:spacing w:after="0"/>
        <w:rPr>
          <w:rStyle w:val="content1"/>
          <w:highlight w:val="yellow"/>
          <w:lang w:val="fr-FR"/>
        </w:rPr>
      </w:pPr>
    </w:p>
    <w:p w:rsidR="0044117B" w:rsidRDefault="0044117B"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Default="00E132CD" w:rsidP="00F60D2E">
      <w:pPr>
        <w:tabs>
          <w:tab w:val="clear" w:pos="709"/>
          <w:tab w:val="left" w:pos="720"/>
        </w:tabs>
        <w:spacing w:after="0"/>
        <w:rPr>
          <w:rStyle w:val="content1"/>
          <w:highlight w:val="yellow"/>
          <w:lang w:val="fr-FR"/>
        </w:rPr>
      </w:pPr>
    </w:p>
    <w:p w:rsidR="00E132CD" w:rsidRPr="00577EB1" w:rsidRDefault="00E132CD" w:rsidP="00F60D2E">
      <w:pPr>
        <w:tabs>
          <w:tab w:val="clear" w:pos="709"/>
          <w:tab w:val="left" w:pos="720"/>
        </w:tabs>
        <w:spacing w:after="0"/>
        <w:rPr>
          <w:rStyle w:val="content1"/>
          <w:highlight w:val="yellow"/>
          <w:lang w:val="fr-FR"/>
        </w:rPr>
      </w:pPr>
    </w:p>
    <w:p w:rsidR="0044117B" w:rsidRPr="00577EB1" w:rsidRDefault="0044117B" w:rsidP="00F60D2E">
      <w:pPr>
        <w:tabs>
          <w:tab w:val="clear" w:pos="709"/>
          <w:tab w:val="left" w:pos="720"/>
        </w:tabs>
        <w:spacing w:after="0"/>
        <w:rPr>
          <w:rStyle w:val="content1"/>
          <w:highlight w:val="yellow"/>
          <w:lang w:val="fr-FR"/>
        </w:rPr>
      </w:pPr>
    </w:p>
    <w:p w:rsidR="00F60D2E" w:rsidRPr="00577EB1" w:rsidRDefault="00F60D2E" w:rsidP="00F60D2E">
      <w:pPr>
        <w:tabs>
          <w:tab w:val="clear" w:pos="709"/>
          <w:tab w:val="left" w:pos="720"/>
        </w:tabs>
        <w:spacing w:after="0"/>
        <w:rPr>
          <w:rStyle w:val="content1"/>
          <w:highlight w:val="yellow"/>
          <w:lang w:val="fr-FR"/>
        </w:rPr>
      </w:pPr>
    </w:p>
    <w:p w:rsidR="00F60D2E" w:rsidRPr="00577EB1" w:rsidRDefault="007D6A4E" w:rsidP="00F60D2E">
      <w:pPr>
        <w:tabs>
          <w:tab w:val="clear" w:pos="709"/>
          <w:tab w:val="left" w:pos="720"/>
        </w:tabs>
        <w:spacing w:after="0"/>
        <w:outlineLvl w:val="0"/>
        <w:rPr>
          <w:rStyle w:val="StyleBold"/>
          <w:lang w:val="fr-FR"/>
        </w:rPr>
      </w:pPr>
      <w:r w:rsidRPr="00577EB1">
        <w:rPr>
          <w:rStyle w:val="StyleBold"/>
          <w:rFonts w:ascii="Arial" w:hAnsi="Arial"/>
          <w:b w:val="0"/>
          <w:lang w:val="fr-FR"/>
        </w:rPr>
        <w:t>Document</w:t>
      </w:r>
      <w:r w:rsidR="001D6703" w:rsidRPr="00577EB1">
        <w:rPr>
          <w:rStyle w:val="StyleBold"/>
          <w:rFonts w:ascii="Arial" w:hAnsi="Arial"/>
          <w:b w:val="0"/>
          <w:lang w:val="fr-FR"/>
        </w:rPr>
        <w:t xml:space="preserve"> </w:t>
      </w:r>
      <w:r w:rsidR="008374F0" w:rsidRPr="00577EB1">
        <w:rPr>
          <w:rStyle w:val="StyleBold"/>
          <w:rFonts w:ascii="Arial" w:hAnsi="Arial"/>
          <w:b w:val="0"/>
          <w:lang w:val="fr-FR"/>
        </w:rPr>
        <w:t>de la Banque mondiale</w:t>
      </w:r>
    </w:p>
    <w:p w:rsidR="00F60D2E" w:rsidRPr="00577EB1" w:rsidRDefault="00725419" w:rsidP="00F60D2E">
      <w:pPr>
        <w:tabs>
          <w:tab w:val="clear" w:pos="709"/>
          <w:tab w:val="left" w:pos="720"/>
        </w:tabs>
        <w:spacing w:after="0"/>
        <w:rPr>
          <w:rStyle w:val="StyleBold"/>
          <w:highlight w:val="yellow"/>
          <w:lang w:val="fr-FR"/>
        </w:rPr>
      </w:pPr>
      <w:r w:rsidRPr="00725419">
        <w:rPr>
          <w:rFonts w:ascii="Arial" w:hAnsi="Arial"/>
          <w:b/>
          <w:sz w:val="20"/>
          <w:highlight w:val="yellow"/>
          <w:lang w:val="fr-FR"/>
        </w:rPr>
        <w:pict>
          <v:line id="_x0000_s1028" style="position:absolute;left:0;text-align:left;z-index:251657216" from="0,10pt" to="180pt,10pt" strokeweight="2.25pt"/>
        </w:pict>
      </w:r>
    </w:p>
    <w:p w:rsidR="00A524F4" w:rsidRPr="00577EB1" w:rsidRDefault="00A524F4" w:rsidP="007D6A4E">
      <w:pPr>
        <w:spacing w:after="0"/>
        <w:rPr>
          <w:highlight w:val="yellow"/>
          <w:lang w:val="fr-FR"/>
        </w:rPr>
      </w:pPr>
    </w:p>
    <w:p w:rsidR="00A524F4" w:rsidRPr="00577EB1" w:rsidRDefault="00A524F4" w:rsidP="00A524F4">
      <w:pPr>
        <w:rPr>
          <w:highlight w:val="yellow"/>
          <w:lang w:val="fr-FR"/>
        </w:rPr>
        <w:sectPr w:rsidR="00A524F4" w:rsidRPr="00577EB1" w:rsidSect="008374F0">
          <w:headerReference w:type="even" r:id="rId9"/>
          <w:headerReference w:type="default" r:id="rId10"/>
          <w:footerReference w:type="even" r:id="rId11"/>
          <w:footerReference w:type="default" r:id="rId12"/>
          <w:headerReference w:type="first" r:id="rId13"/>
          <w:footerReference w:type="first" r:id="rId14"/>
          <w:pgSz w:w="11907" w:h="16839" w:code="9"/>
          <w:pgMar w:top="1440" w:right="1728" w:bottom="1440" w:left="1728" w:header="720" w:footer="720" w:gutter="0"/>
          <w:pgNumType w:start="3"/>
          <w:cols w:space="720"/>
          <w:titlePg/>
          <w:docGrid w:linePitch="326"/>
        </w:sectPr>
      </w:pPr>
    </w:p>
    <w:p w:rsidR="00A524F4" w:rsidRPr="0029548B" w:rsidRDefault="0065207E" w:rsidP="007D6A4E">
      <w:pPr>
        <w:spacing w:after="0"/>
        <w:jc w:val="center"/>
        <w:rPr>
          <w:b/>
          <w:sz w:val="22"/>
          <w:lang w:val="fr-FR"/>
        </w:rPr>
      </w:pPr>
      <w:r w:rsidRPr="0029548B">
        <w:rPr>
          <w:b/>
          <w:sz w:val="22"/>
          <w:lang w:val="fr-FR"/>
        </w:rPr>
        <w:lastRenderedPageBreak/>
        <w:t>EXERCICE FISCAL</w:t>
      </w:r>
    </w:p>
    <w:p w:rsidR="00A524F4" w:rsidRPr="0029548B" w:rsidRDefault="0065207E" w:rsidP="007D6A4E">
      <w:pPr>
        <w:spacing w:after="0"/>
        <w:jc w:val="center"/>
        <w:rPr>
          <w:sz w:val="22"/>
          <w:lang w:val="fr-FR"/>
        </w:rPr>
      </w:pPr>
      <w:r w:rsidRPr="0029548B">
        <w:rPr>
          <w:sz w:val="22"/>
          <w:lang w:val="fr-FR"/>
        </w:rPr>
        <w:t>1</w:t>
      </w:r>
      <w:r w:rsidRPr="0029548B">
        <w:rPr>
          <w:sz w:val="22"/>
          <w:vertAlign w:val="superscript"/>
          <w:lang w:val="fr-FR"/>
        </w:rPr>
        <w:t>er</w:t>
      </w:r>
      <w:r w:rsidRPr="0029548B">
        <w:rPr>
          <w:sz w:val="22"/>
          <w:lang w:val="fr-FR"/>
        </w:rPr>
        <w:t xml:space="preserve"> janvier au 31 décembre</w:t>
      </w:r>
    </w:p>
    <w:p w:rsidR="00F737B1" w:rsidRPr="0029548B" w:rsidRDefault="00F737B1" w:rsidP="007D6A4E">
      <w:pPr>
        <w:spacing w:after="0"/>
        <w:jc w:val="center"/>
        <w:rPr>
          <w:sz w:val="22"/>
          <w:lang w:val="fr-FR"/>
        </w:rPr>
      </w:pPr>
    </w:p>
    <w:p w:rsidR="00F737B1" w:rsidRPr="0029548B" w:rsidRDefault="0065207E" w:rsidP="0065207E">
      <w:pPr>
        <w:tabs>
          <w:tab w:val="clear" w:pos="709"/>
        </w:tabs>
        <w:spacing w:after="0"/>
        <w:jc w:val="center"/>
        <w:rPr>
          <w:b/>
          <w:sz w:val="22"/>
          <w:lang w:val="fr-FR"/>
        </w:rPr>
      </w:pPr>
      <w:r w:rsidRPr="0029548B">
        <w:rPr>
          <w:b/>
          <w:sz w:val="22"/>
          <w:lang w:val="fr-FR"/>
        </w:rPr>
        <w:t>ÉQUIVALENCE MONETAIRE</w:t>
      </w:r>
    </w:p>
    <w:tbl>
      <w:tblPr>
        <w:tblW w:w="0" w:type="auto"/>
        <w:tblInd w:w="1668" w:type="dxa"/>
        <w:tblLayout w:type="fixed"/>
        <w:tblLook w:val="01E0"/>
      </w:tblPr>
      <w:tblGrid>
        <w:gridCol w:w="2835"/>
        <w:gridCol w:w="236"/>
        <w:gridCol w:w="2883"/>
      </w:tblGrid>
      <w:tr w:rsidR="00F737B1" w:rsidRPr="0029548B" w:rsidTr="0065207E">
        <w:tc>
          <w:tcPr>
            <w:tcW w:w="2835" w:type="dxa"/>
          </w:tcPr>
          <w:p w:rsidR="00F737B1" w:rsidRPr="0029548B" w:rsidRDefault="0029548B" w:rsidP="007D6A4E">
            <w:pPr>
              <w:spacing w:after="0"/>
              <w:jc w:val="right"/>
              <w:rPr>
                <w:b/>
                <w:sz w:val="22"/>
                <w:lang w:val="fr-FR"/>
              </w:rPr>
            </w:pPr>
            <w:r>
              <w:rPr>
                <w:b/>
                <w:sz w:val="22"/>
                <w:lang w:val="fr-FR"/>
              </w:rPr>
              <w:t>Unité mo</w:t>
            </w:r>
            <w:r w:rsidR="0065207E" w:rsidRPr="0029548B">
              <w:rPr>
                <w:b/>
                <w:sz w:val="22"/>
                <w:lang w:val="fr-FR"/>
              </w:rPr>
              <w:t>nétaire</w:t>
            </w:r>
          </w:p>
        </w:tc>
        <w:tc>
          <w:tcPr>
            <w:tcW w:w="236" w:type="dxa"/>
          </w:tcPr>
          <w:p w:rsidR="00F737B1" w:rsidRPr="0029548B" w:rsidRDefault="00F737B1" w:rsidP="007D6A4E">
            <w:pPr>
              <w:spacing w:after="0"/>
              <w:jc w:val="center"/>
              <w:rPr>
                <w:b/>
                <w:sz w:val="22"/>
                <w:lang w:val="fr-FR"/>
              </w:rPr>
            </w:pPr>
            <w:r w:rsidRPr="0029548B">
              <w:rPr>
                <w:b/>
                <w:sz w:val="22"/>
                <w:lang w:val="fr-FR"/>
              </w:rPr>
              <w:t>:</w:t>
            </w:r>
          </w:p>
        </w:tc>
        <w:tc>
          <w:tcPr>
            <w:tcW w:w="2883" w:type="dxa"/>
          </w:tcPr>
          <w:p w:rsidR="00F737B1" w:rsidRPr="0029548B" w:rsidRDefault="0065207E" w:rsidP="0065207E">
            <w:pPr>
              <w:spacing w:after="0"/>
              <w:rPr>
                <w:b/>
                <w:sz w:val="22"/>
                <w:lang w:val="fr-FR"/>
              </w:rPr>
            </w:pPr>
            <w:r w:rsidRPr="0029548B">
              <w:rPr>
                <w:b/>
                <w:sz w:val="22"/>
                <w:lang w:val="fr-FR"/>
              </w:rPr>
              <w:t xml:space="preserve">Franc </w:t>
            </w:r>
            <w:r w:rsidR="00F737B1" w:rsidRPr="0029548B">
              <w:rPr>
                <w:b/>
                <w:sz w:val="22"/>
                <w:lang w:val="fr-FR"/>
              </w:rPr>
              <w:t>CFA (CFAF)</w:t>
            </w:r>
          </w:p>
        </w:tc>
      </w:tr>
      <w:tr w:rsidR="00F737B1" w:rsidRPr="0029548B" w:rsidTr="0065207E">
        <w:tc>
          <w:tcPr>
            <w:tcW w:w="5954" w:type="dxa"/>
            <w:gridSpan w:val="3"/>
          </w:tcPr>
          <w:p w:rsidR="00F737B1" w:rsidRPr="0029548B" w:rsidRDefault="00F737B1" w:rsidP="0065207E">
            <w:pPr>
              <w:spacing w:after="0"/>
              <w:jc w:val="center"/>
              <w:rPr>
                <w:b/>
                <w:sz w:val="22"/>
                <w:lang w:val="fr-FR"/>
              </w:rPr>
            </w:pPr>
            <w:r w:rsidRPr="0029548B">
              <w:rPr>
                <w:b/>
                <w:sz w:val="22"/>
                <w:lang w:val="fr-FR"/>
              </w:rPr>
              <w:t>(</w:t>
            </w:r>
            <w:r w:rsidR="0065207E" w:rsidRPr="0029548B">
              <w:rPr>
                <w:b/>
                <w:sz w:val="22"/>
                <w:lang w:val="fr-FR"/>
              </w:rPr>
              <w:t>au 31 décembre</w:t>
            </w:r>
            <w:r w:rsidRPr="0029548B">
              <w:rPr>
                <w:b/>
                <w:sz w:val="22"/>
                <w:lang w:val="fr-FR"/>
              </w:rPr>
              <w:t xml:space="preserve"> 2009)</w:t>
            </w:r>
          </w:p>
        </w:tc>
      </w:tr>
      <w:tr w:rsidR="00F737B1" w:rsidRPr="0029548B" w:rsidTr="0065207E">
        <w:tc>
          <w:tcPr>
            <w:tcW w:w="2835" w:type="dxa"/>
          </w:tcPr>
          <w:p w:rsidR="00F737B1" w:rsidRPr="0029548B" w:rsidRDefault="0065207E" w:rsidP="007D6A4E">
            <w:pPr>
              <w:spacing w:after="0"/>
              <w:jc w:val="right"/>
              <w:rPr>
                <w:b/>
                <w:sz w:val="22"/>
                <w:lang w:val="fr-FR"/>
              </w:rPr>
            </w:pPr>
            <w:r w:rsidRPr="0029548B">
              <w:rPr>
                <w:b/>
                <w:sz w:val="22"/>
                <w:lang w:val="fr-FR"/>
              </w:rPr>
              <w:t>1 dollar EU</w:t>
            </w:r>
            <w:r w:rsidR="00987142" w:rsidRPr="0029548B">
              <w:rPr>
                <w:b/>
                <w:sz w:val="22"/>
                <w:lang w:val="fr-FR"/>
              </w:rPr>
              <w:t xml:space="preserve"> </w:t>
            </w:r>
          </w:p>
        </w:tc>
        <w:tc>
          <w:tcPr>
            <w:tcW w:w="236" w:type="dxa"/>
          </w:tcPr>
          <w:p w:rsidR="00F737B1" w:rsidRPr="0029548B" w:rsidRDefault="00F737B1" w:rsidP="007D6A4E">
            <w:pPr>
              <w:spacing w:after="0"/>
              <w:jc w:val="center"/>
              <w:rPr>
                <w:b/>
                <w:sz w:val="22"/>
                <w:lang w:val="fr-FR"/>
              </w:rPr>
            </w:pPr>
            <w:r w:rsidRPr="0029548B">
              <w:rPr>
                <w:b/>
                <w:sz w:val="22"/>
                <w:lang w:val="fr-FR"/>
              </w:rPr>
              <w:t>:</w:t>
            </w:r>
          </w:p>
        </w:tc>
        <w:tc>
          <w:tcPr>
            <w:tcW w:w="2883" w:type="dxa"/>
          </w:tcPr>
          <w:p w:rsidR="00F737B1" w:rsidRPr="0029548B" w:rsidRDefault="003579DB" w:rsidP="0065207E">
            <w:pPr>
              <w:spacing w:after="0"/>
              <w:rPr>
                <w:b/>
                <w:sz w:val="22"/>
                <w:lang w:val="fr-FR"/>
              </w:rPr>
            </w:pPr>
            <w:r w:rsidRPr="0029548B">
              <w:rPr>
                <w:b/>
                <w:sz w:val="22"/>
                <w:lang w:val="fr-FR"/>
              </w:rPr>
              <w:t>480</w:t>
            </w:r>
            <w:r w:rsidR="0065207E" w:rsidRPr="0029548B">
              <w:rPr>
                <w:b/>
                <w:sz w:val="22"/>
                <w:lang w:val="fr-FR"/>
              </w:rPr>
              <w:t>,</w:t>
            </w:r>
            <w:r w:rsidRPr="0029548B">
              <w:rPr>
                <w:b/>
                <w:sz w:val="22"/>
                <w:lang w:val="fr-FR"/>
              </w:rPr>
              <w:t>00</w:t>
            </w:r>
            <w:r w:rsidR="0065207E" w:rsidRPr="0029548B">
              <w:rPr>
                <w:b/>
                <w:sz w:val="22"/>
                <w:lang w:val="fr-FR"/>
              </w:rPr>
              <w:t xml:space="preserve"> francs CFA</w:t>
            </w:r>
          </w:p>
        </w:tc>
      </w:tr>
    </w:tbl>
    <w:p w:rsidR="00F737B1" w:rsidRPr="0029548B" w:rsidRDefault="00F737B1" w:rsidP="007D6A4E">
      <w:pPr>
        <w:spacing w:after="0"/>
        <w:jc w:val="center"/>
        <w:rPr>
          <w:b/>
          <w:sz w:val="22"/>
          <w:lang w:val="fr-FR"/>
        </w:rPr>
      </w:pPr>
    </w:p>
    <w:p w:rsidR="00F737B1" w:rsidRPr="0029548B" w:rsidRDefault="0065207E" w:rsidP="007D6A4E">
      <w:pPr>
        <w:spacing w:after="0"/>
        <w:jc w:val="center"/>
        <w:rPr>
          <w:b/>
          <w:sz w:val="22"/>
          <w:lang w:val="fr-FR"/>
        </w:rPr>
      </w:pPr>
      <w:r w:rsidRPr="0029548B">
        <w:rPr>
          <w:b/>
          <w:sz w:val="22"/>
          <w:lang w:val="fr-FR"/>
        </w:rPr>
        <w:t>POIDS ET MESURES</w:t>
      </w:r>
    </w:p>
    <w:p w:rsidR="00F737B1" w:rsidRPr="0029548B" w:rsidRDefault="0065207E" w:rsidP="007D6A4E">
      <w:pPr>
        <w:spacing w:after="0"/>
        <w:jc w:val="center"/>
        <w:rPr>
          <w:sz w:val="22"/>
          <w:lang w:val="fr-FR"/>
        </w:rPr>
      </w:pPr>
      <w:r w:rsidRPr="0029548B">
        <w:rPr>
          <w:sz w:val="22"/>
          <w:lang w:val="fr-FR"/>
        </w:rPr>
        <w:t>Système métrique</w:t>
      </w:r>
    </w:p>
    <w:p w:rsidR="00F737B1" w:rsidRPr="0029548B" w:rsidRDefault="00F737B1" w:rsidP="007D6A4E">
      <w:pPr>
        <w:spacing w:after="0"/>
        <w:jc w:val="center"/>
        <w:rPr>
          <w:b/>
          <w:sz w:val="22"/>
          <w:highlight w:val="yellow"/>
          <w:lang w:val="fr-FR"/>
        </w:rPr>
      </w:pPr>
    </w:p>
    <w:p w:rsidR="00F737B1" w:rsidRPr="0029548B" w:rsidRDefault="00F737B1" w:rsidP="00B07173">
      <w:pPr>
        <w:spacing w:after="0"/>
        <w:jc w:val="center"/>
        <w:rPr>
          <w:b/>
          <w:sz w:val="22"/>
          <w:lang w:val="fr-FR"/>
        </w:rPr>
      </w:pPr>
      <w:r w:rsidRPr="0029548B">
        <w:rPr>
          <w:b/>
          <w:sz w:val="22"/>
          <w:lang w:val="fr-FR"/>
        </w:rPr>
        <w:t>ABR</w:t>
      </w:r>
      <w:r w:rsidR="0065207E" w:rsidRPr="0029548B">
        <w:rPr>
          <w:b/>
          <w:sz w:val="22"/>
          <w:lang w:val="fr-FR"/>
        </w:rPr>
        <w:t>É</w:t>
      </w:r>
      <w:r w:rsidRPr="0029548B">
        <w:rPr>
          <w:b/>
          <w:sz w:val="22"/>
          <w:lang w:val="fr-FR"/>
        </w:rPr>
        <w:t xml:space="preserve">VIATIONS </w:t>
      </w:r>
      <w:r w:rsidR="0065207E" w:rsidRPr="0029548B">
        <w:rPr>
          <w:b/>
          <w:sz w:val="22"/>
          <w:lang w:val="fr-FR"/>
        </w:rPr>
        <w:t>ET</w:t>
      </w:r>
      <w:r w:rsidRPr="0029548B">
        <w:rPr>
          <w:b/>
          <w:sz w:val="22"/>
          <w:lang w:val="fr-FR"/>
        </w:rPr>
        <w:t xml:space="preserve"> ACRONYM</w:t>
      </w:r>
      <w:r w:rsidR="0065207E" w:rsidRPr="0029548B">
        <w:rPr>
          <w:b/>
          <w:sz w:val="22"/>
          <w:lang w:val="fr-FR"/>
        </w:rPr>
        <w:t>E</w:t>
      </w:r>
      <w:r w:rsidRPr="0029548B">
        <w:rPr>
          <w:b/>
          <w:sz w:val="22"/>
          <w:lang w:val="fr-FR"/>
        </w:rPr>
        <w:t>S</w:t>
      </w:r>
    </w:p>
    <w:p w:rsidR="0065207E" w:rsidRPr="0029548B" w:rsidRDefault="0065207E" w:rsidP="00B07173">
      <w:pPr>
        <w:spacing w:after="0"/>
        <w:jc w:val="center"/>
        <w:rPr>
          <w:b/>
          <w:sz w:val="22"/>
          <w:highlight w:val="yellow"/>
          <w:lang w:val="fr-FR"/>
        </w:rPr>
      </w:pPr>
    </w:p>
    <w:tbl>
      <w:tblPr>
        <w:tblW w:w="9084" w:type="dxa"/>
        <w:tblInd w:w="58" w:type="dxa"/>
        <w:tblCellMar>
          <w:left w:w="70" w:type="dxa"/>
          <w:right w:w="70" w:type="dxa"/>
        </w:tblCellMar>
        <w:tblLook w:val="04A0"/>
      </w:tblPr>
      <w:tblGrid>
        <w:gridCol w:w="1174"/>
        <w:gridCol w:w="7910"/>
      </w:tblGrid>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ACT</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Thérapie combinée à base d'artémisinine</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AFD</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Agence française de développement</w:t>
            </w:r>
          </w:p>
        </w:tc>
      </w:tr>
      <w:tr w:rsidR="00DE54E7" w:rsidRPr="008E7B13" w:rsidTr="00BE55AF">
        <w:tc>
          <w:tcPr>
            <w:tcW w:w="1174" w:type="dxa"/>
            <w:shd w:val="clear" w:color="auto" w:fill="auto"/>
            <w:hideMark/>
          </w:tcPr>
          <w:p w:rsidR="00DE54E7" w:rsidRPr="0029548B" w:rsidRDefault="00DE54E7" w:rsidP="0029548B">
            <w:pPr>
              <w:tabs>
                <w:tab w:val="clear" w:pos="709"/>
              </w:tabs>
              <w:spacing w:after="0"/>
              <w:jc w:val="left"/>
              <w:rPr>
                <w:rFonts w:eastAsia="Times New Roman"/>
                <w:color w:val="000000"/>
                <w:sz w:val="20"/>
                <w:szCs w:val="20"/>
                <w:lang w:val="fr-FR" w:eastAsia="fr-BE"/>
              </w:rPr>
            </w:pPr>
            <w:r>
              <w:rPr>
                <w:rFonts w:eastAsia="Times New Roman"/>
                <w:color w:val="000000"/>
                <w:sz w:val="20"/>
                <w:szCs w:val="20"/>
                <w:lang w:val="fr-FR" w:eastAsia="fr-BE"/>
              </w:rPr>
              <w:t>AMBC</w:t>
            </w:r>
          </w:p>
        </w:tc>
        <w:tc>
          <w:tcPr>
            <w:tcW w:w="7910" w:type="dxa"/>
            <w:shd w:val="clear" w:color="auto" w:fill="auto"/>
            <w:hideMark/>
          </w:tcPr>
          <w:p w:rsidR="00DE54E7" w:rsidRPr="0029548B" w:rsidRDefault="00DE54E7" w:rsidP="0029548B">
            <w:pPr>
              <w:tabs>
                <w:tab w:val="clear" w:pos="709"/>
              </w:tabs>
              <w:spacing w:after="0"/>
              <w:jc w:val="left"/>
              <w:rPr>
                <w:rFonts w:eastAsia="Times New Roman"/>
                <w:color w:val="000000"/>
                <w:sz w:val="20"/>
                <w:szCs w:val="20"/>
                <w:lang w:val="fr-FR" w:eastAsia="fr-BE"/>
              </w:rPr>
            </w:pPr>
            <w:r>
              <w:rPr>
                <w:rFonts w:eastAsia="Times New Roman"/>
                <w:color w:val="000000"/>
                <w:sz w:val="20"/>
                <w:szCs w:val="20"/>
                <w:lang w:val="fr-FR" w:eastAsia="fr-BE"/>
              </w:rPr>
              <w:t>Assurance Maladie à Base Communautaire</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APE</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Association des parents d’élèves</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ASS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Afrique subsaharienne</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BM</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Banque mondiale</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CAST</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Compte d’affectation spéciale du Trésor</w:t>
            </w:r>
          </w:p>
        </w:tc>
      </w:tr>
      <w:tr w:rsidR="0029548B" w:rsidRPr="00D23E97"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CCT</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Transfert monétaire conditionnel (</w:t>
            </w:r>
            <w:r w:rsidRPr="0029548B">
              <w:rPr>
                <w:rFonts w:eastAsia="Times New Roman"/>
                <w:i/>
                <w:iCs/>
                <w:color w:val="000000"/>
                <w:sz w:val="20"/>
                <w:szCs w:val="20"/>
                <w:lang w:val="fr-FR" w:eastAsia="fr-BE"/>
              </w:rPr>
              <w:t>Conditional Cash Transfer</w:t>
            </w:r>
            <w:r w:rsidRPr="0029548B">
              <w:rPr>
                <w:rFonts w:eastAsia="Times New Roman"/>
                <w:color w:val="000000"/>
                <w:sz w:val="20"/>
                <w:szCs w:val="20"/>
                <w:lang w:val="fr-FR" w:eastAsia="fr-BE"/>
              </w:rPr>
              <w:t>)</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CDMT</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Cadre des dépenses à moyen terme</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CE</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Commission européenne</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CEDEAO</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Communauté économique des États de l'Afrique de l'Ouest</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CILSS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 xml:space="preserve">Comité permanent inter-États de lutte contre la sécheresse dans le Sahel </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CNLS-IST</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Conseil national de lutte contre le sida et les infections sexuellement transmissibles</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CNRST</w:t>
            </w:r>
          </w:p>
        </w:tc>
        <w:tc>
          <w:tcPr>
            <w:tcW w:w="7910" w:type="dxa"/>
            <w:shd w:val="clear" w:color="auto" w:fill="auto"/>
            <w:hideMark/>
          </w:tcPr>
          <w:p w:rsidR="0029548B" w:rsidRPr="0029548B" w:rsidRDefault="0029548B" w:rsidP="0061400E">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Cent</w:t>
            </w:r>
            <w:r w:rsidR="0061400E">
              <w:rPr>
                <w:rFonts w:eastAsia="Times New Roman"/>
                <w:color w:val="000000"/>
                <w:sz w:val="20"/>
                <w:szCs w:val="20"/>
                <w:lang w:val="fr-FR" w:eastAsia="fr-BE"/>
              </w:rPr>
              <w:t>re</w:t>
            </w:r>
            <w:r w:rsidRPr="0029548B">
              <w:rPr>
                <w:rFonts w:eastAsia="Times New Roman"/>
                <w:color w:val="000000"/>
                <w:sz w:val="20"/>
                <w:szCs w:val="20"/>
                <w:lang w:val="fr-FR" w:eastAsia="fr-BE"/>
              </w:rPr>
              <w:t xml:space="preserve"> national de </w:t>
            </w:r>
            <w:r w:rsidR="0061400E">
              <w:rPr>
                <w:rFonts w:eastAsia="Times New Roman"/>
                <w:color w:val="000000"/>
                <w:sz w:val="20"/>
                <w:szCs w:val="20"/>
                <w:lang w:val="fr-FR" w:eastAsia="fr-BE"/>
              </w:rPr>
              <w:t xml:space="preserve">la </w:t>
            </w:r>
            <w:r w:rsidRPr="0029548B">
              <w:rPr>
                <w:rFonts w:eastAsia="Times New Roman"/>
                <w:color w:val="000000"/>
                <w:sz w:val="20"/>
                <w:szCs w:val="20"/>
                <w:lang w:val="fr-FR" w:eastAsia="fr-BE"/>
              </w:rPr>
              <w:t>recherche scientifique et technologique</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CNSA</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Conseil national de sécurité alimentaire</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COGES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Comité de gestion des CSPS</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CONASUR</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Conseil national de secours d’urgence et de réhabilitation</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CRB</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Croix-Rouge Burkinabè</w:t>
            </w:r>
          </w:p>
        </w:tc>
      </w:tr>
      <w:tr w:rsidR="00BE55AF" w:rsidRPr="008E7B13" w:rsidTr="00BE55AF">
        <w:tc>
          <w:tcPr>
            <w:tcW w:w="1174" w:type="dxa"/>
            <w:shd w:val="clear" w:color="auto" w:fill="auto"/>
            <w:hideMark/>
          </w:tcPr>
          <w:p w:rsidR="00BE55AF" w:rsidRPr="0029548B" w:rsidRDefault="00BE55AF" w:rsidP="0029548B">
            <w:pPr>
              <w:tabs>
                <w:tab w:val="clear" w:pos="709"/>
              </w:tabs>
              <w:spacing w:after="0"/>
              <w:jc w:val="left"/>
              <w:rPr>
                <w:rFonts w:eastAsia="Times New Roman"/>
                <w:color w:val="000000"/>
                <w:sz w:val="20"/>
                <w:szCs w:val="20"/>
                <w:lang w:val="fr-FR" w:eastAsia="fr-BE"/>
              </w:rPr>
            </w:pPr>
            <w:r w:rsidRPr="000D6F7C">
              <w:rPr>
                <w:sz w:val="20"/>
                <w:szCs w:val="20"/>
                <w:lang w:val="en-GB"/>
              </w:rPr>
              <w:t>CRCHUM</w:t>
            </w:r>
          </w:p>
        </w:tc>
        <w:tc>
          <w:tcPr>
            <w:tcW w:w="7910" w:type="dxa"/>
            <w:shd w:val="clear" w:color="auto" w:fill="auto"/>
            <w:hideMark/>
          </w:tcPr>
          <w:p w:rsidR="00BE55AF" w:rsidRPr="00BE55AF" w:rsidRDefault="00BE55AF" w:rsidP="0029548B">
            <w:pPr>
              <w:tabs>
                <w:tab w:val="clear" w:pos="709"/>
              </w:tabs>
              <w:spacing w:after="0"/>
              <w:jc w:val="left"/>
              <w:rPr>
                <w:rFonts w:eastAsia="Times New Roman"/>
                <w:color w:val="000000"/>
                <w:sz w:val="20"/>
                <w:szCs w:val="20"/>
                <w:lang w:val="fr-FR" w:eastAsia="fr-BE"/>
              </w:rPr>
            </w:pPr>
            <w:r w:rsidRPr="00BE55AF">
              <w:rPr>
                <w:sz w:val="20"/>
                <w:szCs w:val="20"/>
                <w:lang w:val="fr-FR"/>
              </w:rPr>
              <w:t>Centre de Recherche du Centre Hospitalier de l’Université de Montréal</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CRS</w:t>
            </w:r>
          </w:p>
        </w:tc>
        <w:tc>
          <w:tcPr>
            <w:tcW w:w="7910" w:type="dxa"/>
            <w:shd w:val="clear" w:color="auto" w:fill="auto"/>
            <w:hideMark/>
          </w:tcPr>
          <w:p w:rsidR="0029548B" w:rsidRPr="0029548B" w:rsidRDefault="0029548B" w:rsidP="0029548B">
            <w:pPr>
              <w:tabs>
                <w:tab w:val="clear" w:pos="709"/>
              </w:tabs>
              <w:spacing w:after="0"/>
              <w:jc w:val="left"/>
              <w:rPr>
                <w:rFonts w:eastAsia="Times New Roman"/>
                <w:i/>
                <w:iCs/>
                <w:color w:val="000000"/>
                <w:sz w:val="20"/>
                <w:szCs w:val="20"/>
                <w:lang w:val="fr-FR" w:eastAsia="fr-BE"/>
              </w:rPr>
            </w:pPr>
            <w:r w:rsidRPr="0029548B">
              <w:rPr>
                <w:rFonts w:eastAsia="Times New Roman"/>
                <w:i/>
                <w:iCs/>
                <w:color w:val="000000"/>
                <w:sz w:val="20"/>
                <w:szCs w:val="20"/>
                <w:lang w:val="fr-FR" w:eastAsia="fr-BE"/>
              </w:rPr>
              <w:t>Catholic Relief Services</w:t>
            </w:r>
          </w:p>
        </w:tc>
      </w:tr>
      <w:tr w:rsidR="00DE54E7" w:rsidRPr="008E7B13" w:rsidTr="00BE55AF">
        <w:tc>
          <w:tcPr>
            <w:tcW w:w="1174" w:type="dxa"/>
            <w:shd w:val="clear" w:color="auto" w:fill="auto"/>
            <w:hideMark/>
          </w:tcPr>
          <w:p w:rsidR="00DE54E7" w:rsidRPr="0029548B" w:rsidRDefault="00DE54E7" w:rsidP="0029548B">
            <w:pPr>
              <w:tabs>
                <w:tab w:val="clear" w:pos="709"/>
              </w:tabs>
              <w:spacing w:after="0"/>
              <w:jc w:val="left"/>
              <w:rPr>
                <w:rFonts w:eastAsia="Times New Roman"/>
                <w:color w:val="000000"/>
                <w:sz w:val="20"/>
                <w:szCs w:val="20"/>
                <w:lang w:val="fr-FR" w:eastAsia="fr-BE"/>
              </w:rPr>
            </w:pPr>
            <w:r>
              <w:rPr>
                <w:rFonts w:eastAsia="Times New Roman"/>
                <w:color w:val="000000"/>
                <w:sz w:val="20"/>
                <w:szCs w:val="20"/>
                <w:lang w:val="fr-FR" w:eastAsia="fr-BE"/>
              </w:rPr>
              <w:t>CRSN</w:t>
            </w:r>
          </w:p>
        </w:tc>
        <w:tc>
          <w:tcPr>
            <w:tcW w:w="7910" w:type="dxa"/>
            <w:shd w:val="clear" w:color="auto" w:fill="auto"/>
            <w:hideMark/>
          </w:tcPr>
          <w:p w:rsidR="00DE54E7" w:rsidRPr="00DE54E7" w:rsidRDefault="00EB214A" w:rsidP="0029548B">
            <w:pPr>
              <w:tabs>
                <w:tab w:val="clear" w:pos="709"/>
              </w:tabs>
              <w:spacing w:after="0"/>
              <w:jc w:val="left"/>
              <w:rPr>
                <w:rFonts w:eastAsia="Times New Roman"/>
                <w:iCs/>
                <w:color w:val="000000"/>
                <w:sz w:val="20"/>
                <w:szCs w:val="20"/>
                <w:lang w:val="fr-FR" w:eastAsia="fr-BE"/>
              </w:rPr>
            </w:pPr>
            <w:r w:rsidRPr="00EB214A">
              <w:rPr>
                <w:rFonts w:eastAsia="Times New Roman"/>
                <w:iCs/>
                <w:color w:val="000000"/>
                <w:sz w:val="20"/>
                <w:szCs w:val="20"/>
                <w:lang w:val="fr-FR" w:eastAsia="fr-BE"/>
              </w:rPr>
              <w:t>Centre de Recherche en Santé de Nouna</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sz w:val="20"/>
                <w:szCs w:val="20"/>
                <w:lang w:val="fr-FR" w:eastAsia="fr-BE"/>
              </w:rPr>
            </w:pPr>
            <w:r w:rsidRPr="0029548B">
              <w:rPr>
                <w:rFonts w:eastAsia="Times New Roman"/>
                <w:sz w:val="20"/>
                <w:szCs w:val="20"/>
                <w:lang w:val="fr-FR" w:eastAsia="fr-BE"/>
              </w:rPr>
              <w:t>CSLP</w:t>
            </w:r>
          </w:p>
        </w:tc>
        <w:tc>
          <w:tcPr>
            <w:tcW w:w="7910" w:type="dxa"/>
            <w:shd w:val="clear" w:color="auto" w:fill="auto"/>
            <w:hideMark/>
          </w:tcPr>
          <w:p w:rsidR="0029548B" w:rsidRPr="0029548B" w:rsidRDefault="0029548B" w:rsidP="0029548B">
            <w:pPr>
              <w:tabs>
                <w:tab w:val="clear" w:pos="709"/>
              </w:tabs>
              <w:spacing w:after="0"/>
              <w:jc w:val="left"/>
              <w:rPr>
                <w:rFonts w:eastAsia="Times New Roman"/>
                <w:sz w:val="20"/>
                <w:szCs w:val="20"/>
                <w:lang w:val="fr-FR" w:eastAsia="fr-BE"/>
              </w:rPr>
            </w:pPr>
            <w:r w:rsidRPr="0029548B">
              <w:rPr>
                <w:rFonts w:eastAsia="Times New Roman"/>
                <w:sz w:val="20"/>
                <w:szCs w:val="20"/>
                <w:lang w:val="fr-FR" w:eastAsia="fr-BE"/>
              </w:rPr>
              <w:t xml:space="preserve">Cadre stratégique de lutte contre la pauvreté (ancien nom du Document de stratégie pour la réduction de la pauvreté) </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CSPS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Center de santé et de promotion sociale</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CST</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Commission sectorielle et thématique</w:t>
            </w:r>
          </w:p>
        </w:tc>
      </w:tr>
      <w:tr w:rsidR="00DE54E7" w:rsidRPr="0029548B" w:rsidTr="00BE55AF">
        <w:tc>
          <w:tcPr>
            <w:tcW w:w="1174" w:type="dxa"/>
            <w:shd w:val="clear" w:color="auto" w:fill="auto"/>
            <w:hideMark/>
          </w:tcPr>
          <w:p w:rsidR="00DE54E7" w:rsidRPr="0029548B" w:rsidRDefault="00DE54E7" w:rsidP="0029548B">
            <w:pPr>
              <w:tabs>
                <w:tab w:val="clear" w:pos="709"/>
              </w:tabs>
              <w:spacing w:after="0"/>
              <w:jc w:val="left"/>
              <w:rPr>
                <w:rFonts w:eastAsia="Times New Roman"/>
                <w:color w:val="000000"/>
                <w:sz w:val="20"/>
                <w:szCs w:val="20"/>
                <w:lang w:val="fr-FR" w:eastAsia="fr-BE"/>
              </w:rPr>
            </w:pPr>
            <w:r>
              <w:rPr>
                <w:rFonts w:eastAsia="Times New Roman"/>
                <w:color w:val="000000"/>
                <w:sz w:val="20"/>
                <w:szCs w:val="20"/>
                <w:lang w:val="fr-FR" w:eastAsia="fr-BE"/>
              </w:rPr>
              <w:t>CWR</w:t>
            </w:r>
          </w:p>
        </w:tc>
        <w:tc>
          <w:tcPr>
            <w:tcW w:w="7910" w:type="dxa"/>
            <w:shd w:val="clear" w:color="auto" w:fill="auto"/>
            <w:hideMark/>
          </w:tcPr>
          <w:p w:rsidR="00DE54E7" w:rsidRPr="00DE54E7" w:rsidRDefault="00EB214A" w:rsidP="0029548B">
            <w:pPr>
              <w:tabs>
                <w:tab w:val="clear" w:pos="709"/>
              </w:tabs>
              <w:spacing w:after="0"/>
              <w:jc w:val="left"/>
              <w:rPr>
                <w:rFonts w:eastAsia="Times New Roman"/>
                <w:i/>
                <w:color w:val="000000"/>
                <w:sz w:val="20"/>
                <w:szCs w:val="20"/>
                <w:lang w:val="fr-FR" w:eastAsia="fr-BE"/>
              </w:rPr>
            </w:pPr>
            <w:r w:rsidRPr="00EB214A">
              <w:rPr>
                <w:rFonts w:eastAsia="Times New Roman"/>
                <w:i/>
                <w:color w:val="000000"/>
                <w:sz w:val="20"/>
                <w:szCs w:val="20"/>
                <w:lang w:val="fr-FR" w:eastAsia="fr-BE"/>
              </w:rPr>
              <w:t>Community Wealth Ranking</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DAF</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Direction administrative et financière</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DECRG</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Groupe de recherche sur l'économie du développement (de la Banque mondiale)</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DfID</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Département pour le développement international du Royaume-Uni (</w:t>
            </w:r>
            <w:r w:rsidRPr="0029548B">
              <w:rPr>
                <w:rFonts w:eastAsia="Times New Roman"/>
                <w:i/>
                <w:iCs/>
                <w:color w:val="000000"/>
                <w:sz w:val="20"/>
                <w:szCs w:val="20"/>
                <w:lang w:val="fr-FR" w:eastAsia="fr-BE"/>
              </w:rPr>
              <w:t>Department for International Development</w:t>
            </w:r>
            <w:r w:rsidRPr="0029548B">
              <w:rPr>
                <w:rFonts w:eastAsia="Times New Roman"/>
                <w:color w:val="000000"/>
                <w:sz w:val="20"/>
                <w:szCs w:val="20"/>
                <w:lang w:val="fr-FR" w:eastAsia="fr-BE"/>
              </w:rPr>
              <w:t>)</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DGB</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Direction générale du budget</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DGCOOP</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Direction générale de la coopération</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DGEP</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Directeur de l'économie et de la planification</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DGPER</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Direction générale de la promotion de l'économie rurale</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DMEG</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Dépôt de médicaments essentiels génériques</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DNEB</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Direction nationale de l’enseignement de base</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ECHO</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 xml:space="preserve">Service d'aide humanitaire et de protection civile de la Commission </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EDP</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Examen des dépenses publiques</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EICVM</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Enquête intégrale sur les conditions de vie des ménages</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FCFA</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Franc CFA</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FMI</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Fonds monétaire international</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FNS</w:t>
            </w:r>
          </w:p>
        </w:tc>
        <w:tc>
          <w:tcPr>
            <w:tcW w:w="7910" w:type="dxa"/>
            <w:shd w:val="clear" w:color="auto" w:fill="auto"/>
            <w:hideMark/>
          </w:tcPr>
          <w:p w:rsidR="0029548B" w:rsidRPr="0029548B" w:rsidRDefault="0029548B" w:rsidP="0029548B">
            <w:pPr>
              <w:tabs>
                <w:tab w:val="clear" w:pos="709"/>
              </w:tabs>
              <w:spacing w:after="0"/>
              <w:jc w:val="left"/>
              <w:rPr>
                <w:rFonts w:eastAsia="Times New Roman"/>
                <w:i/>
                <w:iCs/>
                <w:color w:val="000000"/>
                <w:sz w:val="20"/>
                <w:szCs w:val="20"/>
                <w:lang w:val="fr-FR" w:eastAsia="fr-BE"/>
              </w:rPr>
            </w:pPr>
            <w:r w:rsidRPr="0029548B">
              <w:rPr>
                <w:rFonts w:eastAsia="Times New Roman"/>
                <w:i/>
                <w:iCs/>
                <w:color w:val="000000"/>
                <w:sz w:val="20"/>
                <w:szCs w:val="20"/>
                <w:lang w:val="fr-FR" w:eastAsia="fr-BE"/>
              </w:rPr>
              <w:t>Fonds national de solidarité</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IDH</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Indice de développement humain</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IRD</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Institut de recherche pour le développement</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IRSS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Institut de recherche en sciences de la santé du CNRST</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MAHRH</w:t>
            </w:r>
          </w:p>
        </w:tc>
        <w:tc>
          <w:tcPr>
            <w:tcW w:w="7910" w:type="dxa"/>
            <w:shd w:val="clear" w:color="auto" w:fill="auto"/>
            <w:hideMark/>
          </w:tcPr>
          <w:p w:rsidR="0029548B" w:rsidRPr="0029548B" w:rsidRDefault="0029548B" w:rsidP="0029548B">
            <w:pPr>
              <w:tabs>
                <w:tab w:val="clear" w:pos="709"/>
              </w:tabs>
              <w:spacing w:after="0"/>
              <w:jc w:val="left"/>
              <w:rPr>
                <w:rFonts w:eastAsia="Times New Roman"/>
                <w:iCs/>
                <w:color w:val="000000"/>
                <w:sz w:val="20"/>
                <w:szCs w:val="20"/>
                <w:lang w:val="fr-FR" w:eastAsia="fr-BE"/>
              </w:rPr>
            </w:pPr>
            <w:r w:rsidRPr="0029548B">
              <w:rPr>
                <w:rFonts w:eastAsia="Times New Roman"/>
                <w:iCs/>
                <w:color w:val="000000"/>
                <w:sz w:val="20"/>
                <w:szCs w:val="20"/>
                <w:lang w:val="fr-FR" w:eastAsia="fr-BE"/>
              </w:rPr>
              <w:t>Ministère de l’Agriculture, de l’Hydraulique et des Ressources halieutiques</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lastRenderedPageBreak/>
              <w:t>MAMS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Maquette pour la simulation des OMD</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MASSN</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Ministère de l’Action sociale et de la Solidarité nationale</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MdS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Ministère de la Santé</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MEBA</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FR" w:eastAsia="fr-BE"/>
              </w:rPr>
            </w:pPr>
            <w:r w:rsidRPr="0029548B">
              <w:rPr>
                <w:rFonts w:eastAsia="Times New Roman"/>
                <w:color w:val="000000"/>
                <w:sz w:val="20"/>
                <w:szCs w:val="20"/>
                <w:lang w:val="fr-FR" w:eastAsia="fr-BE"/>
              </w:rPr>
              <w:t>Ministère de l'Enseignement de base et de l'Alphabétisation</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MEF</w:t>
            </w:r>
          </w:p>
        </w:tc>
        <w:tc>
          <w:tcPr>
            <w:tcW w:w="7910" w:type="dxa"/>
            <w:shd w:val="clear" w:color="auto" w:fill="auto"/>
            <w:hideMark/>
          </w:tcPr>
          <w:p w:rsidR="0029548B" w:rsidRPr="0029548B" w:rsidRDefault="0029548B" w:rsidP="00A23A26">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Ministère de l'</w:t>
            </w:r>
            <w:r w:rsidR="00A23A26">
              <w:rPr>
                <w:rFonts w:eastAsia="Times New Roman"/>
                <w:color w:val="000000"/>
                <w:sz w:val="20"/>
                <w:szCs w:val="20"/>
                <w:lang w:val="fr-BE" w:eastAsia="fr-BE"/>
              </w:rPr>
              <w:t>É</w:t>
            </w:r>
            <w:r w:rsidRPr="0029548B">
              <w:rPr>
                <w:rFonts w:eastAsia="Times New Roman"/>
                <w:color w:val="000000"/>
                <w:sz w:val="20"/>
                <w:szCs w:val="20"/>
                <w:lang w:val="fr-BE" w:eastAsia="fr-BE"/>
              </w:rPr>
              <w:t>conomie et des Finances</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MESSRS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Ministère de l'Enseignement secondaire et supérieur et de la Recherche scientifique</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MID</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Ministère des infrastructures et du désenclavement</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MJE</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Ministère de la Jeunesse et de l’Emploi</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MMS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Mélange maïs-soya</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MPF</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Ministère de la Promotion de la femme</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MSF</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Médecins Sans Frontières</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MTSS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Ministère du Travail et de la Sécurité sociale</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OCDE</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 xml:space="preserve">Organisation de coopération et de développement économiques </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OEV</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Orphelins et enfants vulnérables</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OIT</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 xml:space="preserve">Organisation internationale du travail </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OMD</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Objectif du Millénaire pour le développement</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OMS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Organisation mondiale de la santé</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ONG</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Organisation non gouvernementale</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ONU</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Organisation des Nations Unies</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PADS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Programme d’appui au développement sanitaire</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PAM</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Programme alimentaire mondial</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PAP-DSRP</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Programme d'action prioritaire pour la mise en œuvre du DSRP</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PIB</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Produit intérieur brut</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PNDS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Plan national de développement sanitaire</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PNOCSUR</w:t>
            </w:r>
          </w:p>
        </w:tc>
        <w:tc>
          <w:tcPr>
            <w:tcW w:w="7910" w:type="dxa"/>
            <w:shd w:val="clear" w:color="auto" w:fill="auto"/>
            <w:hideMark/>
          </w:tcPr>
          <w:p w:rsidR="0029548B" w:rsidRPr="00A23A26" w:rsidRDefault="0029548B" w:rsidP="0029548B">
            <w:pPr>
              <w:tabs>
                <w:tab w:val="clear" w:pos="709"/>
              </w:tabs>
              <w:spacing w:after="0"/>
              <w:jc w:val="left"/>
              <w:rPr>
                <w:rFonts w:eastAsia="Times New Roman"/>
                <w:iCs/>
                <w:color w:val="000000"/>
                <w:sz w:val="20"/>
                <w:szCs w:val="20"/>
                <w:lang w:val="fr-BE" w:eastAsia="fr-BE"/>
              </w:rPr>
            </w:pPr>
            <w:r w:rsidRPr="00A23A26">
              <w:rPr>
                <w:rFonts w:eastAsia="Times New Roman"/>
                <w:iCs/>
                <w:color w:val="000000"/>
                <w:sz w:val="20"/>
                <w:szCs w:val="20"/>
                <w:lang w:val="fr-BE" w:eastAsia="fr-BE"/>
              </w:rPr>
              <w:t>Plan national d’organisation et de coordination des secours d’urgence et de réhabilitation</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PNUD</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Programme des Nations Unies pour le développement</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PPTE</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Pays pauvre très endetté</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PrEst</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Programme de pistes rurales – Désenclavement à l’Est</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PRSC</w:t>
            </w:r>
          </w:p>
        </w:tc>
        <w:tc>
          <w:tcPr>
            <w:tcW w:w="7910" w:type="dxa"/>
            <w:shd w:val="clear" w:color="auto" w:fill="auto"/>
            <w:hideMark/>
          </w:tcPr>
          <w:p w:rsidR="0029548B" w:rsidRPr="0029548B" w:rsidRDefault="0029548B" w:rsidP="0029548B">
            <w:pPr>
              <w:tabs>
                <w:tab w:val="clear" w:pos="709"/>
              </w:tabs>
              <w:spacing w:after="0"/>
              <w:jc w:val="left"/>
              <w:rPr>
                <w:rFonts w:eastAsia="Times New Roman"/>
                <w:i/>
                <w:iCs/>
                <w:color w:val="000000"/>
                <w:sz w:val="20"/>
                <w:szCs w:val="20"/>
                <w:lang w:val="fr-BE" w:eastAsia="fr-BE"/>
              </w:rPr>
            </w:pPr>
            <w:r w:rsidRPr="00A23A26">
              <w:rPr>
                <w:rFonts w:eastAsia="Times New Roman"/>
                <w:iCs/>
                <w:color w:val="000000"/>
                <w:sz w:val="20"/>
                <w:szCs w:val="20"/>
                <w:lang w:val="fr-BE" w:eastAsia="fr-BE"/>
              </w:rPr>
              <w:t>Crédit à l’appui de la réduction de la pauvreté</w:t>
            </w:r>
            <w:r w:rsidRPr="0029548B">
              <w:rPr>
                <w:rFonts w:eastAsia="Times New Roman"/>
                <w:i/>
                <w:iCs/>
                <w:color w:val="000000"/>
                <w:sz w:val="20"/>
                <w:szCs w:val="20"/>
                <w:lang w:val="fr-BE" w:eastAsia="fr-BE"/>
              </w:rPr>
              <w:t xml:space="preserve"> (Poverty Reduction Support Credit</w:t>
            </w:r>
            <w:r w:rsidRPr="0029548B">
              <w:rPr>
                <w:rFonts w:eastAsia="Times New Roman"/>
                <w:color w:val="000000"/>
                <w:sz w:val="20"/>
                <w:szCs w:val="20"/>
                <w:lang w:val="fr-BE" w:eastAsia="fr-BE"/>
              </w:rPr>
              <w:t>)</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Protection sociale</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PTF</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Partenaire technique et financier</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QUIBB</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Questionnaire des indicateurs de base du bien-être</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S&amp;E</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Suivi et évaluation</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SAP</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Stratégie d’aide-pays</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SAP</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Système d'alerte précoce</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SCADD</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Stratégie de croissance accélérée et de développement durable</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SIDA</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 xml:space="preserve">Syndrome d'immunodéficience acquise </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SNS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Stock national de sécurité</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SNSA</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Stratégie nationale de sécurité alimentaire</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SONAGESS</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Société nationale de gestion du stock de sécurité</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SONU</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Soins obstétricaux et néonataux d’urgence</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TAR</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 xml:space="preserve">Thérapie antirétrovirale </w:t>
            </w:r>
          </w:p>
        </w:tc>
      </w:tr>
      <w:tr w:rsidR="00E31F15" w:rsidRPr="0029548B" w:rsidTr="00BE55AF">
        <w:tc>
          <w:tcPr>
            <w:tcW w:w="1174" w:type="dxa"/>
            <w:shd w:val="clear" w:color="auto" w:fill="auto"/>
            <w:hideMark/>
          </w:tcPr>
          <w:p w:rsidR="00E31F15" w:rsidRPr="0029548B" w:rsidRDefault="00E31F15" w:rsidP="0029548B">
            <w:pPr>
              <w:tabs>
                <w:tab w:val="clear" w:pos="709"/>
              </w:tabs>
              <w:spacing w:after="0"/>
              <w:jc w:val="left"/>
              <w:rPr>
                <w:rFonts w:eastAsia="Times New Roman"/>
                <w:color w:val="000000"/>
                <w:sz w:val="20"/>
                <w:szCs w:val="20"/>
                <w:lang w:val="fr-BE" w:eastAsia="fr-BE"/>
              </w:rPr>
            </w:pPr>
            <w:r>
              <w:rPr>
                <w:rFonts w:eastAsia="Times New Roman"/>
                <w:color w:val="000000"/>
                <w:sz w:val="20"/>
                <w:szCs w:val="20"/>
                <w:lang w:val="fr-BE" w:eastAsia="fr-BE"/>
              </w:rPr>
              <w:t>TdH</w:t>
            </w:r>
          </w:p>
        </w:tc>
        <w:tc>
          <w:tcPr>
            <w:tcW w:w="7910" w:type="dxa"/>
            <w:shd w:val="clear" w:color="auto" w:fill="auto"/>
            <w:hideMark/>
          </w:tcPr>
          <w:p w:rsidR="00E31F15" w:rsidRPr="0029548B" w:rsidRDefault="00E31F15" w:rsidP="0029548B">
            <w:pPr>
              <w:tabs>
                <w:tab w:val="clear" w:pos="709"/>
              </w:tabs>
              <w:spacing w:after="0"/>
              <w:jc w:val="left"/>
              <w:rPr>
                <w:rFonts w:eastAsia="Times New Roman"/>
                <w:color w:val="000000"/>
                <w:sz w:val="20"/>
                <w:szCs w:val="20"/>
                <w:lang w:val="fr-BE" w:eastAsia="fr-BE"/>
              </w:rPr>
            </w:pPr>
            <w:r>
              <w:rPr>
                <w:rFonts w:eastAsia="Times New Roman"/>
                <w:color w:val="000000"/>
                <w:sz w:val="20"/>
                <w:szCs w:val="20"/>
                <w:lang w:val="fr-BE" w:eastAsia="fr-BE"/>
              </w:rPr>
              <w:t>Terre des Hommes</w:t>
            </w:r>
          </w:p>
        </w:tc>
      </w:tr>
      <w:tr w:rsidR="0029548B" w:rsidRPr="008E7B13"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sz w:val="20"/>
                <w:szCs w:val="20"/>
                <w:lang w:val="fr-BE" w:eastAsia="fr-BE"/>
              </w:rPr>
            </w:pPr>
            <w:r w:rsidRPr="0029548B">
              <w:rPr>
                <w:rFonts w:eastAsia="Times New Roman"/>
                <w:sz w:val="20"/>
                <w:szCs w:val="20"/>
                <w:lang w:val="fr-BE" w:eastAsia="fr-BE"/>
              </w:rPr>
              <w:t>TVA</w:t>
            </w:r>
          </w:p>
        </w:tc>
        <w:tc>
          <w:tcPr>
            <w:tcW w:w="7910" w:type="dxa"/>
            <w:shd w:val="clear" w:color="auto" w:fill="auto"/>
            <w:hideMark/>
          </w:tcPr>
          <w:p w:rsidR="0029548B" w:rsidRPr="0029548B" w:rsidRDefault="0029548B" w:rsidP="0029548B">
            <w:pPr>
              <w:tabs>
                <w:tab w:val="clear" w:pos="709"/>
              </w:tabs>
              <w:spacing w:after="0"/>
              <w:jc w:val="left"/>
              <w:rPr>
                <w:rFonts w:eastAsia="Times New Roman"/>
                <w:sz w:val="20"/>
                <w:szCs w:val="20"/>
                <w:lang w:val="fr-BE" w:eastAsia="fr-BE"/>
              </w:rPr>
            </w:pPr>
            <w:r w:rsidRPr="0029548B">
              <w:rPr>
                <w:rFonts w:eastAsia="Times New Roman"/>
                <w:sz w:val="20"/>
                <w:szCs w:val="20"/>
                <w:lang w:val="fr-BE" w:eastAsia="fr-BE"/>
              </w:rPr>
              <w:t>Taxe sur la valeur ajoutée</w:t>
            </w:r>
          </w:p>
        </w:tc>
      </w:tr>
      <w:tr w:rsidR="0029548B" w:rsidRPr="000A70E6"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UEMOA</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Union économique et monétaire de l’Afrique de l’Ouest</w:t>
            </w:r>
          </w:p>
        </w:tc>
      </w:tr>
      <w:tr w:rsidR="0029548B" w:rsidRPr="000A70E6"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UNICEF</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Fonds des Nations Unies pour l’enfance (</w:t>
            </w:r>
            <w:r w:rsidRPr="0029548B">
              <w:rPr>
                <w:rFonts w:eastAsia="Times New Roman"/>
                <w:i/>
                <w:iCs/>
                <w:color w:val="000000"/>
                <w:sz w:val="20"/>
                <w:szCs w:val="20"/>
                <w:lang w:val="fr-BE" w:eastAsia="fr-BE"/>
              </w:rPr>
              <w:t>United Nations Children’s Fund</w:t>
            </w:r>
            <w:r w:rsidRPr="0029548B">
              <w:rPr>
                <w:rFonts w:eastAsia="Times New Roman"/>
                <w:color w:val="000000"/>
                <w:sz w:val="20"/>
                <w:szCs w:val="20"/>
                <w:lang w:val="fr-BE" w:eastAsia="fr-BE"/>
              </w:rPr>
              <w:t>)</w:t>
            </w:r>
          </w:p>
        </w:tc>
      </w:tr>
      <w:tr w:rsidR="0029548B" w:rsidRPr="000A70E6"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USAID</w:t>
            </w:r>
          </w:p>
        </w:tc>
        <w:tc>
          <w:tcPr>
            <w:tcW w:w="7910" w:type="dxa"/>
            <w:shd w:val="clear" w:color="auto" w:fill="auto"/>
            <w:hideMark/>
          </w:tcPr>
          <w:p w:rsidR="0029548B" w:rsidRPr="0029548B" w:rsidRDefault="0029548B" w:rsidP="0029548B">
            <w:pPr>
              <w:tabs>
                <w:tab w:val="clear" w:pos="709"/>
              </w:tabs>
              <w:spacing w:after="0"/>
              <w:jc w:val="left"/>
              <w:rPr>
                <w:rFonts w:eastAsia="Times New Roman"/>
                <w:i/>
                <w:iCs/>
                <w:sz w:val="20"/>
                <w:szCs w:val="20"/>
                <w:lang w:val="fr-BE" w:eastAsia="fr-BE"/>
              </w:rPr>
            </w:pPr>
            <w:r w:rsidRPr="0029548B">
              <w:rPr>
                <w:rFonts w:eastAsia="Times New Roman"/>
                <w:i/>
                <w:iCs/>
                <w:sz w:val="20"/>
                <w:szCs w:val="20"/>
                <w:lang w:val="fr-BE" w:eastAsia="fr-BE"/>
              </w:rPr>
              <w:t>United States Agency for International Development</w:t>
            </w:r>
            <w:r w:rsidRPr="0029548B">
              <w:rPr>
                <w:rFonts w:eastAsia="Times New Roman"/>
                <w:sz w:val="20"/>
                <w:szCs w:val="20"/>
                <w:lang w:val="fr-BE" w:eastAsia="fr-BE"/>
              </w:rPr>
              <w:t xml:space="preserve"> (agence américaine pour le développement international)</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VCF</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Vivres contre formation</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VCT</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Vivres contre travail</w:t>
            </w:r>
          </w:p>
        </w:tc>
      </w:tr>
      <w:tr w:rsidR="0029548B" w:rsidRPr="0029548B" w:rsidTr="00BE55AF">
        <w:tc>
          <w:tcPr>
            <w:tcW w:w="1174"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VIH</w:t>
            </w:r>
          </w:p>
        </w:tc>
        <w:tc>
          <w:tcPr>
            <w:tcW w:w="7910" w:type="dxa"/>
            <w:shd w:val="clear" w:color="auto" w:fill="auto"/>
            <w:hideMark/>
          </w:tcPr>
          <w:p w:rsidR="0029548B" w:rsidRPr="0029548B" w:rsidRDefault="0029548B" w:rsidP="0029548B">
            <w:pPr>
              <w:tabs>
                <w:tab w:val="clear" w:pos="709"/>
              </w:tabs>
              <w:spacing w:after="0"/>
              <w:jc w:val="left"/>
              <w:rPr>
                <w:rFonts w:eastAsia="Times New Roman"/>
                <w:color w:val="000000"/>
                <w:sz w:val="20"/>
                <w:szCs w:val="20"/>
                <w:lang w:val="fr-BE" w:eastAsia="fr-BE"/>
              </w:rPr>
            </w:pPr>
            <w:r w:rsidRPr="0029548B">
              <w:rPr>
                <w:rFonts w:eastAsia="Times New Roman"/>
                <w:color w:val="000000"/>
                <w:sz w:val="20"/>
                <w:szCs w:val="20"/>
                <w:lang w:val="fr-BE" w:eastAsia="fr-BE"/>
              </w:rPr>
              <w:t>Virus de l'immunodéficience humaine</w:t>
            </w:r>
          </w:p>
        </w:tc>
      </w:tr>
    </w:tbl>
    <w:p w:rsidR="00D6172B" w:rsidRDefault="00D6172B" w:rsidP="007D6A4E">
      <w:pPr>
        <w:spacing w:after="0"/>
        <w:rPr>
          <w:highlight w:val="yellow"/>
          <w:lang w:val="fr-FR"/>
        </w:rPr>
      </w:pPr>
    </w:p>
    <w:tbl>
      <w:tblPr>
        <w:tblW w:w="0" w:type="auto"/>
        <w:tblInd w:w="1008" w:type="dxa"/>
        <w:tblBorders>
          <w:top w:val="single" w:sz="2" w:space="0" w:color="auto"/>
          <w:left w:val="single" w:sz="2" w:space="0" w:color="auto"/>
          <w:bottom w:val="single" w:sz="2" w:space="0" w:color="auto"/>
          <w:right w:val="single" w:sz="2" w:space="0" w:color="auto"/>
        </w:tblBorders>
        <w:tblLook w:val="01E0"/>
      </w:tblPr>
      <w:tblGrid>
        <w:gridCol w:w="3211"/>
        <w:gridCol w:w="845"/>
        <w:gridCol w:w="3126"/>
      </w:tblGrid>
      <w:tr w:rsidR="00AC432F" w:rsidRPr="000A70E6" w:rsidTr="0065207E">
        <w:tc>
          <w:tcPr>
            <w:tcW w:w="3211" w:type="dxa"/>
          </w:tcPr>
          <w:p w:rsidR="00AC432F" w:rsidRPr="000A70E6" w:rsidRDefault="00AC432F" w:rsidP="0065207E">
            <w:pPr>
              <w:keepNext/>
              <w:keepLines/>
              <w:spacing w:after="0"/>
              <w:jc w:val="right"/>
              <w:rPr>
                <w:sz w:val="22"/>
                <w:lang w:val="fr-FR"/>
              </w:rPr>
            </w:pPr>
            <w:r w:rsidRPr="000A70E6">
              <w:rPr>
                <w:sz w:val="22"/>
                <w:lang w:val="fr-FR"/>
              </w:rPr>
              <w:t>Vice</w:t>
            </w:r>
            <w:r w:rsidR="0065207E" w:rsidRPr="000A70E6">
              <w:rPr>
                <w:sz w:val="22"/>
                <w:lang w:val="fr-FR"/>
              </w:rPr>
              <w:t>-p</w:t>
            </w:r>
            <w:r w:rsidRPr="000A70E6">
              <w:rPr>
                <w:sz w:val="22"/>
                <w:lang w:val="fr-FR"/>
              </w:rPr>
              <w:t>r</w:t>
            </w:r>
            <w:r w:rsidR="0065207E" w:rsidRPr="000A70E6">
              <w:rPr>
                <w:sz w:val="22"/>
                <w:lang w:val="fr-FR"/>
              </w:rPr>
              <w:t>é</w:t>
            </w:r>
            <w:r w:rsidRPr="000A70E6">
              <w:rPr>
                <w:sz w:val="22"/>
                <w:lang w:val="fr-FR"/>
              </w:rPr>
              <w:t>sident</w:t>
            </w:r>
          </w:p>
        </w:tc>
        <w:tc>
          <w:tcPr>
            <w:tcW w:w="845" w:type="dxa"/>
          </w:tcPr>
          <w:p w:rsidR="00AC432F" w:rsidRPr="000A70E6" w:rsidRDefault="00AC432F" w:rsidP="00B71728">
            <w:pPr>
              <w:keepNext/>
              <w:keepLines/>
              <w:spacing w:after="0"/>
              <w:jc w:val="center"/>
              <w:rPr>
                <w:sz w:val="22"/>
                <w:lang w:val="fr-FR"/>
              </w:rPr>
            </w:pPr>
            <w:r w:rsidRPr="000A70E6">
              <w:rPr>
                <w:sz w:val="22"/>
                <w:lang w:val="fr-FR"/>
              </w:rPr>
              <w:t>:</w:t>
            </w:r>
          </w:p>
        </w:tc>
        <w:tc>
          <w:tcPr>
            <w:tcW w:w="3126" w:type="dxa"/>
          </w:tcPr>
          <w:p w:rsidR="00AC432F" w:rsidRPr="000A70E6" w:rsidRDefault="00351D0C" w:rsidP="00B71728">
            <w:pPr>
              <w:keepNext/>
              <w:keepLines/>
              <w:spacing w:after="0"/>
              <w:rPr>
                <w:sz w:val="22"/>
                <w:lang w:val="fr-FR"/>
              </w:rPr>
            </w:pPr>
            <w:r w:rsidRPr="000A70E6">
              <w:rPr>
                <w:sz w:val="22"/>
                <w:lang w:val="fr-FR"/>
              </w:rPr>
              <w:t>Obiageli K.</w:t>
            </w:r>
            <w:r w:rsidR="00AC432F" w:rsidRPr="000A70E6">
              <w:rPr>
                <w:sz w:val="22"/>
                <w:lang w:val="fr-FR"/>
              </w:rPr>
              <w:t xml:space="preserve"> Ezekwesili</w:t>
            </w:r>
          </w:p>
        </w:tc>
      </w:tr>
      <w:tr w:rsidR="00AC432F" w:rsidRPr="000A70E6" w:rsidTr="0065207E">
        <w:tc>
          <w:tcPr>
            <w:tcW w:w="3211" w:type="dxa"/>
          </w:tcPr>
          <w:p w:rsidR="00AC432F" w:rsidRPr="000A70E6" w:rsidRDefault="0065207E" w:rsidP="00B71728">
            <w:pPr>
              <w:keepNext/>
              <w:keepLines/>
              <w:spacing w:after="0"/>
              <w:jc w:val="right"/>
              <w:rPr>
                <w:sz w:val="22"/>
                <w:lang w:val="fr-FR"/>
              </w:rPr>
            </w:pPr>
            <w:r w:rsidRPr="000A70E6">
              <w:rPr>
                <w:sz w:val="22"/>
                <w:lang w:val="fr-FR"/>
              </w:rPr>
              <w:t>Directeur-pays</w:t>
            </w:r>
          </w:p>
        </w:tc>
        <w:tc>
          <w:tcPr>
            <w:tcW w:w="845" w:type="dxa"/>
          </w:tcPr>
          <w:p w:rsidR="00AC432F" w:rsidRPr="000A70E6" w:rsidRDefault="00AC432F" w:rsidP="00B71728">
            <w:pPr>
              <w:keepNext/>
              <w:keepLines/>
              <w:spacing w:after="0"/>
              <w:jc w:val="center"/>
              <w:rPr>
                <w:sz w:val="22"/>
                <w:lang w:val="fr-FR"/>
              </w:rPr>
            </w:pPr>
            <w:r w:rsidRPr="000A70E6">
              <w:rPr>
                <w:sz w:val="22"/>
                <w:lang w:val="fr-FR"/>
              </w:rPr>
              <w:t>:</w:t>
            </w:r>
          </w:p>
        </w:tc>
        <w:tc>
          <w:tcPr>
            <w:tcW w:w="3126" w:type="dxa"/>
          </w:tcPr>
          <w:p w:rsidR="00AC432F" w:rsidRPr="000A70E6" w:rsidRDefault="002526B9" w:rsidP="002526B9">
            <w:pPr>
              <w:keepNext/>
              <w:keepLines/>
              <w:spacing w:after="0"/>
              <w:rPr>
                <w:sz w:val="22"/>
                <w:lang w:val="fr-FR"/>
              </w:rPr>
            </w:pPr>
            <w:r w:rsidRPr="000A70E6">
              <w:rPr>
                <w:sz w:val="22"/>
                <w:lang w:val="fr-FR"/>
              </w:rPr>
              <w:t xml:space="preserve">Madani M. Tall </w:t>
            </w:r>
          </w:p>
        </w:tc>
      </w:tr>
      <w:tr w:rsidR="0044117B" w:rsidRPr="000A70E6" w:rsidTr="0065207E">
        <w:tc>
          <w:tcPr>
            <w:tcW w:w="3211" w:type="dxa"/>
          </w:tcPr>
          <w:p w:rsidR="0044117B" w:rsidRPr="000A70E6" w:rsidRDefault="0065207E" w:rsidP="00B71728">
            <w:pPr>
              <w:keepNext/>
              <w:keepLines/>
              <w:spacing w:after="0"/>
              <w:jc w:val="right"/>
              <w:rPr>
                <w:sz w:val="22"/>
                <w:lang w:val="fr-FR"/>
              </w:rPr>
            </w:pPr>
            <w:r w:rsidRPr="000A70E6">
              <w:rPr>
                <w:sz w:val="22"/>
                <w:lang w:val="fr-FR"/>
              </w:rPr>
              <w:t>Responsable- pays</w:t>
            </w:r>
          </w:p>
        </w:tc>
        <w:tc>
          <w:tcPr>
            <w:tcW w:w="845" w:type="dxa"/>
          </w:tcPr>
          <w:p w:rsidR="0044117B" w:rsidRPr="000A70E6" w:rsidRDefault="0044117B" w:rsidP="00B71728">
            <w:pPr>
              <w:keepNext/>
              <w:keepLines/>
              <w:spacing w:after="0"/>
              <w:jc w:val="center"/>
              <w:rPr>
                <w:sz w:val="22"/>
                <w:lang w:val="fr-FR"/>
              </w:rPr>
            </w:pPr>
            <w:r w:rsidRPr="000A70E6">
              <w:rPr>
                <w:sz w:val="22"/>
                <w:lang w:val="fr-FR"/>
              </w:rPr>
              <w:t>:</w:t>
            </w:r>
          </w:p>
        </w:tc>
        <w:tc>
          <w:tcPr>
            <w:tcW w:w="3126" w:type="dxa"/>
          </w:tcPr>
          <w:p w:rsidR="0044117B" w:rsidRPr="000A70E6" w:rsidRDefault="0044117B" w:rsidP="00B71728">
            <w:pPr>
              <w:keepNext/>
              <w:keepLines/>
              <w:spacing w:after="0"/>
              <w:rPr>
                <w:sz w:val="22"/>
                <w:lang w:val="fr-FR"/>
              </w:rPr>
            </w:pPr>
            <w:r w:rsidRPr="000A70E6">
              <w:rPr>
                <w:sz w:val="22"/>
                <w:lang w:val="fr-FR"/>
              </w:rPr>
              <w:t xml:space="preserve">Galina </w:t>
            </w:r>
            <w:r w:rsidR="00351D0C" w:rsidRPr="000A70E6">
              <w:rPr>
                <w:sz w:val="22"/>
                <w:lang w:val="fr-FR"/>
              </w:rPr>
              <w:t xml:space="preserve">Y. </w:t>
            </w:r>
            <w:r w:rsidRPr="000A70E6">
              <w:rPr>
                <w:sz w:val="22"/>
                <w:lang w:val="fr-FR"/>
              </w:rPr>
              <w:t>Sotirova</w:t>
            </w:r>
          </w:p>
        </w:tc>
      </w:tr>
      <w:tr w:rsidR="00AC432F" w:rsidRPr="000A70E6" w:rsidTr="0065207E">
        <w:tc>
          <w:tcPr>
            <w:tcW w:w="3211" w:type="dxa"/>
          </w:tcPr>
          <w:p w:rsidR="00AC432F" w:rsidRPr="000A70E6" w:rsidRDefault="0065207E" w:rsidP="002526B9">
            <w:pPr>
              <w:keepNext/>
              <w:keepLines/>
              <w:spacing w:after="0"/>
              <w:jc w:val="right"/>
              <w:rPr>
                <w:sz w:val="22"/>
                <w:lang w:val="fr-FR"/>
              </w:rPr>
            </w:pPr>
            <w:r w:rsidRPr="000A70E6">
              <w:rPr>
                <w:sz w:val="22"/>
                <w:lang w:val="fr-FR"/>
              </w:rPr>
              <w:t xml:space="preserve">Directeur secteur </w:t>
            </w:r>
          </w:p>
        </w:tc>
        <w:tc>
          <w:tcPr>
            <w:tcW w:w="845" w:type="dxa"/>
          </w:tcPr>
          <w:p w:rsidR="00AC432F" w:rsidRPr="000A70E6" w:rsidRDefault="00AC432F" w:rsidP="00B71728">
            <w:pPr>
              <w:keepNext/>
              <w:keepLines/>
              <w:spacing w:after="0"/>
              <w:jc w:val="center"/>
              <w:rPr>
                <w:sz w:val="22"/>
                <w:lang w:val="fr-FR"/>
              </w:rPr>
            </w:pPr>
            <w:r w:rsidRPr="000A70E6">
              <w:rPr>
                <w:sz w:val="22"/>
                <w:lang w:val="fr-FR"/>
              </w:rPr>
              <w:t>:</w:t>
            </w:r>
          </w:p>
        </w:tc>
        <w:tc>
          <w:tcPr>
            <w:tcW w:w="3126" w:type="dxa"/>
          </w:tcPr>
          <w:p w:rsidR="00AC432F" w:rsidRPr="000A70E6" w:rsidRDefault="002526B9" w:rsidP="002526B9">
            <w:pPr>
              <w:keepNext/>
              <w:keepLines/>
              <w:spacing w:after="0"/>
              <w:rPr>
                <w:sz w:val="22"/>
                <w:lang w:val="fr-FR"/>
              </w:rPr>
            </w:pPr>
            <w:r w:rsidRPr="000A70E6">
              <w:rPr>
                <w:sz w:val="22"/>
                <w:lang w:val="fr-FR"/>
              </w:rPr>
              <w:t>Ritva S. Reinikka</w:t>
            </w:r>
          </w:p>
        </w:tc>
      </w:tr>
      <w:tr w:rsidR="00AC432F" w:rsidRPr="000A70E6" w:rsidTr="0065207E">
        <w:tc>
          <w:tcPr>
            <w:tcW w:w="3211" w:type="dxa"/>
          </w:tcPr>
          <w:p w:rsidR="00AC432F" w:rsidRPr="000A70E6" w:rsidRDefault="0065207E" w:rsidP="00B71728">
            <w:pPr>
              <w:keepNext/>
              <w:keepLines/>
              <w:spacing w:after="0"/>
              <w:jc w:val="right"/>
              <w:rPr>
                <w:sz w:val="22"/>
                <w:lang w:val="fr-FR"/>
              </w:rPr>
            </w:pPr>
            <w:r w:rsidRPr="000A70E6">
              <w:rPr>
                <w:sz w:val="22"/>
                <w:lang w:val="fr-FR"/>
              </w:rPr>
              <w:t>Responsable secteur</w:t>
            </w:r>
          </w:p>
        </w:tc>
        <w:tc>
          <w:tcPr>
            <w:tcW w:w="845" w:type="dxa"/>
          </w:tcPr>
          <w:p w:rsidR="00AC432F" w:rsidRPr="000A70E6" w:rsidRDefault="00AC432F" w:rsidP="00B71728">
            <w:pPr>
              <w:keepNext/>
              <w:keepLines/>
              <w:spacing w:after="0"/>
              <w:jc w:val="center"/>
              <w:rPr>
                <w:sz w:val="22"/>
                <w:lang w:val="fr-FR"/>
              </w:rPr>
            </w:pPr>
            <w:r w:rsidRPr="000A70E6">
              <w:rPr>
                <w:sz w:val="22"/>
                <w:lang w:val="fr-FR"/>
              </w:rPr>
              <w:t>:</w:t>
            </w:r>
          </w:p>
        </w:tc>
        <w:tc>
          <w:tcPr>
            <w:tcW w:w="3126" w:type="dxa"/>
          </w:tcPr>
          <w:p w:rsidR="00AC432F" w:rsidRPr="000A70E6" w:rsidRDefault="00AC432F" w:rsidP="00B71728">
            <w:pPr>
              <w:keepNext/>
              <w:keepLines/>
              <w:spacing w:after="0"/>
              <w:rPr>
                <w:sz w:val="22"/>
                <w:lang w:val="fr-FR"/>
              </w:rPr>
            </w:pPr>
            <w:r w:rsidRPr="000A70E6">
              <w:rPr>
                <w:sz w:val="22"/>
                <w:lang w:val="fr-FR"/>
              </w:rPr>
              <w:t xml:space="preserve">Lynne </w:t>
            </w:r>
            <w:r w:rsidR="00351D0C" w:rsidRPr="000A70E6">
              <w:rPr>
                <w:sz w:val="22"/>
                <w:lang w:val="fr-FR"/>
              </w:rPr>
              <w:t xml:space="preserve">D. </w:t>
            </w:r>
            <w:r w:rsidRPr="000A70E6">
              <w:rPr>
                <w:sz w:val="22"/>
                <w:lang w:val="fr-FR"/>
              </w:rPr>
              <w:t>Sherburne-Benz</w:t>
            </w:r>
          </w:p>
        </w:tc>
      </w:tr>
      <w:tr w:rsidR="00AC432F" w:rsidRPr="000A70E6" w:rsidTr="0065207E">
        <w:tc>
          <w:tcPr>
            <w:tcW w:w="3211" w:type="dxa"/>
          </w:tcPr>
          <w:p w:rsidR="00AC432F" w:rsidRPr="000A70E6" w:rsidRDefault="0065207E" w:rsidP="00B71728">
            <w:pPr>
              <w:keepNext/>
              <w:keepLines/>
              <w:spacing w:after="0"/>
              <w:jc w:val="right"/>
              <w:rPr>
                <w:sz w:val="22"/>
                <w:lang w:val="fr-FR"/>
              </w:rPr>
            </w:pPr>
            <w:r w:rsidRPr="000A70E6">
              <w:rPr>
                <w:sz w:val="22"/>
                <w:lang w:val="fr-FR"/>
              </w:rPr>
              <w:t>Chef de projet</w:t>
            </w:r>
          </w:p>
        </w:tc>
        <w:tc>
          <w:tcPr>
            <w:tcW w:w="845" w:type="dxa"/>
          </w:tcPr>
          <w:p w:rsidR="00AC432F" w:rsidRPr="000A70E6" w:rsidRDefault="00AC432F" w:rsidP="00B71728">
            <w:pPr>
              <w:keepNext/>
              <w:keepLines/>
              <w:spacing w:after="0"/>
              <w:jc w:val="center"/>
              <w:rPr>
                <w:sz w:val="22"/>
                <w:lang w:val="fr-FR"/>
              </w:rPr>
            </w:pPr>
            <w:r w:rsidRPr="000A70E6">
              <w:rPr>
                <w:sz w:val="22"/>
                <w:lang w:val="fr-FR"/>
              </w:rPr>
              <w:t>:</w:t>
            </w:r>
          </w:p>
        </w:tc>
        <w:tc>
          <w:tcPr>
            <w:tcW w:w="3126" w:type="dxa"/>
          </w:tcPr>
          <w:p w:rsidR="00AC432F" w:rsidRPr="000A70E6" w:rsidRDefault="00AC432F" w:rsidP="00B71728">
            <w:pPr>
              <w:keepNext/>
              <w:keepLines/>
              <w:spacing w:after="0"/>
              <w:rPr>
                <w:sz w:val="22"/>
                <w:lang w:val="fr-FR"/>
              </w:rPr>
            </w:pPr>
            <w:r w:rsidRPr="000A70E6">
              <w:rPr>
                <w:sz w:val="22"/>
                <w:lang w:val="fr-FR"/>
              </w:rPr>
              <w:t>Setareh Razmara</w:t>
            </w:r>
          </w:p>
        </w:tc>
      </w:tr>
    </w:tbl>
    <w:p w:rsidR="00AC432F" w:rsidRPr="00577EB1" w:rsidRDefault="007D6A4E" w:rsidP="007D6A4E">
      <w:pPr>
        <w:spacing w:after="0"/>
        <w:jc w:val="center"/>
        <w:rPr>
          <w:b/>
          <w:lang w:val="fr-FR"/>
        </w:rPr>
      </w:pPr>
      <w:r w:rsidRPr="00577EB1">
        <w:rPr>
          <w:highlight w:val="yellow"/>
          <w:lang w:val="fr-FR"/>
        </w:rPr>
        <w:br w:type="page"/>
      </w:r>
      <w:r w:rsidR="0065207E" w:rsidRPr="00577EB1">
        <w:rPr>
          <w:b/>
          <w:lang w:val="fr-FR"/>
        </w:rPr>
        <w:lastRenderedPageBreak/>
        <w:t>REMERCIEMENTS</w:t>
      </w:r>
    </w:p>
    <w:p w:rsidR="00AC432F" w:rsidRPr="00577EB1" w:rsidRDefault="00AC432F" w:rsidP="007D6A4E">
      <w:pPr>
        <w:spacing w:after="0"/>
        <w:jc w:val="center"/>
        <w:rPr>
          <w:lang w:val="fr-FR"/>
        </w:rPr>
      </w:pPr>
    </w:p>
    <w:p w:rsidR="00A524F4" w:rsidRPr="0007340F" w:rsidRDefault="00577EB1" w:rsidP="0007340F">
      <w:pPr>
        <w:ind w:firstLine="709"/>
        <w:rPr>
          <w:lang w:val="fr-BE"/>
        </w:rPr>
      </w:pPr>
      <w:r w:rsidRPr="00577EB1">
        <w:rPr>
          <w:lang w:val="fr-FR"/>
        </w:rPr>
        <w:t xml:space="preserve">Ce rapport a été élaboré par </w:t>
      </w:r>
      <w:r>
        <w:rPr>
          <w:lang w:val="fr-FR"/>
        </w:rPr>
        <w:t>une équipe composée de</w:t>
      </w:r>
      <w:r w:rsidR="0007340F">
        <w:rPr>
          <w:lang w:val="fr-FR"/>
        </w:rPr>
        <w:t xml:space="preserve"> </w:t>
      </w:r>
      <w:r w:rsidR="00536978" w:rsidRPr="00577EB1">
        <w:rPr>
          <w:lang w:val="fr-FR"/>
        </w:rPr>
        <w:t>Azedine Ouerghi (</w:t>
      </w:r>
      <w:r>
        <w:rPr>
          <w:lang w:val="fr-FR"/>
        </w:rPr>
        <w:t>chef</w:t>
      </w:r>
      <w:r w:rsidR="00893DCF" w:rsidRPr="00577EB1">
        <w:rPr>
          <w:lang w:val="fr-FR"/>
        </w:rPr>
        <w:t xml:space="preserve"> </w:t>
      </w:r>
      <w:r>
        <w:rPr>
          <w:lang w:val="fr-FR"/>
        </w:rPr>
        <w:t>économiste</w:t>
      </w:r>
      <w:r w:rsidR="00893DCF" w:rsidRPr="00577EB1">
        <w:rPr>
          <w:lang w:val="fr-FR"/>
        </w:rPr>
        <w:t>, AFTSP)</w:t>
      </w:r>
      <w:r w:rsidR="00536978" w:rsidRPr="00577EB1">
        <w:rPr>
          <w:lang w:val="fr-FR"/>
        </w:rPr>
        <w:t>, Cécile Cherrier (</w:t>
      </w:r>
      <w:r>
        <w:rPr>
          <w:lang w:val="fr-FR"/>
        </w:rPr>
        <w:t>c</w:t>
      </w:r>
      <w:r w:rsidR="00536978" w:rsidRPr="00577EB1">
        <w:rPr>
          <w:lang w:val="fr-FR"/>
        </w:rPr>
        <w:t>onsultant</w:t>
      </w:r>
      <w:r w:rsidR="003421A1">
        <w:rPr>
          <w:lang w:val="fr-FR"/>
        </w:rPr>
        <w:t>e</w:t>
      </w:r>
      <w:r w:rsidR="00536978" w:rsidRPr="00577EB1">
        <w:rPr>
          <w:lang w:val="fr-FR"/>
        </w:rPr>
        <w:t xml:space="preserve">), Pascale Kervyn </w:t>
      </w:r>
      <w:r w:rsidR="00CD1DE5" w:rsidRPr="00577EB1">
        <w:rPr>
          <w:lang w:val="fr-FR"/>
        </w:rPr>
        <w:t>d</w:t>
      </w:r>
      <w:r w:rsidR="00536978" w:rsidRPr="00577EB1">
        <w:rPr>
          <w:lang w:val="fr-FR"/>
        </w:rPr>
        <w:t>e Lettenhove (</w:t>
      </w:r>
      <w:r>
        <w:rPr>
          <w:lang w:val="fr-FR"/>
        </w:rPr>
        <w:t>économiste senior</w:t>
      </w:r>
      <w:r w:rsidR="00893DCF" w:rsidRPr="00577EB1">
        <w:rPr>
          <w:lang w:val="fr-FR"/>
        </w:rPr>
        <w:t>, ECAPR</w:t>
      </w:r>
      <w:r w:rsidR="00536978" w:rsidRPr="00577EB1">
        <w:rPr>
          <w:lang w:val="fr-FR"/>
        </w:rPr>
        <w:t>),</w:t>
      </w:r>
      <w:r w:rsidR="003579DB" w:rsidRPr="00577EB1">
        <w:rPr>
          <w:lang w:val="fr-FR"/>
        </w:rPr>
        <w:t xml:space="preserve"> </w:t>
      </w:r>
      <w:r w:rsidR="00536978" w:rsidRPr="00577EB1">
        <w:rPr>
          <w:lang w:val="fr-FR"/>
        </w:rPr>
        <w:t>Carlo del Ninno (</w:t>
      </w:r>
      <w:r>
        <w:rPr>
          <w:lang w:val="fr-FR"/>
        </w:rPr>
        <w:t>économiste senior</w:t>
      </w:r>
      <w:r w:rsidR="00893DCF" w:rsidRPr="00577EB1">
        <w:rPr>
          <w:lang w:val="fr-FR"/>
        </w:rPr>
        <w:t>, AFTSP</w:t>
      </w:r>
      <w:r w:rsidR="00536978" w:rsidRPr="00577EB1">
        <w:rPr>
          <w:lang w:val="fr-FR"/>
        </w:rPr>
        <w:t>)</w:t>
      </w:r>
      <w:r w:rsidR="00157E01" w:rsidRPr="00577EB1">
        <w:rPr>
          <w:lang w:val="fr-FR"/>
        </w:rPr>
        <w:t>,</w:t>
      </w:r>
      <w:r w:rsidR="00536978" w:rsidRPr="00577EB1">
        <w:rPr>
          <w:lang w:val="fr-FR"/>
        </w:rPr>
        <w:t xml:space="preserve"> </w:t>
      </w:r>
      <w:r>
        <w:rPr>
          <w:lang w:val="fr-FR"/>
        </w:rPr>
        <w:t>et</w:t>
      </w:r>
      <w:r w:rsidR="00536978" w:rsidRPr="00577EB1">
        <w:rPr>
          <w:lang w:val="fr-FR"/>
        </w:rPr>
        <w:t xml:space="preserve"> Setareh Razmara (</w:t>
      </w:r>
      <w:r>
        <w:rPr>
          <w:lang w:val="fr-FR"/>
        </w:rPr>
        <w:t>spécialiste en chef Protection sociale</w:t>
      </w:r>
      <w:r w:rsidR="00893DCF" w:rsidRPr="00577EB1">
        <w:rPr>
          <w:lang w:val="fr-FR"/>
        </w:rPr>
        <w:t xml:space="preserve">, </w:t>
      </w:r>
      <w:r>
        <w:rPr>
          <w:lang w:val="fr-FR"/>
        </w:rPr>
        <w:t>chef de projet</w:t>
      </w:r>
      <w:r w:rsidR="00893DCF" w:rsidRPr="00577EB1">
        <w:rPr>
          <w:lang w:val="fr-FR"/>
        </w:rPr>
        <w:t>, AFTSP</w:t>
      </w:r>
      <w:r w:rsidR="00536978" w:rsidRPr="00577EB1">
        <w:rPr>
          <w:lang w:val="fr-FR"/>
        </w:rPr>
        <w:t xml:space="preserve">). </w:t>
      </w:r>
      <w:r>
        <w:rPr>
          <w:lang w:val="fr-FR"/>
        </w:rPr>
        <w:t>Une précieuse contribution a été apporté</w:t>
      </w:r>
      <w:r w:rsidR="003421A1">
        <w:rPr>
          <w:lang w:val="fr-FR"/>
        </w:rPr>
        <w:t>e</w:t>
      </w:r>
      <w:r>
        <w:rPr>
          <w:lang w:val="fr-FR"/>
        </w:rPr>
        <w:t xml:space="preserve"> pour la problématique du genre par </w:t>
      </w:r>
      <w:r w:rsidR="00893DCF" w:rsidRPr="00577EB1">
        <w:rPr>
          <w:lang w:val="fr-FR"/>
        </w:rPr>
        <w:t>Dominique van de Walle (</w:t>
      </w:r>
      <w:r>
        <w:rPr>
          <w:lang w:val="fr-FR"/>
        </w:rPr>
        <w:t>chef</w:t>
      </w:r>
      <w:r w:rsidRPr="00577EB1">
        <w:rPr>
          <w:lang w:val="fr-FR"/>
        </w:rPr>
        <w:t xml:space="preserve"> </w:t>
      </w:r>
      <w:r>
        <w:rPr>
          <w:lang w:val="fr-FR"/>
        </w:rPr>
        <w:t>économiste</w:t>
      </w:r>
      <w:r w:rsidR="00893DCF" w:rsidRPr="00577EB1">
        <w:rPr>
          <w:lang w:val="fr-FR"/>
        </w:rPr>
        <w:t xml:space="preserve">, PRMGE) </w:t>
      </w:r>
      <w:r>
        <w:rPr>
          <w:lang w:val="fr-FR"/>
        </w:rPr>
        <w:t>et</w:t>
      </w:r>
      <w:r w:rsidR="00893DCF" w:rsidRPr="00577EB1">
        <w:rPr>
          <w:lang w:val="fr-FR"/>
        </w:rPr>
        <w:t xml:space="preserve"> Harounan Kazianga (</w:t>
      </w:r>
      <w:r>
        <w:rPr>
          <w:lang w:val="fr-FR"/>
        </w:rPr>
        <w:t>c</w:t>
      </w:r>
      <w:r w:rsidR="00893DCF" w:rsidRPr="00577EB1">
        <w:rPr>
          <w:lang w:val="fr-FR"/>
        </w:rPr>
        <w:t xml:space="preserve">onsultant). </w:t>
      </w:r>
      <w:r>
        <w:rPr>
          <w:lang w:val="fr-FR"/>
        </w:rPr>
        <w:t>Le rapport a également bénéficié du support technique de</w:t>
      </w:r>
      <w:r w:rsidR="00893DCF" w:rsidRPr="00577EB1">
        <w:rPr>
          <w:lang w:val="fr-FR"/>
        </w:rPr>
        <w:t xml:space="preserve"> </w:t>
      </w:r>
      <w:r w:rsidR="003579DB" w:rsidRPr="00577EB1">
        <w:rPr>
          <w:lang w:val="fr-FR"/>
        </w:rPr>
        <w:t>Sarah Hague (</w:t>
      </w:r>
      <w:r>
        <w:rPr>
          <w:lang w:val="fr-FR"/>
        </w:rPr>
        <w:t xml:space="preserve">spécialiste des politiques sociales et économiques, </w:t>
      </w:r>
      <w:r w:rsidR="003579DB" w:rsidRPr="00577EB1">
        <w:rPr>
          <w:lang w:val="fr-FR"/>
        </w:rPr>
        <w:t xml:space="preserve">UNICEF Burkina Faso) </w:t>
      </w:r>
      <w:r w:rsidR="0007340F">
        <w:rPr>
          <w:lang w:val="fr-FR"/>
        </w:rPr>
        <w:t>et du document de référence préparé par le p</w:t>
      </w:r>
      <w:r w:rsidR="00536978" w:rsidRPr="00577EB1">
        <w:rPr>
          <w:lang w:val="fr-FR"/>
        </w:rPr>
        <w:t>rof</w:t>
      </w:r>
      <w:r w:rsidR="00157E01" w:rsidRPr="00577EB1">
        <w:rPr>
          <w:lang w:val="fr-FR"/>
        </w:rPr>
        <w:t>ess</w:t>
      </w:r>
      <w:r w:rsidR="0007340F">
        <w:rPr>
          <w:lang w:val="fr-FR"/>
        </w:rPr>
        <w:t>eu</w:t>
      </w:r>
      <w:r w:rsidR="00157E01" w:rsidRPr="00577EB1">
        <w:rPr>
          <w:lang w:val="fr-FR"/>
        </w:rPr>
        <w:t>r</w:t>
      </w:r>
      <w:r w:rsidR="00536978" w:rsidRPr="00577EB1">
        <w:rPr>
          <w:lang w:val="fr-FR"/>
        </w:rPr>
        <w:t xml:space="preserve"> Kimseyinga Savadogo</w:t>
      </w:r>
      <w:r w:rsidR="003579DB" w:rsidRPr="00577EB1">
        <w:rPr>
          <w:lang w:val="fr-FR"/>
        </w:rPr>
        <w:t xml:space="preserve"> (</w:t>
      </w:r>
      <w:r w:rsidR="0007340F">
        <w:rPr>
          <w:lang w:val="fr-FR"/>
        </w:rPr>
        <w:t>consultant national</w:t>
      </w:r>
      <w:r w:rsidR="003579DB" w:rsidRPr="00577EB1">
        <w:rPr>
          <w:lang w:val="fr-FR"/>
        </w:rPr>
        <w:t>)</w:t>
      </w:r>
      <w:r w:rsidR="00536978" w:rsidRPr="00577EB1">
        <w:rPr>
          <w:lang w:val="fr-FR"/>
        </w:rPr>
        <w:t>.</w:t>
      </w:r>
      <w:r w:rsidR="00C14CBC" w:rsidRPr="00577EB1">
        <w:rPr>
          <w:lang w:val="fr-FR"/>
        </w:rPr>
        <w:t xml:space="preserve"> </w:t>
      </w:r>
      <w:r w:rsidR="0007340F">
        <w:rPr>
          <w:lang w:val="fr-FR"/>
        </w:rPr>
        <w:t xml:space="preserve">L’évaluation par les pairs a été réalisée </w:t>
      </w:r>
      <w:r w:rsidR="000A70E6">
        <w:rPr>
          <w:lang w:val="fr-FR"/>
        </w:rPr>
        <w:t xml:space="preserve">par </w:t>
      </w:r>
      <w:r w:rsidR="00192067" w:rsidRPr="00577EB1">
        <w:rPr>
          <w:lang w:val="fr-FR"/>
        </w:rPr>
        <w:t>John Elder (</w:t>
      </w:r>
      <w:r w:rsidR="0007340F">
        <w:rPr>
          <w:lang w:val="fr-FR"/>
        </w:rPr>
        <w:t>spécialiste en chef Protection sociale</w:t>
      </w:r>
      <w:r w:rsidR="00192067" w:rsidRPr="00577EB1">
        <w:rPr>
          <w:lang w:val="fr-FR"/>
        </w:rPr>
        <w:t xml:space="preserve">, HDNSP) </w:t>
      </w:r>
      <w:r w:rsidR="0007340F">
        <w:rPr>
          <w:lang w:val="fr-FR"/>
        </w:rPr>
        <w:t>et</w:t>
      </w:r>
      <w:r w:rsidR="00192067" w:rsidRPr="00577EB1">
        <w:rPr>
          <w:lang w:val="fr-FR"/>
        </w:rPr>
        <w:t xml:space="preserve"> Damien de Walque (</w:t>
      </w:r>
      <w:r w:rsidR="0007340F">
        <w:rPr>
          <w:lang w:val="fr-FR"/>
        </w:rPr>
        <w:t>économiste senior</w:t>
      </w:r>
      <w:r w:rsidR="00192067" w:rsidRPr="00577EB1">
        <w:rPr>
          <w:lang w:val="fr-FR"/>
        </w:rPr>
        <w:t>, DECRG).</w:t>
      </w:r>
      <w:r w:rsidR="0007340F">
        <w:rPr>
          <w:lang w:val="fr-FR"/>
        </w:rPr>
        <w:t xml:space="preserve"> </w:t>
      </w:r>
      <w:r w:rsidR="00893DCF" w:rsidRPr="0007340F">
        <w:rPr>
          <w:lang w:val="fr-BE"/>
        </w:rPr>
        <w:t xml:space="preserve">Darcy Gallucio </w:t>
      </w:r>
      <w:r w:rsidR="0007340F" w:rsidRPr="0007340F">
        <w:rPr>
          <w:lang w:val="fr-BE"/>
        </w:rPr>
        <w:t>a apport</w:t>
      </w:r>
      <w:r w:rsidR="003421A1">
        <w:rPr>
          <w:lang w:val="fr-BE"/>
        </w:rPr>
        <w:t>é</w:t>
      </w:r>
      <w:r w:rsidR="0007340F" w:rsidRPr="0007340F">
        <w:rPr>
          <w:lang w:val="fr-BE"/>
        </w:rPr>
        <w:t xml:space="preserve"> un appui précieux et </w:t>
      </w:r>
      <w:r w:rsidR="003421A1">
        <w:rPr>
          <w:lang w:val="fr-BE"/>
        </w:rPr>
        <w:t>a édité</w:t>
      </w:r>
      <w:r w:rsidR="0007340F" w:rsidRPr="0007340F">
        <w:rPr>
          <w:lang w:val="fr-BE"/>
        </w:rPr>
        <w:t xml:space="preserve"> le d</w:t>
      </w:r>
      <w:r w:rsidR="0007340F">
        <w:rPr>
          <w:lang w:val="fr-BE"/>
        </w:rPr>
        <w:t xml:space="preserve">ocument. Le soutien administratif a été fourni par </w:t>
      </w:r>
      <w:r w:rsidR="00C14CBC" w:rsidRPr="0007340F">
        <w:rPr>
          <w:lang w:val="fr-BE"/>
        </w:rPr>
        <w:t>Bintou Sogodogo</w:t>
      </w:r>
      <w:r w:rsidR="00893DCF" w:rsidRPr="0007340F">
        <w:rPr>
          <w:lang w:val="fr-BE"/>
        </w:rPr>
        <w:t xml:space="preserve"> (</w:t>
      </w:r>
      <w:r w:rsidR="0007340F">
        <w:rPr>
          <w:lang w:val="fr-BE"/>
        </w:rPr>
        <w:t>a</w:t>
      </w:r>
      <w:r w:rsidR="00DF6D67" w:rsidRPr="0007340F">
        <w:rPr>
          <w:lang w:val="fr-BE"/>
        </w:rPr>
        <w:t>ssistant</w:t>
      </w:r>
      <w:r w:rsidR="003421A1">
        <w:rPr>
          <w:lang w:val="fr-BE"/>
        </w:rPr>
        <w:t>e</w:t>
      </w:r>
      <w:r w:rsidR="0007340F">
        <w:rPr>
          <w:lang w:val="fr-BE"/>
        </w:rPr>
        <w:t xml:space="preserve"> de l’équipe</w:t>
      </w:r>
      <w:r w:rsidR="00DF6D67" w:rsidRPr="0007340F">
        <w:rPr>
          <w:lang w:val="fr-BE"/>
        </w:rPr>
        <w:t xml:space="preserve">, </w:t>
      </w:r>
      <w:r w:rsidR="00893DCF" w:rsidRPr="0007340F">
        <w:rPr>
          <w:lang w:val="fr-BE"/>
        </w:rPr>
        <w:t xml:space="preserve">AFMBF) </w:t>
      </w:r>
      <w:r w:rsidR="0007340F">
        <w:rPr>
          <w:lang w:val="fr-BE"/>
        </w:rPr>
        <w:t>et</w:t>
      </w:r>
      <w:r w:rsidR="00893DCF" w:rsidRPr="0007340F">
        <w:rPr>
          <w:lang w:val="fr-BE"/>
        </w:rPr>
        <w:t xml:space="preserve"> Josiane Luchmun (</w:t>
      </w:r>
      <w:r w:rsidR="0007340F">
        <w:rPr>
          <w:lang w:val="fr-BE"/>
        </w:rPr>
        <w:t>assistant</w:t>
      </w:r>
      <w:r w:rsidR="003421A1">
        <w:rPr>
          <w:lang w:val="fr-BE"/>
        </w:rPr>
        <w:t>e</w:t>
      </w:r>
      <w:r w:rsidR="0007340F">
        <w:rPr>
          <w:lang w:val="fr-BE"/>
        </w:rPr>
        <w:t xml:space="preserve"> programme</w:t>
      </w:r>
      <w:r w:rsidR="00DF6D67" w:rsidRPr="0007340F">
        <w:rPr>
          <w:lang w:val="fr-BE"/>
        </w:rPr>
        <w:t xml:space="preserve">, </w:t>
      </w:r>
      <w:r w:rsidR="00893DCF" w:rsidRPr="0007340F">
        <w:rPr>
          <w:lang w:val="fr-BE"/>
        </w:rPr>
        <w:t>AFTSP)</w:t>
      </w:r>
      <w:r w:rsidR="00C14CBC" w:rsidRPr="0007340F">
        <w:rPr>
          <w:lang w:val="fr-BE"/>
        </w:rPr>
        <w:t>.</w:t>
      </w:r>
    </w:p>
    <w:p w:rsidR="00B32EA9" w:rsidRPr="0007340F" w:rsidRDefault="0007340F" w:rsidP="00AC432F">
      <w:pPr>
        <w:ind w:firstLine="709"/>
        <w:rPr>
          <w:lang w:val="fr-BE"/>
        </w:rPr>
      </w:pPr>
      <w:r w:rsidRPr="0007340F">
        <w:rPr>
          <w:lang w:val="fr-BE"/>
        </w:rPr>
        <w:t xml:space="preserve">Des </w:t>
      </w:r>
      <w:r w:rsidR="00B32EA9" w:rsidRPr="0007340F">
        <w:rPr>
          <w:lang w:val="fr-BE"/>
        </w:rPr>
        <w:t xml:space="preserve">suggestions </w:t>
      </w:r>
      <w:r w:rsidRPr="0007340F">
        <w:rPr>
          <w:lang w:val="fr-BE"/>
        </w:rPr>
        <w:t>et commentaires importants ont été apportés</w:t>
      </w:r>
      <w:r>
        <w:rPr>
          <w:lang w:val="fr-BE"/>
        </w:rPr>
        <w:t xml:space="preserve"> par</w:t>
      </w:r>
      <w:r w:rsidRPr="0007340F">
        <w:rPr>
          <w:lang w:val="fr-BE"/>
        </w:rPr>
        <w:t xml:space="preserve"> </w:t>
      </w:r>
      <w:r w:rsidR="00B32EA9" w:rsidRPr="0007340F">
        <w:rPr>
          <w:lang w:val="fr-BE"/>
        </w:rPr>
        <w:t xml:space="preserve">Galina </w:t>
      </w:r>
      <w:r w:rsidR="00A96C8E" w:rsidRPr="0007340F">
        <w:rPr>
          <w:lang w:val="fr-BE"/>
        </w:rPr>
        <w:t>Sotirova</w:t>
      </w:r>
      <w:r w:rsidRPr="0007340F">
        <w:rPr>
          <w:lang w:val="fr-BE"/>
        </w:rPr>
        <w:t xml:space="preserve"> </w:t>
      </w:r>
      <w:r w:rsidR="00A96C8E" w:rsidRPr="0007340F">
        <w:rPr>
          <w:lang w:val="fr-BE"/>
        </w:rPr>
        <w:t>(</w:t>
      </w:r>
      <w:r w:rsidRPr="0007340F">
        <w:rPr>
          <w:lang w:val="fr-BE"/>
        </w:rPr>
        <w:t>responsable pays</w:t>
      </w:r>
      <w:r w:rsidR="00A96C8E" w:rsidRPr="0007340F">
        <w:rPr>
          <w:lang w:val="fr-BE"/>
        </w:rPr>
        <w:t xml:space="preserve">, AFMBF), </w:t>
      </w:r>
      <w:r w:rsidR="000354E1" w:rsidRPr="0007340F">
        <w:rPr>
          <w:color w:val="000000"/>
          <w:szCs w:val="24"/>
          <w:lang w:val="fr-BE"/>
        </w:rPr>
        <w:t>Kalanidhi Subbarao (</w:t>
      </w:r>
      <w:r w:rsidRPr="0007340F">
        <w:rPr>
          <w:lang w:val="fr-FR"/>
        </w:rPr>
        <w:t>spécialiste en chef Protection sociale</w:t>
      </w:r>
      <w:r w:rsidR="000354E1" w:rsidRPr="0007340F">
        <w:rPr>
          <w:color w:val="000000"/>
          <w:szCs w:val="24"/>
          <w:lang w:val="fr-BE"/>
        </w:rPr>
        <w:t xml:space="preserve">, SASHD), </w:t>
      </w:r>
      <w:r w:rsidR="00192067" w:rsidRPr="0007340F">
        <w:rPr>
          <w:lang w:val="fr-BE"/>
        </w:rPr>
        <w:t>Gilles Alfandari (</w:t>
      </w:r>
      <w:r w:rsidRPr="0007340F">
        <w:rPr>
          <w:lang w:val="fr-BE"/>
        </w:rPr>
        <w:t>économiste senior</w:t>
      </w:r>
      <w:r w:rsidR="00192067" w:rsidRPr="0007340F">
        <w:rPr>
          <w:lang w:val="fr-BE"/>
        </w:rPr>
        <w:t>, AFTP4), Siaka Coulibay (</w:t>
      </w:r>
      <w:r w:rsidRPr="0007340F">
        <w:rPr>
          <w:lang w:val="fr-BE"/>
        </w:rPr>
        <w:t>économiste senior</w:t>
      </w:r>
      <w:r w:rsidR="00192067" w:rsidRPr="0007340F">
        <w:rPr>
          <w:lang w:val="fr-BE"/>
        </w:rPr>
        <w:t>, AFTP4</w:t>
      </w:r>
      <w:r w:rsidRPr="0007340F">
        <w:rPr>
          <w:lang w:val="fr-BE"/>
        </w:rPr>
        <w:t xml:space="preserve"> et</w:t>
      </w:r>
      <w:r w:rsidR="00192067" w:rsidRPr="0007340F">
        <w:rPr>
          <w:lang w:val="fr-BE"/>
        </w:rPr>
        <w:t xml:space="preserve"> Mama Keita (</w:t>
      </w:r>
      <w:r w:rsidRPr="0007340F">
        <w:rPr>
          <w:lang w:val="fr-BE"/>
        </w:rPr>
        <w:t>économiste Pauvreté</w:t>
      </w:r>
      <w:r w:rsidR="00192067" w:rsidRPr="0007340F">
        <w:rPr>
          <w:lang w:val="fr-BE"/>
        </w:rPr>
        <w:t>, AFTP4).</w:t>
      </w:r>
      <w:r w:rsidRPr="0007340F">
        <w:rPr>
          <w:lang w:val="fr-BE"/>
        </w:rPr>
        <w:t xml:space="preserve"> </w:t>
      </w:r>
      <w:r w:rsidR="00192067" w:rsidRPr="0007340F">
        <w:rPr>
          <w:lang w:val="fr-BE"/>
        </w:rPr>
        <w:t xml:space="preserve"> </w:t>
      </w:r>
    </w:p>
    <w:p w:rsidR="00DF6D67" w:rsidRPr="000244B7" w:rsidRDefault="0007340F" w:rsidP="000244B7">
      <w:pPr>
        <w:ind w:firstLine="709"/>
        <w:rPr>
          <w:lang w:val="fr-BE"/>
        </w:rPr>
      </w:pPr>
      <w:r w:rsidRPr="0007340F">
        <w:rPr>
          <w:lang w:val="fr-BE"/>
        </w:rPr>
        <w:t>Pour pr</w:t>
      </w:r>
      <w:r>
        <w:rPr>
          <w:lang w:val="fr-BE"/>
        </w:rPr>
        <w:t>é</w:t>
      </w:r>
      <w:r w:rsidRPr="0007340F">
        <w:rPr>
          <w:lang w:val="fr-BE"/>
        </w:rPr>
        <w:t>parer ce rapport, l’équipe</w:t>
      </w:r>
      <w:r>
        <w:rPr>
          <w:lang w:val="fr-BE"/>
        </w:rPr>
        <w:t xml:space="preserve"> a travaillé en étroite collaboration</w:t>
      </w:r>
      <w:r w:rsidR="005946B5">
        <w:rPr>
          <w:lang w:val="fr-BE"/>
        </w:rPr>
        <w:t xml:space="preserve"> avec </w:t>
      </w:r>
      <w:r w:rsidR="0006158B">
        <w:rPr>
          <w:lang w:val="fr-BE"/>
        </w:rPr>
        <w:t>ses</w:t>
      </w:r>
      <w:r w:rsidR="005946B5">
        <w:rPr>
          <w:lang w:val="fr-BE"/>
        </w:rPr>
        <w:t xml:space="preserve"> homologues du Gouvernement et avec d’autres partenaires au développement (en particulier l’UNICEF, le PAM et le FMI). </w:t>
      </w:r>
      <w:r w:rsidR="0006158B">
        <w:rPr>
          <w:lang w:val="fr-BE"/>
        </w:rPr>
        <w:t>Elle</w:t>
      </w:r>
      <w:r w:rsidR="005946B5">
        <w:rPr>
          <w:lang w:val="fr-BE"/>
        </w:rPr>
        <w:t xml:space="preserve"> exprime sa gratitude au Gouvernement du Burkina Faso pour </w:t>
      </w:r>
      <w:r w:rsidR="000244B7">
        <w:rPr>
          <w:lang w:val="fr-BE"/>
        </w:rPr>
        <w:t>le</w:t>
      </w:r>
      <w:r w:rsidR="005946B5">
        <w:rPr>
          <w:lang w:val="fr-BE"/>
        </w:rPr>
        <w:t xml:space="preserve"> soutien et la coopération dont il a fait preuve en communiquant l’information et les données examinées </w:t>
      </w:r>
      <w:r w:rsidR="005946B5" w:rsidRPr="005946B5">
        <w:rPr>
          <w:lang w:val="fr-FR"/>
        </w:rPr>
        <w:t xml:space="preserve">dans ce rapport. </w:t>
      </w:r>
      <w:r w:rsidR="00A23A26">
        <w:rPr>
          <w:lang w:val="fr-FR"/>
        </w:rPr>
        <w:t>L’équipe est particulièrement reconnaissante au</w:t>
      </w:r>
      <w:r w:rsidR="0006158B">
        <w:rPr>
          <w:lang w:val="fr-FR"/>
        </w:rPr>
        <w:t>x</w:t>
      </w:r>
      <w:r w:rsidR="00A23A26">
        <w:rPr>
          <w:lang w:val="fr-FR"/>
        </w:rPr>
        <w:t xml:space="preserve"> </w:t>
      </w:r>
      <w:r w:rsidR="003421A1">
        <w:rPr>
          <w:lang w:val="fr-FR"/>
        </w:rPr>
        <w:t>M</w:t>
      </w:r>
      <w:r w:rsidR="005946B5" w:rsidRPr="005946B5">
        <w:rPr>
          <w:lang w:val="fr-FR"/>
        </w:rPr>
        <w:t xml:space="preserve">inistère de l’Économie et des Finances, </w:t>
      </w:r>
      <w:r w:rsidR="003421A1">
        <w:rPr>
          <w:lang w:val="fr-FR"/>
        </w:rPr>
        <w:t>M</w:t>
      </w:r>
      <w:r w:rsidR="005946B5" w:rsidRPr="005946B5">
        <w:rPr>
          <w:lang w:val="fr-FR"/>
        </w:rPr>
        <w:t>inistère de l’</w:t>
      </w:r>
      <w:r w:rsidR="001578A4">
        <w:rPr>
          <w:lang w:val="fr-FR"/>
        </w:rPr>
        <w:t>Enseignement</w:t>
      </w:r>
      <w:r w:rsidR="005946B5" w:rsidRPr="005946B5">
        <w:rPr>
          <w:lang w:val="fr-FR"/>
        </w:rPr>
        <w:t xml:space="preserve"> de </w:t>
      </w:r>
      <w:r w:rsidR="003421A1">
        <w:rPr>
          <w:lang w:val="fr-FR"/>
        </w:rPr>
        <w:t>B</w:t>
      </w:r>
      <w:r w:rsidR="005946B5" w:rsidRPr="005946B5">
        <w:rPr>
          <w:lang w:val="fr-FR"/>
        </w:rPr>
        <w:t>ase et de l’A</w:t>
      </w:r>
      <w:r w:rsidR="005946B5">
        <w:rPr>
          <w:lang w:val="fr-FR"/>
        </w:rPr>
        <w:t>lph</w:t>
      </w:r>
      <w:r w:rsidR="005946B5" w:rsidRPr="005946B5">
        <w:rPr>
          <w:lang w:val="fr-FR"/>
        </w:rPr>
        <w:t>abétisation,</w:t>
      </w:r>
      <w:r w:rsidR="005946B5">
        <w:rPr>
          <w:lang w:val="fr-FR"/>
        </w:rPr>
        <w:t xml:space="preserve"> </w:t>
      </w:r>
      <w:r w:rsidR="003421A1">
        <w:rPr>
          <w:lang w:val="fr-BE"/>
        </w:rPr>
        <w:t>M</w:t>
      </w:r>
      <w:r w:rsidR="005946B5" w:rsidRPr="005946B5">
        <w:rPr>
          <w:lang w:val="fr-BE"/>
        </w:rPr>
        <w:t>inistère</w:t>
      </w:r>
      <w:r w:rsidR="005946B5">
        <w:rPr>
          <w:lang w:val="fr-BE"/>
        </w:rPr>
        <w:t xml:space="preserve"> de l’Action sociale et de la Solidarité </w:t>
      </w:r>
      <w:r w:rsidR="003421A1">
        <w:rPr>
          <w:lang w:val="fr-BE"/>
        </w:rPr>
        <w:t>N</w:t>
      </w:r>
      <w:r w:rsidR="005946B5">
        <w:rPr>
          <w:lang w:val="fr-BE"/>
        </w:rPr>
        <w:t xml:space="preserve">ationale et </w:t>
      </w:r>
      <w:r w:rsidR="003421A1">
        <w:rPr>
          <w:lang w:val="fr-BE"/>
        </w:rPr>
        <w:t>M</w:t>
      </w:r>
      <w:r w:rsidR="005946B5" w:rsidRPr="005946B5">
        <w:rPr>
          <w:lang w:val="fr-BE"/>
        </w:rPr>
        <w:t>inistère</w:t>
      </w:r>
      <w:r w:rsidR="005946B5">
        <w:rPr>
          <w:lang w:val="fr-BE"/>
        </w:rPr>
        <w:t xml:space="preserve"> de la Santé </w:t>
      </w:r>
      <w:r w:rsidR="0006158B">
        <w:rPr>
          <w:lang w:val="fr-BE"/>
        </w:rPr>
        <w:t>pour l</w:t>
      </w:r>
      <w:r w:rsidR="00A23A26" w:rsidRPr="005946B5">
        <w:rPr>
          <w:lang w:val="fr-FR"/>
        </w:rPr>
        <w:t xml:space="preserve">’appui </w:t>
      </w:r>
      <w:r w:rsidR="00A23A26">
        <w:rPr>
          <w:lang w:val="fr-FR"/>
        </w:rPr>
        <w:t>appréciable</w:t>
      </w:r>
      <w:r w:rsidR="00A23A26" w:rsidRPr="005946B5">
        <w:rPr>
          <w:lang w:val="fr-FR"/>
        </w:rPr>
        <w:t xml:space="preserve"> </w:t>
      </w:r>
      <w:r w:rsidR="0006158B">
        <w:rPr>
          <w:lang w:val="fr-FR"/>
        </w:rPr>
        <w:t xml:space="preserve">qu’ils lui ont </w:t>
      </w:r>
      <w:r w:rsidR="00A23A26" w:rsidRPr="005946B5">
        <w:rPr>
          <w:lang w:val="fr-FR"/>
        </w:rPr>
        <w:t>fourni</w:t>
      </w:r>
      <w:r w:rsidR="000244B7">
        <w:rPr>
          <w:lang w:val="fr-BE"/>
        </w:rPr>
        <w:t xml:space="preserve">. </w:t>
      </w:r>
      <w:r w:rsidR="0006158B">
        <w:rPr>
          <w:lang w:val="fr-BE"/>
        </w:rPr>
        <w:t>Elle</w:t>
      </w:r>
      <w:r w:rsidR="000244B7" w:rsidRPr="000244B7">
        <w:rPr>
          <w:lang w:val="fr-BE"/>
        </w:rPr>
        <w:t xml:space="preserve"> remercie tout spécialement M</w:t>
      </w:r>
      <w:r w:rsidR="00DF6D67" w:rsidRPr="000244B7">
        <w:rPr>
          <w:lang w:val="fr-BE"/>
        </w:rPr>
        <w:t xml:space="preserve">. Yamsékré Tiendrebeogo, </w:t>
      </w:r>
      <w:r w:rsidR="000244B7" w:rsidRPr="000244B7">
        <w:rPr>
          <w:lang w:val="fr-BE"/>
        </w:rPr>
        <w:t>directeur général Économie et Planification</w:t>
      </w:r>
      <w:r w:rsidR="00DF6D67" w:rsidRPr="000244B7">
        <w:rPr>
          <w:lang w:val="fr-BE"/>
        </w:rPr>
        <w:t xml:space="preserve"> (DGEP)</w:t>
      </w:r>
      <w:r w:rsidR="000244B7">
        <w:rPr>
          <w:lang w:val="fr-BE"/>
        </w:rPr>
        <w:t xml:space="preserve"> qui a mené la préparation de ce travail au Burkina, ainsi que Mme</w:t>
      </w:r>
      <w:r w:rsidR="00DF6D67" w:rsidRPr="000244B7">
        <w:rPr>
          <w:lang w:val="fr-BE"/>
        </w:rPr>
        <w:t xml:space="preserve"> </w:t>
      </w:r>
      <w:r w:rsidR="00B32EA9" w:rsidRPr="000244B7">
        <w:rPr>
          <w:lang w:val="fr-BE"/>
        </w:rPr>
        <w:t>Eugénie Malgoubri (SCADD)</w:t>
      </w:r>
      <w:r w:rsidR="00DF6D67" w:rsidRPr="000244B7">
        <w:rPr>
          <w:lang w:val="fr-BE"/>
        </w:rPr>
        <w:t xml:space="preserve">. </w:t>
      </w:r>
    </w:p>
    <w:p w:rsidR="000244B7" w:rsidRPr="000244B7" w:rsidRDefault="000244B7" w:rsidP="00DF6D67">
      <w:pPr>
        <w:ind w:firstLine="709"/>
        <w:rPr>
          <w:lang w:val="fr-BE"/>
        </w:rPr>
      </w:pPr>
      <w:r w:rsidRPr="000244B7">
        <w:rPr>
          <w:lang w:val="fr-BE"/>
        </w:rPr>
        <w:t xml:space="preserve">Les </w:t>
      </w:r>
      <w:r>
        <w:rPr>
          <w:lang w:val="fr-BE"/>
        </w:rPr>
        <w:t>résulta</w:t>
      </w:r>
      <w:r w:rsidRPr="000244B7">
        <w:rPr>
          <w:lang w:val="fr-BE"/>
        </w:rPr>
        <w:t>ts préliminaires de ce rapport ont été pr</w:t>
      </w:r>
      <w:r>
        <w:rPr>
          <w:lang w:val="fr-BE"/>
        </w:rPr>
        <w:t>é</w:t>
      </w:r>
      <w:r w:rsidRPr="000244B7">
        <w:rPr>
          <w:lang w:val="fr-BE"/>
        </w:rPr>
        <w:t>sent</w:t>
      </w:r>
      <w:r>
        <w:rPr>
          <w:lang w:val="fr-BE"/>
        </w:rPr>
        <w:t>é</w:t>
      </w:r>
      <w:r w:rsidRPr="000244B7">
        <w:rPr>
          <w:lang w:val="fr-BE"/>
        </w:rPr>
        <w:t>s</w:t>
      </w:r>
      <w:r>
        <w:rPr>
          <w:lang w:val="fr-BE"/>
        </w:rPr>
        <w:t xml:space="preserve"> en décembre 2009 aux représentants du Gouvernement ainsi qu’aux partenaires au développement et ONG, qui ont tous fait des commentaires </w:t>
      </w:r>
      <w:r w:rsidR="007E5FC7">
        <w:rPr>
          <w:lang w:val="fr-BE"/>
        </w:rPr>
        <w:t>d’un grand intérêt</w:t>
      </w:r>
      <w:r>
        <w:rPr>
          <w:lang w:val="fr-BE"/>
        </w:rPr>
        <w:t>. Les recommandations et messages stratégiques du rapport ont fait l’objet d’un consensus. À la demande du DGEP, l’équipe a présenté les constats et suggestions de ce r</w:t>
      </w:r>
      <w:r w:rsidR="0006158B">
        <w:rPr>
          <w:lang w:val="fr-BE"/>
        </w:rPr>
        <w:t>apport pendant l’examen du DSRP</w:t>
      </w:r>
      <w:r>
        <w:rPr>
          <w:lang w:val="fr-BE"/>
        </w:rPr>
        <w:t xml:space="preserve"> du 16 avril 2010, présidé par le Premier ministre</w:t>
      </w:r>
      <w:r w:rsidR="007E5FC7">
        <w:rPr>
          <w:lang w:val="fr-BE"/>
        </w:rPr>
        <w:t xml:space="preserve">, </w:t>
      </w:r>
      <w:r w:rsidR="0006158B">
        <w:rPr>
          <w:lang w:val="fr-BE"/>
        </w:rPr>
        <w:t>ainsi qu’</w:t>
      </w:r>
      <w:r w:rsidR="007E5FC7">
        <w:rPr>
          <w:lang w:val="fr-BE"/>
        </w:rPr>
        <w:t>au cours du Forum technique national pour la protection sociale (27 au 29 avril 2010).</w:t>
      </w:r>
      <w:r>
        <w:rPr>
          <w:lang w:val="fr-BE"/>
        </w:rPr>
        <w:t xml:space="preserve"> </w:t>
      </w:r>
      <w:r w:rsidR="007E5FC7">
        <w:rPr>
          <w:lang w:val="fr-BE"/>
        </w:rPr>
        <w:t xml:space="preserve">Les conclusions de ce rapport, y compris le projet de plan d’action pour le développement d’un système efficace de filets sociaux, </w:t>
      </w:r>
      <w:r w:rsidR="002526B9">
        <w:rPr>
          <w:lang w:val="fr-BE"/>
        </w:rPr>
        <w:t xml:space="preserve"> ont</w:t>
      </w:r>
      <w:r w:rsidR="002526B9" w:rsidRPr="002526B9">
        <w:rPr>
          <w:lang w:val="fr-FR"/>
        </w:rPr>
        <w:t xml:space="preserve"> constitué</w:t>
      </w:r>
      <w:r w:rsidR="007E5FC7">
        <w:rPr>
          <w:lang w:val="fr-BE"/>
        </w:rPr>
        <w:t xml:space="preserve"> un apport intéressant pour la SCADD que le Gouvernement </w:t>
      </w:r>
      <w:r w:rsidR="002526B9">
        <w:rPr>
          <w:lang w:val="fr-BE"/>
        </w:rPr>
        <w:t xml:space="preserve">a récemment </w:t>
      </w:r>
      <w:r w:rsidR="007E5FC7">
        <w:rPr>
          <w:lang w:val="fr-BE"/>
        </w:rPr>
        <w:t>élabor</w:t>
      </w:r>
      <w:r w:rsidR="002526B9">
        <w:rPr>
          <w:lang w:val="fr-BE"/>
        </w:rPr>
        <w:t>é (Septembre 2010)</w:t>
      </w:r>
      <w:r w:rsidR="007E5FC7">
        <w:rPr>
          <w:lang w:val="fr-BE"/>
        </w:rPr>
        <w:t>.</w:t>
      </w:r>
    </w:p>
    <w:p w:rsidR="00DF6D67" w:rsidRPr="007E5FC7" w:rsidRDefault="00B32EA9" w:rsidP="00DF6D67">
      <w:pPr>
        <w:ind w:firstLine="709"/>
        <w:rPr>
          <w:highlight w:val="yellow"/>
          <w:lang w:val="fr-BE"/>
        </w:rPr>
      </w:pPr>
      <w:r w:rsidRPr="007E5FC7">
        <w:rPr>
          <w:highlight w:val="yellow"/>
          <w:lang w:val="fr-BE"/>
        </w:rPr>
        <w:t xml:space="preserve"> </w:t>
      </w:r>
    </w:p>
    <w:p w:rsidR="00AB188A" w:rsidRDefault="002B0F67" w:rsidP="00CE4D4B">
      <w:pPr>
        <w:jc w:val="center"/>
        <w:rPr>
          <w:rFonts w:ascii="Times New Roman Bold" w:hAnsi="Times New Roman Bold"/>
          <w:b/>
          <w:lang w:val="fr-FR"/>
        </w:rPr>
      </w:pPr>
      <w:r w:rsidRPr="007E5FC7">
        <w:rPr>
          <w:smallCaps/>
          <w:szCs w:val="24"/>
          <w:highlight w:val="yellow"/>
          <w:lang w:val="fr-BE"/>
        </w:rPr>
        <w:br w:type="page"/>
      </w:r>
      <w:bookmarkEnd w:id="0"/>
      <w:r w:rsidR="007B40D3" w:rsidRPr="00577EB1">
        <w:rPr>
          <w:rFonts w:ascii="Times New Roman Bold" w:hAnsi="Times New Roman Bold"/>
          <w:b/>
          <w:lang w:val="fr-FR"/>
        </w:rPr>
        <w:lastRenderedPageBreak/>
        <w:t xml:space="preserve">TABLE </w:t>
      </w:r>
      <w:r w:rsidR="0065207E" w:rsidRPr="00577EB1">
        <w:rPr>
          <w:rFonts w:ascii="Times New Roman Bold" w:hAnsi="Times New Roman Bold"/>
          <w:b/>
          <w:lang w:val="fr-FR"/>
        </w:rPr>
        <w:t>DES MATIÈRES</w:t>
      </w:r>
    </w:p>
    <w:p w:rsidR="00BB0D3F" w:rsidRPr="00577EB1" w:rsidRDefault="00BB0D3F" w:rsidP="00CE4D4B">
      <w:pPr>
        <w:jc w:val="center"/>
        <w:rPr>
          <w:rFonts w:ascii="Times New Roman Bold" w:hAnsi="Times New Roman Bold"/>
          <w:b/>
          <w:lang w:val="fr-FR"/>
        </w:rPr>
      </w:pPr>
    </w:p>
    <w:p w:rsidR="00EB7D0C" w:rsidRPr="008C53B2" w:rsidRDefault="00725419" w:rsidP="00D0122E">
      <w:pPr>
        <w:pStyle w:val="TOC2"/>
        <w:rPr>
          <w:rStyle w:val="Hyperlink"/>
        </w:rPr>
      </w:pPr>
      <w:r w:rsidRPr="00725419">
        <w:rPr>
          <w:rFonts w:ascii="Times New Roman Bold" w:hAnsi="Times New Roman Bold"/>
        </w:rPr>
        <w:fldChar w:fldCharType="begin"/>
      </w:r>
      <w:r w:rsidR="00EA4C09" w:rsidRPr="00577EB1">
        <w:rPr>
          <w:rFonts w:ascii="Times New Roman Bold" w:hAnsi="Times New Roman Bold"/>
        </w:rPr>
        <w:instrText xml:space="preserve"> TOC \o "1-1" \h \z \t "Titre 2;2" </w:instrText>
      </w:r>
      <w:r w:rsidRPr="00725419">
        <w:rPr>
          <w:rFonts w:ascii="Times New Roman Bold" w:hAnsi="Times New Roman Bold"/>
        </w:rPr>
        <w:fldChar w:fldCharType="separate"/>
      </w:r>
      <w:hyperlink w:anchor="_Toc264748718" w:history="1">
        <w:r w:rsidR="00EB7D0C" w:rsidRPr="00577EB1">
          <w:rPr>
            <w:rStyle w:val="Hyperlink"/>
          </w:rPr>
          <w:t>RÉSUMÉ ANALYTIQUE</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_Toc264748718 \h </w:instrText>
        </w:r>
        <w:r w:rsidRPr="008C53B2">
          <w:rPr>
            <w:rStyle w:val="Hyperlink"/>
            <w:webHidden/>
          </w:rPr>
        </w:r>
        <w:r w:rsidRPr="008C53B2">
          <w:rPr>
            <w:rStyle w:val="Hyperlink"/>
            <w:webHidden/>
          </w:rPr>
          <w:fldChar w:fldCharType="separate"/>
        </w:r>
        <w:r w:rsidR="00EF56B2">
          <w:rPr>
            <w:rStyle w:val="Hyperlink"/>
            <w:webHidden/>
          </w:rPr>
          <w:t>i</w:t>
        </w:r>
        <w:r w:rsidRPr="008C53B2">
          <w:rPr>
            <w:rStyle w:val="Hyperlink"/>
            <w:webHidden/>
          </w:rPr>
          <w:fldChar w:fldCharType="end"/>
        </w:r>
      </w:hyperlink>
    </w:p>
    <w:p w:rsidR="00EB7D0C" w:rsidRPr="008C53B2" w:rsidRDefault="00725419" w:rsidP="00D0122E">
      <w:pPr>
        <w:pStyle w:val="TOC2"/>
        <w:rPr>
          <w:rStyle w:val="Hyperlink"/>
        </w:rPr>
      </w:pPr>
      <w:hyperlink w:anchor="_Toc264748719" w:history="1">
        <w:r w:rsidR="00EB7D0C" w:rsidRPr="00577EB1">
          <w:rPr>
            <w:rStyle w:val="Hyperlink"/>
          </w:rPr>
          <w:t>CHAPITRE I</w:t>
        </w:r>
        <w:r w:rsidR="0007340F">
          <w:rPr>
            <w:rStyle w:val="Hyperlink"/>
          </w:rPr>
          <w:t xml:space="preserve"> </w:t>
        </w:r>
        <w:r w:rsidR="00EB7D0C" w:rsidRPr="00577EB1">
          <w:rPr>
            <w:rStyle w:val="Hyperlink"/>
          </w:rPr>
          <w:t>INTRODUCTION</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_Toc264748719 \h </w:instrText>
        </w:r>
        <w:r w:rsidRPr="008C53B2">
          <w:rPr>
            <w:rStyle w:val="Hyperlink"/>
            <w:webHidden/>
          </w:rPr>
        </w:r>
        <w:r w:rsidRPr="008C53B2">
          <w:rPr>
            <w:rStyle w:val="Hyperlink"/>
            <w:webHidden/>
          </w:rPr>
          <w:fldChar w:fldCharType="separate"/>
        </w:r>
        <w:r w:rsidR="00EF56B2">
          <w:rPr>
            <w:rStyle w:val="Hyperlink"/>
            <w:webHidden/>
          </w:rPr>
          <w:t>1</w:t>
        </w:r>
        <w:r w:rsidRPr="008C53B2">
          <w:rPr>
            <w:rStyle w:val="Hyperlink"/>
            <w:webHidden/>
          </w:rPr>
          <w:fldChar w:fldCharType="end"/>
        </w:r>
      </w:hyperlink>
    </w:p>
    <w:p w:rsidR="00EB7D0C" w:rsidRPr="008C53B2" w:rsidRDefault="00725419" w:rsidP="00D0122E">
      <w:pPr>
        <w:pStyle w:val="TOC2"/>
        <w:rPr>
          <w:rStyle w:val="Hyperlink"/>
        </w:rPr>
      </w:pPr>
      <w:hyperlink w:anchor="_Toc264748720" w:history="1">
        <w:r w:rsidR="00EB7D0C" w:rsidRPr="00577EB1">
          <w:rPr>
            <w:rStyle w:val="Hyperlink"/>
          </w:rPr>
          <w:t>A.</w:t>
        </w:r>
        <w:r w:rsidR="00EB7D0C" w:rsidRPr="008C53B2">
          <w:rPr>
            <w:rStyle w:val="Hyperlink"/>
          </w:rPr>
          <w:tab/>
        </w:r>
        <w:r w:rsidR="00EB7D0C" w:rsidRPr="00577EB1">
          <w:rPr>
            <w:rStyle w:val="Hyperlink"/>
          </w:rPr>
          <w:t>Justification et objectifs</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_Toc264748720 \h </w:instrText>
        </w:r>
        <w:r w:rsidRPr="008C53B2">
          <w:rPr>
            <w:rStyle w:val="Hyperlink"/>
            <w:webHidden/>
          </w:rPr>
        </w:r>
        <w:r w:rsidRPr="008C53B2">
          <w:rPr>
            <w:rStyle w:val="Hyperlink"/>
            <w:webHidden/>
          </w:rPr>
          <w:fldChar w:fldCharType="separate"/>
        </w:r>
        <w:r w:rsidR="00EF56B2">
          <w:rPr>
            <w:rStyle w:val="Hyperlink"/>
            <w:webHidden/>
          </w:rPr>
          <w:t>1</w:t>
        </w:r>
        <w:r w:rsidRPr="008C53B2">
          <w:rPr>
            <w:rStyle w:val="Hyperlink"/>
            <w:webHidden/>
          </w:rPr>
          <w:fldChar w:fldCharType="end"/>
        </w:r>
      </w:hyperlink>
    </w:p>
    <w:p w:rsidR="00EB7D0C" w:rsidRPr="008C53B2" w:rsidRDefault="00725419" w:rsidP="00D0122E">
      <w:pPr>
        <w:pStyle w:val="TOC2"/>
        <w:rPr>
          <w:rStyle w:val="Hyperlink"/>
        </w:rPr>
      </w:pPr>
      <w:hyperlink w:anchor="_Toc264748721" w:history="1">
        <w:r w:rsidR="00EB7D0C" w:rsidRPr="00577EB1">
          <w:rPr>
            <w:rStyle w:val="Hyperlink"/>
          </w:rPr>
          <w:t>B.</w:t>
        </w:r>
        <w:r w:rsidR="00EB7D0C" w:rsidRPr="008C53B2">
          <w:rPr>
            <w:rStyle w:val="Hyperlink"/>
          </w:rPr>
          <w:tab/>
        </w:r>
        <w:r w:rsidR="00EB7D0C" w:rsidRPr="00577EB1">
          <w:rPr>
            <w:rStyle w:val="Hyperlink"/>
          </w:rPr>
          <w:t>Définition des filets sociaux utilisée dans la présente étude</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_Toc264748721 \h </w:instrText>
        </w:r>
        <w:r w:rsidRPr="008C53B2">
          <w:rPr>
            <w:rStyle w:val="Hyperlink"/>
            <w:webHidden/>
          </w:rPr>
        </w:r>
        <w:r w:rsidRPr="008C53B2">
          <w:rPr>
            <w:rStyle w:val="Hyperlink"/>
            <w:webHidden/>
          </w:rPr>
          <w:fldChar w:fldCharType="separate"/>
        </w:r>
        <w:r w:rsidR="00EF56B2">
          <w:rPr>
            <w:rStyle w:val="Hyperlink"/>
            <w:webHidden/>
          </w:rPr>
          <w:t>2</w:t>
        </w:r>
        <w:r w:rsidRPr="008C53B2">
          <w:rPr>
            <w:rStyle w:val="Hyperlink"/>
            <w:webHidden/>
          </w:rPr>
          <w:fldChar w:fldCharType="end"/>
        </w:r>
      </w:hyperlink>
    </w:p>
    <w:p w:rsidR="00EB7D0C" w:rsidRPr="008C53B2" w:rsidRDefault="00725419" w:rsidP="00D0122E">
      <w:pPr>
        <w:pStyle w:val="TOC2"/>
        <w:rPr>
          <w:rStyle w:val="Hyperlink"/>
        </w:rPr>
      </w:pPr>
      <w:hyperlink w:anchor="_Toc264748722" w:history="1">
        <w:r w:rsidR="00EB7D0C" w:rsidRPr="00577EB1">
          <w:rPr>
            <w:rStyle w:val="Hyperlink"/>
          </w:rPr>
          <w:t>C.</w:t>
        </w:r>
        <w:r w:rsidR="00EB7D0C" w:rsidRPr="008C53B2">
          <w:rPr>
            <w:rStyle w:val="Hyperlink"/>
          </w:rPr>
          <w:tab/>
        </w:r>
        <w:r w:rsidR="00EB7D0C" w:rsidRPr="00577EB1">
          <w:rPr>
            <w:rStyle w:val="Hyperlink"/>
          </w:rPr>
          <w:t>Méthodologie de l’étude</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_Toc264748722 \h </w:instrText>
        </w:r>
        <w:r w:rsidRPr="008C53B2">
          <w:rPr>
            <w:rStyle w:val="Hyperlink"/>
            <w:webHidden/>
          </w:rPr>
        </w:r>
        <w:r w:rsidRPr="008C53B2">
          <w:rPr>
            <w:rStyle w:val="Hyperlink"/>
            <w:webHidden/>
          </w:rPr>
          <w:fldChar w:fldCharType="separate"/>
        </w:r>
        <w:r w:rsidR="00EF56B2">
          <w:rPr>
            <w:rStyle w:val="Hyperlink"/>
            <w:webHidden/>
          </w:rPr>
          <w:t>6</w:t>
        </w:r>
        <w:r w:rsidRPr="008C53B2">
          <w:rPr>
            <w:rStyle w:val="Hyperlink"/>
            <w:webHidden/>
          </w:rPr>
          <w:fldChar w:fldCharType="end"/>
        </w:r>
      </w:hyperlink>
    </w:p>
    <w:p w:rsidR="00EB7D0C" w:rsidRPr="008C53B2" w:rsidRDefault="00725419" w:rsidP="00D0122E">
      <w:pPr>
        <w:pStyle w:val="TOC2"/>
        <w:rPr>
          <w:rStyle w:val="Hyperlink"/>
        </w:rPr>
      </w:pPr>
      <w:hyperlink w:anchor="_Toc264748723" w:history="1">
        <w:r w:rsidR="00EB7D0C" w:rsidRPr="00577EB1">
          <w:rPr>
            <w:rStyle w:val="Hyperlink"/>
          </w:rPr>
          <w:t>D.</w:t>
        </w:r>
        <w:r w:rsidR="00EB7D0C" w:rsidRPr="008C53B2">
          <w:rPr>
            <w:rStyle w:val="Hyperlink"/>
          </w:rPr>
          <w:tab/>
        </w:r>
        <w:r w:rsidR="00EB7D0C" w:rsidRPr="00577EB1">
          <w:rPr>
            <w:rStyle w:val="Hyperlink"/>
          </w:rPr>
          <w:t>Structure du rapport</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_Toc264748723 \h </w:instrText>
        </w:r>
        <w:r w:rsidRPr="008C53B2">
          <w:rPr>
            <w:rStyle w:val="Hyperlink"/>
            <w:webHidden/>
          </w:rPr>
        </w:r>
        <w:r w:rsidRPr="008C53B2">
          <w:rPr>
            <w:rStyle w:val="Hyperlink"/>
            <w:webHidden/>
          </w:rPr>
          <w:fldChar w:fldCharType="separate"/>
        </w:r>
        <w:r w:rsidR="00EF56B2">
          <w:rPr>
            <w:rStyle w:val="Hyperlink"/>
            <w:webHidden/>
          </w:rPr>
          <w:t>7</w:t>
        </w:r>
        <w:r w:rsidRPr="008C53B2">
          <w:rPr>
            <w:rStyle w:val="Hyperlink"/>
            <w:webHidden/>
          </w:rPr>
          <w:fldChar w:fldCharType="end"/>
        </w:r>
      </w:hyperlink>
    </w:p>
    <w:p w:rsidR="00EB7D0C" w:rsidRPr="008C53B2" w:rsidRDefault="00725419" w:rsidP="00D0122E">
      <w:pPr>
        <w:pStyle w:val="TOC2"/>
        <w:rPr>
          <w:rStyle w:val="Hyperlink"/>
        </w:rPr>
      </w:pPr>
      <w:hyperlink w:anchor="_Toc264748724" w:history="1">
        <w:r w:rsidR="00EB7D0C" w:rsidRPr="00577EB1">
          <w:rPr>
            <w:rStyle w:val="Hyperlink"/>
          </w:rPr>
          <w:t>CHAPITRE II</w:t>
        </w:r>
        <w:r w:rsidR="0007340F">
          <w:rPr>
            <w:rStyle w:val="Hyperlink"/>
          </w:rPr>
          <w:t xml:space="preserve"> </w:t>
        </w:r>
        <w:r w:rsidR="00EB7D0C" w:rsidRPr="00577EB1">
          <w:rPr>
            <w:rStyle w:val="Hyperlink"/>
          </w:rPr>
          <w:t>PAUVRETÉ, VULNÉRABILITÉ ET RISQUES AU BURKINA FASO</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_Toc264748724 \h </w:instrText>
        </w:r>
        <w:r w:rsidRPr="008C53B2">
          <w:rPr>
            <w:rStyle w:val="Hyperlink"/>
            <w:webHidden/>
          </w:rPr>
        </w:r>
        <w:r w:rsidRPr="008C53B2">
          <w:rPr>
            <w:rStyle w:val="Hyperlink"/>
            <w:webHidden/>
          </w:rPr>
          <w:fldChar w:fldCharType="separate"/>
        </w:r>
        <w:r w:rsidR="00EF56B2">
          <w:rPr>
            <w:rStyle w:val="Hyperlink"/>
            <w:webHidden/>
          </w:rPr>
          <w:t>8</w:t>
        </w:r>
        <w:r w:rsidRPr="008C53B2">
          <w:rPr>
            <w:rStyle w:val="Hyperlink"/>
            <w:webHidden/>
          </w:rPr>
          <w:fldChar w:fldCharType="end"/>
        </w:r>
      </w:hyperlink>
    </w:p>
    <w:p w:rsidR="00EB7D0C" w:rsidRPr="008C53B2" w:rsidRDefault="00725419" w:rsidP="00D0122E">
      <w:pPr>
        <w:pStyle w:val="TOC2"/>
        <w:rPr>
          <w:rStyle w:val="Hyperlink"/>
        </w:rPr>
      </w:pPr>
      <w:hyperlink w:anchor="_Toc264748725" w:history="1">
        <w:r w:rsidR="00EB7D0C" w:rsidRPr="00577EB1">
          <w:rPr>
            <w:rStyle w:val="Hyperlink"/>
          </w:rPr>
          <w:t>A.</w:t>
        </w:r>
        <w:r w:rsidR="00EB7D0C" w:rsidRPr="008C53B2">
          <w:rPr>
            <w:rStyle w:val="Hyperlink"/>
          </w:rPr>
          <w:tab/>
        </w:r>
        <w:r w:rsidR="00EB7D0C" w:rsidRPr="00577EB1">
          <w:rPr>
            <w:rStyle w:val="Hyperlink"/>
          </w:rPr>
          <w:t>Contexte national et point de vue macroéconomique</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_Toc264748725 \h </w:instrText>
        </w:r>
        <w:r w:rsidRPr="008C53B2">
          <w:rPr>
            <w:rStyle w:val="Hyperlink"/>
            <w:webHidden/>
          </w:rPr>
        </w:r>
        <w:r w:rsidRPr="008C53B2">
          <w:rPr>
            <w:rStyle w:val="Hyperlink"/>
            <w:webHidden/>
          </w:rPr>
          <w:fldChar w:fldCharType="separate"/>
        </w:r>
        <w:r w:rsidR="00EF56B2">
          <w:rPr>
            <w:rStyle w:val="Hyperlink"/>
            <w:webHidden/>
          </w:rPr>
          <w:t>9</w:t>
        </w:r>
        <w:r w:rsidRPr="008C53B2">
          <w:rPr>
            <w:rStyle w:val="Hyperlink"/>
            <w:webHidden/>
          </w:rPr>
          <w:fldChar w:fldCharType="end"/>
        </w:r>
      </w:hyperlink>
    </w:p>
    <w:p w:rsidR="00EB7D0C" w:rsidRPr="008C53B2" w:rsidRDefault="00725419" w:rsidP="00D0122E">
      <w:pPr>
        <w:pStyle w:val="TOC2"/>
        <w:rPr>
          <w:rStyle w:val="Hyperlink"/>
        </w:rPr>
      </w:pPr>
      <w:hyperlink w:anchor="_Toc264748726" w:history="1">
        <w:r w:rsidR="00EB7D0C" w:rsidRPr="00577EB1">
          <w:rPr>
            <w:rStyle w:val="Hyperlink"/>
          </w:rPr>
          <w:t>B.</w:t>
        </w:r>
        <w:r w:rsidR="00EB7D0C" w:rsidRPr="008C53B2">
          <w:rPr>
            <w:rStyle w:val="Hyperlink"/>
          </w:rPr>
          <w:tab/>
        </w:r>
        <w:r w:rsidR="00EB7D0C" w:rsidRPr="00577EB1">
          <w:rPr>
            <w:rStyle w:val="Hyperlink"/>
          </w:rPr>
          <w:t>Questions liées à la pauvreté et au développement humain</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_Toc264748726 \h </w:instrText>
        </w:r>
        <w:r w:rsidRPr="008C53B2">
          <w:rPr>
            <w:rStyle w:val="Hyperlink"/>
            <w:webHidden/>
          </w:rPr>
        </w:r>
        <w:r w:rsidRPr="008C53B2">
          <w:rPr>
            <w:rStyle w:val="Hyperlink"/>
            <w:webHidden/>
          </w:rPr>
          <w:fldChar w:fldCharType="separate"/>
        </w:r>
        <w:r w:rsidR="00EF56B2">
          <w:rPr>
            <w:rStyle w:val="Hyperlink"/>
            <w:webHidden/>
          </w:rPr>
          <w:t>10</w:t>
        </w:r>
        <w:r w:rsidRPr="008C53B2">
          <w:rPr>
            <w:rStyle w:val="Hyperlink"/>
            <w:webHidden/>
          </w:rPr>
          <w:fldChar w:fldCharType="end"/>
        </w:r>
      </w:hyperlink>
    </w:p>
    <w:p w:rsidR="00EB7D0C" w:rsidRPr="008C53B2" w:rsidRDefault="00725419" w:rsidP="00D0122E">
      <w:pPr>
        <w:pStyle w:val="TOC2"/>
        <w:rPr>
          <w:rStyle w:val="Hyperlink"/>
        </w:rPr>
      </w:pPr>
      <w:hyperlink w:anchor="_Toc264748727" w:history="1">
        <w:r w:rsidR="00EB7D0C" w:rsidRPr="00577EB1">
          <w:rPr>
            <w:rStyle w:val="Hyperlink"/>
          </w:rPr>
          <w:t>C.</w:t>
        </w:r>
        <w:r w:rsidR="00EB7D0C" w:rsidRPr="008C53B2">
          <w:rPr>
            <w:rStyle w:val="Hyperlink"/>
          </w:rPr>
          <w:tab/>
        </w:r>
        <w:r w:rsidR="00EB7D0C" w:rsidRPr="00577EB1">
          <w:rPr>
            <w:rStyle w:val="Hyperlink"/>
          </w:rPr>
          <w:t>Tendances de la pauvreté, vulnérabilité et profil de la pauvreté</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_Toc264748727 \h </w:instrText>
        </w:r>
        <w:r w:rsidRPr="008C53B2">
          <w:rPr>
            <w:rStyle w:val="Hyperlink"/>
            <w:webHidden/>
          </w:rPr>
        </w:r>
        <w:r w:rsidRPr="008C53B2">
          <w:rPr>
            <w:rStyle w:val="Hyperlink"/>
            <w:webHidden/>
          </w:rPr>
          <w:fldChar w:fldCharType="separate"/>
        </w:r>
        <w:r w:rsidR="00EF56B2">
          <w:rPr>
            <w:rStyle w:val="Hyperlink"/>
            <w:webHidden/>
          </w:rPr>
          <w:t>11</w:t>
        </w:r>
        <w:r w:rsidRPr="008C53B2">
          <w:rPr>
            <w:rStyle w:val="Hyperlink"/>
            <w:webHidden/>
          </w:rPr>
          <w:fldChar w:fldCharType="end"/>
        </w:r>
      </w:hyperlink>
    </w:p>
    <w:p w:rsidR="00EB7D0C" w:rsidRPr="008C53B2" w:rsidRDefault="00725419" w:rsidP="00D0122E">
      <w:pPr>
        <w:pStyle w:val="TOC2"/>
        <w:rPr>
          <w:rStyle w:val="Hyperlink"/>
        </w:rPr>
      </w:pPr>
      <w:hyperlink w:anchor="_Toc264748728" w:history="1">
        <w:r w:rsidR="00EB7D0C" w:rsidRPr="00577EB1">
          <w:rPr>
            <w:rStyle w:val="Hyperlink"/>
          </w:rPr>
          <w:t>D.</w:t>
        </w:r>
        <w:r w:rsidR="00EB7D0C" w:rsidRPr="008C53B2">
          <w:rPr>
            <w:rStyle w:val="Hyperlink"/>
          </w:rPr>
          <w:tab/>
        </w:r>
        <w:r w:rsidR="00EB7D0C" w:rsidRPr="00577EB1">
          <w:rPr>
            <w:rStyle w:val="Hyperlink"/>
          </w:rPr>
          <w:t>Ampleur de la pauvreté et coût pour faire sérieusement la différence</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_Toc264748728 \h </w:instrText>
        </w:r>
        <w:r w:rsidRPr="008C53B2">
          <w:rPr>
            <w:rStyle w:val="Hyperlink"/>
            <w:webHidden/>
          </w:rPr>
        </w:r>
        <w:r w:rsidRPr="008C53B2">
          <w:rPr>
            <w:rStyle w:val="Hyperlink"/>
            <w:webHidden/>
          </w:rPr>
          <w:fldChar w:fldCharType="separate"/>
        </w:r>
        <w:r w:rsidR="00EF56B2">
          <w:rPr>
            <w:rStyle w:val="Hyperlink"/>
            <w:webHidden/>
          </w:rPr>
          <w:t>23</w:t>
        </w:r>
        <w:r w:rsidRPr="008C53B2">
          <w:rPr>
            <w:rStyle w:val="Hyperlink"/>
            <w:webHidden/>
          </w:rPr>
          <w:fldChar w:fldCharType="end"/>
        </w:r>
      </w:hyperlink>
    </w:p>
    <w:p w:rsidR="00EB7D0C" w:rsidRPr="008C53B2" w:rsidRDefault="00725419" w:rsidP="00D0122E">
      <w:pPr>
        <w:pStyle w:val="TOC2"/>
        <w:rPr>
          <w:rStyle w:val="Hyperlink"/>
        </w:rPr>
      </w:pPr>
      <w:hyperlink w:anchor="_Toc264748729" w:history="1">
        <w:r w:rsidR="00EB7D0C" w:rsidRPr="00577EB1">
          <w:rPr>
            <w:rStyle w:val="Hyperlink"/>
          </w:rPr>
          <w:t>CHAPITRE III</w:t>
        </w:r>
        <w:r w:rsidR="0007340F">
          <w:rPr>
            <w:rStyle w:val="Hyperlink"/>
          </w:rPr>
          <w:t xml:space="preserve"> </w:t>
        </w:r>
        <w:r w:rsidR="00EB7D0C" w:rsidRPr="00577EB1">
          <w:rPr>
            <w:rStyle w:val="Hyperlink"/>
          </w:rPr>
          <w:t>POLITIQUE ET INSTITUTIONS ÉTATIQUES EN MATIÈRE DE FILETS SOCIAUX</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_Toc264748729 \h </w:instrText>
        </w:r>
        <w:r w:rsidRPr="008C53B2">
          <w:rPr>
            <w:rStyle w:val="Hyperlink"/>
            <w:webHidden/>
          </w:rPr>
        </w:r>
        <w:r w:rsidRPr="008C53B2">
          <w:rPr>
            <w:rStyle w:val="Hyperlink"/>
            <w:webHidden/>
          </w:rPr>
          <w:fldChar w:fldCharType="separate"/>
        </w:r>
        <w:r w:rsidR="00EF56B2">
          <w:rPr>
            <w:rStyle w:val="Hyperlink"/>
            <w:webHidden/>
          </w:rPr>
          <w:t>26</w:t>
        </w:r>
        <w:r w:rsidRPr="008C53B2">
          <w:rPr>
            <w:rStyle w:val="Hyperlink"/>
            <w:webHidden/>
          </w:rPr>
          <w:fldChar w:fldCharType="end"/>
        </w:r>
      </w:hyperlink>
    </w:p>
    <w:p w:rsidR="00EB7D0C" w:rsidRPr="008C53B2" w:rsidRDefault="00725419" w:rsidP="00D0122E">
      <w:pPr>
        <w:pStyle w:val="TOC2"/>
        <w:rPr>
          <w:rStyle w:val="Hyperlink"/>
        </w:rPr>
      </w:pPr>
      <w:hyperlink w:anchor="_Toc264748730" w:history="1">
        <w:r w:rsidR="00EB7D0C" w:rsidRPr="00577EB1">
          <w:rPr>
            <w:rStyle w:val="Hyperlink"/>
          </w:rPr>
          <w:t>A.</w:t>
        </w:r>
        <w:r w:rsidR="00EB7D0C" w:rsidRPr="008C53B2">
          <w:rPr>
            <w:rStyle w:val="Hyperlink"/>
          </w:rPr>
          <w:tab/>
        </w:r>
        <w:r w:rsidR="00EB7D0C" w:rsidRPr="00577EB1">
          <w:rPr>
            <w:rStyle w:val="Hyperlink"/>
          </w:rPr>
          <w:t>Rôle stratégique accordé aux filets sociaux au sein de la politique de développement élargie</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_Toc264748730 \h </w:instrText>
        </w:r>
        <w:r w:rsidRPr="008C53B2">
          <w:rPr>
            <w:rStyle w:val="Hyperlink"/>
            <w:webHidden/>
          </w:rPr>
        </w:r>
        <w:r w:rsidRPr="008C53B2">
          <w:rPr>
            <w:rStyle w:val="Hyperlink"/>
            <w:webHidden/>
          </w:rPr>
          <w:fldChar w:fldCharType="separate"/>
        </w:r>
        <w:r w:rsidR="00EF56B2">
          <w:rPr>
            <w:rStyle w:val="Hyperlink"/>
            <w:webHidden/>
          </w:rPr>
          <w:t>27</w:t>
        </w:r>
        <w:r w:rsidRPr="008C53B2">
          <w:rPr>
            <w:rStyle w:val="Hyperlink"/>
            <w:webHidden/>
          </w:rPr>
          <w:fldChar w:fldCharType="end"/>
        </w:r>
      </w:hyperlink>
    </w:p>
    <w:p w:rsidR="00EB7D0C" w:rsidRPr="008C53B2" w:rsidRDefault="00725419" w:rsidP="00D0122E">
      <w:pPr>
        <w:pStyle w:val="TOC2"/>
        <w:rPr>
          <w:rStyle w:val="Hyperlink"/>
        </w:rPr>
      </w:pPr>
      <w:hyperlink w:anchor="_Toc264748731" w:history="1">
        <w:r w:rsidR="00EB7D0C" w:rsidRPr="00577EB1">
          <w:rPr>
            <w:rStyle w:val="Hyperlink"/>
          </w:rPr>
          <w:t>B.</w:t>
        </w:r>
        <w:r w:rsidR="00EB7D0C" w:rsidRPr="008C53B2">
          <w:rPr>
            <w:rStyle w:val="Hyperlink"/>
          </w:rPr>
          <w:tab/>
        </w:r>
        <w:r w:rsidR="00EB7D0C" w:rsidRPr="00577EB1">
          <w:rPr>
            <w:rStyle w:val="Hyperlink"/>
          </w:rPr>
          <w:t>Dispositif institutionnel du système de filets sociaux</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_Toc264748731 \h </w:instrText>
        </w:r>
        <w:r w:rsidRPr="008C53B2">
          <w:rPr>
            <w:rStyle w:val="Hyperlink"/>
            <w:webHidden/>
          </w:rPr>
        </w:r>
        <w:r w:rsidRPr="008C53B2">
          <w:rPr>
            <w:rStyle w:val="Hyperlink"/>
            <w:webHidden/>
          </w:rPr>
          <w:fldChar w:fldCharType="separate"/>
        </w:r>
        <w:r w:rsidR="00EF56B2">
          <w:rPr>
            <w:rStyle w:val="Hyperlink"/>
            <w:webHidden/>
          </w:rPr>
          <w:t>36</w:t>
        </w:r>
        <w:r w:rsidRPr="008C53B2">
          <w:rPr>
            <w:rStyle w:val="Hyperlink"/>
            <w:webHidden/>
          </w:rPr>
          <w:fldChar w:fldCharType="end"/>
        </w:r>
      </w:hyperlink>
    </w:p>
    <w:p w:rsidR="00EB7D0C" w:rsidRPr="008C53B2" w:rsidRDefault="00725419" w:rsidP="00D0122E">
      <w:pPr>
        <w:pStyle w:val="TOC2"/>
        <w:rPr>
          <w:rStyle w:val="Hyperlink"/>
        </w:rPr>
      </w:pPr>
      <w:hyperlink w:anchor="_Toc264748732" w:history="1">
        <w:r w:rsidR="00EB7D0C" w:rsidRPr="00577EB1">
          <w:rPr>
            <w:rStyle w:val="Hyperlink"/>
          </w:rPr>
          <w:t>C.</w:t>
        </w:r>
        <w:r w:rsidR="00EB7D0C" w:rsidRPr="008C53B2">
          <w:rPr>
            <w:rStyle w:val="Hyperlink"/>
          </w:rPr>
          <w:tab/>
        </w:r>
        <w:r w:rsidR="00EB7D0C" w:rsidRPr="00577EB1">
          <w:rPr>
            <w:rStyle w:val="Hyperlink"/>
          </w:rPr>
          <w:t>Financement du système de filets sociaux</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_Toc264748732 \h </w:instrText>
        </w:r>
        <w:r w:rsidRPr="008C53B2">
          <w:rPr>
            <w:rStyle w:val="Hyperlink"/>
            <w:webHidden/>
          </w:rPr>
        </w:r>
        <w:r w:rsidRPr="008C53B2">
          <w:rPr>
            <w:rStyle w:val="Hyperlink"/>
            <w:webHidden/>
          </w:rPr>
          <w:fldChar w:fldCharType="separate"/>
        </w:r>
        <w:r w:rsidR="00EF56B2">
          <w:rPr>
            <w:rStyle w:val="Hyperlink"/>
            <w:webHidden/>
          </w:rPr>
          <w:t>39</w:t>
        </w:r>
        <w:r w:rsidRPr="008C53B2">
          <w:rPr>
            <w:rStyle w:val="Hyperlink"/>
            <w:webHidden/>
          </w:rPr>
          <w:fldChar w:fldCharType="end"/>
        </w:r>
      </w:hyperlink>
    </w:p>
    <w:p w:rsidR="00EB7D0C" w:rsidRPr="008C53B2" w:rsidRDefault="00725419" w:rsidP="00D0122E">
      <w:pPr>
        <w:pStyle w:val="TOC2"/>
        <w:rPr>
          <w:rStyle w:val="Hyperlink"/>
        </w:rPr>
      </w:pPr>
      <w:hyperlink w:anchor="_Toc264748733" w:history="1">
        <w:r w:rsidR="00EB7D0C" w:rsidRPr="00577EB1">
          <w:rPr>
            <w:rStyle w:val="Hyperlink"/>
          </w:rPr>
          <w:t>CHAPITRE IV</w:t>
        </w:r>
        <w:r w:rsidR="0007340F">
          <w:rPr>
            <w:rStyle w:val="Hyperlink"/>
          </w:rPr>
          <w:t xml:space="preserve"> </w:t>
        </w:r>
        <w:r w:rsidR="00EB7D0C" w:rsidRPr="00577EB1">
          <w:rPr>
            <w:rStyle w:val="Hyperlink"/>
          </w:rPr>
          <w:t>EXAMEN DES PROGRAMMES INDIVIDUELS DE FILETS SOCIAUX EXISTANTS</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_Toc264748733 \h </w:instrText>
        </w:r>
        <w:r w:rsidRPr="008C53B2">
          <w:rPr>
            <w:rStyle w:val="Hyperlink"/>
            <w:webHidden/>
          </w:rPr>
        </w:r>
        <w:r w:rsidRPr="008C53B2">
          <w:rPr>
            <w:rStyle w:val="Hyperlink"/>
            <w:webHidden/>
          </w:rPr>
          <w:fldChar w:fldCharType="separate"/>
        </w:r>
        <w:r w:rsidR="00EF56B2">
          <w:rPr>
            <w:rStyle w:val="Hyperlink"/>
            <w:webHidden/>
          </w:rPr>
          <w:t>62</w:t>
        </w:r>
        <w:r w:rsidRPr="008C53B2">
          <w:rPr>
            <w:rStyle w:val="Hyperlink"/>
            <w:webHidden/>
          </w:rPr>
          <w:fldChar w:fldCharType="end"/>
        </w:r>
      </w:hyperlink>
    </w:p>
    <w:p w:rsidR="00EB7D0C" w:rsidRPr="008C53B2" w:rsidRDefault="00725419" w:rsidP="00D0122E">
      <w:pPr>
        <w:pStyle w:val="TOC2"/>
        <w:rPr>
          <w:rStyle w:val="Hyperlink"/>
        </w:rPr>
      </w:pPr>
      <w:hyperlink w:anchor="_Toc264748734" w:history="1">
        <w:r w:rsidR="00EB7D0C" w:rsidRPr="00577EB1">
          <w:rPr>
            <w:rStyle w:val="Hyperlink"/>
          </w:rPr>
          <w:t>A.</w:t>
        </w:r>
        <w:r w:rsidR="00EB7D0C" w:rsidRPr="008C53B2">
          <w:rPr>
            <w:rStyle w:val="Hyperlink"/>
          </w:rPr>
          <w:tab/>
        </w:r>
        <w:r w:rsidR="00EB7D0C" w:rsidRPr="00577EB1">
          <w:rPr>
            <w:rStyle w:val="Hyperlink"/>
          </w:rPr>
          <w:t>Transferts monétaires et quasi-monétaires</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_Toc264748734 \h </w:instrText>
        </w:r>
        <w:r w:rsidRPr="008C53B2">
          <w:rPr>
            <w:rStyle w:val="Hyperlink"/>
            <w:webHidden/>
          </w:rPr>
        </w:r>
        <w:r w:rsidRPr="008C53B2">
          <w:rPr>
            <w:rStyle w:val="Hyperlink"/>
            <w:webHidden/>
          </w:rPr>
          <w:fldChar w:fldCharType="separate"/>
        </w:r>
        <w:r w:rsidR="00EF56B2">
          <w:rPr>
            <w:rStyle w:val="Hyperlink"/>
            <w:webHidden/>
          </w:rPr>
          <w:t>63</w:t>
        </w:r>
        <w:r w:rsidRPr="008C53B2">
          <w:rPr>
            <w:rStyle w:val="Hyperlink"/>
            <w:webHidden/>
          </w:rPr>
          <w:fldChar w:fldCharType="end"/>
        </w:r>
      </w:hyperlink>
    </w:p>
    <w:p w:rsidR="00EB7D0C" w:rsidRPr="008C53B2" w:rsidRDefault="00725419" w:rsidP="00D0122E">
      <w:pPr>
        <w:pStyle w:val="TOC2"/>
        <w:rPr>
          <w:rStyle w:val="Hyperlink"/>
        </w:rPr>
      </w:pPr>
      <w:hyperlink w:anchor="_Toc264748735" w:history="1">
        <w:r w:rsidR="00EB7D0C" w:rsidRPr="00577EB1">
          <w:rPr>
            <w:rStyle w:val="Hyperlink"/>
          </w:rPr>
          <w:t>B.</w:t>
        </w:r>
        <w:r w:rsidR="00EB7D0C" w:rsidRPr="008C53B2">
          <w:rPr>
            <w:rStyle w:val="Hyperlink"/>
          </w:rPr>
          <w:tab/>
        </w:r>
        <w:r w:rsidR="00EB7D0C" w:rsidRPr="00577EB1">
          <w:rPr>
            <w:rStyle w:val="Hyperlink"/>
          </w:rPr>
          <w:t>Transferts alimentaires</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_Toc264748735 \h </w:instrText>
        </w:r>
        <w:r w:rsidRPr="008C53B2">
          <w:rPr>
            <w:rStyle w:val="Hyperlink"/>
            <w:webHidden/>
          </w:rPr>
        </w:r>
        <w:r w:rsidRPr="008C53B2">
          <w:rPr>
            <w:rStyle w:val="Hyperlink"/>
            <w:webHidden/>
          </w:rPr>
          <w:fldChar w:fldCharType="separate"/>
        </w:r>
        <w:r w:rsidR="00EF56B2">
          <w:rPr>
            <w:rStyle w:val="Hyperlink"/>
            <w:webHidden/>
          </w:rPr>
          <w:t>67</w:t>
        </w:r>
        <w:r w:rsidRPr="008C53B2">
          <w:rPr>
            <w:rStyle w:val="Hyperlink"/>
            <w:webHidden/>
          </w:rPr>
          <w:fldChar w:fldCharType="end"/>
        </w:r>
      </w:hyperlink>
    </w:p>
    <w:p w:rsidR="00EB7D0C" w:rsidRPr="008C53B2" w:rsidRDefault="00725419" w:rsidP="00D0122E">
      <w:pPr>
        <w:pStyle w:val="TOC2"/>
        <w:rPr>
          <w:rStyle w:val="Hyperlink"/>
        </w:rPr>
      </w:pPr>
      <w:hyperlink w:anchor="_Toc264748736" w:history="1">
        <w:r w:rsidR="00EB7D0C" w:rsidRPr="00577EB1">
          <w:rPr>
            <w:rStyle w:val="Hyperlink"/>
          </w:rPr>
          <w:t>C.</w:t>
        </w:r>
        <w:r w:rsidR="00EB7D0C" w:rsidRPr="008C53B2">
          <w:rPr>
            <w:rStyle w:val="Hyperlink"/>
          </w:rPr>
          <w:tab/>
        </w:r>
        <w:r w:rsidR="00EB7D0C" w:rsidRPr="00577EB1">
          <w:rPr>
            <w:rStyle w:val="Hyperlink"/>
          </w:rPr>
          <w:t>Subventions universelles des produits alimentaires et pétroliers</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_Toc264748736 \h </w:instrText>
        </w:r>
        <w:r w:rsidRPr="008C53B2">
          <w:rPr>
            <w:rStyle w:val="Hyperlink"/>
            <w:webHidden/>
          </w:rPr>
        </w:r>
        <w:r w:rsidRPr="008C53B2">
          <w:rPr>
            <w:rStyle w:val="Hyperlink"/>
            <w:webHidden/>
          </w:rPr>
          <w:fldChar w:fldCharType="separate"/>
        </w:r>
        <w:r w:rsidR="00EF56B2">
          <w:rPr>
            <w:rStyle w:val="Hyperlink"/>
            <w:webHidden/>
          </w:rPr>
          <w:t>79</w:t>
        </w:r>
        <w:r w:rsidRPr="008C53B2">
          <w:rPr>
            <w:rStyle w:val="Hyperlink"/>
            <w:webHidden/>
          </w:rPr>
          <w:fldChar w:fldCharType="end"/>
        </w:r>
      </w:hyperlink>
    </w:p>
    <w:p w:rsidR="00EB7D0C" w:rsidRPr="008C53B2" w:rsidRDefault="00725419" w:rsidP="00D0122E">
      <w:pPr>
        <w:pStyle w:val="TOC2"/>
        <w:rPr>
          <w:rStyle w:val="Hyperlink"/>
        </w:rPr>
      </w:pPr>
      <w:hyperlink w:anchor="_Toc264748737" w:history="1">
        <w:r w:rsidR="00EB7D0C" w:rsidRPr="00577EB1">
          <w:rPr>
            <w:rStyle w:val="Hyperlink"/>
          </w:rPr>
          <w:t>D.</w:t>
        </w:r>
        <w:r w:rsidR="00EB7D0C" w:rsidRPr="008C53B2">
          <w:rPr>
            <w:rStyle w:val="Hyperlink"/>
          </w:rPr>
          <w:tab/>
        </w:r>
        <w:r w:rsidR="00EB7D0C" w:rsidRPr="00577EB1">
          <w:rPr>
            <w:rStyle w:val="Hyperlink"/>
          </w:rPr>
          <w:t>Travaux publics à haute intensité de main-d’œuvre et Argent/vivres contre travail</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_Toc264748737 \h </w:instrText>
        </w:r>
        <w:r w:rsidRPr="008C53B2">
          <w:rPr>
            <w:rStyle w:val="Hyperlink"/>
            <w:webHidden/>
          </w:rPr>
        </w:r>
        <w:r w:rsidRPr="008C53B2">
          <w:rPr>
            <w:rStyle w:val="Hyperlink"/>
            <w:webHidden/>
          </w:rPr>
          <w:fldChar w:fldCharType="separate"/>
        </w:r>
        <w:r w:rsidR="00EF56B2">
          <w:rPr>
            <w:rStyle w:val="Hyperlink"/>
            <w:webHidden/>
          </w:rPr>
          <w:t>80</w:t>
        </w:r>
        <w:r w:rsidRPr="008C53B2">
          <w:rPr>
            <w:rStyle w:val="Hyperlink"/>
            <w:webHidden/>
          </w:rPr>
          <w:fldChar w:fldCharType="end"/>
        </w:r>
      </w:hyperlink>
    </w:p>
    <w:p w:rsidR="00EB7D0C" w:rsidRPr="008C53B2" w:rsidRDefault="00725419" w:rsidP="00D0122E">
      <w:pPr>
        <w:pStyle w:val="TOC2"/>
        <w:rPr>
          <w:rStyle w:val="Hyperlink"/>
        </w:rPr>
      </w:pPr>
      <w:hyperlink w:anchor="_Toc264748738" w:history="1">
        <w:r w:rsidR="00EB7D0C" w:rsidRPr="00577EB1">
          <w:rPr>
            <w:rStyle w:val="Hyperlink"/>
          </w:rPr>
          <w:t>E.</w:t>
        </w:r>
        <w:r w:rsidR="00EB7D0C" w:rsidRPr="008C53B2">
          <w:rPr>
            <w:rStyle w:val="Hyperlink"/>
          </w:rPr>
          <w:tab/>
        </w:r>
        <w:r w:rsidR="00EB7D0C" w:rsidRPr="00577EB1">
          <w:rPr>
            <w:rStyle w:val="Hyperlink"/>
          </w:rPr>
          <w:t>Exemptions des frais de santé</w:t>
        </w:r>
        <w:r w:rsidR="00EB7D0C" w:rsidRPr="008C53B2">
          <w:rPr>
            <w:rStyle w:val="Hyperlink"/>
            <w:webHidden/>
          </w:rPr>
          <w:tab/>
        </w:r>
        <w:r w:rsidRPr="008C53B2">
          <w:rPr>
            <w:rStyle w:val="Hyperlink"/>
            <w:webHidden/>
          </w:rPr>
          <w:fldChar w:fldCharType="begin"/>
        </w:r>
        <w:r w:rsidR="00EB7D0C" w:rsidRPr="008C53B2">
          <w:rPr>
            <w:rStyle w:val="Hyperlink"/>
            <w:webHidden/>
          </w:rPr>
          <w:instrText xml:space="preserve"> PAGEREF _Toc264748738 \h </w:instrText>
        </w:r>
        <w:r w:rsidRPr="008C53B2">
          <w:rPr>
            <w:rStyle w:val="Hyperlink"/>
            <w:webHidden/>
          </w:rPr>
        </w:r>
        <w:r w:rsidRPr="008C53B2">
          <w:rPr>
            <w:rStyle w:val="Hyperlink"/>
            <w:webHidden/>
          </w:rPr>
          <w:fldChar w:fldCharType="separate"/>
        </w:r>
        <w:r w:rsidR="00EF56B2">
          <w:rPr>
            <w:rStyle w:val="Hyperlink"/>
            <w:webHidden/>
          </w:rPr>
          <w:t>84</w:t>
        </w:r>
        <w:r w:rsidRPr="008C53B2">
          <w:rPr>
            <w:rStyle w:val="Hyperlink"/>
            <w:webHidden/>
          </w:rPr>
          <w:fldChar w:fldCharType="end"/>
        </w:r>
      </w:hyperlink>
    </w:p>
    <w:p w:rsidR="00EB7D0C" w:rsidRPr="008C53B2" w:rsidRDefault="00725419" w:rsidP="00D0122E">
      <w:pPr>
        <w:pStyle w:val="TOC2"/>
        <w:rPr>
          <w:rStyle w:val="Hyperlink"/>
          <w:u w:val="none"/>
        </w:rPr>
      </w:pPr>
      <w:hyperlink w:anchor="_Toc264748739" w:history="1">
        <w:r w:rsidR="00EB7D0C" w:rsidRPr="00577EB1">
          <w:rPr>
            <w:rStyle w:val="Hyperlink"/>
          </w:rPr>
          <w:t>CHAPITRE V : RECOMMANDATIONS POUR UNE PLUS GRANDE EFFICACITÉ DU SYSTEME DE FILETS SOCIAUX</w:t>
        </w:r>
        <w:r w:rsidR="00EB7D0C" w:rsidRPr="008C53B2">
          <w:rPr>
            <w:rStyle w:val="Hyperlink"/>
            <w:webHidden/>
          </w:rPr>
          <w:tab/>
        </w:r>
      </w:hyperlink>
      <w:r w:rsidR="008C53B2" w:rsidRPr="00B970F3">
        <w:rPr>
          <w:rStyle w:val="Hyperlink"/>
          <w:color w:val="auto"/>
          <w:u w:val="none"/>
        </w:rPr>
        <w:t>91</w:t>
      </w:r>
    </w:p>
    <w:p w:rsidR="00EB7D0C" w:rsidRDefault="00725419" w:rsidP="00D0122E">
      <w:pPr>
        <w:pStyle w:val="TOC2"/>
        <w:rPr>
          <w:rStyle w:val="Hyperlink"/>
        </w:rPr>
      </w:pPr>
      <w:hyperlink w:anchor="_Toc264748740" w:history="1">
        <w:r w:rsidR="00EB7D0C" w:rsidRPr="00577EB1">
          <w:rPr>
            <w:rStyle w:val="Hyperlink"/>
          </w:rPr>
          <w:t>A.</w:t>
        </w:r>
        <w:r w:rsidR="00EB7D0C" w:rsidRPr="008C53B2">
          <w:rPr>
            <w:rStyle w:val="Hyperlink"/>
          </w:rPr>
          <w:tab/>
        </w:r>
        <w:r w:rsidR="008C53B2" w:rsidRPr="008C53B2">
          <w:rPr>
            <w:rStyle w:val="Hyperlink"/>
          </w:rPr>
          <w:t>Résumé des constats</w:t>
        </w:r>
        <w:r w:rsidR="00EB7D0C" w:rsidRPr="008C53B2">
          <w:rPr>
            <w:rStyle w:val="Hyperlink"/>
            <w:webHidden/>
          </w:rPr>
          <w:tab/>
        </w:r>
        <w:r w:rsidR="00E132CD">
          <w:rPr>
            <w:rStyle w:val="Hyperlink"/>
            <w:webHidden/>
          </w:rPr>
          <w:t>91</w:t>
        </w:r>
      </w:hyperlink>
    </w:p>
    <w:p w:rsidR="008C53B2" w:rsidRPr="00D0122E" w:rsidRDefault="008C53B2" w:rsidP="00D0122E">
      <w:pPr>
        <w:pStyle w:val="TOC2"/>
        <w:rPr>
          <w:rStyle w:val="Hyperlink"/>
          <w:color w:val="auto"/>
          <w:u w:val="none"/>
        </w:rPr>
      </w:pPr>
      <w:r w:rsidRPr="00D0122E">
        <w:rPr>
          <w:rStyle w:val="Hyperlink"/>
          <w:color w:val="auto"/>
          <w:u w:val="none"/>
        </w:rPr>
        <w:t>B.</w:t>
      </w:r>
      <w:r w:rsidRPr="00D0122E">
        <w:rPr>
          <w:rStyle w:val="Hyperlink"/>
          <w:color w:val="auto"/>
          <w:u w:val="none"/>
        </w:rPr>
        <w:tab/>
      </w:r>
      <w:r w:rsidR="00D0122E" w:rsidRPr="00D0122E">
        <w:rPr>
          <w:rStyle w:val="Hyperlink"/>
          <w:color w:val="auto"/>
          <w:u w:val="none"/>
        </w:rPr>
        <w:t>Recommandations pour les politiques</w:t>
      </w:r>
      <w:r w:rsidR="00D0122E" w:rsidRPr="00D0122E">
        <w:rPr>
          <w:rStyle w:val="Hyperlink"/>
          <w:color w:val="auto"/>
          <w:u w:val="none"/>
        </w:rPr>
        <w:tab/>
        <w:t>99</w:t>
      </w:r>
    </w:p>
    <w:p w:rsidR="008C53B2" w:rsidRPr="008C53B2" w:rsidRDefault="008C53B2" w:rsidP="008C53B2">
      <w:pPr>
        <w:rPr>
          <w:noProof/>
          <w:lang w:val="fr-FR"/>
        </w:rPr>
      </w:pPr>
    </w:p>
    <w:p w:rsidR="00EB7D0C" w:rsidRPr="00577EB1" w:rsidRDefault="00725419">
      <w:pPr>
        <w:pStyle w:val="TOC1"/>
        <w:rPr>
          <w:rFonts w:asciiTheme="minorHAnsi" w:eastAsiaTheme="minorEastAsia" w:hAnsiTheme="minorHAnsi" w:cstheme="minorBidi"/>
          <w:b w:val="0"/>
          <w:bCs w:val="0"/>
          <w:lang w:val="fr-FR" w:eastAsia="fr-BE"/>
        </w:rPr>
      </w:pPr>
      <w:hyperlink w:anchor="_Toc264748749" w:history="1">
        <w:r w:rsidR="00EB7D0C" w:rsidRPr="00577EB1">
          <w:rPr>
            <w:rStyle w:val="Hyperlink"/>
            <w:lang w:val="fr-FR"/>
          </w:rPr>
          <w:t>RÉFÉRENCES</w:t>
        </w:r>
        <w:r w:rsidR="00EB7D0C" w:rsidRPr="00577EB1">
          <w:rPr>
            <w:webHidden/>
            <w:lang w:val="fr-FR"/>
          </w:rPr>
          <w:tab/>
        </w:r>
        <w:r w:rsidRPr="00577EB1">
          <w:rPr>
            <w:webHidden/>
            <w:lang w:val="fr-FR"/>
          </w:rPr>
          <w:fldChar w:fldCharType="begin"/>
        </w:r>
        <w:r w:rsidR="00EB7D0C" w:rsidRPr="00577EB1">
          <w:rPr>
            <w:webHidden/>
            <w:lang w:val="fr-FR"/>
          </w:rPr>
          <w:instrText xml:space="preserve"> PAGEREF _Toc264748749 \h </w:instrText>
        </w:r>
        <w:r w:rsidRPr="00577EB1">
          <w:rPr>
            <w:webHidden/>
            <w:lang w:val="fr-FR"/>
          </w:rPr>
        </w:r>
        <w:r w:rsidRPr="00577EB1">
          <w:rPr>
            <w:webHidden/>
            <w:lang w:val="fr-FR"/>
          </w:rPr>
          <w:fldChar w:fldCharType="separate"/>
        </w:r>
        <w:r w:rsidR="00EF56B2">
          <w:rPr>
            <w:webHidden/>
            <w:lang w:val="fr-FR"/>
          </w:rPr>
          <w:t>113</w:t>
        </w:r>
        <w:r w:rsidRPr="00577EB1">
          <w:rPr>
            <w:webHidden/>
            <w:lang w:val="fr-FR"/>
          </w:rPr>
          <w:fldChar w:fldCharType="end"/>
        </w:r>
      </w:hyperlink>
    </w:p>
    <w:p w:rsidR="00BB0D3F" w:rsidRDefault="00725419" w:rsidP="00EB7D0C">
      <w:pPr>
        <w:jc w:val="center"/>
        <w:rPr>
          <w:rFonts w:ascii="Times New Roman Bold" w:hAnsi="Times New Roman Bold"/>
          <w:b/>
          <w:lang w:val="fr-FR"/>
        </w:rPr>
      </w:pPr>
      <w:r w:rsidRPr="00577EB1">
        <w:rPr>
          <w:rFonts w:ascii="Times New Roman Bold" w:hAnsi="Times New Roman Bold"/>
          <w:b/>
          <w:lang w:val="fr-FR"/>
        </w:rPr>
        <w:fldChar w:fldCharType="end"/>
      </w:r>
    </w:p>
    <w:p w:rsidR="00BB0D3F" w:rsidRDefault="00BB0D3F">
      <w:pPr>
        <w:tabs>
          <w:tab w:val="clear" w:pos="709"/>
        </w:tabs>
        <w:spacing w:after="0"/>
        <w:jc w:val="left"/>
        <w:rPr>
          <w:rFonts w:ascii="Times New Roman Bold" w:hAnsi="Times New Roman Bold"/>
          <w:b/>
          <w:lang w:val="fr-FR"/>
        </w:rPr>
      </w:pPr>
      <w:r>
        <w:rPr>
          <w:rFonts w:ascii="Times New Roman Bold" w:hAnsi="Times New Roman Bold"/>
          <w:b/>
          <w:lang w:val="fr-FR"/>
        </w:rPr>
        <w:br w:type="page"/>
      </w:r>
    </w:p>
    <w:p w:rsidR="00C404A8" w:rsidRPr="00577EB1" w:rsidRDefault="00C404A8" w:rsidP="00C404A8">
      <w:pPr>
        <w:spacing w:after="0"/>
        <w:rPr>
          <w:b/>
          <w:u w:val="single"/>
          <w:lang w:val="fr-FR"/>
        </w:rPr>
      </w:pPr>
      <w:r w:rsidRPr="00577EB1">
        <w:rPr>
          <w:b/>
          <w:u w:val="single"/>
          <w:lang w:val="fr-FR"/>
        </w:rPr>
        <w:lastRenderedPageBreak/>
        <w:t>List</w:t>
      </w:r>
      <w:r w:rsidR="0065207E" w:rsidRPr="00577EB1">
        <w:rPr>
          <w:b/>
          <w:u w:val="single"/>
          <w:lang w:val="fr-FR"/>
        </w:rPr>
        <w:t>e</w:t>
      </w:r>
      <w:r w:rsidRPr="00577EB1">
        <w:rPr>
          <w:b/>
          <w:u w:val="single"/>
          <w:lang w:val="fr-FR"/>
        </w:rPr>
        <w:t xml:space="preserve"> </w:t>
      </w:r>
      <w:r w:rsidR="0065207E" w:rsidRPr="00577EB1">
        <w:rPr>
          <w:b/>
          <w:u w:val="single"/>
          <w:lang w:val="fr-FR"/>
        </w:rPr>
        <w:t>des</w:t>
      </w:r>
      <w:r w:rsidRPr="00577EB1">
        <w:rPr>
          <w:b/>
          <w:u w:val="single"/>
          <w:lang w:val="fr-FR"/>
        </w:rPr>
        <w:t xml:space="preserve"> </w:t>
      </w:r>
      <w:r w:rsidR="0065207E" w:rsidRPr="00577EB1">
        <w:rPr>
          <w:b/>
          <w:u w:val="single"/>
          <w:lang w:val="fr-FR"/>
        </w:rPr>
        <w:t>a</w:t>
      </w:r>
      <w:r w:rsidR="00D13450" w:rsidRPr="00577EB1">
        <w:rPr>
          <w:b/>
          <w:u w:val="single"/>
          <w:lang w:val="fr-FR"/>
        </w:rPr>
        <w:t>nnex</w:t>
      </w:r>
      <w:r w:rsidRPr="00577EB1">
        <w:rPr>
          <w:b/>
          <w:u w:val="single"/>
          <w:lang w:val="fr-FR"/>
        </w:rPr>
        <w:t>es</w:t>
      </w:r>
    </w:p>
    <w:p w:rsidR="00E50547" w:rsidRDefault="00725419">
      <w:pPr>
        <w:pStyle w:val="TOC6"/>
        <w:rPr>
          <w:rFonts w:asciiTheme="minorHAnsi" w:eastAsiaTheme="minorEastAsia" w:hAnsiTheme="minorHAnsi" w:cstheme="minorBidi"/>
          <w:lang w:val="fr-BE" w:eastAsia="fr-BE"/>
        </w:rPr>
      </w:pPr>
      <w:r w:rsidRPr="00725419">
        <w:rPr>
          <w:b/>
          <w:highlight w:val="yellow"/>
          <w:u w:val="single"/>
          <w:lang w:val="fr-FR"/>
        </w:rPr>
        <w:fldChar w:fldCharType="begin"/>
      </w:r>
      <w:r w:rsidR="00E50547">
        <w:rPr>
          <w:b/>
          <w:highlight w:val="yellow"/>
          <w:u w:val="single"/>
          <w:lang w:val="fr-FR"/>
        </w:rPr>
        <w:instrText xml:space="preserve"> TOC \h \z \t "Titre 6;6" </w:instrText>
      </w:r>
      <w:r w:rsidRPr="00725419">
        <w:rPr>
          <w:b/>
          <w:highlight w:val="yellow"/>
          <w:u w:val="single"/>
          <w:lang w:val="fr-FR"/>
        </w:rPr>
        <w:fldChar w:fldCharType="separate"/>
      </w:r>
      <w:hyperlink w:anchor="_Toc264837163" w:history="1">
        <w:r w:rsidR="00E50547" w:rsidRPr="00F65C33">
          <w:rPr>
            <w:rStyle w:val="Hyperlink"/>
          </w:rPr>
          <w:t>Annexe 1 : Glossaire</w:t>
        </w:r>
        <w:r w:rsidR="00E50547">
          <w:rPr>
            <w:webHidden/>
          </w:rPr>
          <w:tab/>
        </w:r>
        <w:r>
          <w:rPr>
            <w:webHidden/>
          </w:rPr>
          <w:fldChar w:fldCharType="begin"/>
        </w:r>
        <w:r w:rsidR="00E50547">
          <w:rPr>
            <w:webHidden/>
          </w:rPr>
          <w:instrText xml:space="preserve"> PAGEREF _Toc264837163 \h </w:instrText>
        </w:r>
        <w:r>
          <w:rPr>
            <w:webHidden/>
          </w:rPr>
        </w:r>
        <w:r>
          <w:rPr>
            <w:webHidden/>
          </w:rPr>
          <w:fldChar w:fldCharType="separate"/>
        </w:r>
        <w:r w:rsidR="00EF56B2">
          <w:rPr>
            <w:webHidden/>
          </w:rPr>
          <w:t>118</w:t>
        </w:r>
        <w:r>
          <w:rPr>
            <w:webHidden/>
          </w:rPr>
          <w:fldChar w:fldCharType="end"/>
        </w:r>
      </w:hyperlink>
    </w:p>
    <w:p w:rsidR="00E50547" w:rsidRDefault="00725419">
      <w:pPr>
        <w:pStyle w:val="TOC6"/>
        <w:rPr>
          <w:rFonts w:asciiTheme="minorHAnsi" w:eastAsiaTheme="minorEastAsia" w:hAnsiTheme="minorHAnsi" w:cstheme="minorBidi"/>
          <w:lang w:val="fr-BE" w:eastAsia="fr-BE"/>
        </w:rPr>
      </w:pPr>
      <w:hyperlink w:anchor="_Toc264837164" w:history="1">
        <w:r w:rsidR="00E50547" w:rsidRPr="00F65C33">
          <w:rPr>
            <w:rStyle w:val="Hyperlink"/>
          </w:rPr>
          <w:t xml:space="preserve">Annexe 2 : </w:t>
        </w:r>
        <w:r w:rsidR="00E50547" w:rsidRPr="00F65C33">
          <w:rPr>
            <w:rStyle w:val="Hyperlink"/>
            <w:bCs/>
          </w:rPr>
          <w:t>Principe</w:t>
        </w:r>
        <w:r w:rsidR="00E50547" w:rsidRPr="00F65C33">
          <w:rPr>
            <w:rStyle w:val="Hyperlink"/>
          </w:rPr>
          <w:t xml:space="preserve"> de conception des bonnes pratiques </w:t>
        </w:r>
        <w:r w:rsidR="00E50547" w:rsidRPr="00F65C33">
          <w:rPr>
            <w:rStyle w:val="Hyperlink"/>
            <w:bCs/>
          </w:rPr>
          <w:t>de</w:t>
        </w:r>
        <w:r w:rsidR="00E50547" w:rsidRPr="00F65C33">
          <w:rPr>
            <w:rStyle w:val="Hyperlink"/>
            <w:bCs/>
            <w:smallCaps/>
          </w:rPr>
          <w:t xml:space="preserve"> </w:t>
        </w:r>
        <w:r w:rsidR="00E50547" w:rsidRPr="00F65C33">
          <w:rPr>
            <w:rStyle w:val="Hyperlink"/>
            <w:bCs/>
          </w:rPr>
          <w:t>soutien</w:t>
        </w:r>
        <w:r w:rsidR="00E50547" w:rsidRPr="00F65C33">
          <w:rPr>
            <w:rStyle w:val="Hyperlink"/>
          </w:rPr>
          <w:t xml:space="preserve"> direct tirés de l’expérience internationale</w:t>
        </w:r>
        <w:r w:rsidR="00E50547">
          <w:rPr>
            <w:webHidden/>
          </w:rPr>
          <w:tab/>
        </w:r>
        <w:r>
          <w:rPr>
            <w:webHidden/>
          </w:rPr>
          <w:fldChar w:fldCharType="begin"/>
        </w:r>
        <w:r w:rsidR="00E50547">
          <w:rPr>
            <w:webHidden/>
          </w:rPr>
          <w:instrText xml:space="preserve"> PAGEREF _Toc264837164 \h </w:instrText>
        </w:r>
        <w:r>
          <w:rPr>
            <w:webHidden/>
          </w:rPr>
        </w:r>
        <w:r>
          <w:rPr>
            <w:webHidden/>
          </w:rPr>
          <w:fldChar w:fldCharType="separate"/>
        </w:r>
        <w:r w:rsidR="00EF56B2">
          <w:rPr>
            <w:webHidden/>
          </w:rPr>
          <w:t>120</w:t>
        </w:r>
        <w:r>
          <w:rPr>
            <w:webHidden/>
          </w:rPr>
          <w:fldChar w:fldCharType="end"/>
        </w:r>
      </w:hyperlink>
    </w:p>
    <w:p w:rsidR="00E50547" w:rsidRDefault="00725419">
      <w:pPr>
        <w:pStyle w:val="TOC6"/>
        <w:rPr>
          <w:rFonts w:asciiTheme="minorHAnsi" w:eastAsiaTheme="minorEastAsia" w:hAnsiTheme="minorHAnsi" w:cstheme="minorBidi"/>
          <w:lang w:val="fr-BE" w:eastAsia="fr-BE"/>
        </w:rPr>
      </w:pPr>
      <w:hyperlink w:anchor="_Toc264837165" w:history="1">
        <w:r w:rsidR="00E50547" w:rsidRPr="00F65C33">
          <w:rPr>
            <w:rStyle w:val="Hyperlink"/>
          </w:rPr>
          <w:t>Annexe 3 : Quelques exemples de pays appliquant de bonnes pratiques pour la mise en œuvre de programmes de filets sociaux en Afrique</w:t>
        </w:r>
        <w:r w:rsidR="00E50547">
          <w:rPr>
            <w:webHidden/>
          </w:rPr>
          <w:tab/>
        </w:r>
        <w:r>
          <w:rPr>
            <w:webHidden/>
          </w:rPr>
          <w:fldChar w:fldCharType="begin"/>
        </w:r>
        <w:r w:rsidR="00E50547">
          <w:rPr>
            <w:webHidden/>
          </w:rPr>
          <w:instrText xml:space="preserve"> PAGEREF _Toc264837165 \h </w:instrText>
        </w:r>
        <w:r>
          <w:rPr>
            <w:webHidden/>
          </w:rPr>
        </w:r>
        <w:r>
          <w:rPr>
            <w:webHidden/>
          </w:rPr>
          <w:fldChar w:fldCharType="separate"/>
        </w:r>
        <w:r w:rsidR="00EF56B2">
          <w:rPr>
            <w:webHidden/>
          </w:rPr>
          <w:t>124</w:t>
        </w:r>
        <w:r>
          <w:rPr>
            <w:webHidden/>
          </w:rPr>
          <w:fldChar w:fldCharType="end"/>
        </w:r>
      </w:hyperlink>
    </w:p>
    <w:p w:rsidR="00D20DE3" w:rsidRPr="00E50547" w:rsidRDefault="00725419" w:rsidP="00C404A8">
      <w:pPr>
        <w:spacing w:after="0"/>
        <w:rPr>
          <w:b/>
          <w:highlight w:val="yellow"/>
          <w:u w:val="single"/>
          <w:lang w:val="fr-FR"/>
        </w:rPr>
      </w:pPr>
      <w:r>
        <w:rPr>
          <w:b/>
          <w:highlight w:val="yellow"/>
          <w:u w:val="single"/>
          <w:lang w:val="fr-FR"/>
        </w:rPr>
        <w:fldChar w:fldCharType="end"/>
      </w:r>
    </w:p>
    <w:p w:rsidR="00C404A8" w:rsidRPr="00577EB1" w:rsidRDefault="00C404A8" w:rsidP="00C404A8">
      <w:pPr>
        <w:spacing w:after="0"/>
        <w:rPr>
          <w:b/>
          <w:u w:val="single"/>
          <w:lang w:val="fr-FR"/>
        </w:rPr>
      </w:pPr>
      <w:r w:rsidRPr="00577EB1">
        <w:rPr>
          <w:b/>
          <w:u w:val="single"/>
          <w:lang w:val="fr-FR"/>
        </w:rPr>
        <w:t>List</w:t>
      </w:r>
      <w:r w:rsidR="0065207E" w:rsidRPr="00577EB1">
        <w:rPr>
          <w:b/>
          <w:u w:val="single"/>
          <w:lang w:val="fr-FR"/>
        </w:rPr>
        <w:t>e des table</w:t>
      </w:r>
      <w:r w:rsidR="00365ADF" w:rsidRPr="00577EB1">
        <w:rPr>
          <w:b/>
          <w:u w:val="single"/>
          <w:lang w:val="fr-FR"/>
        </w:rPr>
        <w:t>aux</w:t>
      </w:r>
    </w:p>
    <w:p w:rsidR="00554CB7" w:rsidRDefault="00725419">
      <w:pPr>
        <w:pStyle w:val="TOC7"/>
        <w:rPr>
          <w:rFonts w:asciiTheme="minorHAnsi" w:eastAsiaTheme="minorEastAsia" w:hAnsiTheme="minorHAnsi" w:cstheme="minorBidi"/>
        </w:rPr>
      </w:pPr>
      <w:r w:rsidRPr="00577EB1">
        <w:rPr>
          <w:b/>
          <w:highlight w:val="yellow"/>
          <w:lang w:val="fr-FR"/>
        </w:rPr>
        <w:fldChar w:fldCharType="begin"/>
      </w:r>
      <w:r w:rsidR="00E45848" w:rsidRPr="00577EB1">
        <w:rPr>
          <w:b/>
          <w:highlight w:val="yellow"/>
          <w:lang w:val="fr-FR"/>
        </w:rPr>
        <w:instrText xml:space="preserve"> TOC \o "7-7" \h \z </w:instrText>
      </w:r>
      <w:r w:rsidRPr="00577EB1">
        <w:rPr>
          <w:b/>
          <w:highlight w:val="yellow"/>
          <w:lang w:val="fr-FR"/>
        </w:rPr>
        <w:fldChar w:fldCharType="separate"/>
      </w:r>
      <w:hyperlink w:anchor="_Toc284528575" w:history="1">
        <w:r w:rsidR="00554CB7" w:rsidRPr="001B567B">
          <w:rPr>
            <w:rStyle w:val="Hyperlink"/>
            <w:lang w:val="fr-FR"/>
          </w:rPr>
          <w:t>Tableau 1 : Indices de pauvreté selon le lieu de résidence</w:t>
        </w:r>
        <w:r w:rsidR="00554CB7">
          <w:rPr>
            <w:webHidden/>
          </w:rPr>
          <w:tab/>
        </w:r>
        <w:r>
          <w:rPr>
            <w:webHidden/>
          </w:rPr>
          <w:fldChar w:fldCharType="begin"/>
        </w:r>
        <w:r w:rsidR="00554CB7">
          <w:rPr>
            <w:webHidden/>
          </w:rPr>
          <w:instrText xml:space="preserve"> PAGEREF _Toc284528575 \h </w:instrText>
        </w:r>
        <w:r>
          <w:rPr>
            <w:webHidden/>
          </w:rPr>
        </w:r>
        <w:r>
          <w:rPr>
            <w:webHidden/>
          </w:rPr>
          <w:fldChar w:fldCharType="separate"/>
        </w:r>
        <w:r w:rsidR="00EF56B2">
          <w:rPr>
            <w:webHidden/>
          </w:rPr>
          <w:t>12</w:t>
        </w:r>
        <w:r>
          <w:rPr>
            <w:webHidden/>
          </w:rPr>
          <w:fldChar w:fldCharType="end"/>
        </w:r>
      </w:hyperlink>
    </w:p>
    <w:p w:rsidR="00554CB7" w:rsidRDefault="00725419">
      <w:pPr>
        <w:pStyle w:val="TOC7"/>
        <w:rPr>
          <w:rFonts w:asciiTheme="minorHAnsi" w:eastAsiaTheme="minorEastAsia" w:hAnsiTheme="minorHAnsi" w:cstheme="minorBidi"/>
        </w:rPr>
      </w:pPr>
      <w:hyperlink w:anchor="_Toc284528576" w:history="1">
        <w:r w:rsidR="00554CB7" w:rsidRPr="001B567B">
          <w:rPr>
            <w:rStyle w:val="Hyperlink"/>
            <w:lang w:val="fr-FR"/>
          </w:rPr>
          <w:t>Tableau 2 : Estimations de la tendance de la pauvreté monétaire sur la base des comptes nationaux</w:t>
        </w:r>
        <w:r w:rsidR="00554CB7">
          <w:rPr>
            <w:webHidden/>
          </w:rPr>
          <w:tab/>
        </w:r>
        <w:r>
          <w:rPr>
            <w:webHidden/>
          </w:rPr>
          <w:fldChar w:fldCharType="begin"/>
        </w:r>
        <w:r w:rsidR="00554CB7">
          <w:rPr>
            <w:webHidden/>
          </w:rPr>
          <w:instrText xml:space="preserve"> PAGEREF _Toc284528576 \h </w:instrText>
        </w:r>
        <w:r>
          <w:rPr>
            <w:webHidden/>
          </w:rPr>
        </w:r>
        <w:r>
          <w:rPr>
            <w:webHidden/>
          </w:rPr>
          <w:fldChar w:fldCharType="separate"/>
        </w:r>
        <w:r w:rsidR="00EF56B2">
          <w:rPr>
            <w:webHidden/>
          </w:rPr>
          <w:t>13</w:t>
        </w:r>
        <w:r>
          <w:rPr>
            <w:webHidden/>
          </w:rPr>
          <w:fldChar w:fldCharType="end"/>
        </w:r>
      </w:hyperlink>
    </w:p>
    <w:p w:rsidR="00554CB7" w:rsidRDefault="00725419">
      <w:pPr>
        <w:pStyle w:val="TOC7"/>
        <w:rPr>
          <w:rFonts w:asciiTheme="minorHAnsi" w:eastAsiaTheme="minorEastAsia" w:hAnsiTheme="minorHAnsi" w:cstheme="minorBidi"/>
        </w:rPr>
      </w:pPr>
      <w:hyperlink w:anchor="_Toc284528577" w:history="1">
        <w:r w:rsidR="00554CB7" w:rsidRPr="001B567B">
          <w:rPr>
            <w:rStyle w:val="Hyperlink"/>
            <w:lang w:val="fr-FR"/>
          </w:rPr>
          <w:t>Tableau 3 : Incidence de la pauvreté et vulnérabilité alimentaire par régions administratives</w:t>
        </w:r>
        <w:r w:rsidR="00554CB7">
          <w:rPr>
            <w:webHidden/>
          </w:rPr>
          <w:tab/>
        </w:r>
        <w:r>
          <w:rPr>
            <w:webHidden/>
          </w:rPr>
          <w:fldChar w:fldCharType="begin"/>
        </w:r>
        <w:r w:rsidR="00554CB7">
          <w:rPr>
            <w:webHidden/>
          </w:rPr>
          <w:instrText xml:space="preserve"> PAGEREF _Toc284528577 \h </w:instrText>
        </w:r>
        <w:r>
          <w:rPr>
            <w:webHidden/>
          </w:rPr>
        </w:r>
        <w:r>
          <w:rPr>
            <w:webHidden/>
          </w:rPr>
          <w:fldChar w:fldCharType="separate"/>
        </w:r>
        <w:r w:rsidR="00EF56B2">
          <w:rPr>
            <w:webHidden/>
          </w:rPr>
          <w:t>15</w:t>
        </w:r>
        <w:r>
          <w:rPr>
            <w:webHidden/>
          </w:rPr>
          <w:fldChar w:fldCharType="end"/>
        </w:r>
      </w:hyperlink>
    </w:p>
    <w:p w:rsidR="00554CB7" w:rsidRDefault="00725419">
      <w:pPr>
        <w:pStyle w:val="TOC7"/>
        <w:rPr>
          <w:rFonts w:asciiTheme="minorHAnsi" w:eastAsiaTheme="minorEastAsia" w:hAnsiTheme="minorHAnsi" w:cstheme="minorBidi"/>
        </w:rPr>
      </w:pPr>
      <w:hyperlink w:anchor="_Toc284528578" w:history="1">
        <w:r w:rsidR="00554CB7" w:rsidRPr="001B567B">
          <w:rPr>
            <w:rStyle w:val="Hyperlink"/>
            <w:lang w:val="fr-FR"/>
          </w:rPr>
          <w:t>Tableau 4 : Pauvreté selon le lieu de résidence et la région administrative, 2003</w:t>
        </w:r>
        <w:r w:rsidR="00554CB7">
          <w:rPr>
            <w:webHidden/>
          </w:rPr>
          <w:tab/>
        </w:r>
        <w:r>
          <w:rPr>
            <w:webHidden/>
          </w:rPr>
          <w:fldChar w:fldCharType="begin"/>
        </w:r>
        <w:r w:rsidR="00554CB7">
          <w:rPr>
            <w:webHidden/>
          </w:rPr>
          <w:instrText xml:space="preserve"> PAGEREF _Toc284528578 \h </w:instrText>
        </w:r>
        <w:r>
          <w:rPr>
            <w:webHidden/>
          </w:rPr>
        </w:r>
        <w:r>
          <w:rPr>
            <w:webHidden/>
          </w:rPr>
          <w:fldChar w:fldCharType="separate"/>
        </w:r>
        <w:r w:rsidR="00EF56B2">
          <w:rPr>
            <w:webHidden/>
          </w:rPr>
          <w:t>20</w:t>
        </w:r>
        <w:r>
          <w:rPr>
            <w:webHidden/>
          </w:rPr>
          <w:fldChar w:fldCharType="end"/>
        </w:r>
      </w:hyperlink>
    </w:p>
    <w:p w:rsidR="00554CB7" w:rsidRDefault="00725419">
      <w:pPr>
        <w:pStyle w:val="TOC7"/>
        <w:rPr>
          <w:rFonts w:asciiTheme="minorHAnsi" w:eastAsiaTheme="minorEastAsia" w:hAnsiTheme="minorHAnsi" w:cstheme="minorBidi"/>
        </w:rPr>
      </w:pPr>
      <w:hyperlink w:anchor="_Toc284528579" w:history="1">
        <w:r w:rsidR="00554CB7" w:rsidRPr="001B567B">
          <w:rPr>
            <w:rStyle w:val="Hyperlink"/>
            <w:lang w:val="fr-FR"/>
          </w:rPr>
          <w:t>Tableau 5</w:t>
        </w:r>
        <w:r w:rsidR="00554CB7" w:rsidRPr="001B567B">
          <w:rPr>
            <w:rStyle w:val="Hyperlink"/>
          </w:rPr>
          <w:t> : Pauvreté en fonction de quelques caractéristiques des chefs de famille, 2003</w:t>
        </w:r>
        <w:r w:rsidR="00554CB7">
          <w:rPr>
            <w:webHidden/>
          </w:rPr>
          <w:tab/>
        </w:r>
        <w:r>
          <w:rPr>
            <w:webHidden/>
          </w:rPr>
          <w:fldChar w:fldCharType="begin"/>
        </w:r>
        <w:r w:rsidR="00554CB7">
          <w:rPr>
            <w:webHidden/>
          </w:rPr>
          <w:instrText xml:space="preserve"> PAGEREF _Toc284528579 \h </w:instrText>
        </w:r>
        <w:r>
          <w:rPr>
            <w:webHidden/>
          </w:rPr>
        </w:r>
        <w:r>
          <w:rPr>
            <w:webHidden/>
          </w:rPr>
          <w:fldChar w:fldCharType="separate"/>
        </w:r>
        <w:r w:rsidR="00EF56B2">
          <w:rPr>
            <w:webHidden/>
          </w:rPr>
          <w:t>23</w:t>
        </w:r>
        <w:r>
          <w:rPr>
            <w:webHidden/>
          </w:rPr>
          <w:fldChar w:fldCharType="end"/>
        </w:r>
      </w:hyperlink>
    </w:p>
    <w:p w:rsidR="00554CB7" w:rsidRDefault="00725419">
      <w:pPr>
        <w:pStyle w:val="TOC7"/>
        <w:rPr>
          <w:rFonts w:asciiTheme="minorHAnsi" w:eastAsiaTheme="minorEastAsia" w:hAnsiTheme="minorHAnsi" w:cstheme="minorBidi"/>
        </w:rPr>
      </w:pPr>
      <w:hyperlink w:anchor="_Toc284528580" w:history="1">
        <w:r w:rsidR="00554CB7" w:rsidRPr="001B567B">
          <w:rPr>
            <w:rStyle w:val="Hyperlink"/>
            <w:lang w:val="fr-FR"/>
          </w:rPr>
          <w:t>Tableau 6</w:t>
        </w:r>
        <w:r w:rsidR="00554CB7" w:rsidRPr="001B567B">
          <w:rPr>
            <w:rStyle w:val="Hyperlink"/>
          </w:rPr>
          <w:t> : Estimation des montants nécessaires pour amener tous les pauvres, et les plus pauvres et les plus vulnérables jusqu’au seuil de pauvreté par des transferts en espèces (2003, 2005 et 2007)</w:t>
        </w:r>
        <w:r w:rsidR="00554CB7">
          <w:rPr>
            <w:webHidden/>
          </w:rPr>
          <w:tab/>
        </w:r>
        <w:r>
          <w:rPr>
            <w:webHidden/>
          </w:rPr>
          <w:fldChar w:fldCharType="begin"/>
        </w:r>
        <w:r w:rsidR="00554CB7">
          <w:rPr>
            <w:webHidden/>
          </w:rPr>
          <w:instrText xml:space="preserve"> PAGEREF _Toc284528580 \h </w:instrText>
        </w:r>
        <w:r>
          <w:rPr>
            <w:webHidden/>
          </w:rPr>
        </w:r>
        <w:r>
          <w:rPr>
            <w:webHidden/>
          </w:rPr>
          <w:fldChar w:fldCharType="separate"/>
        </w:r>
        <w:r w:rsidR="00EF56B2">
          <w:rPr>
            <w:webHidden/>
          </w:rPr>
          <w:t>24</w:t>
        </w:r>
        <w:r>
          <w:rPr>
            <w:webHidden/>
          </w:rPr>
          <w:fldChar w:fldCharType="end"/>
        </w:r>
      </w:hyperlink>
    </w:p>
    <w:p w:rsidR="00554CB7" w:rsidRDefault="00725419">
      <w:pPr>
        <w:pStyle w:val="TOC7"/>
        <w:rPr>
          <w:rFonts w:asciiTheme="minorHAnsi" w:eastAsiaTheme="minorEastAsia" w:hAnsiTheme="minorHAnsi" w:cstheme="minorBidi"/>
        </w:rPr>
      </w:pPr>
      <w:hyperlink w:anchor="_Toc284528581" w:history="1">
        <w:r w:rsidR="00554CB7" w:rsidRPr="001B567B">
          <w:rPr>
            <w:rStyle w:val="Hyperlink"/>
            <w:lang w:val="fr-FR"/>
          </w:rPr>
          <w:t xml:space="preserve">Tableau 7 : Composante « Filets sociaux » du plan d’action de crise </w:t>
        </w:r>
        <w:r w:rsidR="00554CB7" w:rsidRPr="001B567B">
          <w:rPr>
            <w:rStyle w:val="Hyperlink"/>
            <w:bCs/>
            <w:iCs/>
            <w:lang w:val="fr-FR" w:eastAsia="fr-FR"/>
          </w:rPr>
          <w:t>2009-2010</w:t>
        </w:r>
        <w:r w:rsidR="00554CB7">
          <w:rPr>
            <w:webHidden/>
          </w:rPr>
          <w:tab/>
        </w:r>
        <w:r>
          <w:rPr>
            <w:webHidden/>
          </w:rPr>
          <w:fldChar w:fldCharType="begin"/>
        </w:r>
        <w:r w:rsidR="00554CB7">
          <w:rPr>
            <w:webHidden/>
          </w:rPr>
          <w:instrText xml:space="preserve"> PAGEREF _Toc284528581 \h </w:instrText>
        </w:r>
        <w:r>
          <w:rPr>
            <w:webHidden/>
          </w:rPr>
        </w:r>
        <w:r>
          <w:rPr>
            <w:webHidden/>
          </w:rPr>
          <w:fldChar w:fldCharType="separate"/>
        </w:r>
        <w:r w:rsidR="00EF56B2">
          <w:rPr>
            <w:webHidden/>
          </w:rPr>
          <w:t>35</w:t>
        </w:r>
        <w:r>
          <w:rPr>
            <w:webHidden/>
          </w:rPr>
          <w:fldChar w:fldCharType="end"/>
        </w:r>
      </w:hyperlink>
    </w:p>
    <w:p w:rsidR="00554CB7" w:rsidRDefault="00725419">
      <w:pPr>
        <w:pStyle w:val="TOC7"/>
        <w:rPr>
          <w:rFonts w:asciiTheme="minorHAnsi" w:eastAsiaTheme="minorEastAsia" w:hAnsiTheme="minorHAnsi" w:cstheme="minorBidi"/>
        </w:rPr>
      </w:pPr>
      <w:hyperlink w:anchor="_Toc284528582" w:history="1">
        <w:r w:rsidR="00554CB7" w:rsidRPr="001B567B">
          <w:rPr>
            <w:rStyle w:val="Hyperlink"/>
            <w:lang w:val="fr-FR"/>
          </w:rPr>
          <w:t>Tableau 8 : Composante « Protection sociale des groupes vulnérables » du plan d’action de crise 2009</w:t>
        </w:r>
        <w:r w:rsidR="00554CB7">
          <w:rPr>
            <w:webHidden/>
          </w:rPr>
          <w:tab/>
        </w:r>
        <w:r>
          <w:rPr>
            <w:webHidden/>
          </w:rPr>
          <w:fldChar w:fldCharType="begin"/>
        </w:r>
        <w:r w:rsidR="00554CB7">
          <w:rPr>
            <w:webHidden/>
          </w:rPr>
          <w:instrText xml:space="preserve"> PAGEREF _Toc284528582 \h </w:instrText>
        </w:r>
        <w:r>
          <w:rPr>
            <w:webHidden/>
          </w:rPr>
        </w:r>
        <w:r>
          <w:rPr>
            <w:webHidden/>
          </w:rPr>
          <w:fldChar w:fldCharType="separate"/>
        </w:r>
        <w:r w:rsidR="00EF56B2">
          <w:rPr>
            <w:webHidden/>
          </w:rPr>
          <w:t>35</w:t>
        </w:r>
        <w:r>
          <w:rPr>
            <w:webHidden/>
          </w:rPr>
          <w:fldChar w:fldCharType="end"/>
        </w:r>
      </w:hyperlink>
    </w:p>
    <w:p w:rsidR="00554CB7" w:rsidRDefault="00725419">
      <w:pPr>
        <w:pStyle w:val="TOC7"/>
        <w:rPr>
          <w:rFonts w:asciiTheme="minorHAnsi" w:eastAsiaTheme="minorEastAsia" w:hAnsiTheme="minorHAnsi" w:cstheme="minorBidi"/>
        </w:rPr>
      </w:pPr>
      <w:hyperlink w:anchor="_Toc284528583" w:history="1">
        <w:r w:rsidR="00554CB7" w:rsidRPr="001B567B">
          <w:rPr>
            <w:rStyle w:val="Hyperlink"/>
            <w:lang w:val="fr-FR"/>
          </w:rPr>
          <w:t>Tableau 9 : Liste des principaux programmes de filets sociaux existants au Burkina Faso, 2008-2009</w:t>
        </w:r>
        <w:r w:rsidR="00554CB7">
          <w:rPr>
            <w:webHidden/>
          </w:rPr>
          <w:tab/>
        </w:r>
        <w:r>
          <w:rPr>
            <w:webHidden/>
          </w:rPr>
          <w:fldChar w:fldCharType="begin"/>
        </w:r>
        <w:r w:rsidR="00554CB7">
          <w:rPr>
            <w:webHidden/>
          </w:rPr>
          <w:instrText xml:space="preserve"> PAGEREF _Toc284528583 \h </w:instrText>
        </w:r>
        <w:r>
          <w:rPr>
            <w:webHidden/>
          </w:rPr>
        </w:r>
        <w:r>
          <w:rPr>
            <w:webHidden/>
          </w:rPr>
          <w:fldChar w:fldCharType="separate"/>
        </w:r>
        <w:r w:rsidR="00EF56B2">
          <w:rPr>
            <w:webHidden/>
          </w:rPr>
          <w:t>41</w:t>
        </w:r>
        <w:r>
          <w:rPr>
            <w:webHidden/>
          </w:rPr>
          <w:fldChar w:fldCharType="end"/>
        </w:r>
      </w:hyperlink>
    </w:p>
    <w:p w:rsidR="00554CB7" w:rsidRDefault="00725419">
      <w:pPr>
        <w:pStyle w:val="TOC7"/>
        <w:rPr>
          <w:rFonts w:asciiTheme="minorHAnsi" w:eastAsiaTheme="minorEastAsia" w:hAnsiTheme="minorHAnsi" w:cstheme="minorBidi"/>
        </w:rPr>
      </w:pPr>
      <w:hyperlink w:anchor="_Toc284528584" w:history="1">
        <w:r w:rsidR="00554CB7" w:rsidRPr="001B567B">
          <w:rPr>
            <w:rStyle w:val="Hyperlink"/>
            <w:lang w:val="fr-FR"/>
          </w:rPr>
          <w:t>Tableau 10 : Dépenses totales dans les programmes de filets sociaux, 2005-2009</w:t>
        </w:r>
        <w:r w:rsidR="00554CB7">
          <w:rPr>
            <w:webHidden/>
          </w:rPr>
          <w:tab/>
        </w:r>
        <w:r>
          <w:rPr>
            <w:webHidden/>
          </w:rPr>
          <w:fldChar w:fldCharType="begin"/>
        </w:r>
        <w:r w:rsidR="00554CB7">
          <w:rPr>
            <w:webHidden/>
          </w:rPr>
          <w:instrText xml:space="preserve"> PAGEREF _Toc284528584 \h </w:instrText>
        </w:r>
        <w:r>
          <w:rPr>
            <w:webHidden/>
          </w:rPr>
        </w:r>
        <w:r>
          <w:rPr>
            <w:webHidden/>
          </w:rPr>
          <w:fldChar w:fldCharType="separate"/>
        </w:r>
        <w:r w:rsidR="00EF56B2">
          <w:rPr>
            <w:webHidden/>
          </w:rPr>
          <w:t>47</w:t>
        </w:r>
        <w:r>
          <w:rPr>
            <w:webHidden/>
          </w:rPr>
          <w:fldChar w:fldCharType="end"/>
        </w:r>
      </w:hyperlink>
    </w:p>
    <w:p w:rsidR="00554CB7" w:rsidRDefault="00725419">
      <w:pPr>
        <w:pStyle w:val="TOC7"/>
        <w:rPr>
          <w:rFonts w:asciiTheme="minorHAnsi" w:eastAsiaTheme="minorEastAsia" w:hAnsiTheme="minorHAnsi" w:cstheme="minorBidi"/>
        </w:rPr>
      </w:pPr>
      <w:hyperlink w:anchor="_Toc284528585" w:history="1">
        <w:r w:rsidR="00554CB7" w:rsidRPr="001B567B">
          <w:rPr>
            <w:rStyle w:val="Hyperlink"/>
            <w:lang w:val="fr-FR"/>
          </w:rPr>
          <w:t>Tableau 11 : Dépenses sociales (y compris les financements PPTE et hors financements extérieurs)</w:t>
        </w:r>
        <w:r w:rsidR="00554CB7">
          <w:rPr>
            <w:webHidden/>
          </w:rPr>
          <w:tab/>
        </w:r>
        <w:r>
          <w:rPr>
            <w:webHidden/>
          </w:rPr>
          <w:fldChar w:fldCharType="begin"/>
        </w:r>
        <w:r w:rsidR="00554CB7">
          <w:rPr>
            <w:webHidden/>
          </w:rPr>
          <w:instrText xml:space="preserve"> PAGEREF _Toc284528585 \h </w:instrText>
        </w:r>
        <w:r>
          <w:rPr>
            <w:webHidden/>
          </w:rPr>
        </w:r>
        <w:r>
          <w:rPr>
            <w:webHidden/>
          </w:rPr>
          <w:fldChar w:fldCharType="separate"/>
        </w:r>
        <w:r w:rsidR="00EF56B2">
          <w:rPr>
            <w:webHidden/>
          </w:rPr>
          <w:t>49</w:t>
        </w:r>
        <w:r>
          <w:rPr>
            <w:webHidden/>
          </w:rPr>
          <w:fldChar w:fldCharType="end"/>
        </w:r>
      </w:hyperlink>
    </w:p>
    <w:p w:rsidR="00554CB7" w:rsidRDefault="00725419">
      <w:pPr>
        <w:pStyle w:val="TOC7"/>
        <w:rPr>
          <w:rFonts w:asciiTheme="minorHAnsi" w:eastAsiaTheme="minorEastAsia" w:hAnsiTheme="minorHAnsi" w:cstheme="minorBidi"/>
        </w:rPr>
      </w:pPr>
      <w:hyperlink w:anchor="_Toc284528586" w:history="1">
        <w:r w:rsidR="00554CB7" w:rsidRPr="001B567B">
          <w:rPr>
            <w:rStyle w:val="Hyperlink"/>
            <w:lang w:val="fr-FR"/>
          </w:rPr>
          <w:t>Tableau 12 : Priorités de l’État et des bailleurs de fonds par programme en 2008</w:t>
        </w:r>
        <w:r w:rsidR="00554CB7">
          <w:rPr>
            <w:webHidden/>
          </w:rPr>
          <w:tab/>
        </w:r>
        <w:r>
          <w:rPr>
            <w:webHidden/>
          </w:rPr>
          <w:fldChar w:fldCharType="begin"/>
        </w:r>
        <w:r w:rsidR="00554CB7">
          <w:rPr>
            <w:webHidden/>
          </w:rPr>
          <w:instrText xml:space="preserve"> PAGEREF _Toc284528586 \h </w:instrText>
        </w:r>
        <w:r>
          <w:rPr>
            <w:webHidden/>
          </w:rPr>
        </w:r>
        <w:r>
          <w:rPr>
            <w:webHidden/>
          </w:rPr>
          <w:fldChar w:fldCharType="separate"/>
        </w:r>
        <w:r w:rsidR="00EF56B2">
          <w:rPr>
            <w:webHidden/>
          </w:rPr>
          <w:t>51</w:t>
        </w:r>
        <w:r>
          <w:rPr>
            <w:webHidden/>
          </w:rPr>
          <w:fldChar w:fldCharType="end"/>
        </w:r>
      </w:hyperlink>
    </w:p>
    <w:p w:rsidR="00554CB7" w:rsidRDefault="00725419">
      <w:pPr>
        <w:pStyle w:val="TOC7"/>
        <w:rPr>
          <w:rFonts w:asciiTheme="minorHAnsi" w:eastAsiaTheme="minorEastAsia" w:hAnsiTheme="minorHAnsi" w:cstheme="minorBidi"/>
        </w:rPr>
      </w:pPr>
      <w:hyperlink w:anchor="_Toc284528588" w:history="1">
        <w:r w:rsidR="00554CB7" w:rsidRPr="001B567B">
          <w:rPr>
            <w:rStyle w:val="Hyperlink"/>
            <w:lang w:val="fr-FR"/>
          </w:rPr>
          <w:t>Tableau 13 : Bénéficiaires et allocation budgétaire par programme au Burkina Faso, 2009</w:t>
        </w:r>
        <w:r w:rsidR="00554CB7">
          <w:rPr>
            <w:webHidden/>
          </w:rPr>
          <w:tab/>
        </w:r>
        <w:r>
          <w:rPr>
            <w:webHidden/>
          </w:rPr>
          <w:fldChar w:fldCharType="begin"/>
        </w:r>
        <w:r w:rsidR="00554CB7">
          <w:rPr>
            <w:webHidden/>
          </w:rPr>
          <w:instrText xml:space="preserve"> PAGEREF _Toc284528588 \h </w:instrText>
        </w:r>
        <w:r>
          <w:rPr>
            <w:webHidden/>
          </w:rPr>
        </w:r>
        <w:r>
          <w:rPr>
            <w:webHidden/>
          </w:rPr>
          <w:fldChar w:fldCharType="separate"/>
        </w:r>
        <w:r w:rsidR="00EF56B2">
          <w:rPr>
            <w:webHidden/>
          </w:rPr>
          <w:t>53</w:t>
        </w:r>
        <w:r>
          <w:rPr>
            <w:webHidden/>
          </w:rPr>
          <w:fldChar w:fldCharType="end"/>
        </w:r>
      </w:hyperlink>
    </w:p>
    <w:p w:rsidR="00554CB7" w:rsidRDefault="00725419">
      <w:pPr>
        <w:pStyle w:val="TOC7"/>
        <w:rPr>
          <w:rFonts w:asciiTheme="minorHAnsi" w:eastAsiaTheme="minorEastAsia" w:hAnsiTheme="minorHAnsi" w:cstheme="minorBidi"/>
        </w:rPr>
      </w:pPr>
      <w:hyperlink w:anchor="_Toc284528589" w:history="1">
        <w:r w:rsidR="00554CB7" w:rsidRPr="001B567B">
          <w:rPr>
            <w:rStyle w:val="Hyperlink"/>
            <w:lang w:val="fr-FR"/>
          </w:rPr>
          <w:t>Tableau 14 : Options de développement des programmes de filets sociaux</w:t>
        </w:r>
        <w:r w:rsidR="00554CB7">
          <w:rPr>
            <w:webHidden/>
          </w:rPr>
          <w:tab/>
        </w:r>
        <w:r>
          <w:rPr>
            <w:webHidden/>
          </w:rPr>
          <w:fldChar w:fldCharType="begin"/>
        </w:r>
        <w:r w:rsidR="00554CB7">
          <w:rPr>
            <w:webHidden/>
          </w:rPr>
          <w:instrText xml:space="preserve"> PAGEREF _Toc284528589 \h </w:instrText>
        </w:r>
        <w:r>
          <w:rPr>
            <w:webHidden/>
          </w:rPr>
        </w:r>
        <w:r>
          <w:rPr>
            <w:webHidden/>
          </w:rPr>
          <w:fldChar w:fldCharType="separate"/>
        </w:r>
        <w:r w:rsidR="00EF56B2">
          <w:rPr>
            <w:webHidden/>
          </w:rPr>
          <w:t>55</w:t>
        </w:r>
        <w:r>
          <w:rPr>
            <w:webHidden/>
          </w:rPr>
          <w:fldChar w:fldCharType="end"/>
        </w:r>
      </w:hyperlink>
    </w:p>
    <w:p w:rsidR="00554CB7" w:rsidRDefault="00725419">
      <w:pPr>
        <w:pStyle w:val="TOC7"/>
        <w:rPr>
          <w:rFonts w:asciiTheme="minorHAnsi" w:eastAsiaTheme="minorEastAsia" w:hAnsiTheme="minorHAnsi" w:cstheme="minorBidi"/>
        </w:rPr>
      </w:pPr>
      <w:hyperlink w:anchor="_Toc284528590" w:history="1">
        <w:r w:rsidR="00554CB7" w:rsidRPr="001B567B">
          <w:rPr>
            <w:rStyle w:val="Hyperlink"/>
            <w:lang w:val="fr-FR"/>
          </w:rPr>
          <w:t>Tableau 15 : Options pour l’augmentation des budgets des filets sociaux: Avantages et inconvénients</w:t>
        </w:r>
        <w:r w:rsidR="00554CB7">
          <w:rPr>
            <w:webHidden/>
          </w:rPr>
          <w:tab/>
        </w:r>
        <w:r>
          <w:rPr>
            <w:webHidden/>
          </w:rPr>
          <w:fldChar w:fldCharType="begin"/>
        </w:r>
        <w:r w:rsidR="00554CB7">
          <w:rPr>
            <w:webHidden/>
          </w:rPr>
          <w:instrText xml:space="preserve"> PAGEREF _Toc284528590 \h </w:instrText>
        </w:r>
        <w:r>
          <w:rPr>
            <w:webHidden/>
          </w:rPr>
        </w:r>
        <w:r>
          <w:rPr>
            <w:webHidden/>
          </w:rPr>
          <w:fldChar w:fldCharType="separate"/>
        </w:r>
        <w:r w:rsidR="00EF56B2">
          <w:rPr>
            <w:webHidden/>
          </w:rPr>
          <w:t>58</w:t>
        </w:r>
        <w:r>
          <w:rPr>
            <w:webHidden/>
          </w:rPr>
          <w:fldChar w:fldCharType="end"/>
        </w:r>
      </w:hyperlink>
    </w:p>
    <w:p w:rsidR="00554CB7" w:rsidRDefault="00725419">
      <w:pPr>
        <w:pStyle w:val="TOC7"/>
        <w:rPr>
          <w:rFonts w:asciiTheme="minorHAnsi" w:eastAsiaTheme="minorEastAsia" w:hAnsiTheme="minorHAnsi" w:cstheme="minorBidi"/>
        </w:rPr>
      </w:pPr>
      <w:hyperlink w:anchor="_Toc284528591" w:history="1">
        <w:r w:rsidR="00554CB7" w:rsidRPr="001B567B">
          <w:rPr>
            <w:rStyle w:val="Hyperlink"/>
            <w:lang w:val="fr-FR"/>
          </w:rPr>
          <w:t>Tableau 16 : Groupes bénéficiaires de la recherche-action du CNLS-IST</w:t>
        </w:r>
        <w:r w:rsidR="00554CB7">
          <w:rPr>
            <w:webHidden/>
          </w:rPr>
          <w:tab/>
        </w:r>
        <w:r>
          <w:rPr>
            <w:webHidden/>
          </w:rPr>
          <w:fldChar w:fldCharType="begin"/>
        </w:r>
        <w:r w:rsidR="00554CB7">
          <w:rPr>
            <w:webHidden/>
          </w:rPr>
          <w:instrText xml:space="preserve"> PAGEREF _Toc284528591 \h </w:instrText>
        </w:r>
        <w:r>
          <w:rPr>
            <w:webHidden/>
          </w:rPr>
        </w:r>
        <w:r>
          <w:rPr>
            <w:webHidden/>
          </w:rPr>
          <w:fldChar w:fldCharType="separate"/>
        </w:r>
        <w:r w:rsidR="00EF56B2">
          <w:rPr>
            <w:webHidden/>
          </w:rPr>
          <w:t>64</w:t>
        </w:r>
        <w:r>
          <w:rPr>
            <w:webHidden/>
          </w:rPr>
          <w:fldChar w:fldCharType="end"/>
        </w:r>
      </w:hyperlink>
    </w:p>
    <w:p w:rsidR="00554CB7" w:rsidRDefault="00725419">
      <w:pPr>
        <w:pStyle w:val="TOC7"/>
        <w:rPr>
          <w:rFonts w:asciiTheme="minorHAnsi" w:eastAsiaTheme="minorEastAsia" w:hAnsiTheme="minorHAnsi" w:cstheme="minorBidi"/>
        </w:rPr>
      </w:pPr>
      <w:hyperlink w:anchor="_Toc284528592" w:history="1">
        <w:r w:rsidR="00554CB7" w:rsidRPr="001B567B">
          <w:rPr>
            <w:rStyle w:val="Hyperlink"/>
            <w:lang w:val="fr-FR"/>
          </w:rPr>
          <w:t>Tableau 17 : Principales caractéristiques des récents programmes de coupons alimentaires</w:t>
        </w:r>
        <w:r w:rsidR="00554CB7">
          <w:rPr>
            <w:webHidden/>
          </w:rPr>
          <w:tab/>
        </w:r>
        <w:r>
          <w:rPr>
            <w:webHidden/>
          </w:rPr>
          <w:fldChar w:fldCharType="begin"/>
        </w:r>
        <w:r w:rsidR="00554CB7">
          <w:rPr>
            <w:webHidden/>
          </w:rPr>
          <w:instrText xml:space="preserve"> PAGEREF _Toc284528592 \h </w:instrText>
        </w:r>
        <w:r>
          <w:rPr>
            <w:webHidden/>
          </w:rPr>
        </w:r>
        <w:r>
          <w:rPr>
            <w:webHidden/>
          </w:rPr>
          <w:fldChar w:fldCharType="separate"/>
        </w:r>
        <w:r w:rsidR="00EF56B2">
          <w:rPr>
            <w:webHidden/>
          </w:rPr>
          <w:t>65</w:t>
        </w:r>
        <w:r>
          <w:rPr>
            <w:webHidden/>
          </w:rPr>
          <w:fldChar w:fldCharType="end"/>
        </w:r>
      </w:hyperlink>
    </w:p>
    <w:p w:rsidR="00554CB7" w:rsidRDefault="00725419">
      <w:pPr>
        <w:pStyle w:val="TOC7"/>
        <w:rPr>
          <w:rFonts w:asciiTheme="minorHAnsi" w:eastAsiaTheme="minorEastAsia" w:hAnsiTheme="minorHAnsi" w:cstheme="minorBidi"/>
        </w:rPr>
      </w:pPr>
      <w:hyperlink w:anchor="_Toc284528593" w:history="1">
        <w:r w:rsidR="00554CB7" w:rsidRPr="001B567B">
          <w:rPr>
            <w:rStyle w:val="Hyperlink"/>
            <w:lang w:val="fr-FR"/>
          </w:rPr>
          <w:t>Tableau 18 : Stock d’intervention, situation au 31 décembre 2008</w:t>
        </w:r>
        <w:r w:rsidR="00554CB7">
          <w:rPr>
            <w:webHidden/>
          </w:rPr>
          <w:tab/>
        </w:r>
        <w:r>
          <w:rPr>
            <w:webHidden/>
          </w:rPr>
          <w:fldChar w:fldCharType="begin"/>
        </w:r>
        <w:r w:rsidR="00554CB7">
          <w:rPr>
            <w:webHidden/>
          </w:rPr>
          <w:instrText xml:space="preserve"> PAGEREF _Toc284528593 \h </w:instrText>
        </w:r>
        <w:r>
          <w:rPr>
            <w:webHidden/>
          </w:rPr>
        </w:r>
        <w:r>
          <w:rPr>
            <w:webHidden/>
          </w:rPr>
          <w:fldChar w:fldCharType="separate"/>
        </w:r>
        <w:r w:rsidR="00EF56B2">
          <w:rPr>
            <w:webHidden/>
          </w:rPr>
          <w:t>69</w:t>
        </w:r>
        <w:r>
          <w:rPr>
            <w:webHidden/>
          </w:rPr>
          <w:fldChar w:fldCharType="end"/>
        </w:r>
      </w:hyperlink>
    </w:p>
    <w:p w:rsidR="00554CB7" w:rsidRDefault="00725419">
      <w:pPr>
        <w:pStyle w:val="TOC7"/>
        <w:rPr>
          <w:rFonts w:asciiTheme="minorHAnsi" w:eastAsiaTheme="minorEastAsia" w:hAnsiTheme="minorHAnsi" w:cstheme="minorBidi"/>
        </w:rPr>
      </w:pPr>
      <w:hyperlink w:anchor="_Toc284528594" w:history="1">
        <w:r w:rsidR="00554CB7" w:rsidRPr="001B567B">
          <w:rPr>
            <w:rStyle w:val="Hyperlink"/>
            <w:lang w:val="fr-FR"/>
          </w:rPr>
          <w:t>Tableau 19 : Stock national de sécurité alimentaire, situation au 31 décembre 2008</w:t>
        </w:r>
        <w:r w:rsidR="00554CB7">
          <w:rPr>
            <w:webHidden/>
          </w:rPr>
          <w:tab/>
        </w:r>
        <w:r>
          <w:rPr>
            <w:webHidden/>
          </w:rPr>
          <w:fldChar w:fldCharType="begin"/>
        </w:r>
        <w:r w:rsidR="00554CB7">
          <w:rPr>
            <w:webHidden/>
          </w:rPr>
          <w:instrText xml:space="preserve"> PAGEREF _Toc284528594 \h </w:instrText>
        </w:r>
        <w:r>
          <w:rPr>
            <w:webHidden/>
          </w:rPr>
        </w:r>
        <w:r>
          <w:rPr>
            <w:webHidden/>
          </w:rPr>
          <w:fldChar w:fldCharType="separate"/>
        </w:r>
        <w:r w:rsidR="00EF56B2">
          <w:rPr>
            <w:webHidden/>
          </w:rPr>
          <w:t>69</w:t>
        </w:r>
        <w:r>
          <w:rPr>
            <w:webHidden/>
          </w:rPr>
          <w:fldChar w:fldCharType="end"/>
        </w:r>
      </w:hyperlink>
    </w:p>
    <w:p w:rsidR="00554CB7" w:rsidRDefault="00725419">
      <w:pPr>
        <w:pStyle w:val="TOC7"/>
        <w:rPr>
          <w:rFonts w:asciiTheme="minorHAnsi" w:eastAsiaTheme="minorEastAsia" w:hAnsiTheme="minorHAnsi" w:cstheme="minorBidi"/>
        </w:rPr>
      </w:pPr>
      <w:hyperlink w:anchor="_Toc284528595" w:history="1">
        <w:r w:rsidR="00554CB7" w:rsidRPr="001B567B">
          <w:rPr>
            <w:rStyle w:val="Hyperlink"/>
            <w:lang w:val="fr-FR"/>
          </w:rPr>
          <w:t>Tableau 20 : Nombre indicatif des bénéficiaires potentiels des stocks nationaux de sécurité</w:t>
        </w:r>
        <w:r w:rsidR="00554CB7">
          <w:rPr>
            <w:webHidden/>
          </w:rPr>
          <w:tab/>
        </w:r>
        <w:r>
          <w:rPr>
            <w:webHidden/>
          </w:rPr>
          <w:fldChar w:fldCharType="begin"/>
        </w:r>
        <w:r w:rsidR="00554CB7">
          <w:rPr>
            <w:webHidden/>
          </w:rPr>
          <w:instrText xml:space="preserve"> PAGEREF _Toc284528595 \h </w:instrText>
        </w:r>
        <w:r>
          <w:rPr>
            <w:webHidden/>
          </w:rPr>
        </w:r>
        <w:r>
          <w:rPr>
            <w:webHidden/>
          </w:rPr>
          <w:fldChar w:fldCharType="separate"/>
        </w:r>
        <w:r w:rsidR="00EF56B2">
          <w:rPr>
            <w:webHidden/>
          </w:rPr>
          <w:t>70</w:t>
        </w:r>
        <w:r>
          <w:rPr>
            <w:webHidden/>
          </w:rPr>
          <w:fldChar w:fldCharType="end"/>
        </w:r>
      </w:hyperlink>
    </w:p>
    <w:p w:rsidR="00554CB7" w:rsidRDefault="00725419">
      <w:pPr>
        <w:pStyle w:val="TOC7"/>
        <w:rPr>
          <w:rFonts w:asciiTheme="minorHAnsi" w:eastAsiaTheme="minorEastAsia" w:hAnsiTheme="minorHAnsi" w:cstheme="minorBidi"/>
        </w:rPr>
      </w:pPr>
      <w:hyperlink w:anchor="_Toc284528596" w:history="1">
        <w:r w:rsidR="00554CB7" w:rsidRPr="001B567B">
          <w:rPr>
            <w:rStyle w:val="Hyperlink"/>
            <w:lang w:val="fr-FR"/>
          </w:rPr>
          <w:t>Tableau 21 : Assistance en céréales du CONASUR aux populations vulnérables</w:t>
        </w:r>
        <w:r w:rsidR="00554CB7">
          <w:rPr>
            <w:webHidden/>
          </w:rPr>
          <w:tab/>
        </w:r>
        <w:r>
          <w:rPr>
            <w:webHidden/>
          </w:rPr>
          <w:fldChar w:fldCharType="begin"/>
        </w:r>
        <w:r w:rsidR="00554CB7">
          <w:rPr>
            <w:webHidden/>
          </w:rPr>
          <w:instrText xml:space="preserve"> PAGEREF _Toc284528596 \h </w:instrText>
        </w:r>
        <w:r>
          <w:rPr>
            <w:webHidden/>
          </w:rPr>
        </w:r>
        <w:r>
          <w:rPr>
            <w:webHidden/>
          </w:rPr>
          <w:fldChar w:fldCharType="separate"/>
        </w:r>
        <w:r w:rsidR="00EF56B2">
          <w:rPr>
            <w:webHidden/>
          </w:rPr>
          <w:t>71</w:t>
        </w:r>
        <w:r>
          <w:rPr>
            <w:webHidden/>
          </w:rPr>
          <w:fldChar w:fldCharType="end"/>
        </w:r>
      </w:hyperlink>
    </w:p>
    <w:p w:rsidR="00554CB7" w:rsidRDefault="00725419">
      <w:pPr>
        <w:pStyle w:val="TOC7"/>
        <w:rPr>
          <w:rFonts w:asciiTheme="minorHAnsi" w:eastAsiaTheme="minorEastAsia" w:hAnsiTheme="minorHAnsi" w:cstheme="minorBidi"/>
        </w:rPr>
      </w:pPr>
      <w:hyperlink w:anchor="_Toc284528597" w:history="1">
        <w:r w:rsidR="00554CB7" w:rsidRPr="001B567B">
          <w:rPr>
            <w:rStyle w:val="Hyperlink"/>
            <w:lang w:val="fr-FR"/>
          </w:rPr>
          <w:t>Tableau 22 : Assistance en céréales du CONASUR aux personnes affectées par une catastrophe</w:t>
        </w:r>
        <w:r w:rsidR="00554CB7">
          <w:rPr>
            <w:webHidden/>
          </w:rPr>
          <w:tab/>
        </w:r>
        <w:r>
          <w:rPr>
            <w:webHidden/>
          </w:rPr>
          <w:fldChar w:fldCharType="begin"/>
        </w:r>
        <w:r w:rsidR="00554CB7">
          <w:rPr>
            <w:webHidden/>
          </w:rPr>
          <w:instrText xml:space="preserve"> PAGEREF _Toc284528597 \h </w:instrText>
        </w:r>
        <w:r>
          <w:rPr>
            <w:webHidden/>
          </w:rPr>
        </w:r>
        <w:r>
          <w:rPr>
            <w:webHidden/>
          </w:rPr>
          <w:fldChar w:fldCharType="separate"/>
        </w:r>
        <w:r w:rsidR="00EF56B2">
          <w:rPr>
            <w:webHidden/>
          </w:rPr>
          <w:t>71</w:t>
        </w:r>
        <w:r>
          <w:rPr>
            <w:webHidden/>
          </w:rPr>
          <w:fldChar w:fldCharType="end"/>
        </w:r>
      </w:hyperlink>
    </w:p>
    <w:p w:rsidR="00554CB7" w:rsidRDefault="00725419">
      <w:pPr>
        <w:pStyle w:val="TOC7"/>
        <w:rPr>
          <w:rFonts w:asciiTheme="minorHAnsi" w:eastAsiaTheme="minorEastAsia" w:hAnsiTheme="minorHAnsi" w:cstheme="minorBidi"/>
        </w:rPr>
      </w:pPr>
      <w:hyperlink w:anchor="_Toc284528598" w:history="1">
        <w:r w:rsidR="00554CB7" w:rsidRPr="001B567B">
          <w:rPr>
            <w:rStyle w:val="Hyperlink"/>
            <w:lang w:val="fr-FR"/>
          </w:rPr>
          <w:t>Tableau 23 : Nombre indicatif des bénéficiaires des distributions ciblées de vivres, 2006-2010</w:t>
        </w:r>
        <w:r w:rsidR="00554CB7">
          <w:rPr>
            <w:webHidden/>
          </w:rPr>
          <w:tab/>
        </w:r>
        <w:r>
          <w:rPr>
            <w:webHidden/>
          </w:rPr>
          <w:fldChar w:fldCharType="begin"/>
        </w:r>
        <w:r w:rsidR="00554CB7">
          <w:rPr>
            <w:webHidden/>
          </w:rPr>
          <w:instrText xml:space="preserve"> PAGEREF _Toc284528598 \h </w:instrText>
        </w:r>
        <w:r>
          <w:rPr>
            <w:webHidden/>
          </w:rPr>
        </w:r>
        <w:r>
          <w:rPr>
            <w:webHidden/>
          </w:rPr>
          <w:fldChar w:fldCharType="separate"/>
        </w:r>
        <w:r w:rsidR="00EF56B2">
          <w:rPr>
            <w:webHidden/>
          </w:rPr>
          <w:t>72</w:t>
        </w:r>
        <w:r>
          <w:rPr>
            <w:webHidden/>
          </w:rPr>
          <w:fldChar w:fldCharType="end"/>
        </w:r>
      </w:hyperlink>
    </w:p>
    <w:p w:rsidR="00554CB7" w:rsidRDefault="00725419">
      <w:pPr>
        <w:pStyle w:val="TOC7"/>
        <w:rPr>
          <w:rFonts w:asciiTheme="minorHAnsi" w:eastAsiaTheme="minorEastAsia" w:hAnsiTheme="minorHAnsi" w:cstheme="minorBidi"/>
        </w:rPr>
      </w:pPr>
      <w:hyperlink w:anchor="_Toc284528599" w:history="1">
        <w:r w:rsidR="00554CB7" w:rsidRPr="001B567B">
          <w:rPr>
            <w:rStyle w:val="Hyperlink"/>
            <w:lang w:val="fr-FR"/>
          </w:rPr>
          <w:t>Tableau 24 : Principales caractéristiques des programmes de cantines scolaires dans les écoles primaires</w:t>
        </w:r>
        <w:r w:rsidR="00554CB7">
          <w:rPr>
            <w:webHidden/>
          </w:rPr>
          <w:tab/>
        </w:r>
        <w:r>
          <w:rPr>
            <w:webHidden/>
          </w:rPr>
          <w:fldChar w:fldCharType="begin"/>
        </w:r>
        <w:r w:rsidR="00554CB7">
          <w:rPr>
            <w:webHidden/>
          </w:rPr>
          <w:instrText xml:space="preserve"> PAGEREF _Toc284528599 \h </w:instrText>
        </w:r>
        <w:r>
          <w:rPr>
            <w:webHidden/>
          </w:rPr>
        </w:r>
        <w:r>
          <w:rPr>
            <w:webHidden/>
          </w:rPr>
          <w:fldChar w:fldCharType="separate"/>
        </w:r>
        <w:r w:rsidR="00EF56B2">
          <w:rPr>
            <w:webHidden/>
          </w:rPr>
          <w:t>76</w:t>
        </w:r>
        <w:r>
          <w:rPr>
            <w:webHidden/>
          </w:rPr>
          <w:fldChar w:fldCharType="end"/>
        </w:r>
      </w:hyperlink>
    </w:p>
    <w:p w:rsidR="00554CB7" w:rsidRDefault="00725419">
      <w:pPr>
        <w:pStyle w:val="TOC7"/>
        <w:rPr>
          <w:rFonts w:asciiTheme="minorHAnsi" w:eastAsiaTheme="minorEastAsia" w:hAnsiTheme="minorHAnsi" w:cstheme="minorBidi"/>
        </w:rPr>
      </w:pPr>
      <w:hyperlink w:anchor="_Toc284528600" w:history="1">
        <w:r w:rsidR="00554CB7" w:rsidRPr="001B567B">
          <w:rPr>
            <w:rStyle w:val="Hyperlink"/>
            <w:lang w:val="fr-FR"/>
          </w:rPr>
          <w:t>Tableau 25 : Implication pour les prix des exonérations sur les produits de première nécessité ciblés</w:t>
        </w:r>
        <w:r w:rsidR="00554CB7">
          <w:rPr>
            <w:webHidden/>
          </w:rPr>
          <w:tab/>
        </w:r>
        <w:r>
          <w:rPr>
            <w:webHidden/>
          </w:rPr>
          <w:fldChar w:fldCharType="begin"/>
        </w:r>
        <w:r w:rsidR="00554CB7">
          <w:rPr>
            <w:webHidden/>
          </w:rPr>
          <w:instrText xml:space="preserve"> PAGEREF _Toc284528600 \h </w:instrText>
        </w:r>
        <w:r>
          <w:rPr>
            <w:webHidden/>
          </w:rPr>
        </w:r>
        <w:r>
          <w:rPr>
            <w:webHidden/>
          </w:rPr>
          <w:fldChar w:fldCharType="separate"/>
        </w:r>
        <w:r w:rsidR="00EF56B2">
          <w:rPr>
            <w:webHidden/>
          </w:rPr>
          <w:t>79</w:t>
        </w:r>
        <w:r>
          <w:rPr>
            <w:webHidden/>
          </w:rPr>
          <w:fldChar w:fldCharType="end"/>
        </w:r>
      </w:hyperlink>
    </w:p>
    <w:p w:rsidR="00554CB7" w:rsidRDefault="00725419">
      <w:pPr>
        <w:pStyle w:val="TOC7"/>
        <w:rPr>
          <w:rFonts w:asciiTheme="minorHAnsi" w:eastAsiaTheme="minorEastAsia" w:hAnsiTheme="minorHAnsi" w:cstheme="minorBidi"/>
        </w:rPr>
      </w:pPr>
      <w:hyperlink w:anchor="_Toc284528601" w:history="1">
        <w:r w:rsidR="00554CB7" w:rsidRPr="001B567B">
          <w:rPr>
            <w:rStyle w:val="Hyperlink"/>
            <w:lang w:val="fr-FR"/>
          </w:rPr>
          <w:t>Tableau 27 : Programmes Vivres contre infrastructure du PAM (bénéficiaires et budgets), 2006-2010</w:t>
        </w:r>
        <w:r w:rsidR="00554CB7">
          <w:rPr>
            <w:webHidden/>
          </w:rPr>
          <w:tab/>
        </w:r>
        <w:r>
          <w:rPr>
            <w:webHidden/>
          </w:rPr>
          <w:fldChar w:fldCharType="begin"/>
        </w:r>
        <w:r w:rsidR="00554CB7">
          <w:rPr>
            <w:webHidden/>
          </w:rPr>
          <w:instrText xml:space="preserve"> PAGEREF _Toc284528601 \h </w:instrText>
        </w:r>
        <w:r>
          <w:rPr>
            <w:webHidden/>
          </w:rPr>
        </w:r>
        <w:r>
          <w:rPr>
            <w:webHidden/>
          </w:rPr>
          <w:fldChar w:fldCharType="separate"/>
        </w:r>
        <w:r w:rsidR="00EF56B2">
          <w:rPr>
            <w:webHidden/>
          </w:rPr>
          <w:t>83</w:t>
        </w:r>
        <w:r>
          <w:rPr>
            <w:webHidden/>
          </w:rPr>
          <w:fldChar w:fldCharType="end"/>
        </w:r>
      </w:hyperlink>
    </w:p>
    <w:p w:rsidR="003D6701" w:rsidRPr="00AE542A" w:rsidRDefault="00725419" w:rsidP="0008523C">
      <w:pPr>
        <w:spacing w:after="0"/>
        <w:rPr>
          <w:noProof/>
          <w:sz w:val="22"/>
        </w:rPr>
      </w:pPr>
      <w:r w:rsidRPr="00577EB1">
        <w:rPr>
          <w:b/>
          <w:sz w:val="22"/>
          <w:highlight w:val="yellow"/>
          <w:lang w:val="fr-FR"/>
        </w:rPr>
        <w:fldChar w:fldCharType="end"/>
      </w:r>
      <w:r w:rsidRPr="0088426E">
        <w:rPr>
          <w:sz w:val="22"/>
          <w:szCs w:val="20"/>
          <w:highlight w:val="yellow"/>
          <w:lang w:val="fr-FR"/>
        </w:rPr>
        <w:fldChar w:fldCharType="begin"/>
      </w:r>
      <w:r w:rsidR="0088426E" w:rsidRPr="0088426E">
        <w:rPr>
          <w:sz w:val="22"/>
          <w:szCs w:val="20"/>
          <w:highlight w:val="yellow"/>
          <w:lang w:val="fr-FR"/>
        </w:rPr>
        <w:instrText xml:space="preserve"> TOC \h \z \c "Table" </w:instrText>
      </w:r>
      <w:r w:rsidRPr="0088426E">
        <w:rPr>
          <w:sz w:val="22"/>
          <w:szCs w:val="20"/>
          <w:highlight w:val="yellow"/>
          <w:lang w:val="fr-FR"/>
        </w:rPr>
        <w:fldChar w:fldCharType="separate"/>
      </w:r>
    </w:p>
    <w:p w:rsidR="003D6701" w:rsidRPr="00AE542A" w:rsidRDefault="00725419" w:rsidP="00E132CD">
      <w:pPr>
        <w:pStyle w:val="TOC7"/>
        <w:rPr>
          <w:rFonts w:asciiTheme="minorHAnsi" w:eastAsiaTheme="minorEastAsia" w:hAnsiTheme="minorHAnsi" w:cstheme="minorBidi"/>
        </w:rPr>
      </w:pPr>
      <w:hyperlink w:anchor="_Toc284530512" w:history="1">
        <w:r w:rsidR="003D6701" w:rsidRPr="00AE542A">
          <w:rPr>
            <w:rStyle w:val="Hyperlink"/>
            <w:lang w:val="fr-FR"/>
          </w:rPr>
          <w:t>Tableau 1 : Indices de pauvreté selon le lieu de résidence</w:t>
        </w:r>
        <w:r w:rsidR="003D6701" w:rsidRPr="00AE542A">
          <w:rPr>
            <w:webHidden/>
          </w:rPr>
          <w:tab/>
        </w:r>
        <w:r w:rsidRPr="00AE542A">
          <w:rPr>
            <w:webHidden/>
          </w:rPr>
          <w:fldChar w:fldCharType="begin"/>
        </w:r>
        <w:r w:rsidR="003D6701" w:rsidRPr="00AE542A">
          <w:rPr>
            <w:webHidden/>
          </w:rPr>
          <w:instrText xml:space="preserve"> PAGEREF _Toc284530512 \h </w:instrText>
        </w:r>
        <w:r w:rsidRPr="00AE542A">
          <w:rPr>
            <w:webHidden/>
          </w:rPr>
        </w:r>
        <w:r w:rsidRPr="00AE542A">
          <w:rPr>
            <w:webHidden/>
          </w:rPr>
          <w:fldChar w:fldCharType="separate"/>
        </w:r>
        <w:r w:rsidR="00EF56B2">
          <w:rPr>
            <w:webHidden/>
          </w:rPr>
          <w:t>12</w:t>
        </w:r>
        <w:r w:rsidRPr="00AE542A">
          <w:rPr>
            <w:webHidden/>
          </w:rPr>
          <w:fldChar w:fldCharType="end"/>
        </w:r>
      </w:hyperlink>
    </w:p>
    <w:p w:rsidR="003D6701" w:rsidRPr="00AE542A" w:rsidRDefault="00725419" w:rsidP="00E132CD">
      <w:pPr>
        <w:pStyle w:val="TOC7"/>
        <w:rPr>
          <w:rFonts w:asciiTheme="minorHAnsi" w:eastAsiaTheme="minorEastAsia" w:hAnsiTheme="minorHAnsi" w:cstheme="minorBidi"/>
        </w:rPr>
      </w:pPr>
      <w:hyperlink w:anchor="_Toc284530513" w:history="1">
        <w:r w:rsidR="003D6701" w:rsidRPr="00AE542A">
          <w:rPr>
            <w:rStyle w:val="Hyperlink"/>
            <w:lang w:val="fr-FR"/>
          </w:rPr>
          <w:t>Tableau 2 : Estimations de la tendance de la pauvreté monétaire sur la base des comptes nationaux</w:t>
        </w:r>
        <w:r w:rsidR="003D6701" w:rsidRPr="00AE542A">
          <w:rPr>
            <w:webHidden/>
          </w:rPr>
          <w:tab/>
        </w:r>
        <w:r w:rsidRPr="00AE542A">
          <w:rPr>
            <w:webHidden/>
          </w:rPr>
          <w:fldChar w:fldCharType="begin"/>
        </w:r>
        <w:r w:rsidR="003D6701" w:rsidRPr="00AE542A">
          <w:rPr>
            <w:webHidden/>
          </w:rPr>
          <w:instrText xml:space="preserve"> PAGEREF _Toc284530513 \h </w:instrText>
        </w:r>
        <w:r w:rsidRPr="00AE542A">
          <w:rPr>
            <w:webHidden/>
          </w:rPr>
        </w:r>
        <w:r w:rsidRPr="00AE542A">
          <w:rPr>
            <w:webHidden/>
          </w:rPr>
          <w:fldChar w:fldCharType="separate"/>
        </w:r>
        <w:r w:rsidR="00EF56B2">
          <w:rPr>
            <w:webHidden/>
          </w:rPr>
          <w:t>13</w:t>
        </w:r>
        <w:r w:rsidRPr="00AE542A">
          <w:rPr>
            <w:webHidden/>
          </w:rPr>
          <w:fldChar w:fldCharType="end"/>
        </w:r>
      </w:hyperlink>
    </w:p>
    <w:p w:rsidR="003D6701" w:rsidRPr="00AE542A" w:rsidRDefault="00725419">
      <w:pPr>
        <w:pStyle w:val="TableofFigures"/>
        <w:tabs>
          <w:tab w:val="right" w:pos="9062"/>
        </w:tabs>
        <w:rPr>
          <w:rFonts w:asciiTheme="minorHAnsi" w:eastAsiaTheme="minorEastAsia" w:hAnsiTheme="minorHAnsi" w:cstheme="minorBidi"/>
          <w:noProof/>
          <w:sz w:val="22"/>
        </w:rPr>
      </w:pPr>
      <w:hyperlink w:anchor="_Toc284530514" w:history="1">
        <w:r w:rsidR="003D6701" w:rsidRPr="00AE542A">
          <w:rPr>
            <w:rStyle w:val="Hyperlink"/>
            <w:noProof/>
            <w:sz w:val="22"/>
            <w:lang w:val="fr-FR"/>
          </w:rPr>
          <w:t>Tableau 3 : Incidence de la pauvreté et vulnérabilité alimentaire par régions administratives</w:t>
        </w:r>
        <w:r w:rsidR="003D6701" w:rsidRPr="00AE542A">
          <w:rPr>
            <w:noProof/>
            <w:webHidden/>
            <w:sz w:val="22"/>
          </w:rPr>
          <w:tab/>
        </w:r>
        <w:r w:rsidRPr="00AE542A">
          <w:rPr>
            <w:noProof/>
            <w:webHidden/>
            <w:sz w:val="22"/>
          </w:rPr>
          <w:fldChar w:fldCharType="begin"/>
        </w:r>
        <w:r w:rsidR="003D6701" w:rsidRPr="00AE542A">
          <w:rPr>
            <w:noProof/>
            <w:webHidden/>
            <w:sz w:val="22"/>
          </w:rPr>
          <w:instrText xml:space="preserve"> PAGEREF _Toc284530514 \h </w:instrText>
        </w:r>
        <w:r w:rsidRPr="00AE542A">
          <w:rPr>
            <w:noProof/>
            <w:webHidden/>
            <w:sz w:val="22"/>
          </w:rPr>
        </w:r>
        <w:r w:rsidRPr="00AE542A">
          <w:rPr>
            <w:noProof/>
            <w:webHidden/>
            <w:sz w:val="22"/>
          </w:rPr>
          <w:fldChar w:fldCharType="separate"/>
        </w:r>
        <w:r w:rsidR="00EF56B2">
          <w:rPr>
            <w:noProof/>
            <w:webHidden/>
            <w:sz w:val="22"/>
          </w:rPr>
          <w:t>15</w:t>
        </w:r>
        <w:r w:rsidRPr="00AE542A">
          <w:rPr>
            <w:noProof/>
            <w:webHidden/>
            <w:sz w:val="22"/>
          </w:rPr>
          <w:fldChar w:fldCharType="end"/>
        </w:r>
      </w:hyperlink>
    </w:p>
    <w:p w:rsidR="003D6701" w:rsidRDefault="00725419" w:rsidP="00E132CD">
      <w:pPr>
        <w:pStyle w:val="TOC7"/>
        <w:rPr>
          <w:rFonts w:asciiTheme="minorHAnsi" w:eastAsiaTheme="minorEastAsia" w:hAnsiTheme="minorHAnsi" w:cstheme="minorBidi"/>
        </w:rPr>
      </w:pPr>
      <w:hyperlink w:anchor="_Toc284530515" w:history="1">
        <w:r w:rsidR="003D6701" w:rsidRPr="00AE542A">
          <w:rPr>
            <w:rStyle w:val="Hyperlink"/>
            <w:lang w:val="fr-FR"/>
          </w:rPr>
          <w:t>Tableau 4 : Pauvreté selon le lieu de résidence et la région administrative, 2003</w:t>
        </w:r>
        <w:r w:rsidR="003D6701" w:rsidRPr="00AE542A">
          <w:rPr>
            <w:webHidden/>
          </w:rPr>
          <w:tab/>
        </w:r>
        <w:r w:rsidRPr="00AE542A">
          <w:rPr>
            <w:webHidden/>
          </w:rPr>
          <w:fldChar w:fldCharType="begin"/>
        </w:r>
        <w:r w:rsidR="003D6701" w:rsidRPr="00AE542A">
          <w:rPr>
            <w:webHidden/>
          </w:rPr>
          <w:instrText xml:space="preserve"> PAGEREF _Toc284530515 \h </w:instrText>
        </w:r>
        <w:r w:rsidRPr="00AE542A">
          <w:rPr>
            <w:webHidden/>
          </w:rPr>
        </w:r>
        <w:r w:rsidRPr="00AE542A">
          <w:rPr>
            <w:webHidden/>
          </w:rPr>
          <w:fldChar w:fldCharType="separate"/>
        </w:r>
        <w:r w:rsidR="00EF56B2">
          <w:rPr>
            <w:webHidden/>
          </w:rPr>
          <w:t>20</w:t>
        </w:r>
        <w:r w:rsidRPr="00AE542A">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16" w:history="1">
        <w:r w:rsidR="003D6701" w:rsidRPr="0021363E">
          <w:rPr>
            <w:rStyle w:val="Hyperlink"/>
            <w:lang w:val="fr-FR"/>
          </w:rPr>
          <w:t>Tableau 5</w:t>
        </w:r>
        <w:r w:rsidR="003D6701" w:rsidRPr="0021363E">
          <w:rPr>
            <w:rStyle w:val="Hyperlink"/>
          </w:rPr>
          <w:t> : Pauvreté en fonction de quelques caractéristiques des chefs de famille, 2003</w:t>
        </w:r>
        <w:r w:rsidR="003D6701">
          <w:rPr>
            <w:webHidden/>
          </w:rPr>
          <w:tab/>
        </w:r>
        <w:r>
          <w:rPr>
            <w:webHidden/>
          </w:rPr>
          <w:fldChar w:fldCharType="begin"/>
        </w:r>
        <w:r w:rsidR="003D6701">
          <w:rPr>
            <w:webHidden/>
          </w:rPr>
          <w:instrText xml:space="preserve"> PAGEREF _Toc284530516 \h </w:instrText>
        </w:r>
        <w:r>
          <w:rPr>
            <w:webHidden/>
          </w:rPr>
        </w:r>
        <w:r>
          <w:rPr>
            <w:webHidden/>
          </w:rPr>
          <w:fldChar w:fldCharType="separate"/>
        </w:r>
        <w:r w:rsidR="00EF56B2">
          <w:rPr>
            <w:webHidden/>
          </w:rPr>
          <w:t>23</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17" w:history="1">
        <w:r w:rsidR="003D6701" w:rsidRPr="0021363E">
          <w:rPr>
            <w:rStyle w:val="Hyperlink"/>
            <w:lang w:val="fr-FR"/>
          </w:rPr>
          <w:t>Tableau 6</w:t>
        </w:r>
        <w:r w:rsidR="003D6701" w:rsidRPr="0021363E">
          <w:rPr>
            <w:rStyle w:val="Hyperlink"/>
          </w:rPr>
          <w:t> : Estimation des montants nécessaires pour amener tous les pauvres, et les plus pauvres et les plus vulnérables jusqu’au seuil de pauvreté par des transferts en espèces (2003, 2005 et 2007)</w:t>
        </w:r>
        <w:r w:rsidR="003D6701">
          <w:rPr>
            <w:webHidden/>
          </w:rPr>
          <w:tab/>
        </w:r>
        <w:r>
          <w:rPr>
            <w:webHidden/>
          </w:rPr>
          <w:fldChar w:fldCharType="begin"/>
        </w:r>
        <w:r w:rsidR="003D6701">
          <w:rPr>
            <w:webHidden/>
          </w:rPr>
          <w:instrText xml:space="preserve"> PAGEREF _Toc284530517 \h </w:instrText>
        </w:r>
        <w:r>
          <w:rPr>
            <w:webHidden/>
          </w:rPr>
        </w:r>
        <w:r>
          <w:rPr>
            <w:webHidden/>
          </w:rPr>
          <w:fldChar w:fldCharType="separate"/>
        </w:r>
        <w:r w:rsidR="00EF56B2">
          <w:rPr>
            <w:webHidden/>
          </w:rPr>
          <w:t>24</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18" w:history="1">
        <w:r w:rsidR="003D6701" w:rsidRPr="0021363E">
          <w:rPr>
            <w:rStyle w:val="Hyperlink"/>
            <w:lang w:val="fr-FR"/>
          </w:rPr>
          <w:t xml:space="preserve">Tableau 7 : Composante « Filets sociaux » du plan d’action de crise </w:t>
        </w:r>
        <w:r w:rsidR="003D6701" w:rsidRPr="0021363E">
          <w:rPr>
            <w:rStyle w:val="Hyperlink"/>
            <w:bCs/>
            <w:iCs/>
            <w:lang w:val="fr-FR" w:eastAsia="fr-FR"/>
          </w:rPr>
          <w:t>2009-2010</w:t>
        </w:r>
        <w:r w:rsidR="003D6701">
          <w:rPr>
            <w:webHidden/>
          </w:rPr>
          <w:tab/>
        </w:r>
        <w:r>
          <w:rPr>
            <w:webHidden/>
          </w:rPr>
          <w:fldChar w:fldCharType="begin"/>
        </w:r>
        <w:r w:rsidR="003D6701">
          <w:rPr>
            <w:webHidden/>
          </w:rPr>
          <w:instrText xml:space="preserve"> PAGEREF _Toc284530518 \h </w:instrText>
        </w:r>
        <w:r>
          <w:rPr>
            <w:webHidden/>
          </w:rPr>
        </w:r>
        <w:r>
          <w:rPr>
            <w:webHidden/>
          </w:rPr>
          <w:fldChar w:fldCharType="separate"/>
        </w:r>
        <w:r w:rsidR="00EF56B2">
          <w:rPr>
            <w:webHidden/>
          </w:rPr>
          <w:t>35</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19" w:history="1">
        <w:r w:rsidR="003D6701" w:rsidRPr="0021363E">
          <w:rPr>
            <w:rStyle w:val="Hyperlink"/>
            <w:lang w:val="fr-FR"/>
          </w:rPr>
          <w:t>Tableau 8 : Composante « Protection sociale des groupes vulnérables » du plan d’action de crise 2009</w:t>
        </w:r>
        <w:r w:rsidR="003D6701">
          <w:rPr>
            <w:webHidden/>
          </w:rPr>
          <w:tab/>
        </w:r>
        <w:r>
          <w:rPr>
            <w:webHidden/>
          </w:rPr>
          <w:fldChar w:fldCharType="begin"/>
        </w:r>
        <w:r w:rsidR="003D6701">
          <w:rPr>
            <w:webHidden/>
          </w:rPr>
          <w:instrText xml:space="preserve"> PAGEREF _Toc284530519 \h </w:instrText>
        </w:r>
        <w:r>
          <w:rPr>
            <w:webHidden/>
          </w:rPr>
        </w:r>
        <w:r>
          <w:rPr>
            <w:webHidden/>
          </w:rPr>
          <w:fldChar w:fldCharType="separate"/>
        </w:r>
        <w:r w:rsidR="00EF56B2">
          <w:rPr>
            <w:webHidden/>
          </w:rPr>
          <w:t>35</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20" w:history="1">
        <w:r w:rsidR="003D6701" w:rsidRPr="0021363E">
          <w:rPr>
            <w:rStyle w:val="Hyperlink"/>
            <w:lang w:val="fr-FR"/>
          </w:rPr>
          <w:t>Tableau 9 : Liste des principaux programmes de filets sociaux existants au Burkina Faso, 2008-2009</w:t>
        </w:r>
        <w:r w:rsidR="003D6701">
          <w:rPr>
            <w:webHidden/>
          </w:rPr>
          <w:tab/>
        </w:r>
        <w:r>
          <w:rPr>
            <w:webHidden/>
          </w:rPr>
          <w:fldChar w:fldCharType="begin"/>
        </w:r>
        <w:r w:rsidR="003D6701">
          <w:rPr>
            <w:webHidden/>
          </w:rPr>
          <w:instrText xml:space="preserve"> PAGEREF _Toc284530520 \h </w:instrText>
        </w:r>
        <w:r>
          <w:rPr>
            <w:webHidden/>
          </w:rPr>
        </w:r>
        <w:r>
          <w:rPr>
            <w:webHidden/>
          </w:rPr>
          <w:fldChar w:fldCharType="separate"/>
        </w:r>
        <w:r w:rsidR="00EF56B2">
          <w:rPr>
            <w:webHidden/>
          </w:rPr>
          <w:t>41</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21" w:history="1">
        <w:r w:rsidR="003D6701" w:rsidRPr="0021363E">
          <w:rPr>
            <w:rStyle w:val="Hyperlink"/>
            <w:lang w:val="fr-FR"/>
          </w:rPr>
          <w:t>Tableau 10 : Dépenses totales dans les programmes de filets sociaux, 2005-2009</w:t>
        </w:r>
        <w:r w:rsidR="003D6701">
          <w:rPr>
            <w:webHidden/>
          </w:rPr>
          <w:tab/>
        </w:r>
        <w:r>
          <w:rPr>
            <w:webHidden/>
          </w:rPr>
          <w:fldChar w:fldCharType="begin"/>
        </w:r>
        <w:r w:rsidR="003D6701">
          <w:rPr>
            <w:webHidden/>
          </w:rPr>
          <w:instrText xml:space="preserve"> PAGEREF _Toc284530521 \h </w:instrText>
        </w:r>
        <w:r>
          <w:rPr>
            <w:webHidden/>
          </w:rPr>
        </w:r>
        <w:r>
          <w:rPr>
            <w:webHidden/>
          </w:rPr>
          <w:fldChar w:fldCharType="separate"/>
        </w:r>
        <w:r w:rsidR="00EF56B2">
          <w:rPr>
            <w:webHidden/>
          </w:rPr>
          <w:t>47</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22" w:history="1">
        <w:r w:rsidR="003D6701" w:rsidRPr="0021363E">
          <w:rPr>
            <w:rStyle w:val="Hyperlink"/>
            <w:lang w:val="fr-FR"/>
          </w:rPr>
          <w:t>Tableau 11 : Dépenses sociales (y compris les financements PPTE et hors financements extérieurs)</w:t>
        </w:r>
        <w:r w:rsidR="003D6701">
          <w:rPr>
            <w:webHidden/>
          </w:rPr>
          <w:tab/>
        </w:r>
        <w:r>
          <w:rPr>
            <w:webHidden/>
          </w:rPr>
          <w:fldChar w:fldCharType="begin"/>
        </w:r>
        <w:r w:rsidR="003D6701">
          <w:rPr>
            <w:webHidden/>
          </w:rPr>
          <w:instrText xml:space="preserve"> PAGEREF _Toc284530522 \h </w:instrText>
        </w:r>
        <w:r>
          <w:rPr>
            <w:webHidden/>
          </w:rPr>
        </w:r>
        <w:r>
          <w:rPr>
            <w:webHidden/>
          </w:rPr>
          <w:fldChar w:fldCharType="separate"/>
        </w:r>
        <w:r w:rsidR="00EF56B2">
          <w:rPr>
            <w:webHidden/>
          </w:rPr>
          <w:t>49</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23" w:history="1">
        <w:r w:rsidR="003D6701" w:rsidRPr="0021363E">
          <w:rPr>
            <w:rStyle w:val="Hyperlink"/>
            <w:lang w:val="fr-FR"/>
          </w:rPr>
          <w:t>Tableau 12 : Priorités de l’État et des bailleurs de fonds par programme en 2008</w:t>
        </w:r>
        <w:r w:rsidR="003D6701">
          <w:rPr>
            <w:webHidden/>
          </w:rPr>
          <w:tab/>
        </w:r>
        <w:r>
          <w:rPr>
            <w:webHidden/>
          </w:rPr>
          <w:fldChar w:fldCharType="begin"/>
        </w:r>
        <w:r w:rsidR="003D6701">
          <w:rPr>
            <w:webHidden/>
          </w:rPr>
          <w:instrText xml:space="preserve"> PAGEREF _Toc284530523 \h </w:instrText>
        </w:r>
        <w:r>
          <w:rPr>
            <w:webHidden/>
          </w:rPr>
        </w:r>
        <w:r>
          <w:rPr>
            <w:webHidden/>
          </w:rPr>
          <w:fldChar w:fldCharType="separate"/>
        </w:r>
        <w:r w:rsidR="00EF56B2">
          <w:rPr>
            <w:webHidden/>
          </w:rPr>
          <w:t>51</w:t>
        </w:r>
        <w:r>
          <w:rPr>
            <w:webHidden/>
          </w:rPr>
          <w:fldChar w:fldCharType="end"/>
        </w:r>
      </w:hyperlink>
    </w:p>
    <w:p w:rsidR="003D6701" w:rsidRDefault="00725419">
      <w:pPr>
        <w:pStyle w:val="TableofFigures"/>
        <w:tabs>
          <w:tab w:val="right" w:pos="9062"/>
        </w:tabs>
        <w:rPr>
          <w:rFonts w:asciiTheme="minorHAnsi" w:eastAsiaTheme="minorEastAsia" w:hAnsiTheme="minorHAnsi" w:cstheme="minorBidi"/>
          <w:noProof/>
          <w:sz w:val="22"/>
        </w:rPr>
      </w:pPr>
      <w:hyperlink w:anchor="_Toc284530524" w:history="1">
        <w:r w:rsidR="003D6701" w:rsidRPr="0021363E">
          <w:rPr>
            <w:rStyle w:val="Hyperlink"/>
            <w:noProof/>
            <w:lang w:val="fr-FR"/>
          </w:rPr>
          <w:t>Tableau 13 : Bénéficiaires et allocation budgétaire par programme au Burkina Faso, 2009</w:t>
        </w:r>
        <w:r w:rsidR="003D6701">
          <w:rPr>
            <w:noProof/>
            <w:webHidden/>
          </w:rPr>
          <w:tab/>
        </w:r>
        <w:r>
          <w:rPr>
            <w:noProof/>
            <w:webHidden/>
          </w:rPr>
          <w:fldChar w:fldCharType="begin"/>
        </w:r>
        <w:r w:rsidR="003D6701">
          <w:rPr>
            <w:noProof/>
            <w:webHidden/>
          </w:rPr>
          <w:instrText xml:space="preserve"> PAGEREF _Toc284530524 \h </w:instrText>
        </w:r>
        <w:r>
          <w:rPr>
            <w:noProof/>
            <w:webHidden/>
          </w:rPr>
        </w:r>
        <w:r>
          <w:rPr>
            <w:noProof/>
            <w:webHidden/>
          </w:rPr>
          <w:fldChar w:fldCharType="separate"/>
        </w:r>
        <w:r w:rsidR="00EF56B2">
          <w:rPr>
            <w:noProof/>
            <w:webHidden/>
          </w:rPr>
          <w:t>53</w:t>
        </w:r>
        <w:r>
          <w:rPr>
            <w:noProof/>
            <w:webHidden/>
          </w:rPr>
          <w:fldChar w:fldCharType="end"/>
        </w:r>
      </w:hyperlink>
    </w:p>
    <w:p w:rsidR="003D6701" w:rsidRDefault="00725419" w:rsidP="00E132CD">
      <w:pPr>
        <w:pStyle w:val="TOC7"/>
        <w:rPr>
          <w:rFonts w:asciiTheme="minorHAnsi" w:eastAsiaTheme="minorEastAsia" w:hAnsiTheme="minorHAnsi" w:cstheme="minorBidi"/>
        </w:rPr>
      </w:pPr>
      <w:hyperlink w:anchor="_Toc284530525" w:history="1">
        <w:r w:rsidR="003D6701" w:rsidRPr="0021363E">
          <w:rPr>
            <w:rStyle w:val="Hyperlink"/>
            <w:lang w:val="fr-FR"/>
          </w:rPr>
          <w:t>Tableau 14 : Options de développement des programmes de filets sociaux</w:t>
        </w:r>
        <w:r w:rsidR="003D6701">
          <w:rPr>
            <w:webHidden/>
          </w:rPr>
          <w:tab/>
        </w:r>
        <w:r>
          <w:rPr>
            <w:webHidden/>
          </w:rPr>
          <w:fldChar w:fldCharType="begin"/>
        </w:r>
        <w:r w:rsidR="003D6701">
          <w:rPr>
            <w:webHidden/>
          </w:rPr>
          <w:instrText xml:space="preserve"> PAGEREF _Toc284530525 \h </w:instrText>
        </w:r>
        <w:r>
          <w:rPr>
            <w:webHidden/>
          </w:rPr>
        </w:r>
        <w:r>
          <w:rPr>
            <w:webHidden/>
          </w:rPr>
          <w:fldChar w:fldCharType="separate"/>
        </w:r>
        <w:r w:rsidR="00EF56B2">
          <w:rPr>
            <w:webHidden/>
          </w:rPr>
          <w:t>55</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26" w:history="1">
        <w:r w:rsidR="003D6701" w:rsidRPr="0021363E">
          <w:rPr>
            <w:rStyle w:val="Hyperlink"/>
            <w:lang w:val="fr-FR"/>
          </w:rPr>
          <w:t>Tableau 15 : Options pour l’augmentation des budgets des filets sociaux: Avantages et inconvénients</w:t>
        </w:r>
        <w:r w:rsidR="003D6701">
          <w:rPr>
            <w:webHidden/>
          </w:rPr>
          <w:tab/>
        </w:r>
        <w:r>
          <w:rPr>
            <w:webHidden/>
          </w:rPr>
          <w:fldChar w:fldCharType="begin"/>
        </w:r>
        <w:r w:rsidR="003D6701">
          <w:rPr>
            <w:webHidden/>
          </w:rPr>
          <w:instrText xml:space="preserve"> PAGEREF _Toc284530526 \h </w:instrText>
        </w:r>
        <w:r>
          <w:rPr>
            <w:webHidden/>
          </w:rPr>
        </w:r>
        <w:r>
          <w:rPr>
            <w:webHidden/>
          </w:rPr>
          <w:fldChar w:fldCharType="separate"/>
        </w:r>
        <w:r w:rsidR="00EF56B2">
          <w:rPr>
            <w:webHidden/>
          </w:rPr>
          <w:t>58</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27" w:history="1">
        <w:r w:rsidR="003D6701" w:rsidRPr="0021363E">
          <w:rPr>
            <w:rStyle w:val="Hyperlink"/>
            <w:lang w:val="fr-FR"/>
          </w:rPr>
          <w:t>Tableau 16 : Groupes bénéficiaires de la recherche-action du CNLS-IST</w:t>
        </w:r>
        <w:r w:rsidR="003D6701">
          <w:rPr>
            <w:webHidden/>
          </w:rPr>
          <w:tab/>
        </w:r>
        <w:r>
          <w:rPr>
            <w:webHidden/>
          </w:rPr>
          <w:fldChar w:fldCharType="begin"/>
        </w:r>
        <w:r w:rsidR="003D6701">
          <w:rPr>
            <w:webHidden/>
          </w:rPr>
          <w:instrText xml:space="preserve"> PAGEREF _Toc284530527 \h </w:instrText>
        </w:r>
        <w:r>
          <w:rPr>
            <w:webHidden/>
          </w:rPr>
        </w:r>
        <w:r>
          <w:rPr>
            <w:webHidden/>
          </w:rPr>
          <w:fldChar w:fldCharType="separate"/>
        </w:r>
        <w:r w:rsidR="00EF56B2">
          <w:rPr>
            <w:webHidden/>
          </w:rPr>
          <w:t>64</w:t>
        </w:r>
        <w:r>
          <w:rPr>
            <w:webHidden/>
          </w:rPr>
          <w:fldChar w:fldCharType="end"/>
        </w:r>
      </w:hyperlink>
    </w:p>
    <w:p w:rsidR="003D6701" w:rsidRDefault="00725419">
      <w:pPr>
        <w:pStyle w:val="TableofFigures"/>
        <w:tabs>
          <w:tab w:val="right" w:pos="9062"/>
        </w:tabs>
        <w:rPr>
          <w:rFonts w:asciiTheme="minorHAnsi" w:eastAsiaTheme="minorEastAsia" w:hAnsiTheme="minorHAnsi" w:cstheme="minorBidi"/>
          <w:noProof/>
          <w:sz w:val="22"/>
        </w:rPr>
      </w:pPr>
      <w:hyperlink w:anchor="_Toc284530528" w:history="1">
        <w:r w:rsidR="003D6701" w:rsidRPr="0021363E">
          <w:rPr>
            <w:rStyle w:val="Hyperlink"/>
            <w:noProof/>
            <w:lang w:val="fr-FR"/>
          </w:rPr>
          <w:t>Tableau 17 : Principales caractéristiques des récents programmes de coupons alimentaires</w:t>
        </w:r>
        <w:r w:rsidR="003D6701">
          <w:rPr>
            <w:noProof/>
            <w:webHidden/>
          </w:rPr>
          <w:tab/>
        </w:r>
        <w:r>
          <w:rPr>
            <w:noProof/>
            <w:webHidden/>
          </w:rPr>
          <w:fldChar w:fldCharType="begin"/>
        </w:r>
        <w:r w:rsidR="003D6701">
          <w:rPr>
            <w:noProof/>
            <w:webHidden/>
          </w:rPr>
          <w:instrText xml:space="preserve"> PAGEREF _Toc284530528 \h </w:instrText>
        </w:r>
        <w:r>
          <w:rPr>
            <w:noProof/>
            <w:webHidden/>
          </w:rPr>
        </w:r>
        <w:r>
          <w:rPr>
            <w:noProof/>
            <w:webHidden/>
          </w:rPr>
          <w:fldChar w:fldCharType="separate"/>
        </w:r>
        <w:r w:rsidR="00EF56B2">
          <w:rPr>
            <w:noProof/>
            <w:webHidden/>
          </w:rPr>
          <w:t>65</w:t>
        </w:r>
        <w:r>
          <w:rPr>
            <w:noProof/>
            <w:webHidden/>
          </w:rPr>
          <w:fldChar w:fldCharType="end"/>
        </w:r>
      </w:hyperlink>
    </w:p>
    <w:p w:rsidR="003D6701" w:rsidRDefault="00725419" w:rsidP="00E132CD">
      <w:pPr>
        <w:pStyle w:val="TOC7"/>
        <w:rPr>
          <w:rFonts w:asciiTheme="minorHAnsi" w:eastAsiaTheme="minorEastAsia" w:hAnsiTheme="minorHAnsi" w:cstheme="minorBidi"/>
        </w:rPr>
      </w:pPr>
      <w:hyperlink w:anchor="_Toc284530529" w:history="1">
        <w:r w:rsidR="003D6701" w:rsidRPr="0021363E">
          <w:rPr>
            <w:rStyle w:val="Hyperlink"/>
            <w:lang w:val="fr-FR"/>
          </w:rPr>
          <w:t>Tableau 18 : Stock d’intervention, situation au 31 décembre 2008</w:t>
        </w:r>
        <w:r w:rsidR="003D6701">
          <w:rPr>
            <w:webHidden/>
          </w:rPr>
          <w:tab/>
        </w:r>
        <w:r>
          <w:rPr>
            <w:webHidden/>
          </w:rPr>
          <w:fldChar w:fldCharType="begin"/>
        </w:r>
        <w:r w:rsidR="003D6701">
          <w:rPr>
            <w:webHidden/>
          </w:rPr>
          <w:instrText xml:space="preserve"> PAGEREF _Toc284530529 \h </w:instrText>
        </w:r>
        <w:r>
          <w:rPr>
            <w:webHidden/>
          </w:rPr>
        </w:r>
        <w:r>
          <w:rPr>
            <w:webHidden/>
          </w:rPr>
          <w:fldChar w:fldCharType="separate"/>
        </w:r>
        <w:r w:rsidR="00EF56B2">
          <w:rPr>
            <w:webHidden/>
          </w:rPr>
          <w:t>69</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30" w:history="1">
        <w:r w:rsidR="003D6701" w:rsidRPr="0021363E">
          <w:rPr>
            <w:rStyle w:val="Hyperlink"/>
            <w:lang w:val="fr-FR"/>
          </w:rPr>
          <w:t>Tableau 19 : Stock national de sécurité alimentaire, situation au 31 décembre 2008</w:t>
        </w:r>
        <w:r w:rsidR="003D6701">
          <w:rPr>
            <w:webHidden/>
          </w:rPr>
          <w:tab/>
        </w:r>
        <w:r>
          <w:rPr>
            <w:webHidden/>
          </w:rPr>
          <w:fldChar w:fldCharType="begin"/>
        </w:r>
        <w:r w:rsidR="003D6701">
          <w:rPr>
            <w:webHidden/>
          </w:rPr>
          <w:instrText xml:space="preserve"> PAGEREF _Toc284530530 \h </w:instrText>
        </w:r>
        <w:r>
          <w:rPr>
            <w:webHidden/>
          </w:rPr>
        </w:r>
        <w:r>
          <w:rPr>
            <w:webHidden/>
          </w:rPr>
          <w:fldChar w:fldCharType="separate"/>
        </w:r>
        <w:r w:rsidR="00EF56B2">
          <w:rPr>
            <w:webHidden/>
          </w:rPr>
          <w:t>69</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31" w:history="1">
        <w:r w:rsidR="003D6701" w:rsidRPr="0021363E">
          <w:rPr>
            <w:rStyle w:val="Hyperlink"/>
            <w:lang w:val="fr-FR"/>
          </w:rPr>
          <w:t>Tableau 20 : Nombre indicatif des bénéficiaires potentiels des stocks nationaux de sécurité</w:t>
        </w:r>
        <w:r w:rsidR="003D6701">
          <w:rPr>
            <w:webHidden/>
          </w:rPr>
          <w:tab/>
        </w:r>
        <w:r>
          <w:rPr>
            <w:webHidden/>
          </w:rPr>
          <w:fldChar w:fldCharType="begin"/>
        </w:r>
        <w:r w:rsidR="003D6701">
          <w:rPr>
            <w:webHidden/>
          </w:rPr>
          <w:instrText xml:space="preserve"> PAGEREF _Toc284530531 \h </w:instrText>
        </w:r>
        <w:r>
          <w:rPr>
            <w:webHidden/>
          </w:rPr>
        </w:r>
        <w:r>
          <w:rPr>
            <w:webHidden/>
          </w:rPr>
          <w:fldChar w:fldCharType="separate"/>
        </w:r>
        <w:r w:rsidR="00EF56B2">
          <w:rPr>
            <w:webHidden/>
          </w:rPr>
          <w:t>70</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32" w:history="1">
        <w:r w:rsidR="003D6701" w:rsidRPr="0021363E">
          <w:rPr>
            <w:rStyle w:val="Hyperlink"/>
            <w:lang w:val="fr-FR"/>
          </w:rPr>
          <w:t>Tableau 21 : Assistance en céréales du CONASUR aux populations vulnérables</w:t>
        </w:r>
        <w:r w:rsidR="003D6701">
          <w:rPr>
            <w:webHidden/>
          </w:rPr>
          <w:tab/>
        </w:r>
        <w:r>
          <w:rPr>
            <w:webHidden/>
          </w:rPr>
          <w:fldChar w:fldCharType="begin"/>
        </w:r>
        <w:r w:rsidR="003D6701">
          <w:rPr>
            <w:webHidden/>
          </w:rPr>
          <w:instrText xml:space="preserve"> PAGEREF _Toc284530532 \h </w:instrText>
        </w:r>
        <w:r>
          <w:rPr>
            <w:webHidden/>
          </w:rPr>
        </w:r>
        <w:r>
          <w:rPr>
            <w:webHidden/>
          </w:rPr>
          <w:fldChar w:fldCharType="separate"/>
        </w:r>
        <w:r w:rsidR="00EF56B2">
          <w:rPr>
            <w:webHidden/>
          </w:rPr>
          <w:t>71</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33" w:history="1">
        <w:r w:rsidR="003D6701" w:rsidRPr="0021363E">
          <w:rPr>
            <w:rStyle w:val="Hyperlink"/>
            <w:lang w:val="fr-FR"/>
          </w:rPr>
          <w:t>Tableau 22 : Assistance en céréales du CONASUR aux personnes affectées par une catastrophe</w:t>
        </w:r>
        <w:r w:rsidR="003D6701">
          <w:rPr>
            <w:webHidden/>
          </w:rPr>
          <w:tab/>
        </w:r>
        <w:r>
          <w:rPr>
            <w:webHidden/>
          </w:rPr>
          <w:fldChar w:fldCharType="begin"/>
        </w:r>
        <w:r w:rsidR="003D6701">
          <w:rPr>
            <w:webHidden/>
          </w:rPr>
          <w:instrText xml:space="preserve"> PAGEREF _Toc284530533 \h </w:instrText>
        </w:r>
        <w:r>
          <w:rPr>
            <w:webHidden/>
          </w:rPr>
        </w:r>
        <w:r>
          <w:rPr>
            <w:webHidden/>
          </w:rPr>
          <w:fldChar w:fldCharType="separate"/>
        </w:r>
        <w:r w:rsidR="00EF56B2">
          <w:rPr>
            <w:webHidden/>
          </w:rPr>
          <w:t>71</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34" w:history="1">
        <w:r w:rsidR="003D6701" w:rsidRPr="0021363E">
          <w:rPr>
            <w:rStyle w:val="Hyperlink"/>
            <w:lang w:val="fr-FR"/>
          </w:rPr>
          <w:t>Tableau 23 : Nombre indicatif des bénéficiaires des distributions ciblées de vivres, 2006-2010</w:t>
        </w:r>
        <w:r w:rsidR="003D6701">
          <w:rPr>
            <w:webHidden/>
          </w:rPr>
          <w:tab/>
        </w:r>
        <w:r>
          <w:rPr>
            <w:webHidden/>
          </w:rPr>
          <w:fldChar w:fldCharType="begin"/>
        </w:r>
        <w:r w:rsidR="003D6701">
          <w:rPr>
            <w:webHidden/>
          </w:rPr>
          <w:instrText xml:space="preserve"> PAGEREF _Toc284530534 \h </w:instrText>
        </w:r>
        <w:r>
          <w:rPr>
            <w:webHidden/>
          </w:rPr>
        </w:r>
        <w:r>
          <w:rPr>
            <w:webHidden/>
          </w:rPr>
          <w:fldChar w:fldCharType="separate"/>
        </w:r>
        <w:r w:rsidR="00EF56B2">
          <w:rPr>
            <w:webHidden/>
          </w:rPr>
          <w:t>72</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35" w:history="1">
        <w:r w:rsidR="003D6701" w:rsidRPr="0021363E">
          <w:rPr>
            <w:rStyle w:val="Hyperlink"/>
            <w:lang w:val="fr-FR"/>
          </w:rPr>
          <w:t>Tableau 24 : Principales caractéristiques des programmes de cantines scolaires dans les écoles primaires</w:t>
        </w:r>
        <w:r w:rsidR="003D6701">
          <w:rPr>
            <w:webHidden/>
          </w:rPr>
          <w:tab/>
        </w:r>
        <w:r>
          <w:rPr>
            <w:webHidden/>
          </w:rPr>
          <w:fldChar w:fldCharType="begin"/>
        </w:r>
        <w:r w:rsidR="003D6701">
          <w:rPr>
            <w:webHidden/>
          </w:rPr>
          <w:instrText xml:space="preserve"> PAGEREF _Toc284530535 \h </w:instrText>
        </w:r>
        <w:r>
          <w:rPr>
            <w:webHidden/>
          </w:rPr>
        </w:r>
        <w:r>
          <w:rPr>
            <w:webHidden/>
          </w:rPr>
          <w:fldChar w:fldCharType="separate"/>
        </w:r>
        <w:r w:rsidR="00EF56B2">
          <w:rPr>
            <w:webHidden/>
          </w:rPr>
          <w:t>76</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36" w:history="1">
        <w:r w:rsidR="003D6701" w:rsidRPr="0021363E">
          <w:rPr>
            <w:rStyle w:val="Hyperlink"/>
            <w:lang w:val="fr-FR"/>
          </w:rPr>
          <w:t>Tableau 25 : Implication pour les prix des exonérations sur les produits de première nécessité ciblés</w:t>
        </w:r>
        <w:r w:rsidR="003D6701">
          <w:rPr>
            <w:webHidden/>
          </w:rPr>
          <w:tab/>
        </w:r>
        <w:r>
          <w:rPr>
            <w:webHidden/>
          </w:rPr>
          <w:fldChar w:fldCharType="begin"/>
        </w:r>
        <w:r w:rsidR="003D6701">
          <w:rPr>
            <w:webHidden/>
          </w:rPr>
          <w:instrText xml:space="preserve"> PAGEREF _Toc284530536 \h </w:instrText>
        </w:r>
        <w:r>
          <w:rPr>
            <w:webHidden/>
          </w:rPr>
        </w:r>
        <w:r>
          <w:rPr>
            <w:webHidden/>
          </w:rPr>
          <w:fldChar w:fldCharType="separate"/>
        </w:r>
        <w:r w:rsidR="00EF56B2">
          <w:rPr>
            <w:webHidden/>
          </w:rPr>
          <w:t>79</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37" w:history="1">
        <w:r w:rsidR="003D6701" w:rsidRPr="0021363E">
          <w:rPr>
            <w:rStyle w:val="Hyperlink"/>
            <w:b/>
            <w:lang w:val="fr-FR"/>
          </w:rPr>
          <w:t>Tableau 26</w:t>
        </w:r>
        <w:r w:rsidR="003D6701" w:rsidRPr="0021363E">
          <w:rPr>
            <w:rStyle w:val="Hyperlink"/>
            <w:b/>
            <w:bCs/>
            <w:lang w:val="fr-FR"/>
          </w:rPr>
          <w:t> : Implications des exemptions sur les prix des carburants ciblés, 2008</w:t>
        </w:r>
        <w:r w:rsidR="003D6701">
          <w:rPr>
            <w:webHidden/>
          </w:rPr>
          <w:tab/>
        </w:r>
        <w:r>
          <w:rPr>
            <w:webHidden/>
          </w:rPr>
          <w:fldChar w:fldCharType="begin"/>
        </w:r>
        <w:r w:rsidR="003D6701">
          <w:rPr>
            <w:webHidden/>
          </w:rPr>
          <w:instrText xml:space="preserve"> PAGEREF _Toc284530537 \h </w:instrText>
        </w:r>
        <w:r>
          <w:rPr>
            <w:webHidden/>
          </w:rPr>
        </w:r>
        <w:r>
          <w:rPr>
            <w:webHidden/>
          </w:rPr>
          <w:fldChar w:fldCharType="separate"/>
        </w:r>
        <w:r w:rsidR="00EF56B2">
          <w:rPr>
            <w:webHidden/>
          </w:rPr>
          <w:t>80</w:t>
        </w:r>
        <w:r>
          <w:rPr>
            <w:webHidden/>
          </w:rPr>
          <w:fldChar w:fldCharType="end"/>
        </w:r>
      </w:hyperlink>
    </w:p>
    <w:p w:rsidR="003D6701" w:rsidRDefault="00725419" w:rsidP="00E132CD">
      <w:pPr>
        <w:pStyle w:val="TOC7"/>
        <w:rPr>
          <w:rFonts w:asciiTheme="minorHAnsi" w:eastAsiaTheme="minorEastAsia" w:hAnsiTheme="minorHAnsi" w:cstheme="minorBidi"/>
        </w:rPr>
      </w:pPr>
      <w:hyperlink w:anchor="_Toc284530538" w:history="1">
        <w:r w:rsidR="003D6701" w:rsidRPr="0021363E">
          <w:rPr>
            <w:rStyle w:val="Hyperlink"/>
            <w:lang w:val="fr-FR"/>
          </w:rPr>
          <w:t>Tableau 27 : Programmes Vivres contre infrastructure du PAM (bénéficiaires et budgets), 2006-2010</w:t>
        </w:r>
        <w:r w:rsidR="003D6701">
          <w:rPr>
            <w:webHidden/>
          </w:rPr>
          <w:tab/>
        </w:r>
        <w:r>
          <w:rPr>
            <w:webHidden/>
          </w:rPr>
          <w:fldChar w:fldCharType="begin"/>
        </w:r>
        <w:r w:rsidR="003D6701">
          <w:rPr>
            <w:webHidden/>
          </w:rPr>
          <w:instrText xml:space="preserve"> PAGEREF _Toc284530538 \h </w:instrText>
        </w:r>
        <w:r>
          <w:rPr>
            <w:webHidden/>
          </w:rPr>
        </w:r>
        <w:r>
          <w:rPr>
            <w:webHidden/>
          </w:rPr>
          <w:fldChar w:fldCharType="separate"/>
        </w:r>
        <w:r w:rsidR="00EF56B2">
          <w:rPr>
            <w:webHidden/>
          </w:rPr>
          <w:t>83</w:t>
        </w:r>
        <w:r>
          <w:rPr>
            <w:webHidden/>
          </w:rPr>
          <w:fldChar w:fldCharType="end"/>
        </w:r>
      </w:hyperlink>
    </w:p>
    <w:p w:rsidR="00C404A8" w:rsidRPr="00577EB1" w:rsidRDefault="00725419" w:rsidP="003203FB">
      <w:pPr>
        <w:spacing w:after="0"/>
        <w:ind w:left="1134" w:hanging="1134"/>
        <w:jc w:val="left"/>
        <w:rPr>
          <w:b/>
          <w:u w:val="single"/>
          <w:lang w:val="fr-FR"/>
        </w:rPr>
      </w:pPr>
      <w:r w:rsidRPr="0088426E">
        <w:rPr>
          <w:sz w:val="22"/>
          <w:szCs w:val="20"/>
          <w:highlight w:val="yellow"/>
          <w:lang w:val="fr-FR"/>
        </w:rPr>
        <w:fldChar w:fldCharType="end"/>
      </w:r>
      <w:r w:rsidR="00C404A8" w:rsidRPr="00577EB1">
        <w:rPr>
          <w:b/>
          <w:u w:val="single"/>
          <w:lang w:val="fr-FR"/>
        </w:rPr>
        <w:t>List</w:t>
      </w:r>
      <w:r w:rsidR="0065207E" w:rsidRPr="00577EB1">
        <w:rPr>
          <w:b/>
          <w:u w:val="single"/>
          <w:lang w:val="fr-FR"/>
        </w:rPr>
        <w:t>e des f</w:t>
      </w:r>
      <w:r w:rsidR="00C404A8" w:rsidRPr="00577EB1">
        <w:rPr>
          <w:b/>
          <w:u w:val="single"/>
          <w:lang w:val="fr-FR"/>
        </w:rPr>
        <w:t>igures</w:t>
      </w:r>
    </w:p>
    <w:p w:rsidR="00847527" w:rsidRDefault="00725419">
      <w:pPr>
        <w:pStyle w:val="TOC8"/>
        <w:rPr>
          <w:rFonts w:asciiTheme="minorHAnsi" w:eastAsiaTheme="minorEastAsia" w:hAnsiTheme="minorHAnsi" w:cstheme="minorBidi"/>
          <w:lang w:eastAsia="fr-FR"/>
        </w:rPr>
      </w:pPr>
      <w:r w:rsidRPr="00725419">
        <w:rPr>
          <w:highlight w:val="yellow"/>
        </w:rPr>
        <w:fldChar w:fldCharType="begin"/>
      </w:r>
      <w:r w:rsidR="0008523C" w:rsidRPr="00577EB1">
        <w:rPr>
          <w:highlight w:val="yellow"/>
        </w:rPr>
        <w:instrText xml:space="preserve"> TOC \o "8-8" \h \z </w:instrText>
      </w:r>
      <w:r w:rsidRPr="00725419">
        <w:rPr>
          <w:highlight w:val="yellow"/>
        </w:rPr>
        <w:fldChar w:fldCharType="separate"/>
      </w:r>
      <w:hyperlink w:anchor="_Toc269722130" w:history="1">
        <w:r w:rsidR="00847527" w:rsidRPr="00D8381C">
          <w:rPr>
            <w:rStyle w:val="Hyperlink"/>
          </w:rPr>
          <w:t>Figure 1 : Place des filets sociaux au sein des politiques de développement élargies</w:t>
        </w:r>
        <w:r w:rsidR="00847527">
          <w:rPr>
            <w:webHidden/>
          </w:rPr>
          <w:tab/>
        </w:r>
        <w:r>
          <w:rPr>
            <w:webHidden/>
          </w:rPr>
          <w:fldChar w:fldCharType="begin"/>
        </w:r>
        <w:r w:rsidR="00847527">
          <w:rPr>
            <w:webHidden/>
          </w:rPr>
          <w:instrText xml:space="preserve"> PAGEREF _Toc269722130 \h </w:instrText>
        </w:r>
        <w:r>
          <w:rPr>
            <w:webHidden/>
          </w:rPr>
        </w:r>
        <w:r>
          <w:rPr>
            <w:webHidden/>
          </w:rPr>
          <w:fldChar w:fldCharType="separate"/>
        </w:r>
        <w:r w:rsidR="00EF56B2">
          <w:rPr>
            <w:webHidden/>
          </w:rPr>
          <w:t>5</w:t>
        </w:r>
        <w:r>
          <w:rPr>
            <w:webHidden/>
          </w:rPr>
          <w:fldChar w:fldCharType="end"/>
        </w:r>
      </w:hyperlink>
    </w:p>
    <w:p w:rsidR="00847527" w:rsidRDefault="00725419">
      <w:pPr>
        <w:pStyle w:val="TOC8"/>
        <w:rPr>
          <w:rFonts w:asciiTheme="minorHAnsi" w:eastAsiaTheme="minorEastAsia" w:hAnsiTheme="minorHAnsi" w:cstheme="minorBidi"/>
          <w:lang w:eastAsia="fr-FR"/>
        </w:rPr>
      </w:pPr>
      <w:hyperlink w:anchor="_Toc269722131" w:history="1">
        <w:r w:rsidR="00847527" w:rsidRPr="00D8381C">
          <w:rPr>
            <w:rStyle w:val="Hyperlink"/>
          </w:rPr>
          <w:t>Figure 2 : Typologie régionale du Burkina Faso</w:t>
        </w:r>
        <w:r w:rsidR="00847527">
          <w:rPr>
            <w:webHidden/>
          </w:rPr>
          <w:tab/>
        </w:r>
        <w:r>
          <w:rPr>
            <w:webHidden/>
          </w:rPr>
          <w:fldChar w:fldCharType="begin"/>
        </w:r>
        <w:r w:rsidR="00847527">
          <w:rPr>
            <w:webHidden/>
          </w:rPr>
          <w:instrText xml:space="preserve"> PAGEREF _Toc269722131 \h </w:instrText>
        </w:r>
        <w:r>
          <w:rPr>
            <w:webHidden/>
          </w:rPr>
        </w:r>
        <w:r>
          <w:rPr>
            <w:webHidden/>
          </w:rPr>
          <w:fldChar w:fldCharType="separate"/>
        </w:r>
        <w:r w:rsidR="00EF56B2">
          <w:rPr>
            <w:webHidden/>
          </w:rPr>
          <w:t>15</w:t>
        </w:r>
        <w:r>
          <w:rPr>
            <w:webHidden/>
          </w:rPr>
          <w:fldChar w:fldCharType="end"/>
        </w:r>
      </w:hyperlink>
    </w:p>
    <w:p w:rsidR="00847527" w:rsidRDefault="00725419">
      <w:pPr>
        <w:pStyle w:val="TOC8"/>
        <w:rPr>
          <w:rFonts w:asciiTheme="minorHAnsi" w:eastAsiaTheme="minorEastAsia" w:hAnsiTheme="minorHAnsi" w:cstheme="minorBidi"/>
          <w:lang w:eastAsia="fr-FR"/>
        </w:rPr>
      </w:pPr>
      <w:hyperlink w:anchor="_Toc269722132" w:history="1">
        <w:r w:rsidR="00847527" w:rsidRPr="00D8381C">
          <w:rPr>
            <w:rStyle w:val="Hyperlink"/>
          </w:rPr>
          <w:t>Figure 3 : Typologie des ménages au Burkina Faso (nationale)</w:t>
        </w:r>
        <w:r w:rsidR="00847527">
          <w:rPr>
            <w:webHidden/>
          </w:rPr>
          <w:tab/>
        </w:r>
        <w:r>
          <w:rPr>
            <w:webHidden/>
          </w:rPr>
          <w:fldChar w:fldCharType="begin"/>
        </w:r>
        <w:r w:rsidR="00847527">
          <w:rPr>
            <w:webHidden/>
          </w:rPr>
          <w:instrText xml:space="preserve"> PAGEREF _Toc269722132 \h </w:instrText>
        </w:r>
        <w:r>
          <w:rPr>
            <w:webHidden/>
          </w:rPr>
        </w:r>
        <w:r>
          <w:rPr>
            <w:webHidden/>
          </w:rPr>
          <w:fldChar w:fldCharType="separate"/>
        </w:r>
        <w:r w:rsidR="00EF56B2">
          <w:rPr>
            <w:webHidden/>
          </w:rPr>
          <w:t>18</w:t>
        </w:r>
        <w:r>
          <w:rPr>
            <w:webHidden/>
          </w:rPr>
          <w:fldChar w:fldCharType="end"/>
        </w:r>
      </w:hyperlink>
    </w:p>
    <w:p w:rsidR="00847527" w:rsidRDefault="00725419">
      <w:pPr>
        <w:pStyle w:val="TOC8"/>
        <w:rPr>
          <w:rFonts w:asciiTheme="minorHAnsi" w:eastAsiaTheme="minorEastAsia" w:hAnsiTheme="minorHAnsi" w:cstheme="minorBidi"/>
          <w:lang w:eastAsia="fr-FR"/>
        </w:rPr>
      </w:pPr>
      <w:hyperlink w:anchor="_Toc269722133" w:history="1">
        <w:r w:rsidR="00847527" w:rsidRPr="00D8381C">
          <w:rPr>
            <w:rStyle w:val="Hyperlink"/>
          </w:rPr>
          <w:t>Figure 4 : Typologie des ménages au Burkina Faso (zones rurales/urbaines)</w:t>
        </w:r>
        <w:r w:rsidR="00847527">
          <w:rPr>
            <w:webHidden/>
          </w:rPr>
          <w:tab/>
        </w:r>
        <w:r>
          <w:rPr>
            <w:webHidden/>
          </w:rPr>
          <w:fldChar w:fldCharType="begin"/>
        </w:r>
        <w:r w:rsidR="00847527">
          <w:rPr>
            <w:webHidden/>
          </w:rPr>
          <w:instrText xml:space="preserve"> PAGEREF _Toc269722133 \h </w:instrText>
        </w:r>
        <w:r>
          <w:rPr>
            <w:webHidden/>
          </w:rPr>
        </w:r>
        <w:r>
          <w:rPr>
            <w:webHidden/>
          </w:rPr>
          <w:fldChar w:fldCharType="separate"/>
        </w:r>
        <w:r w:rsidR="00EF56B2">
          <w:rPr>
            <w:webHidden/>
          </w:rPr>
          <w:t>18</w:t>
        </w:r>
        <w:r>
          <w:rPr>
            <w:webHidden/>
          </w:rPr>
          <w:fldChar w:fldCharType="end"/>
        </w:r>
      </w:hyperlink>
    </w:p>
    <w:p w:rsidR="00847527" w:rsidRDefault="00725419">
      <w:pPr>
        <w:pStyle w:val="TOC8"/>
        <w:rPr>
          <w:rFonts w:asciiTheme="minorHAnsi" w:eastAsiaTheme="minorEastAsia" w:hAnsiTheme="minorHAnsi" w:cstheme="minorBidi"/>
          <w:lang w:eastAsia="fr-FR"/>
        </w:rPr>
      </w:pPr>
      <w:hyperlink w:anchor="_Toc269722134" w:history="1">
        <w:r w:rsidR="00847527" w:rsidRPr="00D8381C">
          <w:rPr>
            <w:rStyle w:val="Hyperlink"/>
          </w:rPr>
          <w:t>Figure 5 : Les femmes veuves ou qui l’ont été ont un indice de masse corporelle inférieur à celui des femmes ayant un autre état matrimonial</w:t>
        </w:r>
        <w:r w:rsidR="00847527">
          <w:rPr>
            <w:webHidden/>
          </w:rPr>
          <w:tab/>
        </w:r>
        <w:r>
          <w:rPr>
            <w:webHidden/>
          </w:rPr>
          <w:fldChar w:fldCharType="begin"/>
        </w:r>
        <w:r w:rsidR="00847527">
          <w:rPr>
            <w:webHidden/>
          </w:rPr>
          <w:instrText xml:space="preserve"> PAGEREF _Toc269722134 \h </w:instrText>
        </w:r>
        <w:r>
          <w:rPr>
            <w:webHidden/>
          </w:rPr>
        </w:r>
        <w:r>
          <w:rPr>
            <w:webHidden/>
          </w:rPr>
          <w:fldChar w:fldCharType="separate"/>
        </w:r>
        <w:r w:rsidR="00EF56B2">
          <w:rPr>
            <w:webHidden/>
          </w:rPr>
          <w:t>21</w:t>
        </w:r>
        <w:r>
          <w:rPr>
            <w:webHidden/>
          </w:rPr>
          <w:fldChar w:fldCharType="end"/>
        </w:r>
      </w:hyperlink>
    </w:p>
    <w:p w:rsidR="00847527" w:rsidRDefault="00725419">
      <w:pPr>
        <w:pStyle w:val="TOC8"/>
        <w:rPr>
          <w:rFonts w:asciiTheme="minorHAnsi" w:eastAsiaTheme="minorEastAsia" w:hAnsiTheme="minorHAnsi" w:cstheme="minorBidi"/>
          <w:lang w:eastAsia="fr-FR"/>
        </w:rPr>
      </w:pPr>
      <w:hyperlink w:anchor="_Toc269722135" w:history="1">
        <w:r w:rsidR="00847527" w:rsidRPr="00D8381C">
          <w:rPr>
            <w:rStyle w:val="Hyperlink"/>
          </w:rPr>
          <w:t>Figure 6 : En milieu rural, les enfants des veuves ou des femmes qui l’ont été ont moins de chances d'être scolarisés</w:t>
        </w:r>
        <w:r w:rsidR="00847527">
          <w:rPr>
            <w:webHidden/>
          </w:rPr>
          <w:tab/>
        </w:r>
        <w:r>
          <w:rPr>
            <w:webHidden/>
          </w:rPr>
          <w:fldChar w:fldCharType="begin"/>
        </w:r>
        <w:r w:rsidR="00847527">
          <w:rPr>
            <w:webHidden/>
          </w:rPr>
          <w:instrText xml:space="preserve"> PAGEREF _Toc269722135 \h </w:instrText>
        </w:r>
        <w:r>
          <w:rPr>
            <w:webHidden/>
          </w:rPr>
        </w:r>
        <w:r>
          <w:rPr>
            <w:webHidden/>
          </w:rPr>
          <w:fldChar w:fldCharType="separate"/>
        </w:r>
        <w:r w:rsidR="00EF56B2">
          <w:rPr>
            <w:webHidden/>
          </w:rPr>
          <w:t>22</w:t>
        </w:r>
        <w:r>
          <w:rPr>
            <w:webHidden/>
          </w:rPr>
          <w:fldChar w:fldCharType="end"/>
        </w:r>
      </w:hyperlink>
    </w:p>
    <w:p w:rsidR="00847527" w:rsidRDefault="00725419">
      <w:pPr>
        <w:pStyle w:val="TOC8"/>
        <w:rPr>
          <w:rFonts w:asciiTheme="minorHAnsi" w:eastAsiaTheme="minorEastAsia" w:hAnsiTheme="minorHAnsi" w:cstheme="minorBidi"/>
          <w:lang w:eastAsia="fr-FR"/>
        </w:rPr>
      </w:pPr>
      <w:hyperlink w:anchor="_Toc269722136" w:history="1">
        <w:r w:rsidR="00847527" w:rsidRPr="00D8381C">
          <w:rPr>
            <w:rStyle w:val="Hyperlink"/>
          </w:rPr>
          <w:t>Figure 7 : Dispositif institutionnel du projet de régime national d’assurance maladie</w:t>
        </w:r>
        <w:r w:rsidR="00847527">
          <w:rPr>
            <w:webHidden/>
          </w:rPr>
          <w:tab/>
        </w:r>
        <w:r>
          <w:rPr>
            <w:webHidden/>
          </w:rPr>
          <w:fldChar w:fldCharType="begin"/>
        </w:r>
        <w:r w:rsidR="00847527">
          <w:rPr>
            <w:webHidden/>
          </w:rPr>
          <w:instrText xml:space="preserve"> PAGEREF _Toc269722136 \h </w:instrText>
        </w:r>
        <w:r>
          <w:rPr>
            <w:webHidden/>
          </w:rPr>
        </w:r>
        <w:r>
          <w:rPr>
            <w:webHidden/>
          </w:rPr>
          <w:fldChar w:fldCharType="separate"/>
        </w:r>
        <w:r w:rsidR="00EF56B2">
          <w:rPr>
            <w:webHidden/>
          </w:rPr>
          <w:t>32</w:t>
        </w:r>
        <w:r>
          <w:rPr>
            <w:webHidden/>
          </w:rPr>
          <w:fldChar w:fldCharType="end"/>
        </w:r>
      </w:hyperlink>
    </w:p>
    <w:p w:rsidR="00847527" w:rsidRDefault="00725419">
      <w:pPr>
        <w:pStyle w:val="TOC8"/>
        <w:rPr>
          <w:rFonts w:asciiTheme="minorHAnsi" w:eastAsiaTheme="minorEastAsia" w:hAnsiTheme="minorHAnsi" w:cstheme="minorBidi"/>
          <w:lang w:eastAsia="fr-FR"/>
        </w:rPr>
      </w:pPr>
      <w:hyperlink w:anchor="_Toc269722137" w:history="1">
        <w:r w:rsidR="00847527" w:rsidRPr="00D8381C">
          <w:rPr>
            <w:rStyle w:val="Hyperlink"/>
          </w:rPr>
          <w:t xml:space="preserve">Figure 8 : Évolution des dépenses dans les filets sociaux </w:t>
        </w:r>
        <w:r w:rsidR="00847527" w:rsidRPr="00D8381C">
          <w:rPr>
            <w:rStyle w:val="Hyperlink"/>
            <w:iCs/>
          </w:rPr>
          <w:t>au cours du</w:t>
        </w:r>
        <w:r w:rsidR="00847527" w:rsidRPr="00D8381C">
          <w:rPr>
            <w:rStyle w:val="Hyperlink"/>
          </w:rPr>
          <w:t xml:space="preserve"> temps, 2005-2009</w:t>
        </w:r>
        <w:r w:rsidR="00847527">
          <w:rPr>
            <w:webHidden/>
          </w:rPr>
          <w:tab/>
        </w:r>
        <w:r>
          <w:rPr>
            <w:webHidden/>
          </w:rPr>
          <w:fldChar w:fldCharType="begin"/>
        </w:r>
        <w:r w:rsidR="00847527">
          <w:rPr>
            <w:webHidden/>
          </w:rPr>
          <w:instrText xml:space="preserve"> PAGEREF _Toc269722137 \h </w:instrText>
        </w:r>
        <w:r>
          <w:rPr>
            <w:webHidden/>
          </w:rPr>
        </w:r>
        <w:r>
          <w:rPr>
            <w:webHidden/>
          </w:rPr>
          <w:fldChar w:fldCharType="separate"/>
        </w:r>
        <w:r w:rsidR="00EF56B2">
          <w:rPr>
            <w:webHidden/>
          </w:rPr>
          <w:t>48</w:t>
        </w:r>
        <w:r>
          <w:rPr>
            <w:webHidden/>
          </w:rPr>
          <w:fldChar w:fldCharType="end"/>
        </w:r>
      </w:hyperlink>
    </w:p>
    <w:p w:rsidR="00847527" w:rsidRDefault="00725419">
      <w:pPr>
        <w:pStyle w:val="TOC8"/>
        <w:rPr>
          <w:rFonts w:asciiTheme="minorHAnsi" w:eastAsiaTheme="minorEastAsia" w:hAnsiTheme="minorHAnsi" w:cstheme="minorBidi"/>
          <w:lang w:eastAsia="fr-FR"/>
        </w:rPr>
      </w:pPr>
      <w:hyperlink w:anchor="_Toc269722138" w:history="1">
        <w:r w:rsidR="00847527" w:rsidRPr="00D8381C">
          <w:rPr>
            <w:rStyle w:val="Hyperlink"/>
          </w:rPr>
          <w:t>Figure 9 : Part de l’enseignement fondamental, de la santé et des filets sociaux dans le total des dépenses financées par des ressources intérieures et extérieures</w:t>
        </w:r>
        <w:r w:rsidR="00847527">
          <w:rPr>
            <w:webHidden/>
          </w:rPr>
          <w:tab/>
        </w:r>
        <w:r>
          <w:rPr>
            <w:webHidden/>
          </w:rPr>
          <w:fldChar w:fldCharType="begin"/>
        </w:r>
        <w:r w:rsidR="00847527">
          <w:rPr>
            <w:webHidden/>
          </w:rPr>
          <w:instrText xml:space="preserve"> PAGEREF _Toc269722138 \h </w:instrText>
        </w:r>
        <w:r>
          <w:rPr>
            <w:webHidden/>
          </w:rPr>
        </w:r>
        <w:r>
          <w:rPr>
            <w:webHidden/>
          </w:rPr>
          <w:fldChar w:fldCharType="separate"/>
        </w:r>
        <w:r w:rsidR="00EF56B2">
          <w:rPr>
            <w:webHidden/>
          </w:rPr>
          <w:t>50</w:t>
        </w:r>
        <w:r>
          <w:rPr>
            <w:webHidden/>
          </w:rPr>
          <w:fldChar w:fldCharType="end"/>
        </w:r>
      </w:hyperlink>
    </w:p>
    <w:p w:rsidR="00847527" w:rsidRDefault="00725419">
      <w:pPr>
        <w:pStyle w:val="TOC8"/>
        <w:rPr>
          <w:rFonts w:asciiTheme="minorHAnsi" w:eastAsiaTheme="minorEastAsia" w:hAnsiTheme="minorHAnsi" w:cstheme="minorBidi"/>
          <w:lang w:eastAsia="fr-FR"/>
        </w:rPr>
      </w:pPr>
      <w:hyperlink w:anchor="_Toc269722139" w:history="1">
        <w:r w:rsidR="00847527" w:rsidRPr="00D8381C">
          <w:rPr>
            <w:rStyle w:val="Hyperlink"/>
          </w:rPr>
          <w:t>Figure 10 : Nombre indicatif des bénéficiaires des programmes de filets sociaux par an, 2009</w:t>
        </w:r>
        <w:r w:rsidR="00847527">
          <w:rPr>
            <w:webHidden/>
          </w:rPr>
          <w:tab/>
        </w:r>
        <w:r>
          <w:rPr>
            <w:webHidden/>
          </w:rPr>
          <w:fldChar w:fldCharType="begin"/>
        </w:r>
        <w:r w:rsidR="00847527">
          <w:rPr>
            <w:webHidden/>
          </w:rPr>
          <w:instrText xml:space="preserve"> PAGEREF _Toc269722139 \h </w:instrText>
        </w:r>
        <w:r>
          <w:rPr>
            <w:webHidden/>
          </w:rPr>
        </w:r>
        <w:r>
          <w:rPr>
            <w:webHidden/>
          </w:rPr>
          <w:fldChar w:fldCharType="separate"/>
        </w:r>
        <w:r w:rsidR="00EF56B2">
          <w:rPr>
            <w:webHidden/>
          </w:rPr>
          <w:t>53</w:t>
        </w:r>
        <w:r>
          <w:rPr>
            <w:webHidden/>
          </w:rPr>
          <w:fldChar w:fldCharType="end"/>
        </w:r>
      </w:hyperlink>
    </w:p>
    <w:p w:rsidR="00847527" w:rsidRDefault="00725419">
      <w:pPr>
        <w:pStyle w:val="TOC8"/>
        <w:rPr>
          <w:rFonts w:asciiTheme="minorHAnsi" w:eastAsiaTheme="minorEastAsia" w:hAnsiTheme="minorHAnsi" w:cstheme="minorBidi"/>
          <w:lang w:eastAsia="fr-FR"/>
        </w:rPr>
      </w:pPr>
      <w:hyperlink w:anchor="_Toc269722140" w:history="1">
        <w:r w:rsidR="00847527" w:rsidRPr="00D8381C">
          <w:rPr>
            <w:rStyle w:val="Hyperlink"/>
          </w:rPr>
          <w:t>Figure 11 : Répartition des avantages des subventions</w:t>
        </w:r>
        <w:r w:rsidR="00847527">
          <w:rPr>
            <w:webHidden/>
          </w:rPr>
          <w:tab/>
        </w:r>
        <w:r>
          <w:rPr>
            <w:webHidden/>
          </w:rPr>
          <w:fldChar w:fldCharType="begin"/>
        </w:r>
        <w:r w:rsidR="00847527">
          <w:rPr>
            <w:webHidden/>
          </w:rPr>
          <w:instrText xml:space="preserve"> PAGEREF _Toc269722140 \h </w:instrText>
        </w:r>
        <w:r>
          <w:rPr>
            <w:webHidden/>
          </w:rPr>
        </w:r>
        <w:r>
          <w:rPr>
            <w:webHidden/>
          </w:rPr>
          <w:fldChar w:fldCharType="separate"/>
        </w:r>
        <w:r w:rsidR="00EF56B2">
          <w:rPr>
            <w:webHidden/>
          </w:rPr>
          <w:t>80</w:t>
        </w:r>
        <w:r>
          <w:rPr>
            <w:webHidden/>
          </w:rPr>
          <w:fldChar w:fldCharType="end"/>
        </w:r>
      </w:hyperlink>
    </w:p>
    <w:p w:rsidR="00847527" w:rsidRDefault="00725419">
      <w:pPr>
        <w:pStyle w:val="TOC8"/>
        <w:rPr>
          <w:rFonts w:asciiTheme="minorHAnsi" w:eastAsiaTheme="minorEastAsia" w:hAnsiTheme="minorHAnsi" w:cstheme="minorBidi"/>
          <w:lang w:eastAsia="fr-FR"/>
        </w:rPr>
      </w:pPr>
      <w:hyperlink w:anchor="_Toc269722141" w:history="1">
        <w:r w:rsidR="00847527" w:rsidRPr="00D8381C">
          <w:rPr>
            <w:rStyle w:val="Hyperlink"/>
          </w:rPr>
          <w:t>Figure 12 : Nombre moyen de consultations mensuelles d’enfants de moins de 5 ans dans les CSPS des quatre districts d’intervention HELP et TdH et des quatre districts de contrôle</w:t>
        </w:r>
        <w:r w:rsidR="00847527">
          <w:rPr>
            <w:webHidden/>
          </w:rPr>
          <w:tab/>
        </w:r>
        <w:r>
          <w:rPr>
            <w:webHidden/>
          </w:rPr>
          <w:fldChar w:fldCharType="begin"/>
        </w:r>
        <w:r w:rsidR="00847527">
          <w:rPr>
            <w:webHidden/>
          </w:rPr>
          <w:instrText xml:space="preserve"> PAGEREF _Toc269722141 \h </w:instrText>
        </w:r>
        <w:r>
          <w:rPr>
            <w:webHidden/>
          </w:rPr>
        </w:r>
        <w:r>
          <w:rPr>
            <w:webHidden/>
          </w:rPr>
          <w:fldChar w:fldCharType="separate"/>
        </w:r>
        <w:r w:rsidR="00EF56B2">
          <w:rPr>
            <w:webHidden/>
          </w:rPr>
          <w:t>88</w:t>
        </w:r>
        <w:r>
          <w:rPr>
            <w:webHidden/>
          </w:rPr>
          <w:fldChar w:fldCharType="end"/>
        </w:r>
      </w:hyperlink>
    </w:p>
    <w:p w:rsidR="00847527" w:rsidRDefault="00725419">
      <w:pPr>
        <w:pStyle w:val="TOC8"/>
        <w:rPr>
          <w:rFonts w:asciiTheme="minorHAnsi" w:eastAsiaTheme="minorEastAsia" w:hAnsiTheme="minorHAnsi" w:cstheme="minorBidi"/>
          <w:lang w:eastAsia="fr-FR"/>
        </w:rPr>
      </w:pPr>
      <w:hyperlink w:anchor="_Toc269722142" w:history="1">
        <w:r w:rsidR="00847527" w:rsidRPr="00D8381C">
          <w:rPr>
            <w:rStyle w:val="Hyperlink"/>
          </w:rPr>
          <w:t>Figure 13</w:t>
        </w:r>
        <w:r w:rsidR="00847527" w:rsidRPr="00D8381C">
          <w:rPr>
            <w:rStyle w:val="Hyperlink"/>
            <w:iCs/>
          </w:rPr>
          <w:t> : R</w:t>
        </w:r>
        <w:r w:rsidR="00847527" w:rsidRPr="00D8381C">
          <w:rPr>
            <w:rStyle w:val="Hyperlink"/>
          </w:rPr>
          <w:t xml:space="preserve">endement de l’investissement dans le capital humain, en </w:t>
        </w:r>
        <w:r w:rsidR="00847527" w:rsidRPr="00D8381C">
          <w:rPr>
            <w:rStyle w:val="Hyperlink"/>
            <w:iCs/>
          </w:rPr>
          <w:t>fixant</w:t>
        </w:r>
        <w:r w:rsidR="00847527" w:rsidRPr="00D8381C">
          <w:rPr>
            <w:rStyle w:val="Hyperlink"/>
          </w:rPr>
          <w:t xml:space="preserve"> initialement </w:t>
        </w:r>
        <w:r w:rsidR="00847527" w:rsidRPr="00D8381C">
          <w:rPr>
            <w:rStyle w:val="Hyperlink"/>
            <w:iCs/>
          </w:rPr>
          <w:t>un</w:t>
        </w:r>
        <w:r w:rsidR="00847527" w:rsidRPr="00D8381C">
          <w:rPr>
            <w:rStyle w:val="Hyperlink"/>
            <w:i/>
            <w:iCs/>
          </w:rPr>
          <w:t xml:space="preserve"> </w:t>
        </w:r>
        <w:r w:rsidR="00847527" w:rsidRPr="00D8381C">
          <w:rPr>
            <w:rStyle w:val="Hyperlink"/>
          </w:rPr>
          <w:t>investissement égal pour tous les âges</w:t>
        </w:r>
        <w:r w:rsidR="00847527">
          <w:rPr>
            <w:webHidden/>
          </w:rPr>
          <w:tab/>
        </w:r>
        <w:r>
          <w:rPr>
            <w:webHidden/>
          </w:rPr>
          <w:fldChar w:fldCharType="begin"/>
        </w:r>
        <w:r w:rsidR="00847527">
          <w:rPr>
            <w:webHidden/>
          </w:rPr>
          <w:instrText xml:space="preserve"> PAGEREF _Toc269722142 \h </w:instrText>
        </w:r>
        <w:r>
          <w:rPr>
            <w:webHidden/>
          </w:rPr>
        </w:r>
        <w:r>
          <w:rPr>
            <w:webHidden/>
          </w:rPr>
          <w:fldChar w:fldCharType="separate"/>
        </w:r>
        <w:r w:rsidR="00EF56B2">
          <w:rPr>
            <w:webHidden/>
          </w:rPr>
          <w:t>102</w:t>
        </w:r>
        <w:r>
          <w:rPr>
            <w:webHidden/>
          </w:rPr>
          <w:fldChar w:fldCharType="end"/>
        </w:r>
      </w:hyperlink>
    </w:p>
    <w:p w:rsidR="004B3541" w:rsidRDefault="00725419">
      <w:pPr>
        <w:spacing w:after="0"/>
        <w:rPr>
          <w:highlight w:val="yellow"/>
          <w:lang w:val="fr-FR"/>
        </w:rPr>
      </w:pPr>
      <w:r w:rsidRPr="00577EB1">
        <w:rPr>
          <w:highlight w:val="yellow"/>
          <w:lang w:val="fr-FR"/>
        </w:rPr>
        <w:fldChar w:fldCharType="end"/>
      </w:r>
    </w:p>
    <w:p w:rsidR="00AE542A" w:rsidRDefault="00AE542A">
      <w:pPr>
        <w:spacing w:after="0"/>
        <w:rPr>
          <w:highlight w:val="yellow"/>
          <w:lang w:val="fr-FR"/>
        </w:rPr>
      </w:pPr>
    </w:p>
    <w:p w:rsidR="00AE542A" w:rsidRDefault="00AE542A">
      <w:pPr>
        <w:spacing w:after="0"/>
        <w:rPr>
          <w:highlight w:val="yellow"/>
          <w:lang w:val="fr-FR"/>
        </w:rPr>
      </w:pPr>
    </w:p>
    <w:p w:rsidR="00AE542A" w:rsidRDefault="00AE542A">
      <w:pPr>
        <w:spacing w:after="0"/>
        <w:rPr>
          <w:sz w:val="20"/>
          <w:highlight w:val="yellow"/>
          <w:lang w:val="fr-FR"/>
        </w:rPr>
      </w:pPr>
    </w:p>
    <w:p w:rsidR="00C404A8" w:rsidRPr="00577EB1" w:rsidRDefault="00C404A8" w:rsidP="00C404A8">
      <w:pPr>
        <w:spacing w:after="0"/>
        <w:rPr>
          <w:b/>
          <w:u w:val="single"/>
          <w:lang w:val="fr-FR"/>
        </w:rPr>
      </w:pPr>
      <w:r w:rsidRPr="00577EB1">
        <w:rPr>
          <w:b/>
          <w:u w:val="single"/>
          <w:lang w:val="fr-FR"/>
        </w:rPr>
        <w:t>List</w:t>
      </w:r>
      <w:r w:rsidR="0065207E" w:rsidRPr="00577EB1">
        <w:rPr>
          <w:b/>
          <w:u w:val="single"/>
          <w:lang w:val="fr-FR"/>
        </w:rPr>
        <w:t>e</w:t>
      </w:r>
      <w:r w:rsidRPr="00577EB1">
        <w:rPr>
          <w:b/>
          <w:u w:val="single"/>
          <w:lang w:val="fr-FR"/>
        </w:rPr>
        <w:t xml:space="preserve"> </w:t>
      </w:r>
      <w:r w:rsidR="0065207E" w:rsidRPr="00577EB1">
        <w:rPr>
          <w:b/>
          <w:u w:val="single"/>
          <w:lang w:val="fr-FR"/>
        </w:rPr>
        <w:t>des</w:t>
      </w:r>
      <w:r w:rsidRPr="00577EB1">
        <w:rPr>
          <w:b/>
          <w:u w:val="single"/>
          <w:lang w:val="fr-FR"/>
        </w:rPr>
        <w:t xml:space="preserve"> </w:t>
      </w:r>
      <w:r w:rsidR="0065207E" w:rsidRPr="00577EB1">
        <w:rPr>
          <w:b/>
          <w:u w:val="single"/>
          <w:lang w:val="fr-FR"/>
        </w:rPr>
        <w:t>encadrés</w:t>
      </w:r>
    </w:p>
    <w:p w:rsidR="004B3541" w:rsidRDefault="004B3541">
      <w:pPr>
        <w:pStyle w:val="TableofFigures"/>
        <w:tabs>
          <w:tab w:val="right" w:leader="dot" w:pos="9062"/>
        </w:tabs>
        <w:ind w:left="0" w:firstLine="0"/>
        <w:rPr>
          <w:sz w:val="22"/>
          <w:highlight w:val="yellow"/>
          <w:lang w:val="fr-FR"/>
        </w:rPr>
      </w:pPr>
    </w:p>
    <w:p w:rsidR="00AE542A" w:rsidRDefault="00725419">
      <w:pPr>
        <w:pStyle w:val="TableofFigures"/>
        <w:tabs>
          <w:tab w:val="right" w:leader="dot" w:pos="9062"/>
        </w:tabs>
        <w:rPr>
          <w:rFonts w:asciiTheme="minorHAnsi" w:eastAsiaTheme="minorEastAsia" w:hAnsiTheme="minorHAnsi" w:cstheme="minorBidi"/>
          <w:noProof/>
          <w:sz w:val="22"/>
        </w:rPr>
      </w:pPr>
      <w:r>
        <w:rPr>
          <w:highlight w:val="yellow"/>
          <w:lang w:val="fr-FR"/>
        </w:rPr>
        <w:fldChar w:fldCharType="begin"/>
      </w:r>
      <w:r w:rsidR="00613457">
        <w:rPr>
          <w:highlight w:val="yellow"/>
          <w:lang w:val="fr-FR"/>
        </w:rPr>
        <w:instrText xml:space="preserve"> TOC \h \z \c "Encadré" </w:instrText>
      </w:r>
      <w:r>
        <w:rPr>
          <w:highlight w:val="yellow"/>
          <w:lang w:val="fr-FR"/>
        </w:rPr>
        <w:fldChar w:fldCharType="separate"/>
      </w:r>
      <w:hyperlink w:anchor="_Toc284613561" w:history="1">
        <w:r w:rsidR="00AE542A" w:rsidRPr="00B2136A">
          <w:rPr>
            <w:rStyle w:val="Hyperlink"/>
            <w:noProof/>
          </w:rPr>
          <w:t>Encadré 1 : Grandes lignes de la politique nationale de protection sociale élaborée sous la direction du MTSS (non adopté)</w:t>
        </w:r>
        <w:r w:rsidR="00AE542A">
          <w:rPr>
            <w:noProof/>
            <w:webHidden/>
          </w:rPr>
          <w:tab/>
        </w:r>
        <w:r>
          <w:rPr>
            <w:noProof/>
            <w:webHidden/>
          </w:rPr>
          <w:fldChar w:fldCharType="begin"/>
        </w:r>
        <w:r w:rsidR="00AE542A">
          <w:rPr>
            <w:noProof/>
            <w:webHidden/>
          </w:rPr>
          <w:instrText xml:space="preserve"> PAGEREF _Toc284613561 \h </w:instrText>
        </w:r>
        <w:r>
          <w:rPr>
            <w:noProof/>
            <w:webHidden/>
          </w:rPr>
        </w:r>
        <w:r>
          <w:rPr>
            <w:noProof/>
            <w:webHidden/>
          </w:rPr>
          <w:fldChar w:fldCharType="separate"/>
        </w:r>
        <w:r w:rsidR="00EF56B2">
          <w:rPr>
            <w:noProof/>
            <w:webHidden/>
          </w:rPr>
          <w:t>30</w:t>
        </w:r>
        <w:r>
          <w:rPr>
            <w:noProof/>
            <w:webHidden/>
          </w:rPr>
          <w:fldChar w:fldCharType="end"/>
        </w:r>
      </w:hyperlink>
    </w:p>
    <w:p w:rsidR="00AE542A" w:rsidRDefault="00725419">
      <w:pPr>
        <w:pStyle w:val="TableofFigures"/>
        <w:tabs>
          <w:tab w:val="right" w:leader="dot" w:pos="9062"/>
        </w:tabs>
        <w:rPr>
          <w:rFonts w:asciiTheme="minorHAnsi" w:eastAsiaTheme="minorEastAsia" w:hAnsiTheme="minorHAnsi" w:cstheme="minorBidi"/>
          <w:noProof/>
          <w:sz w:val="22"/>
        </w:rPr>
      </w:pPr>
      <w:hyperlink w:anchor="_Toc284613562" w:history="1">
        <w:r w:rsidR="00AE542A" w:rsidRPr="00B2136A">
          <w:rPr>
            <w:rStyle w:val="Hyperlink"/>
            <w:noProof/>
          </w:rPr>
          <w:t>Encadré 2 : Initiative pour un socle de protection sociale</w:t>
        </w:r>
        <w:r w:rsidR="00AE542A">
          <w:rPr>
            <w:noProof/>
            <w:webHidden/>
          </w:rPr>
          <w:tab/>
        </w:r>
        <w:r>
          <w:rPr>
            <w:noProof/>
            <w:webHidden/>
          </w:rPr>
          <w:fldChar w:fldCharType="begin"/>
        </w:r>
        <w:r w:rsidR="00AE542A">
          <w:rPr>
            <w:noProof/>
            <w:webHidden/>
          </w:rPr>
          <w:instrText xml:space="preserve"> PAGEREF _Toc284613562 \h </w:instrText>
        </w:r>
        <w:r>
          <w:rPr>
            <w:noProof/>
            <w:webHidden/>
          </w:rPr>
        </w:r>
        <w:r>
          <w:rPr>
            <w:noProof/>
            <w:webHidden/>
          </w:rPr>
          <w:fldChar w:fldCharType="separate"/>
        </w:r>
        <w:r w:rsidR="00EF56B2">
          <w:rPr>
            <w:noProof/>
            <w:webHidden/>
          </w:rPr>
          <w:t>39</w:t>
        </w:r>
        <w:r>
          <w:rPr>
            <w:noProof/>
            <w:webHidden/>
          </w:rPr>
          <w:fldChar w:fldCharType="end"/>
        </w:r>
      </w:hyperlink>
    </w:p>
    <w:p w:rsidR="00AE542A" w:rsidRDefault="00725419">
      <w:pPr>
        <w:pStyle w:val="TableofFigures"/>
        <w:tabs>
          <w:tab w:val="right" w:leader="dot" w:pos="9062"/>
        </w:tabs>
        <w:rPr>
          <w:rFonts w:asciiTheme="minorHAnsi" w:eastAsiaTheme="minorEastAsia" w:hAnsiTheme="minorHAnsi" w:cstheme="minorBidi"/>
          <w:noProof/>
          <w:sz w:val="22"/>
        </w:rPr>
      </w:pPr>
      <w:hyperlink w:anchor="_Toc284613563" w:history="1">
        <w:r w:rsidR="00AE542A" w:rsidRPr="00B2136A">
          <w:rPr>
            <w:rStyle w:val="Hyperlink"/>
            <w:noProof/>
          </w:rPr>
          <w:t>Encadré 3 : Problèmes liés à l’information sur les filets sociaux</w:t>
        </w:r>
        <w:r w:rsidR="00AE542A">
          <w:rPr>
            <w:noProof/>
            <w:webHidden/>
          </w:rPr>
          <w:tab/>
        </w:r>
        <w:r>
          <w:rPr>
            <w:noProof/>
            <w:webHidden/>
          </w:rPr>
          <w:fldChar w:fldCharType="begin"/>
        </w:r>
        <w:r w:rsidR="00AE542A">
          <w:rPr>
            <w:noProof/>
            <w:webHidden/>
          </w:rPr>
          <w:instrText xml:space="preserve"> PAGEREF _Toc284613563 \h </w:instrText>
        </w:r>
        <w:r>
          <w:rPr>
            <w:noProof/>
            <w:webHidden/>
          </w:rPr>
        </w:r>
        <w:r>
          <w:rPr>
            <w:noProof/>
            <w:webHidden/>
          </w:rPr>
          <w:fldChar w:fldCharType="separate"/>
        </w:r>
        <w:r w:rsidR="00EF56B2">
          <w:rPr>
            <w:noProof/>
            <w:webHidden/>
          </w:rPr>
          <w:t>40</w:t>
        </w:r>
        <w:r>
          <w:rPr>
            <w:noProof/>
            <w:webHidden/>
          </w:rPr>
          <w:fldChar w:fldCharType="end"/>
        </w:r>
      </w:hyperlink>
    </w:p>
    <w:p w:rsidR="00AE542A" w:rsidRDefault="00725419">
      <w:pPr>
        <w:pStyle w:val="TableofFigures"/>
        <w:tabs>
          <w:tab w:val="right" w:leader="dot" w:pos="9062"/>
        </w:tabs>
        <w:rPr>
          <w:rFonts w:asciiTheme="minorHAnsi" w:eastAsiaTheme="minorEastAsia" w:hAnsiTheme="minorHAnsi" w:cstheme="minorBidi"/>
          <w:noProof/>
          <w:sz w:val="22"/>
        </w:rPr>
      </w:pPr>
      <w:hyperlink w:anchor="_Toc284613564" w:history="1">
        <w:r w:rsidR="00AE542A" w:rsidRPr="00B2136A">
          <w:rPr>
            <w:rStyle w:val="Hyperlink"/>
            <w:noProof/>
          </w:rPr>
          <w:t>Encadré 4 : Problèmes de gestion budgétaire au Burkina Faso</w:t>
        </w:r>
        <w:r w:rsidR="00AE542A">
          <w:rPr>
            <w:noProof/>
            <w:webHidden/>
          </w:rPr>
          <w:tab/>
        </w:r>
        <w:r>
          <w:rPr>
            <w:noProof/>
            <w:webHidden/>
          </w:rPr>
          <w:fldChar w:fldCharType="begin"/>
        </w:r>
        <w:r w:rsidR="00AE542A">
          <w:rPr>
            <w:noProof/>
            <w:webHidden/>
          </w:rPr>
          <w:instrText xml:space="preserve"> PAGEREF _Toc284613564 \h </w:instrText>
        </w:r>
        <w:r>
          <w:rPr>
            <w:noProof/>
            <w:webHidden/>
          </w:rPr>
        </w:r>
        <w:r>
          <w:rPr>
            <w:noProof/>
            <w:webHidden/>
          </w:rPr>
          <w:fldChar w:fldCharType="separate"/>
        </w:r>
        <w:r w:rsidR="00EF56B2">
          <w:rPr>
            <w:noProof/>
            <w:webHidden/>
          </w:rPr>
          <w:t>51</w:t>
        </w:r>
        <w:r>
          <w:rPr>
            <w:noProof/>
            <w:webHidden/>
          </w:rPr>
          <w:fldChar w:fldCharType="end"/>
        </w:r>
      </w:hyperlink>
    </w:p>
    <w:p w:rsidR="00AE542A" w:rsidRDefault="00725419">
      <w:pPr>
        <w:pStyle w:val="TableofFigures"/>
        <w:tabs>
          <w:tab w:val="right" w:leader="dot" w:pos="9062"/>
        </w:tabs>
        <w:rPr>
          <w:rFonts w:asciiTheme="minorHAnsi" w:eastAsiaTheme="minorEastAsia" w:hAnsiTheme="minorHAnsi" w:cstheme="minorBidi"/>
          <w:noProof/>
          <w:sz w:val="22"/>
        </w:rPr>
      </w:pPr>
      <w:hyperlink w:anchor="_Toc284613565" w:history="1">
        <w:r w:rsidR="00AE542A" w:rsidRPr="00B2136A">
          <w:rPr>
            <w:rStyle w:val="Hyperlink"/>
            <w:noProof/>
          </w:rPr>
          <w:t>Encadré 5 : Leçons tirées de l’analyse de l’assiette fiscale du Burkina Faso, à l’aide du modèle MAMS</w:t>
        </w:r>
        <w:r w:rsidR="00AE542A">
          <w:rPr>
            <w:noProof/>
            <w:webHidden/>
          </w:rPr>
          <w:tab/>
        </w:r>
        <w:r>
          <w:rPr>
            <w:noProof/>
            <w:webHidden/>
          </w:rPr>
          <w:fldChar w:fldCharType="begin"/>
        </w:r>
        <w:r w:rsidR="00AE542A">
          <w:rPr>
            <w:noProof/>
            <w:webHidden/>
          </w:rPr>
          <w:instrText xml:space="preserve"> PAGEREF _Toc284613565 \h </w:instrText>
        </w:r>
        <w:r>
          <w:rPr>
            <w:noProof/>
            <w:webHidden/>
          </w:rPr>
        </w:r>
        <w:r>
          <w:rPr>
            <w:noProof/>
            <w:webHidden/>
          </w:rPr>
          <w:fldChar w:fldCharType="separate"/>
        </w:r>
        <w:r w:rsidR="00EF56B2">
          <w:rPr>
            <w:noProof/>
            <w:webHidden/>
          </w:rPr>
          <w:t>57</w:t>
        </w:r>
        <w:r>
          <w:rPr>
            <w:noProof/>
            <w:webHidden/>
          </w:rPr>
          <w:fldChar w:fldCharType="end"/>
        </w:r>
      </w:hyperlink>
    </w:p>
    <w:p w:rsidR="00AE542A" w:rsidRDefault="00725419">
      <w:pPr>
        <w:pStyle w:val="TableofFigures"/>
        <w:tabs>
          <w:tab w:val="right" w:leader="dot" w:pos="9062"/>
        </w:tabs>
        <w:rPr>
          <w:rFonts w:asciiTheme="minorHAnsi" w:eastAsiaTheme="minorEastAsia" w:hAnsiTheme="minorHAnsi" w:cstheme="minorBidi"/>
          <w:noProof/>
          <w:sz w:val="22"/>
        </w:rPr>
      </w:pPr>
      <w:hyperlink w:anchor="_Toc284613566" w:history="1">
        <w:r w:rsidR="00AE542A" w:rsidRPr="00B2136A">
          <w:rPr>
            <w:rStyle w:val="Hyperlink"/>
            <w:noProof/>
          </w:rPr>
          <w:t>Encadré 6 : Programme de coupons alimentaires du PAM</w:t>
        </w:r>
        <w:r w:rsidR="00AE542A">
          <w:rPr>
            <w:noProof/>
            <w:webHidden/>
          </w:rPr>
          <w:tab/>
        </w:r>
        <w:r>
          <w:rPr>
            <w:noProof/>
            <w:webHidden/>
          </w:rPr>
          <w:fldChar w:fldCharType="begin"/>
        </w:r>
        <w:r w:rsidR="00AE542A">
          <w:rPr>
            <w:noProof/>
            <w:webHidden/>
          </w:rPr>
          <w:instrText xml:space="preserve"> PAGEREF _Toc284613566 \h </w:instrText>
        </w:r>
        <w:r>
          <w:rPr>
            <w:noProof/>
            <w:webHidden/>
          </w:rPr>
        </w:r>
        <w:r>
          <w:rPr>
            <w:noProof/>
            <w:webHidden/>
          </w:rPr>
          <w:fldChar w:fldCharType="separate"/>
        </w:r>
        <w:r w:rsidR="00EF56B2">
          <w:rPr>
            <w:noProof/>
            <w:webHidden/>
          </w:rPr>
          <w:t>66</w:t>
        </w:r>
        <w:r>
          <w:rPr>
            <w:noProof/>
            <w:webHidden/>
          </w:rPr>
          <w:fldChar w:fldCharType="end"/>
        </w:r>
      </w:hyperlink>
    </w:p>
    <w:p w:rsidR="00AE542A" w:rsidRDefault="00725419">
      <w:pPr>
        <w:pStyle w:val="TableofFigures"/>
        <w:tabs>
          <w:tab w:val="right" w:leader="dot" w:pos="9062"/>
        </w:tabs>
        <w:rPr>
          <w:rFonts w:asciiTheme="minorHAnsi" w:eastAsiaTheme="minorEastAsia" w:hAnsiTheme="minorHAnsi" w:cstheme="minorBidi"/>
          <w:noProof/>
          <w:sz w:val="22"/>
        </w:rPr>
      </w:pPr>
      <w:hyperlink w:anchor="_Toc284613567" w:history="1">
        <w:r w:rsidR="00AE542A" w:rsidRPr="00B2136A">
          <w:rPr>
            <w:rStyle w:val="Hyperlink"/>
            <w:noProof/>
          </w:rPr>
          <w:t>Encadré 7 : Transferts monétaires et en nature Alternatives ou compléments ?</w:t>
        </w:r>
        <w:r w:rsidR="00AE542A">
          <w:rPr>
            <w:noProof/>
            <w:webHidden/>
          </w:rPr>
          <w:tab/>
        </w:r>
        <w:r>
          <w:rPr>
            <w:noProof/>
            <w:webHidden/>
          </w:rPr>
          <w:fldChar w:fldCharType="begin"/>
        </w:r>
        <w:r w:rsidR="00AE542A">
          <w:rPr>
            <w:noProof/>
            <w:webHidden/>
          </w:rPr>
          <w:instrText xml:space="preserve"> PAGEREF _Toc284613567 \h </w:instrText>
        </w:r>
        <w:r>
          <w:rPr>
            <w:noProof/>
            <w:webHidden/>
          </w:rPr>
        </w:r>
        <w:r>
          <w:rPr>
            <w:noProof/>
            <w:webHidden/>
          </w:rPr>
          <w:fldChar w:fldCharType="separate"/>
        </w:r>
        <w:r w:rsidR="00EF56B2">
          <w:rPr>
            <w:noProof/>
            <w:webHidden/>
          </w:rPr>
          <w:t>73</w:t>
        </w:r>
        <w:r>
          <w:rPr>
            <w:noProof/>
            <w:webHidden/>
          </w:rPr>
          <w:fldChar w:fldCharType="end"/>
        </w:r>
      </w:hyperlink>
    </w:p>
    <w:p w:rsidR="00AE542A" w:rsidRDefault="00725419">
      <w:pPr>
        <w:pStyle w:val="TableofFigures"/>
        <w:tabs>
          <w:tab w:val="right" w:leader="dot" w:pos="9062"/>
        </w:tabs>
        <w:rPr>
          <w:rFonts w:asciiTheme="minorHAnsi" w:eastAsiaTheme="minorEastAsia" w:hAnsiTheme="minorHAnsi" w:cstheme="minorBidi"/>
          <w:noProof/>
          <w:sz w:val="22"/>
        </w:rPr>
      </w:pPr>
      <w:hyperlink w:anchor="_Toc284613568" w:history="1">
        <w:r w:rsidR="00AE542A" w:rsidRPr="00B2136A">
          <w:rPr>
            <w:rStyle w:val="Hyperlink"/>
            <w:noProof/>
          </w:rPr>
          <w:t>Encadré 8 : Planification pour le passage à l’échelle supérieure des intervenions nutritionnelles</w:t>
        </w:r>
        <w:r w:rsidR="00AE542A">
          <w:rPr>
            <w:noProof/>
            <w:webHidden/>
          </w:rPr>
          <w:tab/>
        </w:r>
        <w:r>
          <w:rPr>
            <w:noProof/>
            <w:webHidden/>
          </w:rPr>
          <w:fldChar w:fldCharType="begin"/>
        </w:r>
        <w:r w:rsidR="00AE542A">
          <w:rPr>
            <w:noProof/>
            <w:webHidden/>
          </w:rPr>
          <w:instrText xml:space="preserve"> PAGEREF _Toc284613568 \h </w:instrText>
        </w:r>
        <w:r>
          <w:rPr>
            <w:noProof/>
            <w:webHidden/>
          </w:rPr>
        </w:r>
        <w:r>
          <w:rPr>
            <w:noProof/>
            <w:webHidden/>
          </w:rPr>
          <w:fldChar w:fldCharType="separate"/>
        </w:r>
        <w:r w:rsidR="00EF56B2">
          <w:rPr>
            <w:noProof/>
            <w:webHidden/>
          </w:rPr>
          <w:t>75</w:t>
        </w:r>
        <w:r>
          <w:rPr>
            <w:noProof/>
            <w:webHidden/>
          </w:rPr>
          <w:fldChar w:fldCharType="end"/>
        </w:r>
      </w:hyperlink>
    </w:p>
    <w:p w:rsidR="00AE542A" w:rsidRDefault="00725419">
      <w:pPr>
        <w:pStyle w:val="TableofFigures"/>
        <w:tabs>
          <w:tab w:val="right" w:leader="dot" w:pos="9062"/>
        </w:tabs>
        <w:rPr>
          <w:rFonts w:asciiTheme="minorHAnsi" w:eastAsiaTheme="minorEastAsia" w:hAnsiTheme="minorHAnsi" w:cstheme="minorBidi"/>
          <w:noProof/>
          <w:sz w:val="22"/>
        </w:rPr>
      </w:pPr>
      <w:hyperlink w:anchor="_Toc284613569" w:history="1">
        <w:r w:rsidR="00AE542A" w:rsidRPr="00B2136A">
          <w:rPr>
            <w:rStyle w:val="Hyperlink"/>
            <w:noProof/>
          </w:rPr>
          <w:t>Encadré 9 : Programmes de travaux publics Eléments requis pour atteindre les pauvres</w:t>
        </w:r>
        <w:r w:rsidR="00AE542A">
          <w:rPr>
            <w:noProof/>
            <w:webHidden/>
          </w:rPr>
          <w:tab/>
        </w:r>
        <w:r>
          <w:rPr>
            <w:noProof/>
            <w:webHidden/>
          </w:rPr>
          <w:fldChar w:fldCharType="begin"/>
        </w:r>
        <w:r w:rsidR="00AE542A">
          <w:rPr>
            <w:noProof/>
            <w:webHidden/>
          </w:rPr>
          <w:instrText xml:space="preserve"> PAGEREF _Toc284613569 \h </w:instrText>
        </w:r>
        <w:r>
          <w:rPr>
            <w:noProof/>
            <w:webHidden/>
          </w:rPr>
        </w:r>
        <w:r>
          <w:rPr>
            <w:noProof/>
            <w:webHidden/>
          </w:rPr>
          <w:fldChar w:fldCharType="separate"/>
        </w:r>
        <w:r w:rsidR="00EF56B2">
          <w:rPr>
            <w:noProof/>
            <w:webHidden/>
          </w:rPr>
          <w:t>82</w:t>
        </w:r>
        <w:r>
          <w:rPr>
            <w:noProof/>
            <w:webHidden/>
          </w:rPr>
          <w:fldChar w:fldCharType="end"/>
        </w:r>
      </w:hyperlink>
    </w:p>
    <w:p w:rsidR="00AE542A" w:rsidRDefault="00725419">
      <w:pPr>
        <w:pStyle w:val="TableofFigures"/>
        <w:tabs>
          <w:tab w:val="right" w:leader="dot" w:pos="9062"/>
        </w:tabs>
        <w:rPr>
          <w:rFonts w:asciiTheme="minorHAnsi" w:eastAsiaTheme="minorEastAsia" w:hAnsiTheme="minorHAnsi" w:cstheme="minorBidi"/>
          <w:noProof/>
          <w:sz w:val="22"/>
        </w:rPr>
      </w:pPr>
      <w:hyperlink w:anchor="_Toc284613570" w:history="1">
        <w:r w:rsidR="00AE542A" w:rsidRPr="00B2136A">
          <w:rPr>
            <w:rStyle w:val="Hyperlink"/>
            <w:noProof/>
          </w:rPr>
          <w:t>Encadré 10 : Efficacité du ciblage des programmes de travaux publics l’expérience internationale</w:t>
        </w:r>
        <w:r w:rsidR="00AE542A">
          <w:rPr>
            <w:noProof/>
            <w:webHidden/>
          </w:rPr>
          <w:tab/>
        </w:r>
        <w:r>
          <w:rPr>
            <w:noProof/>
            <w:webHidden/>
          </w:rPr>
          <w:fldChar w:fldCharType="begin"/>
        </w:r>
        <w:r w:rsidR="00AE542A">
          <w:rPr>
            <w:noProof/>
            <w:webHidden/>
          </w:rPr>
          <w:instrText xml:space="preserve"> PAGEREF _Toc284613570 \h </w:instrText>
        </w:r>
        <w:r>
          <w:rPr>
            <w:noProof/>
            <w:webHidden/>
          </w:rPr>
        </w:r>
        <w:r>
          <w:rPr>
            <w:noProof/>
            <w:webHidden/>
          </w:rPr>
          <w:fldChar w:fldCharType="separate"/>
        </w:r>
        <w:r w:rsidR="00EF56B2">
          <w:rPr>
            <w:noProof/>
            <w:webHidden/>
          </w:rPr>
          <w:t>84</w:t>
        </w:r>
        <w:r>
          <w:rPr>
            <w:noProof/>
            <w:webHidden/>
          </w:rPr>
          <w:fldChar w:fldCharType="end"/>
        </w:r>
      </w:hyperlink>
    </w:p>
    <w:p w:rsidR="00AE542A" w:rsidRDefault="00725419">
      <w:pPr>
        <w:pStyle w:val="TableofFigures"/>
        <w:tabs>
          <w:tab w:val="right" w:leader="dot" w:pos="9062"/>
        </w:tabs>
        <w:rPr>
          <w:rFonts w:asciiTheme="minorHAnsi" w:eastAsiaTheme="minorEastAsia" w:hAnsiTheme="minorHAnsi" w:cstheme="minorBidi"/>
          <w:noProof/>
          <w:sz w:val="22"/>
        </w:rPr>
      </w:pPr>
      <w:hyperlink w:anchor="_Toc284613571" w:history="1">
        <w:r w:rsidR="00AE542A" w:rsidRPr="00B2136A">
          <w:rPr>
            <w:rStyle w:val="Hyperlink"/>
            <w:noProof/>
          </w:rPr>
          <w:t>Encadré 11 : Une approche de ciblage communautaire pour dispenser les plus démunis des frais de santé au Burkina Faso</w:t>
        </w:r>
        <w:r w:rsidR="00AE542A">
          <w:rPr>
            <w:noProof/>
            <w:webHidden/>
          </w:rPr>
          <w:tab/>
        </w:r>
        <w:r>
          <w:rPr>
            <w:noProof/>
            <w:webHidden/>
          </w:rPr>
          <w:fldChar w:fldCharType="begin"/>
        </w:r>
        <w:r w:rsidR="00AE542A">
          <w:rPr>
            <w:noProof/>
            <w:webHidden/>
          </w:rPr>
          <w:instrText xml:space="preserve"> PAGEREF _Toc284613571 \h </w:instrText>
        </w:r>
        <w:r>
          <w:rPr>
            <w:noProof/>
            <w:webHidden/>
          </w:rPr>
        </w:r>
        <w:r>
          <w:rPr>
            <w:noProof/>
            <w:webHidden/>
          </w:rPr>
          <w:fldChar w:fldCharType="separate"/>
        </w:r>
        <w:r w:rsidR="00EF56B2">
          <w:rPr>
            <w:noProof/>
            <w:webHidden/>
          </w:rPr>
          <w:t>86</w:t>
        </w:r>
        <w:r>
          <w:rPr>
            <w:noProof/>
            <w:webHidden/>
          </w:rPr>
          <w:fldChar w:fldCharType="end"/>
        </w:r>
      </w:hyperlink>
    </w:p>
    <w:p w:rsidR="00AE542A" w:rsidRDefault="00725419">
      <w:pPr>
        <w:pStyle w:val="TableofFigures"/>
        <w:tabs>
          <w:tab w:val="right" w:leader="dot" w:pos="9062"/>
        </w:tabs>
        <w:rPr>
          <w:rFonts w:asciiTheme="minorHAnsi" w:eastAsiaTheme="minorEastAsia" w:hAnsiTheme="minorHAnsi" w:cstheme="minorBidi"/>
          <w:noProof/>
          <w:sz w:val="22"/>
        </w:rPr>
      </w:pPr>
      <w:hyperlink w:anchor="_Toc284613572" w:history="1">
        <w:r w:rsidR="00AE542A" w:rsidRPr="00B2136A">
          <w:rPr>
            <w:rStyle w:val="Hyperlink"/>
            <w:noProof/>
            <w:lang w:val="fr-FR"/>
          </w:rPr>
          <w:t>Encadré 12 : Utilisation de l’auto-détermination des rangs de pauvreté par la communauté pour identifier le quintile le plus pauvre éligible à une subvention de l’adhésion à l’assurance maladie à base communautaire</w:t>
        </w:r>
        <w:r w:rsidR="00AE542A">
          <w:rPr>
            <w:noProof/>
            <w:webHidden/>
          </w:rPr>
          <w:tab/>
        </w:r>
        <w:r>
          <w:rPr>
            <w:noProof/>
            <w:webHidden/>
          </w:rPr>
          <w:fldChar w:fldCharType="begin"/>
        </w:r>
        <w:r w:rsidR="00AE542A">
          <w:rPr>
            <w:noProof/>
            <w:webHidden/>
          </w:rPr>
          <w:instrText xml:space="preserve"> PAGEREF _Toc284613572 \h </w:instrText>
        </w:r>
        <w:r>
          <w:rPr>
            <w:noProof/>
            <w:webHidden/>
          </w:rPr>
        </w:r>
        <w:r>
          <w:rPr>
            <w:noProof/>
            <w:webHidden/>
          </w:rPr>
          <w:fldChar w:fldCharType="separate"/>
        </w:r>
        <w:r w:rsidR="00EF56B2">
          <w:rPr>
            <w:noProof/>
            <w:webHidden/>
          </w:rPr>
          <w:t>87</w:t>
        </w:r>
        <w:r>
          <w:rPr>
            <w:noProof/>
            <w:webHidden/>
          </w:rPr>
          <w:fldChar w:fldCharType="end"/>
        </w:r>
      </w:hyperlink>
    </w:p>
    <w:p w:rsidR="00AE542A" w:rsidRDefault="00725419">
      <w:pPr>
        <w:pStyle w:val="TableofFigures"/>
        <w:tabs>
          <w:tab w:val="right" w:leader="dot" w:pos="9062"/>
        </w:tabs>
        <w:rPr>
          <w:rFonts w:asciiTheme="minorHAnsi" w:eastAsiaTheme="minorEastAsia" w:hAnsiTheme="minorHAnsi" w:cstheme="minorBidi"/>
          <w:noProof/>
          <w:sz w:val="22"/>
        </w:rPr>
      </w:pPr>
      <w:hyperlink w:anchor="_Toc284613573" w:history="1">
        <w:r w:rsidR="00AE542A" w:rsidRPr="00B2136A">
          <w:rPr>
            <w:rStyle w:val="Hyperlink"/>
            <w:noProof/>
          </w:rPr>
          <w:t>Encadré 13 : Le débat sur le paiement par l’usager</w:t>
        </w:r>
        <w:r w:rsidR="00AE542A">
          <w:rPr>
            <w:noProof/>
            <w:webHidden/>
          </w:rPr>
          <w:tab/>
        </w:r>
        <w:r>
          <w:rPr>
            <w:noProof/>
            <w:webHidden/>
          </w:rPr>
          <w:fldChar w:fldCharType="begin"/>
        </w:r>
        <w:r w:rsidR="00AE542A">
          <w:rPr>
            <w:noProof/>
            <w:webHidden/>
          </w:rPr>
          <w:instrText xml:space="preserve"> PAGEREF _Toc284613573 \h </w:instrText>
        </w:r>
        <w:r>
          <w:rPr>
            <w:noProof/>
            <w:webHidden/>
          </w:rPr>
        </w:r>
        <w:r>
          <w:rPr>
            <w:noProof/>
            <w:webHidden/>
          </w:rPr>
          <w:fldChar w:fldCharType="separate"/>
        </w:r>
        <w:r w:rsidR="00EF56B2">
          <w:rPr>
            <w:noProof/>
            <w:webHidden/>
          </w:rPr>
          <w:t>89</w:t>
        </w:r>
        <w:r>
          <w:rPr>
            <w:noProof/>
            <w:webHidden/>
          </w:rPr>
          <w:fldChar w:fldCharType="end"/>
        </w:r>
      </w:hyperlink>
    </w:p>
    <w:p w:rsidR="00AE542A" w:rsidRDefault="00725419">
      <w:pPr>
        <w:pStyle w:val="TableofFigures"/>
        <w:tabs>
          <w:tab w:val="right" w:leader="dot" w:pos="9062"/>
        </w:tabs>
        <w:rPr>
          <w:rFonts w:asciiTheme="minorHAnsi" w:eastAsiaTheme="minorEastAsia" w:hAnsiTheme="minorHAnsi" w:cstheme="minorBidi"/>
          <w:noProof/>
          <w:sz w:val="22"/>
        </w:rPr>
      </w:pPr>
      <w:hyperlink w:anchor="_Toc284613574" w:history="1">
        <w:r w:rsidR="00AE542A" w:rsidRPr="00B2136A">
          <w:rPr>
            <w:rStyle w:val="Hyperlink"/>
            <w:noProof/>
          </w:rPr>
          <w:t>Encadré 14 : Principes d’une protection sociale tenant compte des enfants</w:t>
        </w:r>
        <w:r w:rsidR="00AE542A">
          <w:rPr>
            <w:noProof/>
            <w:webHidden/>
          </w:rPr>
          <w:tab/>
        </w:r>
        <w:r>
          <w:rPr>
            <w:noProof/>
            <w:webHidden/>
          </w:rPr>
          <w:fldChar w:fldCharType="begin"/>
        </w:r>
        <w:r w:rsidR="00AE542A">
          <w:rPr>
            <w:noProof/>
            <w:webHidden/>
          </w:rPr>
          <w:instrText xml:space="preserve"> PAGEREF _Toc284613574 \h </w:instrText>
        </w:r>
        <w:r>
          <w:rPr>
            <w:noProof/>
            <w:webHidden/>
          </w:rPr>
        </w:r>
        <w:r>
          <w:rPr>
            <w:noProof/>
            <w:webHidden/>
          </w:rPr>
          <w:fldChar w:fldCharType="separate"/>
        </w:r>
        <w:r w:rsidR="00EF56B2">
          <w:rPr>
            <w:noProof/>
            <w:webHidden/>
          </w:rPr>
          <w:t>100</w:t>
        </w:r>
        <w:r>
          <w:rPr>
            <w:noProof/>
            <w:webHidden/>
          </w:rPr>
          <w:fldChar w:fldCharType="end"/>
        </w:r>
      </w:hyperlink>
    </w:p>
    <w:p w:rsidR="00AE542A" w:rsidRDefault="00725419">
      <w:pPr>
        <w:pStyle w:val="TableofFigures"/>
        <w:tabs>
          <w:tab w:val="right" w:leader="dot" w:pos="9062"/>
        </w:tabs>
        <w:rPr>
          <w:rFonts w:asciiTheme="minorHAnsi" w:eastAsiaTheme="minorEastAsia" w:hAnsiTheme="minorHAnsi" w:cstheme="minorBidi"/>
          <w:noProof/>
          <w:sz w:val="22"/>
        </w:rPr>
      </w:pPr>
      <w:hyperlink w:anchor="_Toc284613575" w:history="1">
        <w:r w:rsidR="00AE542A" w:rsidRPr="00B2136A">
          <w:rPr>
            <w:rStyle w:val="Hyperlink"/>
            <w:noProof/>
          </w:rPr>
          <w:t>Encadré 15 : Choses à faire et à ne pas faire pour une protection sociale sensible aux femmes</w:t>
        </w:r>
        <w:r w:rsidR="00AE542A">
          <w:rPr>
            <w:noProof/>
            <w:webHidden/>
          </w:rPr>
          <w:tab/>
        </w:r>
        <w:r>
          <w:rPr>
            <w:noProof/>
            <w:webHidden/>
          </w:rPr>
          <w:fldChar w:fldCharType="begin"/>
        </w:r>
        <w:r w:rsidR="00AE542A">
          <w:rPr>
            <w:noProof/>
            <w:webHidden/>
          </w:rPr>
          <w:instrText xml:space="preserve"> PAGEREF _Toc284613575 \h </w:instrText>
        </w:r>
        <w:r>
          <w:rPr>
            <w:noProof/>
            <w:webHidden/>
          </w:rPr>
        </w:r>
        <w:r>
          <w:rPr>
            <w:noProof/>
            <w:webHidden/>
          </w:rPr>
          <w:fldChar w:fldCharType="separate"/>
        </w:r>
        <w:r w:rsidR="00EF56B2">
          <w:rPr>
            <w:noProof/>
            <w:webHidden/>
          </w:rPr>
          <w:t>108</w:t>
        </w:r>
        <w:r>
          <w:rPr>
            <w:noProof/>
            <w:webHidden/>
          </w:rPr>
          <w:fldChar w:fldCharType="end"/>
        </w:r>
      </w:hyperlink>
    </w:p>
    <w:p w:rsidR="00AE542A" w:rsidRDefault="00725419">
      <w:pPr>
        <w:pStyle w:val="TableofFigures"/>
        <w:tabs>
          <w:tab w:val="right" w:leader="dot" w:pos="9062"/>
        </w:tabs>
        <w:rPr>
          <w:rFonts w:asciiTheme="minorHAnsi" w:eastAsiaTheme="minorEastAsia" w:hAnsiTheme="minorHAnsi" w:cstheme="minorBidi"/>
          <w:noProof/>
          <w:sz w:val="22"/>
        </w:rPr>
      </w:pPr>
      <w:hyperlink w:anchor="_Toc284613576" w:history="1">
        <w:r w:rsidR="00AE542A" w:rsidRPr="00B2136A">
          <w:rPr>
            <w:rStyle w:val="Hyperlink"/>
            <w:noProof/>
          </w:rPr>
          <w:t>Encadré 16 : Cibler ou ne pas cibler – Les coûts et l’économie politique d’une approche sélective</w:t>
        </w:r>
        <w:r w:rsidR="00AE542A">
          <w:rPr>
            <w:noProof/>
            <w:webHidden/>
          </w:rPr>
          <w:tab/>
        </w:r>
        <w:r>
          <w:rPr>
            <w:noProof/>
            <w:webHidden/>
          </w:rPr>
          <w:fldChar w:fldCharType="begin"/>
        </w:r>
        <w:r w:rsidR="00AE542A">
          <w:rPr>
            <w:noProof/>
            <w:webHidden/>
          </w:rPr>
          <w:instrText xml:space="preserve"> PAGEREF _Toc284613576 \h </w:instrText>
        </w:r>
        <w:r>
          <w:rPr>
            <w:noProof/>
            <w:webHidden/>
          </w:rPr>
        </w:r>
        <w:r>
          <w:rPr>
            <w:noProof/>
            <w:webHidden/>
          </w:rPr>
          <w:fldChar w:fldCharType="separate"/>
        </w:r>
        <w:r w:rsidR="00EF56B2">
          <w:rPr>
            <w:noProof/>
            <w:webHidden/>
          </w:rPr>
          <w:t>111</w:t>
        </w:r>
        <w:r>
          <w:rPr>
            <w:noProof/>
            <w:webHidden/>
          </w:rPr>
          <w:fldChar w:fldCharType="end"/>
        </w:r>
      </w:hyperlink>
    </w:p>
    <w:p w:rsidR="004B3541" w:rsidRDefault="00725419">
      <w:pPr>
        <w:rPr>
          <w:highlight w:val="yellow"/>
          <w:lang w:val="fr-FR"/>
        </w:rPr>
      </w:pPr>
      <w:r>
        <w:rPr>
          <w:highlight w:val="yellow"/>
          <w:lang w:val="fr-FR"/>
        </w:rPr>
        <w:fldChar w:fldCharType="end"/>
      </w:r>
    </w:p>
    <w:p w:rsidR="00C404A8" w:rsidRPr="00577EB1" w:rsidRDefault="00C404A8" w:rsidP="00613457">
      <w:pPr>
        <w:spacing w:after="0"/>
        <w:rPr>
          <w:highlight w:val="yellow"/>
          <w:lang w:val="fr-FR"/>
        </w:rPr>
      </w:pPr>
    </w:p>
    <w:p w:rsidR="0008523C" w:rsidRPr="00577EB1" w:rsidRDefault="0008523C" w:rsidP="007B40D3">
      <w:pPr>
        <w:spacing w:after="0"/>
        <w:rPr>
          <w:highlight w:val="yellow"/>
          <w:lang w:val="fr-FR"/>
        </w:rPr>
      </w:pPr>
    </w:p>
    <w:p w:rsidR="003755D6" w:rsidRPr="00577EB1" w:rsidRDefault="003755D6" w:rsidP="00E87413">
      <w:pPr>
        <w:spacing w:after="0"/>
        <w:rPr>
          <w:sz w:val="22"/>
          <w:highlight w:val="yellow"/>
          <w:lang w:val="fr-FR"/>
        </w:rPr>
        <w:sectPr w:rsidR="003755D6" w:rsidRPr="00577EB1" w:rsidSect="0008523C">
          <w:headerReference w:type="default" r:id="rId15"/>
          <w:footerReference w:type="default" r:id="rId16"/>
          <w:pgSz w:w="11906" w:h="16838" w:code="9"/>
          <w:pgMar w:top="1418" w:right="1416" w:bottom="1418" w:left="1418" w:header="709" w:footer="709" w:gutter="0"/>
          <w:pgNumType w:fmt="lowerRoman" w:start="1"/>
          <w:cols w:space="708"/>
          <w:docGrid w:linePitch="360"/>
        </w:sectPr>
      </w:pPr>
    </w:p>
    <w:p w:rsidR="00726DDC" w:rsidRPr="00577EB1" w:rsidRDefault="00726DDC" w:rsidP="00726DDC">
      <w:pPr>
        <w:pStyle w:val="Heading1"/>
      </w:pPr>
      <w:bookmarkStart w:id="1" w:name="_Toc264748718"/>
      <w:bookmarkStart w:id="2" w:name="_Toc262169620"/>
      <w:r w:rsidRPr="00577EB1">
        <w:lastRenderedPageBreak/>
        <w:t>RÉSUMÉ ANALYTIQUE</w:t>
      </w:r>
      <w:bookmarkEnd w:id="1"/>
    </w:p>
    <w:p w:rsidR="00726DDC" w:rsidRPr="00577EB1" w:rsidRDefault="00726DDC" w:rsidP="00726DDC">
      <w:pPr>
        <w:widowControl w:val="0"/>
        <w:adjustRightInd w:val="0"/>
        <w:snapToGrid w:val="0"/>
        <w:rPr>
          <w:szCs w:val="24"/>
          <w:lang w:val="fr-FR"/>
        </w:rPr>
      </w:pPr>
      <w:r w:rsidRPr="00577EB1">
        <w:rPr>
          <w:b/>
          <w:szCs w:val="24"/>
          <w:lang w:val="fr-FR"/>
        </w:rPr>
        <w:t>Le Burkina Faso est un pays pauvre enclavé, avec peu de ressources naturelles et une population de 15,8 millions d’habitants en expansion rapide.</w:t>
      </w:r>
      <w:r w:rsidRPr="00577EB1">
        <w:rPr>
          <w:szCs w:val="24"/>
          <w:lang w:val="fr-FR"/>
        </w:rPr>
        <w:t xml:space="preserve"> Malgré des réformes structurelles et de bonnes politiques macroéconomiques, l’économie reste très vulnérable aux chocs (climatiques et extérieurs, y compris les termes de l’échange pour le coton et la hausse des prix alimentaires et pétroliers). Ce pays, où règnent une pauvreté extrême et des conditions de vie difficiles, occupe un</w:t>
      </w:r>
      <w:r w:rsidR="007277EE">
        <w:rPr>
          <w:szCs w:val="24"/>
          <w:lang w:val="fr-FR"/>
        </w:rPr>
        <w:t>e</w:t>
      </w:r>
      <w:r w:rsidRPr="00577EB1">
        <w:rPr>
          <w:szCs w:val="24"/>
          <w:lang w:val="fr-FR"/>
        </w:rPr>
        <w:t xml:space="preserve"> des positions les plus basses (177</w:t>
      </w:r>
      <w:r w:rsidRPr="00577EB1">
        <w:rPr>
          <w:szCs w:val="24"/>
          <w:vertAlign w:val="superscript"/>
          <w:lang w:val="fr-FR"/>
        </w:rPr>
        <w:t>e</w:t>
      </w:r>
      <w:r w:rsidRPr="00577EB1">
        <w:rPr>
          <w:szCs w:val="24"/>
          <w:lang w:val="fr-FR"/>
        </w:rPr>
        <w:t xml:space="preserve"> sur 182 pays en 2009) au classement de l’indice de développement humain du Programme des Nations </w:t>
      </w:r>
      <w:r w:rsidR="007277EE">
        <w:rPr>
          <w:szCs w:val="24"/>
          <w:lang w:val="fr-FR"/>
        </w:rPr>
        <w:t>U</w:t>
      </w:r>
      <w:r w:rsidRPr="00577EB1">
        <w:rPr>
          <w:szCs w:val="24"/>
          <w:lang w:val="fr-FR"/>
        </w:rPr>
        <w:t xml:space="preserve">nies pour le </w:t>
      </w:r>
      <w:r w:rsidR="007277EE">
        <w:rPr>
          <w:szCs w:val="24"/>
          <w:lang w:val="fr-FR"/>
        </w:rPr>
        <w:t>D</w:t>
      </w:r>
      <w:r w:rsidRPr="00577EB1">
        <w:rPr>
          <w:szCs w:val="24"/>
          <w:lang w:val="fr-FR"/>
        </w:rPr>
        <w:t xml:space="preserve">éveloppement (IDH du PNUD). En 2008, le revenu </w:t>
      </w:r>
      <w:r w:rsidR="00E31F15">
        <w:rPr>
          <w:szCs w:val="24"/>
          <w:lang w:val="fr-FR"/>
        </w:rPr>
        <w:t xml:space="preserve">moyen </w:t>
      </w:r>
      <w:r w:rsidRPr="00577EB1">
        <w:rPr>
          <w:szCs w:val="24"/>
          <w:lang w:val="fr-FR"/>
        </w:rPr>
        <w:t>par habitant était de 480 dollars EU et plus de 40 % de la population vivait en-dessous du seuil de pauvreté. Malgré les efforts du gouvernement pour améliorer le niveau de vie général, les différences d’accès aux services sociaux, un taux de croissance démographique élevé (3,1 %), l’extrême pauvreté et une grande vulnérabilité à toute une série de chocs continuent à peser sur la population du Burkina Faso. La neuvième revue annuelle du Document de stratégie pour la réduction de la pauvreté révélait en 2008 que la croissance économique ne s’était pas traduite par la réduction de la pauvreté attendue, principalement à cause des récentes crises alimentaires</w:t>
      </w:r>
      <w:r w:rsidR="00BD550B">
        <w:rPr>
          <w:szCs w:val="24"/>
          <w:lang w:val="fr-FR"/>
        </w:rPr>
        <w:t>,</w:t>
      </w:r>
      <w:r w:rsidR="0007340F">
        <w:rPr>
          <w:szCs w:val="24"/>
          <w:lang w:val="fr-FR"/>
        </w:rPr>
        <w:t xml:space="preserve"> </w:t>
      </w:r>
      <w:r w:rsidRPr="00577EB1">
        <w:rPr>
          <w:szCs w:val="24"/>
          <w:lang w:val="fr-FR"/>
        </w:rPr>
        <w:t>de la forte croissance démographique</w:t>
      </w:r>
      <w:r w:rsidR="0007340F">
        <w:rPr>
          <w:szCs w:val="24"/>
          <w:lang w:val="fr-FR"/>
        </w:rPr>
        <w:t xml:space="preserve"> </w:t>
      </w:r>
      <w:r w:rsidRPr="00577EB1">
        <w:rPr>
          <w:szCs w:val="24"/>
          <w:lang w:val="fr-FR"/>
        </w:rPr>
        <w:t>et de l’inefficacité des mécanismes de redistribution de la richesse. Plus récemment, la crise financière et économique mondiale et les graves inondations de 2009 ont freiné la croissance économique.</w:t>
      </w:r>
    </w:p>
    <w:p w:rsidR="00726DDC" w:rsidRPr="00577EB1" w:rsidRDefault="00726DDC" w:rsidP="00726DDC">
      <w:pPr>
        <w:rPr>
          <w:rStyle w:val="StyleMainParawithChapterBold1Char"/>
          <w:rFonts w:ascii="Calibri" w:eastAsia="Calibri" w:hAnsi="Calibri"/>
          <w:b/>
          <w:bCs w:val="0"/>
          <w:lang w:val="fr-FR"/>
        </w:rPr>
      </w:pPr>
      <w:r w:rsidRPr="00577EB1">
        <w:rPr>
          <w:b/>
          <w:szCs w:val="24"/>
          <w:lang w:val="fr-FR"/>
        </w:rPr>
        <w:t>La grande vulnérabilité du pays à toute une variété de chocs (environnementaux, sociaux et économiques), affectant particulièrement les Burkinabés les plus pauvres, a augmenté la demande de programmes de filets sociaux.</w:t>
      </w:r>
      <w:r w:rsidRPr="00577EB1">
        <w:rPr>
          <w:szCs w:val="24"/>
          <w:lang w:val="fr-FR"/>
        </w:rPr>
        <w:t xml:space="preserve"> Une étude antérieure (2004) réalisée par la Banque mondiale a montré que les programmes de filets sociaux existants sont gérés par plusieurs ministères, ont une couverture limitée, dépendent fortement du financement extérieur, et qu’une nouvelle évaluation est nécessaire pour mieux comprendre leur rôle et, en particulier, pour réviser le fonctionnement de certains d’entre eux. Dans ce contexte, et en réponse à une demande du gouvernement, ce rapport, appuyé techniquement par l’UNICEF, fait un inventaire détaillé et actualisé des programmes de filets sociaux existants et suggère des mesures de politiques susceptibles d’améliorer leur couverture, leur efficacité, leur pertinence et leur </w:t>
      </w:r>
      <w:r w:rsidR="00BD550B">
        <w:rPr>
          <w:szCs w:val="24"/>
          <w:lang w:val="fr-FR"/>
        </w:rPr>
        <w:t xml:space="preserve">viabilité </w:t>
      </w:r>
      <w:r w:rsidRPr="00577EB1">
        <w:rPr>
          <w:szCs w:val="24"/>
          <w:lang w:val="fr-FR"/>
        </w:rPr>
        <w:t xml:space="preserve">financière. Ces résultats devraient aider le gouvernement à étendre les filets </w:t>
      </w:r>
      <w:r w:rsidR="00BD550B">
        <w:rPr>
          <w:szCs w:val="24"/>
          <w:lang w:val="fr-FR"/>
        </w:rPr>
        <w:t>sociaux</w:t>
      </w:r>
      <w:r w:rsidRPr="00577EB1">
        <w:rPr>
          <w:szCs w:val="24"/>
          <w:lang w:val="fr-FR"/>
        </w:rPr>
        <w:t xml:space="preserve"> pour qu’ils atteignent les populations les plus pauvres (pauvres chroniques) et les plus vulnérables. Ils </w:t>
      </w:r>
      <w:r w:rsidR="002526B9">
        <w:rPr>
          <w:szCs w:val="24"/>
          <w:lang w:val="fr-FR"/>
        </w:rPr>
        <w:t>constitue</w:t>
      </w:r>
      <w:r w:rsidR="00E06AA9">
        <w:rPr>
          <w:szCs w:val="24"/>
          <w:lang w:val="fr-FR"/>
        </w:rPr>
        <w:t>nt</w:t>
      </w:r>
      <w:r w:rsidR="002526B9">
        <w:rPr>
          <w:szCs w:val="24"/>
          <w:lang w:val="fr-FR"/>
        </w:rPr>
        <w:t xml:space="preserve"> </w:t>
      </w:r>
      <w:r w:rsidRPr="00577EB1">
        <w:rPr>
          <w:szCs w:val="24"/>
          <w:lang w:val="fr-FR"/>
        </w:rPr>
        <w:t xml:space="preserve">également  un apport </w:t>
      </w:r>
      <w:r w:rsidR="002526B9">
        <w:rPr>
          <w:szCs w:val="24"/>
          <w:lang w:val="fr-FR"/>
        </w:rPr>
        <w:t xml:space="preserve"> </w:t>
      </w:r>
      <w:r w:rsidRPr="00577EB1">
        <w:rPr>
          <w:szCs w:val="24"/>
          <w:lang w:val="fr-FR"/>
        </w:rPr>
        <w:t xml:space="preserve">pour sa </w:t>
      </w:r>
      <w:r w:rsidR="002526B9">
        <w:rPr>
          <w:szCs w:val="24"/>
          <w:lang w:val="fr-FR"/>
        </w:rPr>
        <w:t xml:space="preserve">2010 </w:t>
      </w:r>
      <w:r w:rsidRPr="00577EB1">
        <w:rPr>
          <w:szCs w:val="24"/>
          <w:lang w:val="fr-FR"/>
        </w:rPr>
        <w:t>Stratégie de croissance accélérée et de développement durable (SCADD).</w:t>
      </w:r>
    </w:p>
    <w:p w:rsidR="00726DDC" w:rsidRPr="00577EB1" w:rsidRDefault="00726DDC" w:rsidP="00E52A30">
      <w:pPr>
        <w:pStyle w:val="ListParagraph"/>
        <w:numPr>
          <w:ilvl w:val="0"/>
          <w:numId w:val="21"/>
        </w:numPr>
        <w:ind w:left="0" w:firstLine="0"/>
        <w:rPr>
          <w:b/>
          <w:sz w:val="28"/>
          <w:szCs w:val="24"/>
          <w:lang w:val="fr-FR"/>
        </w:rPr>
      </w:pPr>
      <w:r w:rsidRPr="00577EB1">
        <w:rPr>
          <w:b/>
          <w:sz w:val="28"/>
          <w:szCs w:val="24"/>
          <w:lang w:val="fr-FR"/>
        </w:rPr>
        <w:t>Principaux constats du rapport</w:t>
      </w:r>
    </w:p>
    <w:p w:rsidR="00726DDC" w:rsidRPr="00577EB1" w:rsidRDefault="00726DDC" w:rsidP="00726DDC">
      <w:pPr>
        <w:rPr>
          <w:szCs w:val="24"/>
          <w:lang w:val="fr-FR"/>
        </w:rPr>
      </w:pPr>
      <w:r w:rsidRPr="00577EB1">
        <w:rPr>
          <w:szCs w:val="24"/>
          <w:lang w:val="fr-FR"/>
        </w:rPr>
        <w:t>Ce rapport montre que la portée et la couverture d</w:t>
      </w:r>
      <w:r w:rsidR="00E31F15">
        <w:rPr>
          <w:szCs w:val="24"/>
          <w:lang w:val="fr-FR"/>
        </w:rPr>
        <w:t>u système de</w:t>
      </w:r>
      <w:r w:rsidRPr="00577EB1">
        <w:rPr>
          <w:szCs w:val="24"/>
          <w:lang w:val="fr-FR"/>
        </w:rPr>
        <w:t xml:space="preserve"> filets sociaux existant sont trop restreintes, et que la plupart des interventions ont une échelle plutôt petite et sont conçues comme des programmes temporaires. En moyenne, en dehors de la subvention des carburants, la dépense dans les programmes de filets sociaux a été d’environ </w:t>
      </w:r>
      <w:r w:rsidR="00E31F15">
        <w:rPr>
          <w:szCs w:val="24"/>
          <w:lang w:val="fr-FR"/>
        </w:rPr>
        <w:t>0,</w:t>
      </w:r>
      <w:r w:rsidRPr="00577EB1">
        <w:rPr>
          <w:szCs w:val="24"/>
          <w:lang w:val="fr-FR"/>
        </w:rPr>
        <w:t>6 % du PIB de 2005 à 2009</w:t>
      </w:r>
      <w:r w:rsidR="00E31F15">
        <w:rPr>
          <w:szCs w:val="24"/>
          <w:lang w:val="fr-FR"/>
        </w:rPr>
        <w:t xml:space="preserve"> – de 0,3% en 2005 à 0,9% en 2009</w:t>
      </w:r>
      <w:r w:rsidRPr="00577EB1">
        <w:rPr>
          <w:szCs w:val="24"/>
          <w:lang w:val="fr-FR"/>
        </w:rPr>
        <w:t>, alors qu’environ 20 % de la population souffre d’insécurité alimentaire et vit dans une pauvreté chronique permanente.</w:t>
      </w:r>
      <w:r w:rsidRPr="00577EB1">
        <w:rPr>
          <w:color w:val="000000"/>
          <w:szCs w:val="24"/>
          <w:lang w:val="fr-FR"/>
        </w:rPr>
        <w:t xml:space="preserve"> </w:t>
      </w:r>
      <w:r w:rsidRPr="00577EB1">
        <w:rPr>
          <w:szCs w:val="24"/>
          <w:lang w:val="fr-FR"/>
        </w:rPr>
        <w:t>La subvention universelle des carburants</w:t>
      </w:r>
      <w:r w:rsidRPr="00577EB1">
        <w:rPr>
          <w:color w:val="FF0000"/>
          <w:szCs w:val="24"/>
          <w:lang w:val="fr-FR"/>
        </w:rPr>
        <w:t xml:space="preserve"> </w:t>
      </w:r>
      <w:r w:rsidRPr="00577EB1">
        <w:rPr>
          <w:szCs w:val="24"/>
          <w:lang w:val="fr-FR"/>
        </w:rPr>
        <w:t xml:space="preserve">est très coûteuse (0,7 % du PIB en 2007), et ses effets sont très limités pour le décile le plus pauvre (84 % des avantages vont aux non-pauvres). Parmi les autres programmes, les transferts alimentaires sont la principale forme de programmes de filets sociaux au Burkina Faso. Ils représentaient 69 % des dépenses totales en faveur des filets sociaux et rassemblaient plus de 80 % du total estimé des bénéficiaires en 2009 </w:t>
      </w:r>
      <w:r w:rsidRPr="00577EB1">
        <w:rPr>
          <w:szCs w:val="24"/>
          <w:lang w:val="fr-FR"/>
        </w:rPr>
        <w:lastRenderedPageBreak/>
        <w:t xml:space="preserve">(subventions carburant exclues). La plus grande partie du financement des programmes de filets sociaux vient de l’extérieur et de ressources </w:t>
      </w:r>
      <w:r w:rsidRPr="00577EB1">
        <w:rPr>
          <w:i/>
          <w:szCs w:val="24"/>
          <w:lang w:val="fr-FR"/>
        </w:rPr>
        <w:t>ad hoc.</w:t>
      </w:r>
    </w:p>
    <w:p w:rsidR="00726DDC" w:rsidRPr="00577EB1" w:rsidRDefault="00726DDC" w:rsidP="00726DDC">
      <w:pPr>
        <w:tabs>
          <w:tab w:val="clear" w:pos="709"/>
        </w:tabs>
        <w:spacing w:after="0"/>
        <w:jc w:val="left"/>
        <w:rPr>
          <w:szCs w:val="24"/>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286"/>
      </w:tblGrid>
      <w:tr w:rsidR="00726DDC" w:rsidRPr="000A70E6" w:rsidTr="002E752D">
        <w:tc>
          <w:tcPr>
            <w:tcW w:w="9286" w:type="dxa"/>
          </w:tcPr>
          <w:p w:rsidR="00726DDC" w:rsidRPr="00577EB1" w:rsidRDefault="00726DDC" w:rsidP="002E752D">
            <w:pPr>
              <w:jc w:val="center"/>
              <w:rPr>
                <w:sz w:val="20"/>
                <w:szCs w:val="24"/>
                <w:lang w:val="fr-FR"/>
              </w:rPr>
            </w:pPr>
            <w:r w:rsidRPr="00577EB1">
              <w:rPr>
                <w:b/>
                <w:i/>
                <w:sz w:val="20"/>
                <w:szCs w:val="24"/>
                <w:lang w:val="fr-FR"/>
              </w:rPr>
              <w:t>Définition des filets sociaux</w:t>
            </w:r>
          </w:p>
          <w:p w:rsidR="00726DDC" w:rsidRPr="00577EB1" w:rsidRDefault="00726DDC" w:rsidP="002E752D">
            <w:pPr>
              <w:rPr>
                <w:szCs w:val="24"/>
                <w:lang w:val="fr-FR"/>
              </w:rPr>
            </w:pPr>
            <w:r w:rsidRPr="00577EB1">
              <w:rPr>
                <w:sz w:val="20"/>
                <w:szCs w:val="24"/>
                <w:lang w:val="fr-FR"/>
              </w:rPr>
              <w:t xml:space="preserve">Le terme </w:t>
            </w:r>
            <w:r w:rsidRPr="00577EB1">
              <w:rPr>
                <w:i/>
                <w:sz w:val="20"/>
                <w:szCs w:val="24"/>
                <w:lang w:val="fr-FR"/>
              </w:rPr>
              <w:t xml:space="preserve">filet social </w:t>
            </w:r>
            <w:r w:rsidRPr="00577EB1">
              <w:rPr>
                <w:sz w:val="20"/>
                <w:szCs w:val="24"/>
                <w:lang w:val="fr-FR"/>
              </w:rPr>
              <w:t xml:space="preserve">désigne, dans ce rapport, des programmes de transferts non contributifs publiquement financés, ciblant de l’une ou l’autre manière des individus ou des ménages pauvres ou vulnérables, et visant à accroître directement la consommation </w:t>
            </w:r>
            <w:r w:rsidR="00BD550B">
              <w:rPr>
                <w:sz w:val="20"/>
                <w:szCs w:val="24"/>
                <w:lang w:val="fr-FR"/>
              </w:rPr>
              <w:t xml:space="preserve">et/ou l’accès aux </w:t>
            </w:r>
            <w:r w:rsidRPr="00577EB1">
              <w:rPr>
                <w:sz w:val="20"/>
                <w:szCs w:val="24"/>
                <w:lang w:val="fr-FR"/>
              </w:rPr>
              <w:t xml:space="preserve">services sociaux de base. </w:t>
            </w:r>
          </w:p>
          <w:p w:rsidR="00726DDC" w:rsidRPr="00577EB1" w:rsidRDefault="00726DDC" w:rsidP="002E752D">
            <w:pPr>
              <w:rPr>
                <w:szCs w:val="24"/>
                <w:lang w:val="fr-FR"/>
              </w:rPr>
            </w:pPr>
            <w:r w:rsidRPr="00577EB1">
              <w:rPr>
                <w:sz w:val="20"/>
                <w:szCs w:val="24"/>
                <w:lang w:val="fr-FR"/>
              </w:rPr>
              <w:t>Les filets sociaux peuvent jouer quatre rôles dans la politique de développement</w:t>
            </w:r>
            <w:r w:rsidR="0007340F">
              <w:rPr>
                <w:sz w:val="20"/>
                <w:szCs w:val="24"/>
                <w:lang w:val="fr-FR"/>
              </w:rPr>
              <w:t xml:space="preserve"> </w:t>
            </w:r>
            <w:r w:rsidRPr="00577EB1">
              <w:rPr>
                <w:sz w:val="20"/>
                <w:szCs w:val="24"/>
                <w:lang w:val="fr-FR"/>
              </w:rPr>
              <w:t>i) redistribuer le revenu aux pauvres et plus vulnérables, avec un impact immédiat sur la pauvreté et l’inégalité</w:t>
            </w:r>
            <w:r w:rsidR="0007340F">
              <w:rPr>
                <w:sz w:val="20"/>
                <w:szCs w:val="24"/>
                <w:lang w:val="fr-FR"/>
              </w:rPr>
              <w:t xml:space="preserve"> </w:t>
            </w:r>
            <w:r w:rsidRPr="00577EB1">
              <w:rPr>
                <w:sz w:val="20"/>
                <w:szCs w:val="24"/>
                <w:lang w:val="fr-FR"/>
              </w:rPr>
              <w:t>ii) permettre aux ménages de mieux investir dans leur avenir, tant dans le capital humain de leurs enfants que dans les moyens d’existence des soutiens de famille</w:t>
            </w:r>
            <w:r w:rsidR="0007340F">
              <w:rPr>
                <w:sz w:val="20"/>
                <w:szCs w:val="24"/>
                <w:lang w:val="fr-FR"/>
              </w:rPr>
              <w:t xml:space="preserve"> </w:t>
            </w:r>
            <w:r w:rsidRPr="00577EB1">
              <w:rPr>
                <w:sz w:val="20"/>
                <w:szCs w:val="24"/>
                <w:lang w:val="fr-FR"/>
              </w:rPr>
              <w:t>iii) aider les ménages à gérer les risques, à la fois en protégeant les ménages et en promouvant leur autonomie</w:t>
            </w:r>
            <w:r w:rsidR="0007340F">
              <w:rPr>
                <w:sz w:val="20"/>
                <w:szCs w:val="24"/>
                <w:lang w:val="fr-FR"/>
              </w:rPr>
              <w:t xml:space="preserve"> </w:t>
            </w:r>
            <w:r w:rsidRPr="00577EB1">
              <w:rPr>
                <w:sz w:val="20"/>
                <w:szCs w:val="24"/>
                <w:lang w:val="fr-FR"/>
              </w:rPr>
              <w:t>et iv) permettre aux pouvoirs publics de faire des choix soutenant l’efficacité et la croissance, en libérant d’autres secteurs de toute fonction de redistribution pour qu’ils puissent se concentrer sur une prestation efficace des services. Les filets sociaux peuvent donc contribuer au développement général du pays.</w:t>
            </w:r>
          </w:p>
          <w:p w:rsidR="00726DDC" w:rsidRPr="00577EB1" w:rsidRDefault="00726DDC" w:rsidP="002E752D">
            <w:pPr>
              <w:rPr>
                <w:szCs w:val="24"/>
                <w:lang w:val="fr-FR"/>
              </w:rPr>
            </w:pPr>
            <w:r w:rsidRPr="00577EB1">
              <w:rPr>
                <w:sz w:val="20"/>
                <w:szCs w:val="24"/>
                <w:lang w:val="fr-FR"/>
              </w:rPr>
              <w:t>De même que d’autres instruments de protection sociale, les filets sociaux sont des interventions liées à la demande qui visent à agir en synergie avec des interventions associées à l’offre (comme la fourniture de services éducatifs et de santé de qualité, la production agricole, les services de la microfinance, etc.) en faveur du développement du capital humain, du développement rural, etc. et, en fin de compte, de la réduction de la pauvreté et de la cohésion sociale.</w:t>
            </w:r>
          </w:p>
        </w:tc>
      </w:tr>
    </w:tbl>
    <w:p w:rsidR="00726DDC" w:rsidRPr="00577EB1" w:rsidRDefault="00726DDC" w:rsidP="00726DDC">
      <w:pPr>
        <w:rPr>
          <w:b/>
          <w:i/>
          <w:sz w:val="28"/>
          <w:szCs w:val="24"/>
          <w:lang w:val="fr-FR"/>
        </w:rPr>
      </w:pPr>
      <w:r w:rsidRPr="00577EB1">
        <w:rPr>
          <w:i/>
          <w:sz w:val="20"/>
          <w:szCs w:val="24"/>
          <w:lang w:val="fr-FR"/>
        </w:rPr>
        <w:t>Source</w:t>
      </w:r>
      <w:r w:rsidR="007F43F0">
        <w:rPr>
          <w:i/>
          <w:sz w:val="20"/>
          <w:szCs w:val="24"/>
          <w:lang w:val="fr-FR"/>
        </w:rPr>
        <w:t> :</w:t>
      </w:r>
      <w:r w:rsidR="0007340F">
        <w:rPr>
          <w:i/>
          <w:sz w:val="20"/>
          <w:szCs w:val="24"/>
          <w:lang w:val="fr-FR"/>
        </w:rPr>
        <w:t xml:space="preserve"> </w:t>
      </w:r>
      <w:r w:rsidRPr="00577EB1">
        <w:rPr>
          <w:sz w:val="20"/>
          <w:szCs w:val="24"/>
          <w:lang w:val="fr-FR"/>
        </w:rPr>
        <w:t xml:space="preserve">Grosh </w:t>
      </w:r>
      <w:r w:rsidRPr="00577EB1">
        <w:rPr>
          <w:i/>
          <w:sz w:val="20"/>
          <w:szCs w:val="24"/>
          <w:lang w:val="fr-FR"/>
        </w:rPr>
        <w:t>et coll.</w:t>
      </w:r>
      <w:r w:rsidRPr="00577EB1">
        <w:rPr>
          <w:sz w:val="20"/>
          <w:szCs w:val="24"/>
          <w:lang w:val="fr-FR"/>
        </w:rPr>
        <w:t xml:space="preserve"> 2008.</w:t>
      </w:r>
    </w:p>
    <w:p w:rsidR="00726DDC" w:rsidRPr="00577EB1" w:rsidRDefault="00726DDC" w:rsidP="00726DDC">
      <w:pPr>
        <w:rPr>
          <w:b/>
          <w:i/>
          <w:sz w:val="28"/>
          <w:szCs w:val="24"/>
          <w:lang w:val="fr-FR"/>
        </w:rPr>
      </w:pPr>
      <w:r w:rsidRPr="00577EB1">
        <w:rPr>
          <w:b/>
          <w:i/>
          <w:sz w:val="28"/>
          <w:szCs w:val="24"/>
          <w:lang w:val="fr-FR"/>
        </w:rPr>
        <w:t>Pauvreté et vulnérabilité</w:t>
      </w:r>
    </w:p>
    <w:p w:rsidR="00726DDC" w:rsidRPr="00577EB1" w:rsidRDefault="00726DDC" w:rsidP="00726DDC">
      <w:pPr>
        <w:rPr>
          <w:color w:val="000000"/>
          <w:szCs w:val="24"/>
          <w:lang w:val="fr-FR"/>
        </w:rPr>
      </w:pPr>
      <w:r w:rsidRPr="00577EB1">
        <w:rPr>
          <w:b/>
          <w:szCs w:val="24"/>
          <w:lang w:val="fr-FR"/>
        </w:rPr>
        <w:t>Bien que l’incidence de la pauvreté ait diminué grâce à la croissance économique soutenue de la dernière décennie et que d’importants progrès aient été réalisés au niveau de l’accès des ménages aux services de base, il reste des défis importants, et sa croissance démographique rapide risque d’empêcher le pays d’atteindre ses O</w:t>
      </w:r>
      <w:r w:rsidR="00E31F15">
        <w:rPr>
          <w:b/>
          <w:szCs w:val="24"/>
          <w:lang w:val="fr-FR"/>
        </w:rPr>
        <w:t xml:space="preserve">bjectifs du </w:t>
      </w:r>
      <w:r w:rsidRPr="00577EB1">
        <w:rPr>
          <w:b/>
          <w:szCs w:val="24"/>
          <w:lang w:val="fr-FR"/>
        </w:rPr>
        <w:t>M</w:t>
      </w:r>
      <w:r w:rsidR="00E31F15">
        <w:rPr>
          <w:b/>
          <w:szCs w:val="24"/>
          <w:lang w:val="fr-FR"/>
        </w:rPr>
        <w:t xml:space="preserve">illénaire pour le </w:t>
      </w:r>
      <w:r w:rsidRPr="00577EB1">
        <w:rPr>
          <w:b/>
          <w:szCs w:val="24"/>
          <w:lang w:val="fr-FR"/>
        </w:rPr>
        <w:t>D</w:t>
      </w:r>
      <w:r w:rsidR="00E31F15">
        <w:rPr>
          <w:b/>
          <w:szCs w:val="24"/>
          <w:lang w:val="fr-FR"/>
        </w:rPr>
        <w:t>éveloppement</w:t>
      </w:r>
      <w:r w:rsidRPr="00577EB1">
        <w:rPr>
          <w:b/>
          <w:szCs w:val="24"/>
          <w:lang w:val="fr-FR"/>
        </w:rPr>
        <w:t>.</w:t>
      </w:r>
      <w:r w:rsidRPr="00577EB1">
        <w:rPr>
          <w:b/>
          <w:i/>
          <w:szCs w:val="24"/>
          <w:lang w:val="fr-FR"/>
        </w:rPr>
        <w:t xml:space="preserve"> </w:t>
      </w:r>
      <w:r w:rsidRPr="00577EB1">
        <w:rPr>
          <w:szCs w:val="24"/>
          <w:lang w:val="fr-FR"/>
        </w:rPr>
        <w:t xml:space="preserve">Sur la base des données d’enquêtes disponibles et des </w:t>
      </w:r>
      <w:r w:rsidR="006C7E0D" w:rsidRPr="00577EB1">
        <w:rPr>
          <w:szCs w:val="24"/>
          <w:lang w:val="fr-FR"/>
        </w:rPr>
        <w:t>prévision</w:t>
      </w:r>
      <w:r w:rsidRPr="00577EB1">
        <w:rPr>
          <w:szCs w:val="24"/>
          <w:lang w:val="fr-FR"/>
        </w:rPr>
        <w:t xml:space="preserve">s </w:t>
      </w:r>
      <w:r w:rsidR="006C7E0D" w:rsidRPr="00577EB1">
        <w:rPr>
          <w:szCs w:val="24"/>
          <w:lang w:val="fr-FR"/>
        </w:rPr>
        <w:t>pour les</w:t>
      </w:r>
      <w:r w:rsidRPr="00577EB1">
        <w:rPr>
          <w:szCs w:val="24"/>
          <w:lang w:val="fr-FR"/>
        </w:rPr>
        <w:t xml:space="preserve"> comptes nationaux, la part de population vivant en-dessous du seuil de pauvreté est tombée de 46,4 % en 2003 à 42,2 % en 2009. En termes d’actifs, même si la pauvreté a diminué (de 46,3 % en 2003 à 40,4 % en 2005 et 38,5 % en 2007), le pourcentage des pauvres chroniques a augmenté suite à différents chocs</w:t>
      </w:r>
      <w:r w:rsidR="002F4A9E">
        <w:rPr>
          <w:szCs w:val="24"/>
          <w:lang w:val="fr-FR"/>
        </w:rPr>
        <w:t> :</w:t>
      </w:r>
      <w:r w:rsidR="0007340F">
        <w:rPr>
          <w:szCs w:val="24"/>
          <w:lang w:val="fr-FR"/>
        </w:rPr>
        <w:t xml:space="preserve"> </w:t>
      </w:r>
      <w:r w:rsidRPr="00577EB1">
        <w:rPr>
          <w:szCs w:val="24"/>
          <w:lang w:val="fr-FR"/>
        </w:rPr>
        <w:t xml:space="preserve">il est passé de 25,4 % en 2003 à 18,8 % en 2007, après avoir plafonné à 31,1 % en 2005 après les chocs climatiques. </w:t>
      </w:r>
    </w:p>
    <w:p w:rsidR="00726DDC" w:rsidRPr="00577EB1" w:rsidRDefault="00726DDC" w:rsidP="00726DDC">
      <w:pPr>
        <w:rPr>
          <w:szCs w:val="24"/>
          <w:lang w:val="fr-FR"/>
        </w:rPr>
      </w:pPr>
      <w:r w:rsidRPr="00577EB1">
        <w:rPr>
          <w:color w:val="000000"/>
          <w:szCs w:val="24"/>
          <w:lang w:val="fr-FR"/>
        </w:rPr>
        <w:t xml:space="preserve">En termes d’indicateurs sociaux, l’accès aux services de santé s’est amélioré grâce à une augmentation régulière des dépenses dans la santé publique exprimée en pourcentages du budget général (de 7,4 % en 2004 à 9,9 % en 2006). </w:t>
      </w:r>
      <w:r w:rsidRPr="00577EB1">
        <w:rPr>
          <w:szCs w:val="24"/>
          <w:lang w:val="fr-FR"/>
        </w:rPr>
        <w:t>Malgré cela, i) la qualité de l’enseignement reste médiocre</w:t>
      </w:r>
      <w:r w:rsidR="002F4A9E">
        <w:rPr>
          <w:szCs w:val="24"/>
          <w:lang w:val="fr-FR"/>
        </w:rPr>
        <w:t> ;</w:t>
      </w:r>
      <w:r w:rsidR="0007340F">
        <w:rPr>
          <w:szCs w:val="24"/>
          <w:lang w:val="fr-FR"/>
        </w:rPr>
        <w:t xml:space="preserve"> </w:t>
      </w:r>
      <w:r w:rsidRPr="00577EB1">
        <w:rPr>
          <w:szCs w:val="24"/>
          <w:lang w:val="fr-FR"/>
        </w:rPr>
        <w:t>ii) les disparités liées au genre sont toujours importantes</w:t>
      </w:r>
      <w:r w:rsidR="0007340F">
        <w:rPr>
          <w:szCs w:val="24"/>
          <w:lang w:val="fr-FR"/>
        </w:rPr>
        <w:t xml:space="preserve"> </w:t>
      </w:r>
      <w:r w:rsidRPr="00577EB1">
        <w:rPr>
          <w:szCs w:val="24"/>
          <w:lang w:val="fr-FR"/>
        </w:rPr>
        <w:t>et iii) la rapide croissance démographique (3,1 % par an) a des conséquences négatives majeures pour la croissance, le niveau de vie et la réduction de la pauvreté.</w:t>
      </w:r>
    </w:p>
    <w:p w:rsidR="00726DDC" w:rsidRPr="00577EB1" w:rsidRDefault="00726DDC" w:rsidP="00726DDC">
      <w:pPr>
        <w:rPr>
          <w:b/>
          <w:i/>
          <w:szCs w:val="24"/>
          <w:lang w:val="fr-FR"/>
        </w:rPr>
      </w:pPr>
      <w:r w:rsidRPr="00577EB1">
        <w:rPr>
          <w:b/>
          <w:szCs w:val="24"/>
          <w:lang w:val="fr-FR"/>
        </w:rPr>
        <w:t>Sur base de l’enquête sur les priorités de 2003, le ménage burkinabé pauvre type se comp</w:t>
      </w:r>
      <w:r w:rsidR="002F4A9E">
        <w:rPr>
          <w:b/>
          <w:szCs w:val="24"/>
          <w:lang w:val="fr-FR"/>
        </w:rPr>
        <w:t>ose de</w:t>
      </w:r>
      <w:r w:rsidRPr="00577EB1">
        <w:rPr>
          <w:b/>
          <w:szCs w:val="24"/>
          <w:lang w:val="fr-FR"/>
        </w:rPr>
        <w:t xml:space="preserve"> sept membres ou plus, a à sa tête un homme polygame, illettré ou avec un niveau d’études ne dépassant pas le primaire inférieur, qui est un agriculteur vivant dans une zone rurale de la région Nord-Est. </w:t>
      </w:r>
      <w:r w:rsidRPr="00577EB1">
        <w:rPr>
          <w:szCs w:val="24"/>
          <w:lang w:val="fr-FR"/>
        </w:rPr>
        <w:t xml:space="preserve">Plus de 92 % de la population vit dans des zones rurales où l’incidence de la pauvreté est plus de deux fois supérieure à celle des zones urbaines (52,3 % contre 19,9 %). En termes de pauvreté régionale, la région du Centre figure parmi les plus pauvres, avec plus de la moitié du total des pauvres. Les ménages dont le chef </w:t>
      </w:r>
      <w:r w:rsidRPr="00577EB1">
        <w:rPr>
          <w:szCs w:val="24"/>
          <w:lang w:val="fr-FR"/>
        </w:rPr>
        <w:lastRenderedPageBreak/>
        <w:t>de famille est un homme, qui représentent 95,6 % de l’incidence de la pauvreté, ont tendance à être plus pauvres que ceux dont le chef de famille est une femme, tant en termes d’incidence que d’écart. Le genre est également fortement corrélé à la pauvreté, et comme dans beaucoup de régions de l’Afrique de l’Ouest sahélienne, il y a des raisons de croire que certains groupes de femmes puissent être particulièrement pauvres et vulnérables (veuves, veuves remariées, divorcées, ainsi que leurs enfants).</w:t>
      </w:r>
      <w:r w:rsidRPr="00577EB1">
        <w:rPr>
          <w:i/>
          <w:szCs w:val="24"/>
          <w:lang w:val="fr-FR"/>
        </w:rPr>
        <w:t xml:space="preserve"> </w:t>
      </w:r>
      <w:r w:rsidRPr="00577EB1">
        <w:rPr>
          <w:szCs w:val="24"/>
          <w:lang w:val="fr-FR"/>
        </w:rPr>
        <w:t>En outre, les ménages dont le chef de famille est analphabète ou n’a pas dépassé le début de l’école primaire ont une incidence de pauvreté sensiblement plus élevée (51,0 % et 41,1 % respectivement).</w:t>
      </w:r>
    </w:p>
    <w:p w:rsidR="00726DDC" w:rsidRPr="00577EB1" w:rsidRDefault="00726DDC" w:rsidP="00726DDC">
      <w:pPr>
        <w:rPr>
          <w:b/>
          <w:i/>
          <w:sz w:val="28"/>
          <w:szCs w:val="24"/>
          <w:lang w:val="fr-FR"/>
        </w:rPr>
      </w:pPr>
      <w:r w:rsidRPr="00577EB1">
        <w:rPr>
          <w:b/>
          <w:i/>
          <w:sz w:val="28"/>
          <w:szCs w:val="24"/>
          <w:lang w:val="fr-FR"/>
        </w:rPr>
        <w:t>Stratégie d</w:t>
      </w:r>
      <w:r w:rsidR="00E31F15">
        <w:rPr>
          <w:b/>
          <w:i/>
          <w:sz w:val="28"/>
          <w:szCs w:val="24"/>
          <w:lang w:val="fr-FR"/>
        </w:rPr>
        <w:t>u gouvernement</w:t>
      </w:r>
      <w:r w:rsidRPr="00577EB1">
        <w:rPr>
          <w:b/>
          <w:i/>
          <w:sz w:val="28"/>
          <w:szCs w:val="24"/>
          <w:lang w:val="fr-FR"/>
        </w:rPr>
        <w:t xml:space="preserve">, dispositifs institutionnels et dépenses en faveur des filets sociaux </w:t>
      </w:r>
    </w:p>
    <w:p w:rsidR="00726DDC" w:rsidRPr="00577EB1" w:rsidRDefault="00726DDC" w:rsidP="00726DDC">
      <w:pPr>
        <w:rPr>
          <w:szCs w:val="24"/>
          <w:lang w:val="fr-FR"/>
        </w:rPr>
      </w:pPr>
      <w:r w:rsidRPr="00577EB1">
        <w:rPr>
          <w:b/>
          <w:szCs w:val="24"/>
          <w:lang w:val="fr-FR"/>
        </w:rPr>
        <w:t xml:space="preserve">Bien que le Burkina Faso n’ait pas encore adopté une politique de protection sociale nationale consolidée, les programmes de filets sociaux jouent un rôle important dans le développement du capital humain et dans les stratégies de réponse aux crises du pays. </w:t>
      </w:r>
      <w:r w:rsidRPr="00577EB1">
        <w:rPr>
          <w:szCs w:val="24"/>
          <w:lang w:val="fr-FR"/>
        </w:rPr>
        <w:t>Des programmes de filets sociaux apparaissent dans beaucoup de stratégies sectorielles</w:t>
      </w:r>
      <w:r w:rsidR="002F4A9E">
        <w:rPr>
          <w:szCs w:val="24"/>
          <w:lang w:val="fr-FR"/>
        </w:rPr>
        <w:t> :</w:t>
      </w:r>
      <w:r w:rsidR="0007340F">
        <w:rPr>
          <w:szCs w:val="24"/>
          <w:lang w:val="fr-FR"/>
        </w:rPr>
        <w:t xml:space="preserve"> </w:t>
      </w:r>
      <w:r w:rsidRPr="00577EB1">
        <w:rPr>
          <w:szCs w:val="24"/>
          <w:lang w:val="fr-FR"/>
        </w:rPr>
        <w:t>la santé, l’enseignement, la sécurité alimentaire et l’emploi. Pourtant, leur potentiel de réduction de la pauvreté et de la vulnérabilité par la redistribution, la promotion et la transformation des revenus est moins souvent reconnu dans les stratégies sectorielles à moyen terme. De plus, à cause de l’absence d’une stratégie complète et de structures institutionnelles adéquates, les mécanismes de coordination interministérielle de la protection sociale et des filets sociaux sont f</w:t>
      </w:r>
      <w:r w:rsidR="009E6469">
        <w:rPr>
          <w:szCs w:val="24"/>
          <w:lang w:val="fr-FR"/>
        </w:rPr>
        <w:t>aibles</w:t>
      </w:r>
      <w:r w:rsidRPr="00577EB1">
        <w:rPr>
          <w:szCs w:val="24"/>
          <w:lang w:val="fr-FR"/>
        </w:rPr>
        <w:t xml:space="preserve">. </w:t>
      </w:r>
    </w:p>
    <w:p w:rsidR="00726DDC" w:rsidRPr="00577EB1" w:rsidRDefault="00726DDC" w:rsidP="00726DDC">
      <w:pPr>
        <w:spacing w:after="0"/>
        <w:rPr>
          <w:rStyle w:val="tw4winMark"/>
          <w:szCs w:val="24"/>
          <w:lang w:val="fr-FR"/>
        </w:rPr>
      </w:pPr>
      <w:r w:rsidRPr="00577EB1">
        <w:rPr>
          <w:b/>
          <w:szCs w:val="24"/>
          <w:lang w:val="fr-FR"/>
        </w:rPr>
        <w:t>Le gouvernement entreprend actuellement plusieurs actions pour répondre à la nécessité d’une protection sociale plus complète et, en particulier,</w:t>
      </w:r>
      <w:r w:rsidRPr="00577EB1" w:rsidDel="00DC2E5F">
        <w:rPr>
          <w:b/>
          <w:szCs w:val="24"/>
          <w:lang w:val="fr-FR"/>
        </w:rPr>
        <w:t xml:space="preserve"> </w:t>
      </w:r>
      <w:r w:rsidRPr="00577EB1">
        <w:rPr>
          <w:b/>
          <w:szCs w:val="24"/>
          <w:lang w:val="fr-FR"/>
        </w:rPr>
        <w:t xml:space="preserve">d’un système de filets sociaux plus efficace. </w:t>
      </w:r>
      <w:r w:rsidRPr="00577EB1">
        <w:rPr>
          <w:szCs w:val="24"/>
          <w:lang w:val="fr-FR"/>
        </w:rPr>
        <w:t>En février 2010, un Comité interministériel pour la protection sociale a été créé par décret</w:t>
      </w:r>
      <w:r w:rsidR="004D2B50">
        <w:rPr>
          <w:szCs w:val="24"/>
          <w:lang w:val="fr-FR"/>
        </w:rPr>
        <w:t xml:space="preserve"> et sa première réunion a été organisée en juillet 2010 De plus, e</w:t>
      </w:r>
      <w:r w:rsidRPr="00577EB1">
        <w:rPr>
          <w:szCs w:val="24"/>
          <w:lang w:val="fr-FR"/>
        </w:rPr>
        <w:t xml:space="preserve">n avril 2010, le </w:t>
      </w:r>
      <w:r w:rsidR="009E6469">
        <w:rPr>
          <w:szCs w:val="24"/>
          <w:lang w:val="fr-FR"/>
        </w:rPr>
        <w:t>M</w:t>
      </w:r>
      <w:r w:rsidRPr="00577EB1">
        <w:rPr>
          <w:szCs w:val="24"/>
          <w:lang w:val="fr-FR"/>
        </w:rPr>
        <w:t xml:space="preserve">inistère de l’Économie et des Finances (MEF) a organisé un forum technique national sur la protection sociale dans le but explicite de tracer les grandes lignes d’une vision nationale et consolidée de la protection sociale, y compris de la composante </w:t>
      </w:r>
      <w:r w:rsidR="00E31F15">
        <w:rPr>
          <w:szCs w:val="24"/>
          <w:lang w:val="fr-FR"/>
        </w:rPr>
        <w:t>« </w:t>
      </w:r>
      <w:r w:rsidRPr="00577EB1">
        <w:rPr>
          <w:szCs w:val="24"/>
          <w:lang w:val="fr-FR"/>
        </w:rPr>
        <w:t>filets sociaux</w:t>
      </w:r>
      <w:r w:rsidR="00E31F15">
        <w:rPr>
          <w:szCs w:val="24"/>
          <w:lang w:val="fr-FR"/>
        </w:rPr>
        <w:t> »</w:t>
      </w:r>
      <w:r w:rsidRPr="00577EB1">
        <w:rPr>
          <w:szCs w:val="24"/>
          <w:lang w:val="fr-FR"/>
        </w:rPr>
        <w:t xml:space="preserve">, et de fournir directement de l’information à l’élaboration de la SCADD. </w:t>
      </w:r>
    </w:p>
    <w:p w:rsidR="00726DDC" w:rsidRPr="00577EB1" w:rsidRDefault="00726DDC" w:rsidP="00726DDC">
      <w:pPr>
        <w:spacing w:after="0"/>
        <w:rPr>
          <w:szCs w:val="24"/>
          <w:lang w:val="fr-FR"/>
        </w:rPr>
      </w:pPr>
    </w:p>
    <w:p w:rsidR="00726DDC" w:rsidRPr="00577EB1" w:rsidRDefault="00726DDC" w:rsidP="00726DDC">
      <w:pPr>
        <w:spacing w:after="0"/>
        <w:rPr>
          <w:b/>
          <w:szCs w:val="24"/>
          <w:lang w:val="fr-FR"/>
        </w:rPr>
      </w:pPr>
    </w:p>
    <w:p w:rsidR="00726DDC" w:rsidRPr="00577EB1" w:rsidRDefault="00726DDC" w:rsidP="00726DDC">
      <w:pPr>
        <w:rPr>
          <w:szCs w:val="24"/>
          <w:lang w:val="fr-FR"/>
        </w:rPr>
      </w:pPr>
      <w:r w:rsidRPr="00577EB1">
        <w:rPr>
          <w:b/>
          <w:szCs w:val="24"/>
          <w:lang w:val="fr-FR"/>
        </w:rPr>
        <w:t xml:space="preserve">En dehors du coût de la subvention générale des produits alimentaires et pétroliers, la dépense totale dans les programmes de filets sociaux sur la période 2005-2009 a atteint en moyenne 0,6 % du PIB. </w:t>
      </w:r>
      <w:r w:rsidRPr="00577EB1">
        <w:rPr>
          <w:szCs w:val="24"/>
          <w:lang w:val="fr-FR"/>
        </w:rPr>
        <w:t>Actuellement, on peut classer les programmes de filets sociaux au Burkina en cinq catégories</w:t>
      </w:r>
      <w:r w:rsidR="005D6182">
        <w:rPr>
          <w:szCs w:val="24"/>
          <w:lang w:val="fr-FR"/>
        </w:rPr>
        <w:t> :</w:t>
      </w:r>
      <w:r w:rsidR="0007340F">
        <w:rPr>
          <w:szCs w:val="24"/>
          <w:lang w:val="fr-FR"/>
        </w:rPr>
        <w:t xml:space="preserve"> </w:t>
      </w:r>
      <w:r w:rsidRPr="00577EB1">
        <w:rPr>
          <w:szCs w:val="24"/>
          <w:lang w:val="fr-FR"/>
        </w:rPr>
        <w:t>i) les transferts monétaires et quasi-monétaires</w:t>
      </w:r>
      <w:r w:rsidR="005D6182">
        <w:rPr>
          <w:szCs w:val="24"/>
          <w:lang w:val="fr-FR"/>
        </w:rPr>
        <w:t> ;</w:t>
      </w:r>
      <w:r w:rsidR="0007340F">
        <w:rPr>
          <w:szCs w:val="24"/>
          <w:lang w:val="fr-FR"/>
        </w:rPr>
        <w:t xml:space="preserve"> </w:t>
      </w:r>
      <w:r w:rsidRPr="00577EB1">
        <w:rPr>
          <w:szCs w:val="24"/>
          <w:lang w:val="fr-FR"/>
        </w:rPr>
        <w:t>ii) les transferts alimentaires (vente d’aliments à prix subventionnés, distribution ciblée de vivres, programmes de nutrition et cantines scolaires)</w:t>
      </w:r>
      <w:r w:rsidR="005D6182">
        <w:rPr>
          <w:szCs w:val="24"/>
          <w:lang w:val="fr-FR"/>
        </w:rPr>
        <w:t> ;</w:t>
      </w:r>
      <w:r w:rsidR="0007340F">
        <w:rPr>
          <w:szCs w:val="24"/>
          <w:lang w:val="fr-FR"/>
        </w:rPr>
        <w:t xml:space="preserve"> </w:t>
      </w:r>
      <w:r w:rsidRPr="00577EB1">
        <w:rPr>
          <w:szCs w:val="24"/>
          <w:lang w:val="fr-FR"/>
        </w:rPr>
        <w:t>iii) les subventions universelles (aliments et carburants)</w:t>
      </w:r>
      <w:r w:rsidR="005D6182">
        <w:rPr>
          <w:szCs w:val="24"/>
          <w:lang w:val="fr-FR"/>
        </w:rPr>
        <w:t> ;</w:t>
      </w:r>
      <w:r w:rsidR="0007340F">
        <w:rPr>
          <w:szCs w:val="24"/>
          <w:lang w:val="fr-FR"/>
        </w:rPr>
        <w:t xml:space="preserve"> </w:t>
      </w:r>
      <w:r w:rsidRPr="00577EB1">
        <w:rPr>
          <w:szCs w:val="24"/>
          <w:lang w:val="fr-FR"/>
        </w:rPr>
        <w:t>iv) les travaux publics</w:t>
      </w:r>
      <w:r w:rsidR="0007340F">
        <w:rPr>
          <w:szCs w:val="24"/>
          <w:lang w:val="fr-FR"/>
        </w:rPr>
        <w:t xml:space="preserve"> </w:t>
      </w:r>
      <w:r w:rsidRPr="00577EB1">
        <w:rPr>
          <w:szCs w:val="24"/>
          <w:lang w:val="fr-FR"/>
        </w:rPr>
        <w:t>et v) les exemptions de frais. Ce</w:t>
      </w:r>
      <w:r w:rsidR="00E31F15">
        <w:rPr>
          <w:szCs w:val="24"/>
          <w:lang w:val="fr-FR"/>
        </w:rPr>
        <w:t xml:space="preserve"> niveau de</w:t>
      </w:r>
      <w:r w:rsidRPr="00577EB1">
        <w:rPr>
          <w:szCs w:val="24"/>
          <w:lang w:val="fr-FR"/>
        </w:rPr>
        <w:t xml:space="preserve"> dépenses en faveur des filets sociaux </w:t>
      </w:r>
      <w:r w:rsidR="00E31F15">
        <w:rPr>
          <w:szCs w:val="24"/>
          <w:lang w:val="fr-FR"/>
        </w:rPr>
        <w:t xml:space="preserve">correspondait environ à </w:t>
      </w:r>
      <w:r w:rsidRPr="00577EB1">
        <w:rPr>
          <w:szCs w:val="24"/>
          <w:lang w:val="fr-FR"/>
        </w:rPr>
        <w:t xml:space="preserve">un tiers du montant requis pour élever tous les pauvres au niveau du seuil de la pauvreté à l’aide de transferts monétaires. </w:t>
      </w:r>
    </w:p>
    <w:p w:rsidR="00726DDC" w:rsidRPr="00577EB1" w:rsidRDefault="00726DDC" w:rsidP="00726DDC">
      <w:pPr>
        <w:rPr>
          <w:szCs w:val="24"/>
          <w:lang w:val="fr-FR"/>
        </w:rPr>
      </w:pPr>
      <w:r w:rsidRPr="00577EB1">
        <w:rPr>
          <w:b/>
          <w:szCs w:val="24"/>
          <w:lang w:val="fr-FR"/>
        </w:rPr>
        <w:t>Depuis 2006, le financement des programmes de filets sociaux dépend de plus en plus des bailleurs de fonds.</w:t>
      </w:r>
      <w:r w:rsidRPr="00577EB1">
        <w:rPr>
          <w:szCs w:val="24"/>
          <w:lang w:val="fr-FR"/>
        </w:rPr>
        <w:t xml:space="preserve"> À l’exception des subventions universelles, la part du financement extérieur des filets sociaux a augmenté d’environ 57 % en 2005 à 69 % en </w:t>
      </w:r>
      <w:r w:rsidR="005D6182">
        <w:rPr>
          <w:szCs w:val="24"/>
          <w:lang w:val="fr-FR"/>
        </w:rPr>
        <w:t>2</w:t>
      </w:r>
      <w:r w:rsidR="005D6182" w:rsidRPr="00577EB1">
        <w:rPr>
          <w:szCs w:val="24"/>
          <w:lang w:val="fr-FR"/>
        </w:rPr>
        <w:t xml:space="preserve">008 </w:t>
      </w:r>
      <w:r w:rsidRPr="00577EB1">
        <w:rPr>
          <w:szCs w:val="24"/>
          <w:lang w:val="fr-FR"/>
        </w:rPr>
        <w:t xml:space="preserve">et à 76 % en 2009. </w:t>
      </w:r>
      <w:r w:rsidR="004D2B50">
        <w:rPr>
          <w:szCs w:val="24"/>
          <w:lang w:val="fr-FR"/>
        </w:rPr>
        <w:t>Au cours de la même période</w:t>
      </w:r>
      <w:r w:rsidRPr="00577EB1">
        <w:rPr>
          <w:szCs w:val="24"/>
          <w:lang w:val="fr-FR"/>
        </w:rPr>
        <w:t>, les dépenses de l’État ont augmenté moins vite, de 0,1 % du PIB en 2005 à 0,2 % en 2009</w:t>
      </w:r>
      <w:r w:rsidR="00E31F15">
        <w:rPr>
          <w:szCs w:val="24"/>
          <w:lang w:val="fr-FR"/>
        </w:rPr>
        <w:t xml:space="preserve"> (en excluant les subventions aux produits alimentaires et pétroliers)</w:t>
      </w:r>
      <w:r w:rsidRPr="00577EB1">
        <w:rPr>
          <w:szCs w:val="24"/>
          <w:lang w:val="fr-FR"/>
        </w:rPr>
        <w:t xml:space="preserve">. On observe d’importantes différences entre les priorités du gouvernement et celles des </w:t>
      </w:r>
      <w:r w:rsidR="005D6182">
        <w:rPr>
          <w:szCs w:val="24"/>
          <w:lang w:val="fr-FR"/>
        </w:rPr>
        <w:t>bailleurs de fond</w:t>
      </w:r>
      <w:r w:rsidRPr="00577EB1">
        <w:rPr>
          <w:szCs w:val="24"/>
          <w:lang w:val="fr-FR"/>
        </w:rPr>
        <w:t xml:space="preserve">, ceux-ci mettant l’accent sur la nutrition et le gouvernement concentrant surtout son financement sur la subvention universelle des carburants. </w:t>
      </w:r>
    </w:p>
    <w:p w:rsidR="00726DDC" w:rsidRPr="00577EB1" w:rsidRDefault="00726DDC" w:rsidP="00726DDC">
      <w:pPr>
        <w:rPr>
          <w:szCs w:val="24"/>
          <w:lang w:val="fr-FR"/>
        </w:rPr>
      </w:pPr>
      <w:r w:rsidRPr="00577EB1">
        <w:rPr>
          <w:b/>
          <w:szCs w:val="24"/>
          <w:lang w:val="fr-FR"/>
        </w:rPr>
        <w:lastRenderedPageBreak/>
        <w:t>La couverture des programmes de filets sociaux reste limitée comparée aux besoins.</w:t>
      </w:r>
      <w:r w:rsidRPr="00577EB1">
        <w:rPr>
          <w:szCs w:val="24"/>
          <w:lang w:val="fr-FR"/>
        </w:rPr>
        <w:t xml:space="preserve"> Théoriquement, le nombre des bénéficiaires des programmes de filets sociaux était estimé à plus de </w:t>
      </w:r>
      <w:r w:rsidR="00E465A9">
        <w:rPr>
          <w:szCs w:val="24"/>
          <w:lang w:val="fr-FR"/>
        </w:rPr>
        <w:t>3</w:t>
      </w:r>
      <w:r w:rsidRPr="00577EB1">
        <w:rPr>
          <w:szCs w:val="24"/>
          <w:lang w:val="fr-FR"/>
        </w:rPr>
        <w:t>,</w:t>
      </w:r>
      <w:r w:rsidR="00E465A9">
        <w:rPr>
          <w:szCs w:val="24"/>
          <w:lang w:val="fr-FR"/>
        </w:rPr>
        <w:t>9</w:t>
      </w:r>
      <w:r w:rsidR="00E465A9" w:rsidRPr="00577EB1">
        <w:rPr>
          <w:szCs w:val="24"/>
          <w:lang w:val="fr-FR"/>
        </w:rPr>
        <w:t xml:space="preserve"> </w:t>
      </w:r>
      <w:r w:rsidRPr="00577EB1">
        <w:rPr>
          <w:szCs w:val="24"/>
          <w:lang w:val="fr-FR"/>
        </w:rPr>
        <w:t xml:space="preserve">millions en 2009, soit environ </w:t>
      </w:r>
      <w:r w:rsidR="00E465A9">
        <w:rPr>
          <w:szCs w:val="24"/>
          <w:lang w:val="fr-FR"/>
        </w:rPr>
        <w:t>25</w:t>
      </w:r>
      <w:r w:rsidR="00E465A9" w:rsidRPr="00577EB1">
        <w:rPr>
          <w:szCs w:val="24"/>
          <w:lang w:val="fr-FR"/>
        </w:rPr>
        <w:t> </w:t>
      </w:r>
      <w:r w:rsidRPr="00577EB1">
        <w:rPr>
          <w:szCs w:val="24"/>
          <w:lang w:val="fr-FR"/>
        </w:rPr>
        <w:t xml:space="preserve">% de la population totale. En fait, la plupart des programmes n’offrent qu’une couverture temporaire (réactions aux chocs), et pour certains, les allocations sont très réduites et insuffisantes pour aider les pauvres à lisser leur consommation. La raison en est avant tout la limitation de l’enveloppe financière et le manque de capacités de mise en œuvre (en particulier, des difficultés à identifier et atteindre les plus pauvres, et à mesurer le rapport coût-efficacité). De plus, à cause du manque d’investissement dans le suivi et évaluation (sauf pour quelques initiatives récentes financées par les </w:t>
      </w:r>
      <w:r w:rsidR="005D6182">
        <w:rPr>
          <w:szCs w:val="24"/>
          <w:lang w:val="fr-FR"/>
        </w:rPr>
        <w:t>bailleurs de fond</w:t>
      </w:r>
      <w:r w:rsidRPr="00577EB1">
        <w:rPr>
          <w:szCs w:val="24"/>
          <w:lang w:val="fr-FR"/>
        </w:rPr>
        <w:t xml:space="preserve">, comme les transferts monétaires, les coupons alimentaires et les cantines scolaires) on ne dispose pas d’informations sur l’impact réel des programmes de filets sociaux, qui permettrait de faire </w:t>
      </w:r>
      <w:r w:rsidR="005D6182">
        <w:rPr>
          <w:szCs w:val="24"/>
          <w:lang w:val="fr-FR"/>
        </w:rPr>
        <w:t xml:space="preserve">des </w:t>
      </w:r>
      <w:r w:rsidRPr="00577EB1">
        <w:rPr>
          <w:szCs w:val="24"/>
          <w:lang w:val="fr-FR"/>
        </w:rPr>
        <w:t>choix politiques en connaissance de cause.</w:t>
      </w:r>
    </w:p>
    <w:p w:rsidR="00726DDC" w:rsidRPr="00577EB1" w:rsidRDefault="00726DDC" w:rsidP="00726DDC">
      <w:pPr>
        <w:rPr>
          <w:b/>
          <w:i/>
          <w:sz w:val="28"/>
          <w:szCs w:val="24"/>
          <w:lang w:val="fr-FR"/>
        </w:rPr>
      </w:pPr>
      <w:r w:rsidRPr="00577EB1">
        <w:rPr>
          <w:b/>
          <w:i/>
          <w:sz w:val="28"/>
          <w:szCs w:val="24"/>
          <w:lang w:val="fr-FR"/>
        </w:rPr>
        <w:t>Programmes de filets sociaux existants</w:t>
      </w:r>
    </w:p>
    <w:p w:rsidR="00726DDC" w:rsidRPr="00577EB1" w:rsidRDefault="00726DDC" w:rsidP="00726DDC">
      <w:pPr>
        <w:rPr>
          <w:szCs w:val="24"/>
          <w:lang w:val="fr-FR"/>
        </w:rPr>
      </w:pPr>
      <w:r w:rsidRPr="00577EB1">
        <w:rPr>
          <w:b/>
          <w:szCs w:val="24"/>
          <w:lang w:val="fr-FR"/>
        </w:rPr>
        <w:t>L’examen des programmes de filets sociaux existants confirme que, malgré l’importance des besoins, peu de programmes aident les pauvres chroniques et fournissent des transferts réguliers et prévisibles.</w:t>
      </w:r>
      <w:r w:rsidRPr="00577EB1">
        <w:rPr>
          <w:szCs w:val="24"/>
          <w:lang w:val="fr-FR"/>
        </w:rPr>
        <w:t xml:space="preserve"> Les interventions existantes sont </w:t>
      </w:r>
      <w:r w:rsidR="00E465A9">
        <w:rPr>
          <w:szCs w:val="24"/>
          <w:lang w:val="fr-FR"/>
        </w:rPr>
        <w:t>principalement</w:t>
      </w:r>
      <w:r w:rsidR="00E465A9" w:rsidRPr="00577EB1">
        <w:rPr>
          <w:szCs w:val="24"/>
          <w:lang w:val="fr-FR"/>
        </w:rPr>
        <w:t xml:space="preserve"> </w:t>
      </w:r>
      <w:r w:rsidRPr="00577EB1">
        <w:rPr>
          <w:szCs w:val="24"/>
          <w:lang w:val="fr-FR"/>
        </w:rPr>
        <w:t>mises en œuvre à travers des projets</w:t>
      </w:r>
      <w:r w:rsidR="00E465A9">
        <w:rPr>
          <w:szCs w:val="24"/>
          <w:lang w:val="fr-FR"/>
        </w:rPr>
        <w:t>, souvent</w:t>
      </w:r>
      <w:r w:rsidRPr="00577EB1">
        <w:rPr>
          <w:szCs w:val="24"/>
          <w:lang w:val="fr-FR"/>
        </w:rPr>
        <w:t xml:space="preserve"> en périodes de chocs</w:t>
      </w:r>
      <w:r w:rsidR="005D6182">
        <w:rPr>
          <w:szCs w:val="24"/>
          <w:lang w:val="fr-FR"/>
        </w:rPr>
        <w:t>,</w:t>
      </w:r>
      <w:r w:rsidRPr="00577EB1">
        <w:rPr>
          <w:szCs w:val="24"/>
          <w:lang w:val="fr-FR"/>
        </w:rPr>
        <w:t xml:space="preserve"> et centrées sur une seule région géographique. Il n’existe aucune approche systématique pour assister les ménages pauvres et vulnérables. Les principaux défis </w:t>
      </w:r>
      <w:r w:rsidR="00E465A9">
        <w:rPr>
          <w:szCs w:val="24"/>
          <w:lang w:val="fr-FR"/>
        </w:rPr>
        <w:t xml:space="preserve">pour un tel système </w:t>
      </w:r>
      <w:r w:rsidRPr="00577EB1">
        <w:rPr>
          <w:szCs w:val="24"/>
          <w:lang w:val="fr-FR"/>
        </w:rPr>
        <w:t>sont</w:t>
      </w:r>
      <w:r w:rsidR="00E465A9">
        <w:rPr>
          <w:szCs w:val="24"/>
          <w:lang w:val="fr-FR"/>
        </w:rPr>
        <w:t> :</w:t>
      </w:r>
      <w:r w:rsidR="0007340F">
        <w:rPr>
          <w:szCs w:val="24"/>
          <w:lang w:val="fr-FR"/>
        </w:rPr>
        <w:t xml:space="preserve"> </w:t>
      </w:r>
      <w:r w:rsidR="00E465A9">
        <w:rPr>
          <w:szCs w:val="24"/>
          <w:lang w:val="fr-FR"/>
        </w:rPr>
        <w:t>la</w:t>
      </w:r>
      <w:r w:rsidRPr="00577EB1">
        <w:rPr>
          <w:szCs w:val="24"/>
          <w:lang w:val="fr-FR"/>
        </w:rPr>
        <w:t xml:space="preserve"> définition des groupes cibles</w:t>
      </w:r>
      <w:r w:rsidR="00E465A9">
        <w:rPr>
          <w:szCs w:val="24"/>
          <w:lang w:val="fr-FR"/>
        </w:rPr>
        <w:t xml:space="preserve"> prioritaires</w:t>
      </w:r>
      <w:r w:rsidR="005D6182">
        <w:rPr>
          <w:szCs w:val="24"/>
          <w:lang w:val="fr-FR"/>
        </w:rPr>
        <w:t>,</w:t>
      </w:r>
      <w:r w:rsidR="0007340F">
        <w:rPr>
          <w:szCs w:val="24"/>
          <w:lang w:val="fr-FR"/>
        </w:rPr>
        <w:t xml:space="preserve"> </w:t>
      </w:r>
      <w:r w:rsidRPr="00577EB1">
        <w:rPr>
          <w:szCs w:val="24"/>
          <w:lang w:val="fr-FR"/>
        </w:rPr>
        <w:t>le choix des instruments adéquats</w:t>
      </w:r>
      <w:r w:rsidR="0007340F">
        <w:rPr>
          <w:szCs w:val="24"/>
          <w:lang w:val="fr-FR"/>
        </w:rPr>
        <w:t xml:space="preserve"> </w:t>
      </w:r>
      <w:r w:rsidRPr="00577EB1">
        <w:rPr>
          <w:szCs w:val="24"/>
          <w:lang w:val="fr-FR"/>
        </w:rPr>
        <w:t>et la mise en place de systèmes de suivi et évaluation solides pour éclairer les décisions politiques. Les récentes initiatives innovantes, comme les coupons alimenta</w:t>
      </w:r>
      <w:r w:rsidR="005D6182">
        <w:rPr>
          <w:szCs w:val="24"/>
          <w:lang w:val="fr-FR"/>
        </w:rPr>
        <w:t>ires</w:t>
      </w:r>
      <w:r w:rsidRPr="00577EB1">
        <w:rPr>
          <w:szCs w:val="24"/>
          <w:lang w:val="fr-FR"/>
        </w:rPr>
        <w:t xml:space="preserve">, les transferts monétaires et l’exemption des frais de santé, devraient permettre de tirer des leçons pour rendre plus efficaces les programmes de filets sociaux et, potentiellement, en étendre la portée. </w:t>
      </w:r>
    </w:p>
    <w:p w:rsidR="00726DDC" w:rsidRPr="00577EB1" w:rsidRDefault="00726DDC" w:rsidP="00726DDC">
      <w:pPr>
        <w:rPr>
          <w:b/>
          <w:szCs w:val="24"/>
          <w:lang w:val="fr-FR"/>
        </w:rPr>
      </w:pPr>
      <w:r w:rsidRPr="00577EB1">
        <w:rPr>
          <w:b/>
          <w:szCs w:val="24"/>
          <w:lang w:val="fr-FR"/>
        </w:rPr>
        <w:t>Transferts monétaires et quasi-monétaires</w:t>
      </w:r>
    </w:p>
    <w:p w:rsidR="004B3541" w:rsidRDefault="00726DDC">
      <w:pPr>
        <w:pStyle w:val="ListParagraph"/>
        <w:tabs>
          <w:tab w:val="clear" w:pos="709"/>
          <w:tab w:val="left" w:pos="0"/>
        </w:tabs>
        <w:ind w:left="0"/>
        <w:rPr>
          <w:szCs w:val="24"/>
          <w:lang w:val="fr-FR"/>
        </w:rPr>
      </w:pPr>
      <w:r w:rsidRPr="00577EB1">
        <w:rPr>
          <w:b/>
          <w:i/>
          <w:szCs w:val="24"/>
          <w:lang w:val="fr-FR"/>
        </w:rPr>
        <w:t xml:space="preserve">On peut tirer de précieux enseignements des programmes de transferts monétaires récemment introduits au Burkina Faso. </w:t>
      </w:r>
      <w:r w:rsidRPr="00577EB1">
        <w:rPr>
          <w:szCs w:val="24"/>
          <w:lang w:val="fr-FR"/>
        </w:rPr>
        <w:t>Depuis 2008, trois programmes pilotes de transferts monétaires ont été financés exclusivement de l’extérieur</w:t>
      </w:r>
      <w:r w:rsidR="005D6182">
        <w:rPr>
          <w:szCs w:val="24"/>
          <w:lang w:val="fr-FR"/>
        </w:rPr>
        <w:t> :</w:t>
      </w:r>
      <w:r w:rsidR="0007340F">
        <w:rPr>
          <w:szCs w:val="24"/>
          <w:lang w:val="fr-FR"/>
        </w:rPr>
        <w:t xml:space="preserve"> </w:t>
      </w:r>
      <w:r w:rsidRPr="00577EB1">
        <w:rPr>
          <w:szCs w:val="24"/>
          <w:lang w:val="fr-FR"/>
        </w:rPr>
        <w:t>un programme pilote de transferts monétaires supervisé par le Conseil national de lutte contre le sida et les infections sexuellement transmissibles (CNLS-IST) et de</w:t>
      </w:r>
      <w:r w:rsidR="004D2B50">
        <w:rPr>
          <w:szCs w:val="24"/>
          <w:lang w:val="fr-FR"/>
        </w:rPr>
        <w:t>ux</w:t>
      </w:r>
      <w:r w:rsidRPr="00577EB1">
        <w:rPr>
          <w:szCs w:val="24"/>
          <w:lang w:val="fr-FR"/>
        </w:rPr>
        <w:t xml:space="preserve"> programmes de coupons alimentaires menés par le </w:t>
      </w:r>
      <w:r w:rsidRPr="00577EB1">
        <w:rPr>
          <w:i/>
          <w:lang w:val="fr-FR"/>
        </w:rPr>
        <w:t>Catholic Relief Services</w:t>
      </w:r>
      <w:r w:rsidRPr="00577EB1">
        <w:rPr>
          <w:lang w:val="fr-FR"/>
        </w:rPr>
        <w:t xml:space="preserve"> </w:t>
      </w:r>
      <w:r w:rsidRPr="00577EB1">
        <w:rPr>
          <w:szCs w:val="24"/>
          <w:lang w:val="fr-FR"/>
        </w:rPr>
        <w:t xml:space="preserve">(CRS) et le Programme alimentaire mondial (PAM). Les résultats de l’évaluation d’impact du </w:t>
      </w:r>
      <w:r w:rsidR="00E465A9">
        <w:rPr>
          <w:szCs w:val="24"/>
          <w:lang w:val="fr-FR"/>
        </w:rPr>
        <w:t xml:space="preserve">projet </w:t>
      </w:r>
      <w:r w:rsidRPr="00577EB1">
        <w:rPr>
          <w:szCs w:val="24"/>
          <w:lang w:val="fr-FR"/>
        </w:rPr>
        <w:t>CNLS-IST sur 3 900 ménages sont attendus pour la fin 2010. Une évaluation à mi-parcours du programme PAM, bénéficiant à plus de 30 000 ménages, indique un processus de mise en œuvre efficace et des résultats positifs en termes de consommation alimentaire, tant en quantité qu’en qualité, malgré des problèmes de ciblage en milieu urbain.</w:t>
      </w:r>
    </w:p>
    <w:p w:rsidR="00726DDC" w:rsidRPr="00577EB1" w:rsidRDefault="00726DDC" w:rsidP="00726DDC">
      <w:pPr>
        <w:keepNext/>
        <w:keepLines/>
        <w:rPr>
          <w:szCs w:val="24"/>
          <w:lang w:val="fr-FR"/>
        </w:rPr>
      </w:pPr>
      <w:r w:rsidRPr="00577EB1">
        <w:rPr>
          <w:b/>
          <w:szCs w:val="24"/>
          <w:lang w:val="fr-FR"/>
        </w:rPr>
        <w:lastRenderedPageBreak/>
        <w:t>Transferts alimentaires</w:t>
      </w:r>
    </w:p>
    <w:p w:rsidR="00726DDC" w:rsidRPr="00577EB1" w:rsidRDefault="00726DDC" w:rsidP="00726DDC">
      <w:pPr>
        <w:keepNext/>
        <w:keepLines/>
        <w:rPr>
          <w:szCs w:val="24"/>
          <w:lang w:val="fr-FR"/>
        </w:rPr>
      </w:pPr>
      <w:r w:rsidRPr="00577EB1">
        <w:rPr>
          <w:b/>
          <w:i/>
          <w:szCs w:val="24"/>
          <w:lang w:val="fr-FR"/>
        </w:rPr>
        <w:t>Les transferts alimentaires sont la principale forme de programmes de filets sociaux au Burkina Faso. Ils ont représenté 87 % des dépenses totales en faveur des filets sociaux sur la période 2005-2009 et ont rassemblé plus de 80 % du total estimé des bénéficiaires en 2009 (hors subvention des carburants).</w:t>
      </w:r>
      <w:r w:rsidRPr="00577EB1">
        <w:rPr>
          <w:szCs w:val="24"/>
          <w:lang w:val="fr-FR"/>
        </w:rPr>
        <w:t xml:space="preserve"> On observe actuellement quatre types de transferts alimentaires</w:t>
      </w:r>
      <w:r w:rsidR="005D6182">
        <w:rPr>
          <w:szCs w:val="24"/>
          <w:lang w:val="fr-FR"/>
        </w:rPr>
        <w:t> :</w:t>
      </w:r>
      <w:r w:rsidRPr="00577EB1">
        <w:rPr>
          <w:szCs w:val="24"/>
          <w:lang w:val="fr-FR"/>
        </w:rPr>
        <w:t xml:space="preserve"> i) les ventes d’aliments à prix subventionnés</w:t>
      </w:r>
      <w:r w:rsidR="005D6182">
        <w:rPr>
          <w:szCs w:val="24"/>
          <w:lang w:val="fr-FR"/>
        </w:rPr>
        <w:t> ;</w:t>
      </w:r>
      <w:r w:rsidR="0007340F">
        <w:rPr>
          <w:szCs w:val="24"/>
          <w:lang w:val="fr-FR"/>
        </w:rPr>
        <w:t xml:space="preserve"> </w:t>
      </w:r>
      <w:r w:rsidRPr="00577EB1">
        <w:rPr>
          <w:szCs w:val="24"/>
          <w:lang w:val="fr-FR"/>
        </w:rPr>
        <w:t>ii) les distributions ciblées de vivres gratuits</w:t>
      </w:r>
      <w:r w:rsidR="005D6182">
        <w:rPr>
          <w:szCs w:val="24"/>
          <w:lang w:val="fr-FR"/>
        </w:rPr>
        <w:t> ;</w:t>
      </w:r>
      <w:r w:rsidR="0007340F">
        <w:rPr>
          <w:szCs w:val="24"/>
          <w:lang w:val="fr-FR"/>
        </w:rPr>
        <w:t xml:space="preserve"> </w:t>
      </w:r>
      <w:r w:rsidRPr="00577EB1">
        <w:rPr>
          <w:szCs w:val="24"/>
          <w:lang w:val="fr-FR"/>
        </w:rPr>
        <w:t>iii) les programmes nutritionnels</w:t>
      </w:r>
      <w:r w:rsidR="005D6182">
        <w:rPr>
          <w:szCs w:val="24"/>
          <w:lang w:val="fr-FR"/>
        </w:rPr>
        <w:t> ;</w:t>
      </w:r>
      <w:r w:rsidR="0007340F">
        <w:rPr>
          <w:szCs w:val="24"/>
          <w:lang w:val="fr-FR"/>
        </w:rPr>
        <w:t xml:space="preserve"> </w:t>
      </w:r>
      <w:r w:rsidRPr="00577EB1">
        <w:rPr>
          <w:szCs w:val="24"/>
          <w:lang w:val="fr-FR"/>
        </w:rPr>
        <w:t xml:space="preserve">et iv) les programmes de cantines scolaires. </w:t>
      </w:r>
    </w:p>
    <w:p w:rsidR="004B3541" w:rsidRDefault="00726DDC">
      <w:pPr>
        <w:pStyle w:val="ListParagraph"/>
        <w:tabs>
          <w:tab w:val="clear" w:pos="709"/>
          <w:tab w:val="left" w:pos="0"/>
        </w:tabs>
        <w:ind w:left="0"/>
        <w:rPr>
          <w:szCs w:val="24"/>
          <w:lang w:val="fr-FR"/>
        </w:rPr>
      </w:pPr>
      <w:r w:rsidRPr="00577EB1">
        <w:rPr>
          <w:b/>
          <w:i/>
          <w:szCs w:val="24"/>
          <w:lang w:val="fr-FR"/>
        </w:rPr>
        <w:t xml:space="preserve">Les ventes ciblées d’aliments à prix subventionnés. </w:t>
      </w:r>
      <w:r w:rsidR="00926D7A">
        <w:rPr>
          <w:szCs w:val="24"/>
          <w:lang w:val="fr-FR"/>
        </w:rPr>
        <w:t xml:space="preserve">Du fait </w:t>
      </w:r>
      <w:r w:rsidRPr="00577EB1">
        <w:rPr>
          <w:szCs w:val="24"/>
          <w:lang w:val="fr-FR"/>
        </w:rPr>
        <w:t xml:space="preserve"> d’un </w:t>
      </w:r>
      <w:r w:rsidR="00926D7A">
        <w:rPr>
          <w:szCs w:val="24"/>
          <w:lang w:val="fr-FR"/>
        </w:rPr>
        <w:t xml:space="preserve">faible système de </w:t>
      </w:r>
      <w:r w:rsidRPr="00577EB1">
        <w:rPr>
          <w:szCs w:val="24"/>
          <w:lang w:val="fr-FR"/>
        </w:rPr>
        <w:t xml:space="preserve">suivi et évaluation du programme de ventes d’aliments à prix subventionnés, </w:t>
      </w:r>
      <w:r w:rsidR="00926D7A">
        <w:rPr>
          <w:szCs w:val="24"/>
          <w:lang w:val="fr-FR"/>
        </w:rPr>
        <w:t>les</w:t>
      </w:r>
      <w:r w:rsidRPr="00577EB1">
        <w:rPr>
          <w:szCs w:val="24"/>
          <w:lang w:val="fr-FR"/>
        </w:rPr>
        <w:t xml:space="preserve"> informations sur le nombre, le profil et le niveau de pauvreté réels des bénéficiaires</w:t>
      </w:r>
      <w:r w:rsidR="00926D7A">
        <w:rPr>
          <w:szCs w:val="24"/>
          <w:lang w:val="fr-FR"/>
        </w:rPr>
        <w:t xml:space="preserve"> manquent</w:t>
      </w:r>
      <w:r w:rsidRPr="00577EB1">
        <w:rPr>
          <w:szCs w:val="24"/>
          <w:lang w:val="fr-FR"/>
        </w:rPr>
        <w:t xml:space="preserve">. Cependant, </w:t>
      </w:r>
      <w:r w:rsidR="00E465A9">
        <w:rPr>
          <w:szCs w:val="24"/>
          <w:lang w:val="fr-FR"/>
        </w:rPr>
        <w:t>il est à craindre</w:t>
      </w:r>
      <w:r w:rsidRPr="00577EB1">
        <w:rPr>
          <w:szCs w:val="24"/>
          <w:lang w:val="fr-FR"/>
        </w:rPr>
        <w:t xml:space="preserve"> que les plus pauvres </w:t>
      </w:r>
      <w:r w:rsidR="00E465A9">
        <w:rPr>
          <w:szCs w:val="24"/>
          <w:lang w:val="fr-FR"/>
        </w:rPr>
        <w:t>ne puissent</w:t>
      </w:r>
      <w:r w:rsidRPr="00577EB1">
        <w:rPr>
          <w:szCs w:val="24"/>
          <w:lang w:val="fr-FR"/>
        </w:rPr>
        <w:t xml:space="preserve"> pas avoir suffisamment de ressources financières pour accéder aux céréales subventionnées.</w:t>
      </w:r>
    </w:p>
    <w:p w:rsidR="004B3541" w:rsidRDefault="00726DDC">
      <w:pPr>
        <w:pStyle w:val="Style3"/>
        <w:keepNext w:val="0"/>
        <w:widowControl w:val="0"/>
        <w:tabs>
          <w:tab w:val="clear" w:pos="567"/>
          <w:tab w:val="clear" w:pos="709"/>
          <w:tab w:val="left" w:pos="0"/>
        </w:tabs>
        <w:rPr>
          <w:szCs w:val="24"/>
          <w:lang w:val="fr-FR"/>
        </w:rPr>
      </w:pPr>
      <w:r w:rsidRPr="00577EB1">
        <w:rPr>
          <w:i/>
          <w:szCs w:val="24"/>
          <w:lang w:val="fr-FR"/>
        </w:rPr>
        <w:t xml:space="preserve">Distributions ciblées de vivres gratuits. </w:t>
      </w:r>
      <w:r w:rsidRPr="00577EB1">
        <w:rPr>
          <w:b w:val="0"/>
          <w:szCs w:val="24"/>
          <w:lang w:val="fr-FR"/>
        </w:rPr>
        <w:t>La distribution d’aliments gratuits s’effectue à travers trois mécanismes</w:t>
      </w:r>
      <w:r w:rsidR="00926D7A">
        <w:rPr>
          <w:b w:val="0"/>
          <w:szCs w:val="24"/>
          <w:lang w:val="fr-FR"/>
        </w:rPr>
        <w:t> :</w:t>
      </w:r>
      <w:r w:rsidR="0007340F">
        <w:rPr>
          <w:b w:val="0"/>
          <w:szCs w:val="24"/>
          <w:lang w:val="fr-FR"/>
        </w:rPr>
        <w:t xml:space="preserve"> </w:t>
      </w:r>
      <w:r w:rsidRPr="00577EB1">
        <w:rPr>
          <w:b w:val="0"/>
          <w:szCs w:val="24"/>
          <w:lang w:val="fr-FR"/>
        </w:rPr>
        <w:t>i) la distribution de vivres gratuits par le Conseil national de secours d’urgence et de réhabilitation (CONASUR)</w:t>
      </w:r>
      <w:r w:rsidR="00926D7A">
        <w:rPr>
          <w:b w:val="0"/>
          <w:szCs w:val="24"/>
          <w:lang w:val="fr-FR"/>
        </w:rPr>
        <w:t> ;</w:t>
      </w:r>
      <w:r w:rsidR="0007340F">
        <w:rPr>
          <w:b w:val="0"/>
          <w:szCs w:val="24"/>
          <w:lang w:val="fr-FR"/>
        </w:rPr>
        <w:t xml:space="preserve"> </w:t>
      </w:r>
      <w:r w:rsidRPr="00577EB1">
        <w:rPr>
          <w:b w:val="0"/>
          <w:szCs w:val="24"/>
          <w:lang w:val="fr-FR"/>
        </w:rPr>
        <w:t>ii) le programme Vivres contre éducation/formation du PAM</w:t>
      </w:r>
      <w:r w:rsidR="00926D7A">
        <w:rPr>
          <w:b w:val="0"/>
          <w:szCs w:val="24"/>
          <w:lang w:val="fr-FR"/>
        </w:rPr>
        <w:t> ;</w:t>
      </w:r>
      <w:r w:rsidR="0007340F">
        <w:rPr>
          <w:b w:val="0"/>
          <w:szCs w:val="24"/>
          <w:lang w:val="fr-FR"/>
        </w:rPr>
        <w:t xml:space="preserve"> </w:t>
      </w:r>
      <w:r w:rsidRPr="00577EB1">
        <w:rPr>
          <w:b w:val="0"/>
          <w:szCs w:val="24"/>
          <w:lang w:val="fr-FR"/>
        </w:rPr>
        <w:t xml:space="preserve">et iii) le programme général de secours de </w:t>
      </w:r>
      <w:r w:rsidRPr="00577EB1">
        <w:rPr>
          <w:b w:val="0"/>
          <w:i/>
          <w:lang w:val="fr-FR"/>
        </w:rPr>
        <w:t>Catholic Relief Service</w:t>
      </w:r>
      <w:r w:rsidRPr="00577EB1">
        <w:rPr>
          <w:b w:val="0"/>
          <w:szCs w:val="24"/>
          <w:lang w:val="fr-FR"/>
        </w:rPr>
        <w:t>s (CRS).</w:t>
      </w:r>
      <w:r w:rsidR="00E465A9">
        <w:rPr>
          <w:b w:val="0"/>
          <w:szCs w:val="24"/>
          <w:lang w:val="fr-FR"/>
        </w:rPr>
        <w:t>E</w:t>
      </w:r>
      <w:r w:rsidRPr="00577EB1">
        <w:rPr>
          <w:b w:val="0"/>
          <w:szCs w:val="24"/>
          <w:lang w:val="fr-FR"/>
        </w:rPr>
        <w:t xml:space="preserve">n 2008, le </w:t>
      </w:r>
      <w:r w:rsidR="00E465A9">
        <w:rPr>
          <w:b w:val="0"/>
          <w:szCs w:val="24"/>
          <w:lang w:val="fr-FR"/>
        </w:rPr>
        <w:t>CONASUR</w:t>
      </w:r>
      <w:r w:rsidRPr="00577EB1">
        <w:rPr>
          <w:b w:val="0"/>
          <w:szCs w:val="24"/>
          <w:lang w:val="fr-FR"/>
        </w:rPr>
        <w:t xml:space="preserve"> a fourni une aide alimentaire à environ 44 000 personnes sur une base ponctuelle (notamment, aux personnes touchées par les inondations ou par des catastrophes localisées). Les transferts alimentaires du PAM conditionnés par la fréquentation des cours d’alphabétisation ou de formation ont progressivement </w:t>
      </w:r>
      <w:r w:rsidR="00926D7A">
        <w:rPr>
          <w:b w:val="0"/>
          <w:szCs w:val="24"/>
          <w:lang w:val="fr-FR"/>
        </w:rPr>
        <w:t xml:space="preserve">été </w:t>
      </w:r>
      <w:r w:rsidRPr="00577EB1">
        <w:rPr>
          <w:b w:val="0"/>
          <w:szCs w:val="24"/>
          <w:lang w:val="fr-FR"/>
        </w:rPr>
        <w:t>recentré sur les provinces du Sahel, et ont atteint quelque</w:t>
      </w:r>
      <w:r w:rsidR="00926D7A">
        <w:rPr>
          <w:b w:val="0"/>
          <w:szCs w:val="24"/>
          <w:lang w:val="fr-FR"/>
        </w:rPr>
        <w:t>s</w:t>
      </w:r>
      <w:r w:rsidRPr="00577EB1">
        <w:rPr>
          <w:b w:val="0"/>
          <w:szCs w:val="24"/>
          <w:lang w:val="fr-FR"/>
        </w:rPr>
        <w:t xml:space="preserve"> 36 000 bénéficiaires en 2008/2009. Enfin, le CRS aide chaque année environ 14 000 personnes vulnérables (personnes vivant avec le VIH, orphelins, personnes âgés et handicapés). Néanmoins, l’insécurité alimentaire étant principalement un</w:t>
      </w:r>
      <w:r w:rsidR="0007340F">
        <w:rPr>
          <w:b w:val="0"/>
          <w:szCs w:val="24"/>
          <w:lang w:val="fr-FR"/>
        </w:rPr>
        <w:t xml:space="preserve"> </w:t>
      </w:r>
      <w:r w:rsidRPr="00577EB1">
        <w:rPr>
          <w:b w:val="0"/>
          <w:szCs w:val="24"/>
          <w:lang w:val="fr-FR"/>
        </w:rPr>
        <w:t xml:space="preserve">problème d’accès, les </w:t>
      </w:r>
      <w:r w:rsidR="00E465A9">
        <w:rPr>
          <w:b w:val="0"/>
          <w:szCs w:val="24"/>
          <w:lang w:val="fr-FR"/>
        </w:rPr>
        <w:t>transferts</w:t>
      </w:r>
      <w:r w:rsidR="00E465A9" w:rsidRPr="00577EB1">
        <w:rPr>
          <w:b w:val="0"/>
          <w:szCs w:val="24"/>
          <w:lang w:val="fr-FR"/>
        </w:rPr>
        <w:t xml:space="preserve"> </w:t>
      </w:r>
      <w:r w:rsidRPr="00577EB1">
        <w:rPr>
          <w:b w:val="0"/>
          <w:szCs w:val="24"/>
          <w:lang w:val="fr-FR"/>
        </w:rPr>
        <w:t xml:space="preserve">monétaires ou </w:t>
      </w:r>
      <w:r w:rsidR="00E465A9">
        <w:rPr>
          <w:b w:val="0"/>
          <w:szCs w:val="24"/>
          <w:lang w:val="fr-FR"/>
        </w:rPr>
        <w:t>quasi-monétaires</w:t>
      </w:r>
      <w:r w:rsidRPr="00577EB1">
        <w:rPr>
          <w:b w:val="0"/>
          <w:szCs w:val="24"/>
          <w:lang w:val="fr-FR"/>
        </w:rPr>
        <w:t xml:space="preserve"> pourraient être </w:t>
      </w:r>
      <w:r w:rsidR="00E465A9">
        <w:rPr>
          <w:b w:val="0"/>
          <w:szCs w:val="24"/>
          <w:lang w:val="fr-FR"/>
        </w:rPr>
        <w:t>plus appropriés</w:t>
      </w:r>
      <w:r w:rsidRPr="00577EB1">
        <w:rPr>
          <w:b w:val="0"/>
          <w:szCs w:val="24"/>
          <w:lang w:val="fr-FR"/>
        </w:rPr>
        <w:t>.</w:t>
      </w:r>
    </w:p>
    <w:p w:rsidR="004B3541" w:rsidRDefault="00726DDC">
      <w:pPr>
        <w:pStyle w:val="Style3"/>
        <w:keepNext w:val="0"/>
        <w:widowControl w:val="0"/>
        <w:tabs>
          <w:tab w:val="clear" w:pos="567"/>
          <w:tab w:val="clear" w:pos="709"/>
          <w:tab w:val="left" w:pos="0"/>
        </w:tabs>
        <w:rPr>
          <w:szCs w:val="24"/>
          <w:lang w:val="fr-FR"/>
        </w:rPr>
      </w:pPr>
      <w:r w:rsidRPr="00577EB1">
        <w:rPr>
          <w:i/>
          <w:szCs w:val="24"/>
          <w:lang w:val="fr-FR"/>
        </w:rPr>
        <w:t xml:space="preserve">Programmes de nutrition. </w:t>
      </w:r>
      <w:r w:rsidRPr="00577EB1">
        <w:rPr>
          <w:b w:val="0"/>
          <w:szCs w:val="24"/>
          <w:lang w:val="fr-FR"/>
        </w:rPr>
        <w:t>Au vu des besoins</w:t>
      </w:r>
      <w:r w:rsidR="00E465A9">
        <w:rPr>
          <w:b w:val="0"/>
          <w:szCs w:val="24"/>
          <w:lang w:val="fr-FR"/>
        </w:rPr>
        <w:t xml:space="preserve"> importants</w:t>
      </w:r>
      <w:r w:rsidRPr="00577EB1">
        <w:rPr>
          <w:b w:val="0"/>
          <w:szCs w:val="24"/>
          <w:lang w:val="fr-FR"/>
        </w:rPr>
        <w:t xml:space="preserve">, le gouvernement et ses partenaires, notamment l’UNICEF et la Banque mondiale, font depuis 2003 des efforts substantiels pour étendre leurs interventions nutritionnelles. L’UNICEF, le PAM, ECHO et leurs ONG partenaires sont particulièrement actifs dans </w:t>
      </w:r>
      <w:r w:rsidR="00926D7A">
        <w:rPr>
          <w:b w:val="0"/>
          <w:szCs w:val="24"/>
          <w:lang w:val="fr-FR"/>
        </w:rPr>
        <w:t>la prise en charge</w:t>
      </w:r>
      <w:r w:rsidRPr="00577EB1">
        <w:rPr>
          <w:b w:val="0"/>
          <w:szCs w:val="24"/>
          <w:lang w:val="fr-FR"/>
        </w:rPr>
        <w:t xml:space="preserve"> des enfants de moins de 5 ans et des femmes enceintes et allaitantes, modérément ou gravement mal nourris. Néanmoins, la couverture des programmes existants</w:t>
      </w:r>
      <w:r w:rsidR="00E465A9">
        <w:rPr>
          <w:b w:val="0"/>
          <w:szCs w:val="24"/>
          <w:lang w:val="fr-FR"/>
        </w:rPr>
        <w:t xml:space="preserve"> reste </w:t>
      </w:r>
      <w:r w:rsidRPr="00577EB1">
        <w:rPr>
          <w:b w:val="0"/>
          <w:szCs w:val="24"/>
          <w:lang w:val="fr-FR"/>
        </w:rPr>
        <w:t xml:space="preserve">insuffisante, bien que la malnutrition aiguë sévère soit un des principaux défis pour la réalisation des OMD liés à la nutrition. </w:t>
      </w:r>
    </w:p>
    <w:p w:rsidR="004B3541" w:rsidRDefault="00726DDC">
      <w:pPr>
        <w:pStyle w:val="ListParagraph"/>
        <w:tabs>
          <w:tab w:val="clear" w:pos="709"/>
          <w:tab w:val="left" w:pos="0"/>
        </w:tabs>
        <w:ind w:left="0"/>
        <w:rPr>
          <w:szCs w:val="24"/>
          <w:lang w:val="fr-FR"/>
        </w:rPr>
      </w:pPr>
      <w:r w:rsidRPr="00577EB1">
        <w:rPr>
          <w:b/>
          <w:i/>
          <w:szCs w:val="24"/>
          <w:lang w:val="fr-FR"/>
        </w:rPr>
        <w:t xml:space="preserve">Cantines scolaires. </w:t>
      </w:r>
      <w:r w:rsidRPr="00577EB1">
        <w:rPr>
          <w:szCs w:val="24"/>
          <w:lang w:val="fr-FR"/>
        </w:rPr>
        <w:t xml:space="preserve">Les cantines scolaires sont l’un des principaux programmes de filets sociaux actuellement en cours au Burkina Faso. En 2009, </w:t>
      </w:r>
      <w:r w:rsidR="006C6A27">
        <w:rPr>
          <w:szCs w:val="24"/>
          <w:lang w:val="fr-FR"/>
        </w:rPr>
        <w:t>elles</w:t>
      </w:r>
      <w:r w:rsidR="006C6A27" w:rsidRPr="00577EB1">
        <w:rPr>
          <w:szCs w:val="24"/>
          <w:lang w:val="fr-FR"/>
        </w:rPr>
        <w:t xml:space="preserve"> </w:t>
      </w:r>
      <w:r w:rsidR="006C6A27">
        <w:rPr>
          <w:szCs w:val="24"/>
          <w:lang w:val="fr-FR"/>
        </w:rPr>
        <w:t>comptaient pour 24 %</w:t>
      </w:r>
      <w:r w:rsidRPr="00577EB1">
        <w:rPr>
          <w:szCs w:val="24"/>
          <w:lang w:val="fr-FR"/>
        </w:rPr>
        <w:t xml:space="preserve"> de la dépense totale en faveur des filets sociaux  et concernaient plus de </w:t>
      </w:r>
      <w:r w:rsidR="006C6A27">
        <w:rPr>
          <w:szCs w:val="24"/>
          <w:lang w:val="fr-FR"/>
        </w:rPr>
        <w:t>2</w:t>
      </w:r>
      <w:r w:rsidR="006C6A27" w:rsidRPr="00577EB1">
        <w:rPr>
          <w:szCs w:val="24"/>
          <w:lang w:val="fr-FR"/>
        </w:rPr>
        <w:t>7 </w:t>
      </w:r>
      <w:r w:rsidRPr="00577EB1">
        <w:rPr>
          <w:szCs w:val="24"/>
          <w:lang w:val="fr-FR"/>
        </w:rPr>
        <w:t>% du total estimatif des bénéficiaires des filets sociaux</w:t>
      </w:r>
      <w:r w:rsidR="006C6A27">
        <w:rPr>
          <w:szCs w:val="24"/>
          <w:lang w:val="fr-FR"/>
        </w:rPr>
        <w:t xml:space="preserve"> </w:t>
      </w:r>
      <w:r w:rsidR="006C6A27" w:rsidRPr="00577EB1">
        <w:rPr>
          <w:szCs w:val="24"/>
          <w:lang w:val="fr-FR"/>
        </w:rPr>
        <w:t>(subventions générales exclues)</w:t>
      </w:r>
      <w:r w:rsidRPr="00577EB1">
        <w:rPr>
          <w:szCs w:val="24"/>
          <w:lang w:val="fr-FR"/>
        </w:rPr>
        <w:t xml:space="preserve">. Plus de 50 % des écoles primaires du pays ont des activités de cantines scolaires, et plus de 50 % de la dépense est extérieurement financée </w:t>
      </w:r>
      <w:r w:rsidR="00926D7A">
        <w:rPr>
          <w:szCs w:val="24"/>
          <w:lang w:val="fr-FR"/>
        </w:rPr>
        <w:t>via</w:t>
      </w:r>
      <w:r w:rsidR="00926D7A" w:rsidRPr="00577EB1">
        <w:rPr>
          <w:szCs w:val="24"/>
          <w:lang w:val="fr-FR"/>
        </w:rPr>
        <w:t xml:space="preserve"> </w:t>
      </w:r>
      <w:r w:rsidR="006C6A27">
        <w:rPr>
          <w:szCs w:val="24"/>
          <w:lang w:val="fr-FR"/>
        </w:rPr>
        <w:t xml:space="preserve">USAID et les financements multilatéraux à travers </w:t>
      </w:r>
      <w:r w:rsidRPr="00577EB1">
        <w:rPr>
          <w:szCs w:val="24"/>
          <w:lang w:val="fr-FR"/>
        </w:rPr>
        <w:t>le PAM</w:t>
      </w:r>
      <w:r w:rsidR="006C6A27">
        <w:rPr>
          <w:szCs w:val="24"/>
          <w:lang w:val="fr-FR"/>
        </w:rPr>
        <w:t xml:space="preserve"> et</w:t>
      </w:r>
      <w:r w:rsidRPr="00577EB1">
        <w:rPr>
          <w:szCs w:val="24"/>
          <w:lang w:val="fr-FR"/>
        </w:rPr>
        <w:t xml:space="preserve"> CRS. Le </w:t>
      </w:r>
      <w:r w:rsidR="00926D7A">
        <w:rPr>
          <w:szCs w:val="24"/>
          <w:lang w:val="fr-FR"/>
        </w:rPr>
        <w:t>M</w:t>
      </w:r>
      <w:r w:rsidRPr="00577EB1">
        <w:rPr>
          <w:szCs w:val="24"/>
          <w:lang w:val="fr-FR"/>
        </w:rPr>
        <w:t xml:space="preserve">inistère de l’Enseignement de </w:t>
      </w:r>
      <w:r w:rsidR="00926D7A">
        <w:rPr>
          <w:szCs w:val="24"/>
          <w:lang w:val="fr-FR"/>
        </w:rPr>
        <w:t>B</w:t>
      </w:r>
      <w:r w:rsidRPr="00577EB1">
        <w:rPr>
          <w:szCs w:val="24"/>
          <w:lang w:val="fr-FR"/>
        </w:rPr>
        <w:t xml:space="preserve">ase et de l’Alphabétisation (MEBA) </w:t>
      </w:r>
      <w:r w:rsidR="005F6416">
        <w:rPr>
          <w:szCs w:val="24"/>
          <w:lang w:val="fr-FR"/>
        </w:rPr>
        <w:t xml:space="preserve"> gère </w:t>
      </w:r>
      <w:r w:rsidRPr="00577EB1">
        <w:rPr>
          <w:szCs w:val="24"/>
          <w:lang w:val="fr-FR"/>
        </w:rPr>
        <w:t>des programmes endogènes de cantines scolaires</w:t>
      </w:r>
      <w:r w:rsidR="006C6A27">
        <w:rPr>
          <w:szCs w:val="24"/>
          <w:lang w:val="fr-FR"/>
        </w:rPr>
        <w:t xml:space="preserve">, </w:t>
      </w:r>
      <w:r w:rsidRPr="00577EB1">
        <w:rPr>
          <w:szCs w:val="24"/>
          <w:lang w:val="fr-FR"/>
        </w:rPr>
        <w:t>fourni</w:t>
      </w:r>
      <w:r w:rsidR="006C6A27">
        <w:rPr>
          <w:szCs w:val="24"/>
          <w:lang w:val="fr-FR"/>
        </w:rPr>
        <w:t>ssan</w:t>
      </w:r>
      <w:r w:rsidRPr="00577EB1">
        <w:rPr>
          <w:szCs w:val="24"/>
          <w:lang w:val="fr-FR"/>
        </w:rPr>
        <w:t xml:space="preserve">t des vivres pour trois mois seulement, tandis que les </w:t>
      </w:r>
      <w:r w:rsidR="006C6A27">
        <w:rPr>
          <w:szCs w:val="24"/>
          <w:lang w:val="fr-FR"/>
        </w:rPr>
        <w:t xml:space="preserve">programmes soutenus par les </w:t>
      </w:r>
      <w:r w:rsidR="005D6182">
        <w:rPr>
          <w:szCs w:val="24"/>
          <w:lang w:val="fr-FR"/>
        </w:rPr>
        <w:t>bailleurs de fond</w:t>
      </w:r>
      <w:r w:rsidRPr="00577EB1">
        <w:rPr>
          <w:szCs w:val="24"/>
          <w:lang w:val="fr-FR"/>
        </w:rPr>
        <w:t xml:space="preserve"> apport</w:t>
      </w:r>
      <w:r w:rsidR="006C6A27">
        <w:rPr>
          <w:szCs w:val="24"/>
          <w:lang w:val="fr-FR"/>
        </w:rPr>
        <w:t>e</w:t>
      </w:r>
      <w:r w:rsidRPr="00577EB1">
        <w:rPr>
          <w:szCs w:val="24"/>
          <w:lang w:val="fr-FR"/>
        </w:rPr>
        <w:t>nt une aide pour toute l’année scolaire</w:t>
      </w:r>
      <w:r w:rsidR="006C6A27">
        <w:rPr>
          <w:szCs w:val="24"/>
          <w:lang w:val="fr-FR"/>
        </w:rPr>
        <w:t xml:space="preserve"> dans les zones les plus touchées par l’insécurité alimentaire</w:t>
      </w:r>
      <w:r w:rsidRPr="00577EB1">
        <w:rPr>
          <w:szCs w:val="24"/>
          <w:lang w:val="fr-FR"/>
        </w:rPr>
        <w:t xml:space="preserve">. </w:t>
      </w:r>
      <w:r w:rsidR="006C6A27">
        <w:rPr>
          <w:szCs w:val="24"/>
          <w:lang w:val="fr-FR"/>
        </w:rPr>
        <w:t>U</w:t>
      </w:r>
      <w:r w:rsidRPr="00577EB1">
        <w:rPr>
          <w:szCs w:val="24"/>
          <w:lang w:val="fr-FR"/>
        </w:rPr>
        <w:t xml:space="preserve">ne récente évaluation d’impact (2008) </w:t>
      </w:r>
      <w:r w:rsidR="006C6A27">
        <w:rPr>
          <w:szCs w:val="24"/>
          <w:lang w:val="fr-FR"/>
        </w:rPr>
        <w:t xml:space="preserve">a rapporté que les deux formes de cantine scolaire assistée, repas pris à l’école et les rations sèches à emporter pour les filles, </w:t>
      </w:r>
      <w:r w:rsidRPr="00577EB1">
        <w:rPr>
          <w:szCs w:val="24"/>
          <w:lang w:val="fr-FR"/>
        </w:rPr>
        <w:t xml:space="preserve"> </w:t>
      </w:r>
      <w:r w:rsidR="006C6A27">
        <w:rPr>
          <w:szCs w:val="24"/>
          <w:lang w:val="fr-FR"/>
        </w:rPr>
        <w:t>ont permis d’augmenter la</w:t>
      </w:r>
      <w:r w:rsidRPr="00577EB1">
        <w:rPr>
          <w:szCs w:val="24"/>
          <w:lang w:val="fr-FR"/>
        </w:rPr>
        <w:t xml:space="preserve"> scolarisation des filles d</w:t>
      </w:r>
      <w:r w:rsidR="006C6A27">
        <w:rPr>
          <w:szCs w:val="24"/>
          <w:lang w:val="fr-FR"/>
        </w:rPr>
        <w:t>’environ</w:t>
      </w:r>
      <w:r w:rsidRPr="00577EB1">
        <w:rPr>
          <w:szCs w:val="24"/>
          <w:lang w:val="fr-FR"/>
        </w:rPr>
        <w:t xml:space="preserve"> 6 %</w:t>
      </w:r>
      <w:r w:rsidR="006C6A27">
        <w:rPr>
          <w:szCs w:val="24"/>
          <w:lang w:val="fr-FR"/>
        </w:rPr>
        <w:t>.</w:t>
      </w:r>
      <w:r w:rsidRPr="00577EB1">
        <w:rPr>
          <w:szCs w:val="24"/>
          <w:lang w:val="fr-FR"/>
        </w:rPr>
        <w:t xml:space="preserve"> </w:t>
      </w:r>
      <w:r w:rsidR="006C6A27">
        <w:rPr>
          <w:szCs w:val="24"/>
          <w:lang w:val="fr-FR"/>
        </w:rPr>
        <w:t xml:space="preserve">Aucune de ces interventions n’a montré d’impact positif significatif sur l’apprentissage, mais un impact positif des rations sèches pour </w:t>
      </w:r>
      <w:r w:rsidR="006C6A27">
        <w:rPr>
          <w:szCs w:val="24"/>
          <w:lang w:val="fr-FR"/>
        </w:rPr>
        <w:lastRenderedPageBreak/>
        <w:t>les filles sur le statut nutritionnel des frères et sœurs plus jeunes a été observé.</w:t>
      </w:r>
      <w:r w:rsidRPr="00577EB1">
        <w:rPr>
          <w:szCs w:val="24"/>
          <w:lang w:val="fr-FR"/>
        </w:rPr>
        <w:t xml:space="preserve">. </w:t>
      </w:r>
      <w:r w:rsidR="006C6A27">
        <w:rPr>
          <w:szCs w:val="24"/>
          <w:lang w:val="fr-FR"/>
        </w:rPr>
        <w:t xml:space="preserve">Ces résultats mitigés invitent à reconsidérer le choix des repas pris à l’école pour augmenter les taux de scolarisation. </w:t>
      </w:r>
      <w:r w:rsidR="006C6A27" w:rsidRPr="0075722A">
        <w:rPr>
          <w:szCs w:val="24"/>
          <w:lang w:val="fr-FR"/>
        </w:rPr>
        <w:t xml:space="preserve">Les repas pris à l’école </w:t>
      </w:r>
      <w:r w:rsidR="00EB214A" w:rsidRPr="00EB214A">
        <w:rPr>
          <w:szCs w:val="24"/>
          <w:lang w:val="fr-FR"/>
        </w:rPr>
        <w:t xml:space="preserve"> sont coûteux et un impact plus important (sur la pauvreté et la nutrition)</w:t>
      </w:r>
      <w:r w:rsidR="0075722A">
        <w:rPr>
          <w:szCs w:val="24"/>
          <w:lang w:val="fr-FR"/>
        </w:rPr>
        <w:t xml:space="preserve"> </w:t>
      </w:r>
      <w:r w:rsidR="006C6A27">
        <w:rPr>
          <w:szCs w:val="24"/>
          <w:lang w:val="fr-FR"/>
        </w:rPr>
        <w:t>pourrait être réalisé avec des rations ciblées (éventuellement conditionnelles) avec des résultats similaires sur les taux de scolarisation</w:t>
      </w:r>
      <w:r w:rsidR="0075722A">
        <w:rPr>
          <w:szCs w:val="24"/>
          <w:lang w:val="fr-FR"/>
        </w:rPr>
        <w:t>, et la possibilité de cibler prioritairement les filles et réduire ainsi les disparités entre genres</w:t>
      </w:r>
      <w:r w:rsidR="006C6A27">
        <w:rPr>
          <w:szCs w:val="24"/>
          <w:lang w:val="fr-FR"/>
        </w:rPr>
        <w:t xml:space="preserve">. </w:t>
      </w:r>
      <w:r w:rsidRPr="00577EB1">
        <w:rPr>
          <w:szCs w:val="24"/>
          <w:lang w:val="fr-FR"/>
        </w:rPr>
        <w:t xml:space="preserve">Le gouvernement prévoit de faire passer </w:t>
      </w:r>
      <w:r w:rsidR="006C6A27">
        <w:rPr>
          <w:szCs w:val="24"/>
          <w:lang w:val="fr-FR"/>
        </w:rPr>
        <w:t>son</w:t>
      </w:r>
      <w:r w:rsidRPr="00577EB1">
        <w:rPr>
          <w:szCs w:val="24"/>
          <w:lang w:val="fr-FR"/>
        </w:rPr>
        <w:t xml:space="preserve"> programme </w:t>
      </w:r>
      <w:r w:rsidR="006C6A27">
        <w:rPr>
          <w:szCs w:val="24"/>
          <w:lang w:val="fr-FR"/>
        </w:rPr>
        <w:t>de cantines scolaires</w:t>
      </w:r>
      <w:r w:rsidR="000632C0">
        <w:rPr>
          <w:szCs w:val="24"/>
          <w:lang w:val="fr-FR"/>
        </w:rPr>
        <w:t xml:space="preserve"> (repas pris à l’école)</w:t>
      </w:r>
      <w:r w:rsidR="006C6A27">
        <w:rPr>
          <w:szCs w:val="24"/>
          <w:lang w:val="fr-FR"/>
        </w:rPr>
        <w:t xml:space="preserve"> </w:t>
      </w:r>
      <w:r w:rsidRPr="00577EB1">
        <w:rPr>
          <w:szCs w:val="24"/>
          <w:lang w:val="fr-FR"/>
        </w:rPr>
        <w:t xml:space="preserve">à l’échelle pendant l’année scolaire 2010-2011, afin de couvrir toutes les écoles primaires. Il n’est cependant pas clair si cette expansion est une mesure temporaire pour atténuer les effets de la crise récente ou une stratégie à long terme. L’expansion des cantines scolaires peut </w:t>
      </w:r>
      <w:r w:rsidR="007E336A">
        <w:rPr>
          <w:szCs w:val="24"/>
          <w:lang w:val="fr-FR"/>
        </w:rPr>
        <w:t>c</w:t>
      </w:r>
      <w:r w:rsidRPr="00577EB1">
        <w:rPr>
          <w:szCs w:val="24"/>
          <w:lang w:val="fr-FR"/>
        </w:rPr>
        <w:t>ertes être une réponse temporaire, pratique et légitime à la crise alimentaire mais les autorités doivent continuer à rechercher l’instrument de filet social le plus adéquat à long terme</w:t>
      </w:r>
      <w:r w:rsidR="005F6416">
        <w:rPr>
          <w:szCs w:val="24"/>
          <w:lang w:val="fr-FR"/>
        </w:rPr>
        <w:t>, y compris les mécanismes de ciblage au plus pauvres,</w:t>
      </w:r>
      <w:r w:rsidR="0075722A">
        <w:rPr>
          <w:szCs w:val="24"/>
          <w:lang w:val="fr-FR"/>
        </w:rPr>
        <w:t xml:space="preserve"> pour améliorer les taux de scolarisation et contribuer à la réduction de la pauvreté.</w:t>
      </w:r>
      <w:r w:rsidRPr="00577EB1">
        <w:rPr>
          <w:szCs w:val="24"/>
          <w:lang w:val="fr-FR"/>
        </w:rPr>
        <w:t xml:space="preserve"> </w:t>
      </w:r>
    </w:p>
    <w:p w:rsidR="00726DDC" w:rsidRPr="00577EB1" w:rsidRDefault="00726DDC" w:rsidP="00726DDC">
      <w:pPr>
        <w:pStyle w:val="ListParagraph"/>
        <w:ind w:left="0"/>
        <w:rPr>
          <w:b/>
          <w:szCs w:val="24"/>
          <w:lang w:val="fr-FR"/>
        </w:rPr>
      </w:pPr>
      <w:r w:rsidRPr="00577EB1">
        <w:rPr>
          <w:b/>
          <w:szCs w:val="24"/>
          <w:lang w:val="fr-FR"/>
        </w:rPr>
        <w:t>Subventions universelles des produits alimentaires et pétroliers</w:t>
      </w:r>
    </w:p>
    <w:p w:rsidR="00726DDC" w:rsidRPr="00577EB1" w:rsidRDefault="00726DDC" w:rsidP="00726DDC">
      <w:pPr>
        <w:pStyle w:val="ListParagraph"/>
        <w:ind w:left="0"/>
        <w:rPr>
          <w:b/>
          <w:szCs w:val="24"/>
          <w:lang w:val="fr-FR"/>
        </w:rPr>
      </w:pPr>
      <w:r w:rsidRPr="00577EB1">
        <w:rPr>
          <w:b/>
          <w:i/>
          <w:szCs w:val="24"/>
          <w:lang w:val="fr-FR"/>
        </w:rPr>
        <w:t xml:space="preserve">Pour atténuer les effets négatifs des prix élevés des produits alimentaires et pétroliers, le gouvernement a mis en place des subventions universelles, qui sont </w:t>
      </w:r>
      <w:r w:rsidRPr="008C3350">
        <w:rPr>
          <w:b/>
          <w:i/>
          <w:color w:val="000000" w:themeColor="text1"/>
          <w:szCs w:val="24"/>
          <w:lang w:val="fr-FR"/>
        </w:rPr>
        <w:t xml:space="preserve">coûteuses </w:t>
      </w:r>
      <w:r w:rsidRPr="008C3350">
        <w:rPr>
          <w:b/>
          <w:i/>
          <w:iCs/>
          <w:color w:val="000000" w:themeColor="text1"/>
          <w:lang w:val="fr-FR"/>
        </w:rPr>
        <w:t>et inefficaces pour atteindre les pauvres</w:t>
      </w:r>
      <w:r w:rsidRPr="008C3350">
        <w:rPr>
          <w:b/>
          <w:i/>
          <w:color w:val="000000" w:themeColor="text1"/>
          <w:szCs w:val="24"/>
          <w:lang w:val="fr-FR"/>
        </w:rPr>
        <w:t>.</w:t>
      </w:r>
      <w:r w:rsidRPr="008C3350">
        <w:rPr>
          <w:color w:val="000000" w:themeColor="text1"/>
          <w:szCs w:val="24"/>
          <w:lang w:val="fr-FR"/>
        </w:rPr>
        <w:t xml:space="preserve"> L</w:t>
      </w:r>
      <w:r w:rsidR="006F66B4" w:rsidRPr="008C3350">
        <w:rPr>
          <w:color w:val="000000" w:themeColor="text1"/>
          <w:szCs w:val="24"/>
          <w:lang w:val="fr-FR"/>
        </w:rPr>
        <w:t>es</w:t>
      </w:r>
      <w:r w:rsidRPr="008C3350">
        <w:rPr>
          <w:color w:val="000000" w:themeColor="text1"/>
          <w:szCs w:val="24"/>
          <w:lang w:val="fr-FR"/>
        </w:rPr>
        <w:t xml:space="preserve"> subvention</w:t>
      </w:r>
      <w:r w:rsidR="006F66B4" w:rsidRPr="008C3350">
        <w:rPr>
          <w:color w:val="000000" w:themeColor="text1"/>
          <w:szCs w:val="24"/>
          <w:lang w:val="fr-FR"/>
        </w:rPr>
        <w:t>s</w:t>
      </w:r>
      <w:r w:rsidRPr="008C3350">
        <w:rPr>
          <w:color w:val="000000" w:themeColor="text1"/>
          <w:szCs w:val="24"/>
          <w:lang w:val="fr-FR"/>
        </w:rPr>
        <w:t xml:space="preserve"> universelle</w:t>
      </w:r>
      <w:r w:rsidR="006F66B4" w:rsidRPr="008C3350">
        <w:rPr>
          <w:color w:val="000000" w:themeColor="text1"/>
          <w:szCs w:val="24"/>
          <w:lang w:val="fr-FR"/>
        </w:rPr>
        <w:t>s</w:t>
      </w:r>
      <w:r w:rsidRPr="008C3350">
        <w:rPr>
          <w:color w:val="000000" w:themeColor="text1"/>
          <w:szCs w:val="24"/>
          <w:lang w:val="fr-FR"/>
        </w:rPr>
        <w:t xml:space="preserve"> des produits alimentaires introduite en 2008 en réponse à la crise causée par la hausse mondiale des </w:t>
      </w:r>
      <w:r w:rsidR="006F66B4" w:rsidRPr="008C3350">
        <w:rPr>
          <w:color w:val="000000" w:themeColor="text1"/>
          <w:szCs w:val="24"/>
          <w:lang w:val="fr-FR"/>
        </w:rPr>
        <w:t xml:space="preserve">prix </w:t>
      </w:r>
      <w:r w:rsidRPr="008C3350">
        <w:rPr>
          <w:color w:val="000000" w:themeColor="text1"/>
          <w:szCs w:val="24"/>
          <w:lang w:val="fr-FR"/>
        </w:rPr>
        <w:t>se sont</w:t>
      </w:r>
      <w:r w:rsidRPr="00577EB1">
        <w:rPr>
          <w:szCs w:val="24"/>
          <w:lang w:val="fr-FR"/>
        </w:rPr>
        <w:t xml:space="preserve"> avérées très coûteuses et moins qu’efficaces pour atteindre les pauvres. C’est pourquoi, il a été mis fin à ce programme. En outre, un certain nombre de produits pétroliers </w:t>
      </w:r>
      <w:r w:rsidR="006F66B4">
        <w:rPr>
          <w:szCs w:val="24"/>
          <w:lang w:val="fr-FR"/>
        </w:rPr>
        <w:t>s</w:t>
      </w:r>
      <w:r w:rsidRPr="00577EB1">
        <w:rPr>
          <w:szCs w:val="24"/>
          <w:lang w:val="fr-FR"/>
        </w:rPr>
        <w:t xml:space="preserve">ont subventionnés par l’État </w:t>
      </w:r>
      <w:r w:rsidR="006F66B4">
        <w:rPr>
          <w:szCs w:val="24"/>
          <w:lang w:val="fr-FR"/>
        </w:rPr>
        <w:t>depuis</w:t>
      </w:r>
      <w:r w:rsidR="006F66B4" w:rsidRPr="00577EB1">
        <w:rPr>
          <w:szCs w:val="24"/>
          <w:lang w:val="fr-FR"/>
        </w:rPr>
        <w:t xml:space="preserve"> </w:t>
      </w:r>
      <w:r w:rsidRPr="00577EB1">
        <w:rPr>
          <w:szCs w:val="24"/>
          <w:lang w:val="fr-FR"/>
        </w:rPr>
        <w:t xml:space="preserve">des années, malgré un coût élevé pour les finances publiques et un très faible impact sur les ménages les plus pauvres (sauf pour le pétrole lampant). Dans l’ensemble, le coût direct pour les finances publiques de l’exonération des taxes d’importation sur les carburants est estimé à 0,7 % du PIB en 2007 et 2008, avec un impact sur les pauvres très limité, plus de 84 % des avantages allant aux non-pauvres. </w:t>
      </w:r>
    </w:p>
    <w:p w:rsidR="00726DDC" w:rsidRPr="00577EB1" w:rsidRDefault="00726DDC" w:rsidP="00726DDC">
      <w:pPr>
        <w:pStyle w:val="ListParagraph"/>
        <w:ind w:left="0"/>
        <w:rPr>
          <w:b/>
          <w:szCs w:val="24"/>
          <w:lang w:val="fr-FR"/>
        </w:rPr>
      </w:pPr>
      <w:r w:rsidRPr="00577EB1">
        <w:rPr>
          <w:b/>
          <w:szCs w:val="24"/>
          <w:lang w:val="fr-FR"/>
        </w:rPr>
        <w:t xml:space="preserve">Travaux publics à haute intensité de main d’œuvre et </w:t>
      </w:r>
      <w:r w:rsidR="006F66B4">
        <w:rPr>
          <w:b/>
          <w:szCs w:val="24"/>
          <w:lang w:val="fr-FR"/>
        </w:rPr>
        <w:t>a</w:t>
      </w:r>
      <w:r w:rsidRPr="00577EB1">
        <w:rPr>
          <w:b/>
          <w:szCs w:val="24"/>
          <w:lang w:val="fr-FR"/>
        </w:rPr>
        <w:t>rgent ou vivres contre travail</w:t>
      </w:r>
    </w:p>
    <w:p w:rsidR="00726DDC" w:rsidRPr="00577EB1" w:rsidRDefault="00726DDC" w:rsidP="00726DDC">
      <w:pPr>
        <w:spacing w:after="120"/>
        <w:rPr>
          <w:szCs w:val="24"/>
          <w:lang w:val="fr-FR"/>
        </w:rPr>
      </w:pPr>
      <w:r w:rsidRPr="00577EB1">
        <w:rPr>
          <w:b/>
          <w:i/>
          <w:szCs w:val="24"/>
          <w:lang w:val="fr-FR"/>
        </w:rPr>
        <w:t xml:space="preserve">Il y a beaucoup à apprendre de l’expérience positive des programmes de travaux publics en cours. </w:t>
      </w:r>
      <w:r w:rsidRPr="00577EB1">
        <w:rPr>
          <w:szCs w:val="24"/>
          <w:lang w:val="fr-FR"/>
        </w:rPr>
        <w:t>Le PrEst (Programme de pistes rurales</w:t>
      </w:r>
      <w:r w:rsidR="0007340F">
        <w:rPr>
          <w:szCs w:val="24"/>
          <w:lang w:val="fr-FR"/>
        </w:rPr>
        <w:t xml:space="preserve"> </w:t>
      </w:r>
      <w:r w:rsidRPr="00577EB1">
        <w:rPr>
          <w:szCs w:val="24"/>
          <w:lang w:val="fr-FR"/>
        </w:rPr>
        <w:t>Désenclavement à l’Est) est</w:t>
      </w:r>
      <w:r w:rsidRPr="00577EB1">
        <w:rPr>
          <w:b/>
          <w:szCs w:val="24"/>
          <w:lang w:val="fr-FR"/>
        </w:rPr>
        <w:t xml:space="preserve"> </w:t>
      </w:r>
      <w:r w:rsidRPr="00577EB1">
        <w:rPr>
          <w:szCs w:val="24"/>
          <w:lang w:val="fr-FR"/>
        </w:rPr>
        <w:t xml:space="preserve">mis en œuvre par l’ONG Helvetas depuis 2002, sous la supervision du </w:t>
      </w:r>
      <w:r w:rsidR="006F66B4">
        <w:rPr>
          <w:szCs w:val="24"/>
          <w:lang w:val="fr-FR"/>
        </w:rPr>
        <w:t>M</w:t>
      </w:r>
      <w:r w:rsidRPr="00577EB1">
        <w:rPr>
          <w:szCs w:val="24"/>
          <w:lang w:val="fr-FR"/>
        </w:rPr>
        <w:t xml:space="preserve">inistère des Infrastructures et du Désenclavement (MID). Il utilise une approche à haute intensité de main d’œuvre pour la création d’infrastructures dans les zones rurales. Parmi les autres expériences de travaux publics, on trouve aussi le programme Vivres contre infrastructures du PAM, qui se concentre principalement sur la construction d’actifs de qualité. Sur la base des expériences du PrEst et du programme Vivres contre infrastructure du PAM, d’autres types de programmes de travaux publics pourraient être introduits en tant qu’instruments efficaces de filets sociaux. En fait, un examen récent de l’expérience avec les programmes de travaux publics dans plusieurs pays montre que, s’ils sont bien conçus et bien mis en œuvre, de tels programmes peuvent contribuer à atténuer les chocs sur les revenus et devenir des instruments efficaces de lutte contre la pauvreté. Cependant, </w:t>
      </w:r>
      <w:r w:rsidR="006F66B4">
        <w:rPr>
          <w:szCs w:val="24"/>
          <w:lang w:val="fr-FR"/>
        </w:rPr>
        <w:t>leur</w:t>
      </w:r>
      <w:r w:rsidR="006F66B4" w:rsidRPr="00577EB1">
        <w:rPr>
          <w:szCs w:val="24"/>
          <w:lang w:val="fr-FR"/>
        </w:rPr>
        <w:t xml:space="preserve"> </w:t>
      </w:r>
      <w:r w:rsidRPr="00577EB1">
        <w:rPr>
          <w:szCs w:val="24"/>
          <w:lang w:val="fr-FR"/>
        </w:rPr>
        <w:t xml:space="preserve">efficacité dépend en grande mesure de la capacité du programme à fournir des sources supplémentaires de revenus à la population la plus vulnérable lorsqu’elle en a le plus besoin. </w:t>
      </w:r>
      <w:r w:rsidR="00C01991">
        <w:rPr>
          <w:szCs w:val="24"/>
          <w:lang w:val="fr-FR"/>
        </w:rPr>
        <w:t>Et i</w:t>
      </w:r>
      <w:r w:rsidRPr="00577EB1">
        <w:rPr>
          <w:szCs w:val="24"/>
          <w:lang w:val="fr-FR"/>
        </w:rPr>
        <w:t xml:space="preserve">l faudrait consacrer plus d’attention aux méthodes de ciblage, à la durée et au calendrier des travaux, aux caractéristiques de conception particulières pouvant favoriser la participation des femmes, à la participation des communautés et au choix de la rémunération. </w:t>
      </w:r>
    </w:p>
    <w:p w:rsidR="008C3350" w:rsidRDefault="00726DDC">
      <w:pPr>
        <w:keepNext/>
        <w:spacing w:after="120"/>
        <w:rPr>
          <w:b/>
          <w:szCs w:val="24"/>
          <w:lang w:val="fr-FR"/>
        </w:rPr>
      </w:pPr>
      <w:r w:rsidRPr="00577EB1">
        <w:rPr>
          <w:b/>
          <w:szCs w:val="24"/>
          <w:lang w:val="fr-FR"/>
        </w:rPr>
        <w:lastRenderedPageBreak/>
        <w:t>Exemption des frais de santé</w:t>
      </w:r>
    </w:p>
    <w:p w:rsidR="00726DDC" w:rsidRDefault="00726DDC" w:rsidP="00726DDC">
      <w:pPr>
        <w:rPr>
          <w:szCs w:val="24"/>
          <w:lang w:val="fr-FR"/>
        </w:rPr>
      </w:pPr>
      <w:r w:rsidRPr="00577EB1">
        <w:rPr>
          <w:b/>
          <w:i/>
          <w:szCs w:val="24"/>
          <w:lang w:val="fr-FR"/>
        </w:rPr>
        <w:t>Bien que diverses initiatives</w:t>
      </w:r>
      <w:r w:rsidR="006C6A27">
        <w:rPr>
          <w:b/>
          <w:i/>
          <w:szCs w:val="24"/>
          <w:lang w:val="fr-FR"/>
        </w:rPr>
        <w:t xml:space="preserve"> nationales</w:t>
      </w:r>
      <w:r w:rsidRPr="00577EB1">
        <w:rPr>
          <w:b/>
          <w:i/>
          <w:szCs w:val="24"/>
          <w:lang w:val="fr-FR"/>
        </w:rPr>
        <w:t xml:space="preserve"> </w:t>
      </w:r>
      <w:r w:rsidR="00C01991">
        <w:rPr>
          <w:b/>
          <w:i/>
          <w:szCs w:val="24"/>
          <w:lang w:val="fr-FR"/>
        </w:rPr>
        <w:t xml:space="preserve">aient </w:t>
      </w:r>
      <w:r w:rsidRPr="00577EB1">
        <w:rPr>
          <w:b/>
          <w:i/>
          <w:szCs w:val="24"/>
          <w:lang w:val="fr-FR"/>
        </w:rPr>
        <w:t>vis</w:t>
      </w:r>
      <w:r w:rsidR="00C01991">
        <w:rPr>
          <w:b/>
          <w:i/>
          <w:szCs w:val="24"/>
          <w:lang w:val="fr-FR"/>
        </w:rPr>
        <w:t>é</w:t>
      </w:r>
      <w:r w:rsidRPr="00577EB1">
        <w:rPr>
          <w:b/>
          <w:i/>
          <w:szCs w:val="24"/>
          <w:lang w:val="fr-FR"/>
        </w:rPr>
        <w:t xml:space="preserve"> à introduire la gratuité des soins médicaux pour les personnes pauvres et vulnérables, elles ne se sont jamais concrétisées faute de mécanismes de mise en œuvre.</w:t>
      </w:r>
      <w:r w:rsidRPr="00577EB1">
        <w:rPr>
          <w:b/>
          <w:szCs w:val="24"/>
          <w:lang w:val="fr-FR"/>
        </w:rPr>
        <w:t xml:space="preserve"> </w:t>
      </w:r>
      <w:r w:rsidRPr="00577EB1">
        <w:rPr>
          <w:szCs w:val="24"/>
          <w:lang w:val="fr-FR"/>
        </w:rPr>
        <w:t>La politique de subvention des SONU (soins obstétricaux et néonatals d’urgence) de 200</w:t>
      </w:r>
      <w:r w:rsidR="006C6A27">
        <w:rPr>
          <w:szCs w:val="24"/>
          <w:lang w:val="fr-FR"/>
        </w:rPr>
        <w:t>6</w:t>
      </w:r>
      <w:r w:rsidRPr="00577EB1">
        <w:rPr>
          <w:szCs w:val="24"/>
          <w:lang w:val="fr-FR"/>
        </w:rPr>
        <w:t xml:space="preserve"> donnait aux femmes indigentes (pauvres) le droit à des soins médicaux gratuits. Elle n’a cependant jamais réussi à déterminer les critères d’éligibilité à ces avantages, si bien que ces femmes n’ont jamais pu en bénéficier. Trois questions clés se posent pour ce programme</w:t>
      </w:r>
      <w:r w:rsidR="00C01991">
        <w:rPr>
          <w:szCs w:val="24"/>
          <w:lang w:val="fr-FR"/>
        </w:rPr>
        <w:t> :</w:t>
      </w:r>
      <w:r w:rsidR="0007340F">
        <w:rPr>
          <w:szCs w:val="24"/>
          <w:lang w:val="fr-FR"/>
        </w:rPr>
        <w:t xml:space="preserve"> </w:t>
      </w:r>
      <w:r w:rsidRPr="00577EB1">
        <w:rPr>
          <w:szCs w:val="24"/>
          <w:lang w:val="fr-FR"/>
        </w:rPr>
        <w:t xml:space="preserve">i) </w:t>
      </w:r>
      <w:r w:rsidR="00C01991">
        <w:rPr>
          <w:szCs w:val="24"/>
          <w:lang w:val="fr-FR"/>
        </w:rPr>
        <w:t xml:space="preserve">la définition de </w:t>
      </w:r>
      <w:r w:rsidRPr="00577EB1">
        <w:rPr>
          <w:szCs w:val="24"/>
          <w:lang w:val="fr-FR"/>
        </w:rPr>
        <w:t>qui est indigent (ou pauvre)</w:t>
      </w:r>
      <w:r w:rsidR="00C01991">
        <w:rPr>
          <w:szCs w:val="24"/>
          <w:lang w:val="fr-FR"/>
        </w:rPr>
        <w:t> ? ;</w:t>
      </w:r>
      <w:r w:rsidR="0007340F">
        <w:rPr>
          <w:szCs w:val="24"/>
          <w:lang w:val="fr-FR"/>
        </w:rPr>
        <w:t xml:space="preserve"> </w:t>
      </w:r>
      <w:r w:rsidRPr="00577EB1">
        <w:rPr>
          <w:szCs w:val="24"/>
          <w:lang w:val="fr-FR"/>
        </w:rPr>
        <w:t xml:space="preserve">ii) </w:t>
      </w:r>
      <w:r w:rsidR="00C01991">
        <w:rPr>
          <w:szCs w:val="24"/>
          <w:lang w:val="fr-FR"/>
        </w:rPr>
        <w:t xml:space="preserve">qui décide de ce statut ? ; et (iii) </w:t>
      </w:r>
      <w:r w:rsidRPr="00577EB1">
        <w:rPr>
          <w:rFonts w:eastAsia="SimSun"/>
          <w:lang w:val="fr-FR"/>
        </w:rPr>
        <w:t>qui paiera pour cette exemption des frais de santé</w:t>
      </w:r>
      <w:r w:rsidR="00C01991">
        <w:rPr>
          <w:rFonts w:eastAsia="SimSun"/>
          <w:lang w:val="fr-FR"/>
        </w:rPr>
        <w:t> ?</w:t>
      </w:r>
      <w:r w:rsidR="0007340F">
        <w:rPr>
          <w:rFonts w:eastAsia="SimSun"/>
          <w:lang w:val="fr-FR"/>
        </w:rPr>
        <w:t xml:space="preserve"> </w:t>
      </w:r>
      <w:r w:rsidRPr="00577EB1">
        <w:rPr>
          <w:szCs w:val="24"/>
          <w:lang w:val="fr-FR"/>
        </w:rPr>
        <w:t>Bien que l’expérience internationale suggère que l’abolition du paiement par l’usager pour les plus pauvres est équitable, des études complémentaires sont nécessaires</w:t>
      </w:r>
      <w:r w:rsidR="0007340F">
        <w:rPr>
          <w:szCs w:val="24"/>
          <w:lang w:val="fr-FR"/>
        </w:rPr>
        <w:t xml:space="preserve"> </w:t>
      </w:r>
      <w:r w:rsidRPr="00577EB1">
        <w:rPr>
          <w:szCs w:val="24"/>
          <w:lang w:val="fr-FR"/>
        </w:rPr>
        <w:t xml:space="preserve">pour définir les mécanismes de mise en œuvre. En particulier dans le contexte du financement du système de santé au Burkina Faso, l’exemption des frais de santé doit être considérée dans le cadre d’une stratégie plus large de politique de santé, pour déterminer le modèle à promouvoir et les mécanismes de mise en œuvre nécessaires. </w:t>
      </w:r>
    </w:p>
    <w:p w:rsidR="006C6A27" w:rsidRDefault="00EB214A" w:rsidP="00726DDC">
      <w:pPr>
        <w:rPr>
          <w:szCs w:val="24"/>
          <w:lang w:val="fr-FR"/>
        </w:rPr>
      </w:pPr>
      <w:r w:rsidRPr="00EB214A">
        <w:rPr>
          <w:b/>
          <w:i/>
          <w:szCs w:val="24"/>
          <w:lang w:val="fr-FR"/>
        </w:rPr>
        <w:t>Deux projets pilotes financés par des fonds extérieurs fournissant des services de santé gratuits aux femmes enceintes et allaitantes et aux enfants de moins de 5 ans ont montré de bons résultats sur l’utilisation des services de santé</w:t>
      </w:r>
      <w:r w:rsidR="00500474">
        <w:rPr>
          <w:szCs w:val="24"/>
          <w:lang w:val="fr-FR"/>
        </w:rPr>
        <w:t>.  Ces initiatives, mises en œuvre par les ONG HELP (dans deux districts du Sahel depuis septembre 2007) et Terre des Hommes (dans deux districts du Nord depuis octobre 2008) en collaboration avec les COGES, font écho à l’expérience internationale qui suggère que l’abolition du paiement par l’usager n’est pas seulement juste et équitable mais également potentiellement faisable à la fois techniquement et financièrement.</w:t>
      </w:r>
    </w:p>
    <w:p w:rsidR="00554CB7" w:rsidRPr="00554CB7" w:rsidRDefault="00500474" w:rsidP="00554CB7">
      <w:pPr>
        <w:pStyle w:val="ListParagraph"/>
        <w:keepNext/>
        <w:keepLines/>
        <w:ind w:left="0"/>
        <w:rPr>
          <w:b/>
          <w:sz w:val="28"/>
          <w:szCs w:val="24"/>
          <w:lang w:val="fr-FR"/>
        </w:rPr>
      </w:pPr>
      <w:r w:rsidRPr="00500474">
        <w:rPr>
          <w:b/>
          <w:i/>
          <w:szCs w:val="24"/>
          <w:lang w:val="fr-FR"/>
        </w:rPr>
        <w:t>Le d</w:t>
      </w:r>
      <w:r>
        <w:rPr>
          <w:b/>
          <w:i/>
          <w:szCs w:val="24"/>
          <w:lang w:val="fr-FR"/>
        </w:rPr>
        <w:t>é</w:t>
      </w:r>
      <w:r w:rsidRPr="00500474">
        <w:rPr>
          <w:b/>
          <w:i/>
          <w:szCs w:val="24"/>
          <w:lang w:val="fr-FR"/>
        </w:rPr>
        <w:t xml:space="preserve">bat </w:t>
      </w:r>
      <w:r>
        <w:rPr>
          <w:b/>
          <w:i/>
          <w:szCs w:val="24"/>
          <w:lang w:val="fr-FR"/>
        </w:rPr>
        <w:t>autour de l’abolition des paiements et l’expansion des exemptions de frais appelle à reconsidérer la stratégie et le financement du secteur de la santé et ses mesures de protection sociale dans leur ensemble.</w:t>
      </w:r>
      <w:r w:rsidRPr="00500474">
        <w:rPr>
          <w:szCs w:val="24"/>
          <w:lang w:val="fr-FR"/>
        </w:rPr>
        <w:t xml:space="preserve"> </w:t>
      </w:r>
      <w:r>
        <w:rPr>
          <w:szCs w:val="24"/>
          <w:lang w:val="fr-FR"/>
        </w:rPr>
        <w:t>P</w:t>
      </w:r>
      <w:r w:rsidRPr="00500474">
        <w:rPr>
          <w:szCs w:val="24"/>
          <w:lang w:val="fr-FR"/>
        </w:rPr>
        <w:t>lus de recherche est requise pour informer les questions clés suivantes</w:t>
      </w:r>
      <w:r>
        <w:rPr>
          <w:szCs w:val="24"/>
          <w:lang w:val="fr-FR"/>
        </w:rPr>
        <w:t xml:space="preserve"> </w:t>
      </w:r>
      <w:r w:rsidRPr="00500474">
        <w:rPr>
          <w:szCs w:val="24"/>
          <w:lang w:val="fr-FR"/>
        </w:rPr>
        <w:t xml:space="preserve">: </w:t>
      </w:r>
      <w:r>
        <w:rPr>
          <w:szCs w:val="24"/>
          <w:lang w:val="fr-FR"/>
        </w:rPr>
        <w:t xml:space="preserve">(i) si le gouvernement veut abolir les paiements </w:t>
      </w:r>
      <w:r w:rsidR="008302F0">
        <w:rPr>
          <w:szCs w:val="24"/>
          <w:lang w:val="fr-FR"/>
        </w:rPr>
        <w:t>par l’usager, comment cela devrait-il être fait ? (ii) comment les partenaires peuvent-ils soutenir le gouvernement ? et (iii) comment l’abolition du paiement par l’usager peut-elle être le point d’entrée pour une amélioration de la qualité des services ?</w:t>
      </w:r>
    </w:p>
    <w:p w:rsidR="00726DDC" w:rsidRPr="00577EB1" w:rsidRDefault="00726DDC" w:rsidP="00E52A30">
      <w:pPr>
        <w:pStyle w:val="ListParagraph"/>
        <w:keepNext/>
        <w:keepLines/>
        <w:numPr>
          <w:ilvl w:val="0"/>
          <w:numId w:val="21"/>
        </w:numPr>
        <w:ind w:left="0" w:firstLine="0"/>
        <w:rPr>
          <w:b/>
          <w:sz w:val="28"/>
          <w:szCs w:val="24"/>
          <w:lang w:val="fr-FR"/>
        </w:rPr>
      </w:pPr>
      <w:r w:rsidRPr="00577EB1">
        <w:rPr>
          <w:b/>
          <w:sz w:val="28"/>
          <w:szCs w:val="24"/>
          <w:lang w:val="fr-FR"/>
        </w:rPr>
        <w:t>Principales recommandations pour les politiques</w:t>
      </w:r>
    </w:p>
    <w:p w:rsidR="00726DDC" w:rsidRPr="00577EB1" w:rsidRDefault="00726DDC" w:rsidP="00726DDC">
      <w:pPr>
        <w:keepNext/>
        <w:keepLines/>
        <w:rPr>
          <w:szCs w:val="24"/>
          <w:lang w:val="fr-FR"/>
        </w:rPr>
      </w:pPr>
      <w:r w:rsidRPr="00577EB1">
        <w:rPr>
          <w:szCs w:val="24"/>
          <w:lang w:val="fr-FR"/>
        </w:rPr>
        <w:t>La principale recommandation du rapport est de développer un système efficace de filets sociaux qui réponde adéquatement aux besoins des pauvres au Burkina Faso. En s’appuyant sur l’engagement du gouvernement à construire une structure de protection sociale, les actions prioritaires pour développer un système de filets sociaux plus efficace et plus rentable doivent être axées sur</w:t>
      </w:r>
      <w:r w:rsidR="00C01991">
        <w:rPr>
          <w:szCs w:val="24"/>
          <w:lang w:val="fr-FR"/>
        </w:rPr>
        <w:t> :</w:t>
      </w:r>
    </w:p>
    <w:p w:rsidR="00726DDC" w:rsidRPr="00577EB1" w:rsidRDefault="00726DDC" w:rsidP="00E52A30">
      <w:pPr>
        <w:pStyle w:val="ListParagraph"/>
        <w:numPr>
          <w:ilvl w:val="0"/>
          <w:numId w:val="23"/>
        </w:numPr>
        <w:ind w:left="720" w:hanging="360"/>
        <w:rPr>
          <w:szCs w:val="24"/>
          <w:lang w:val="fr-FR"/>
        </w:rPr>
      </w:pPr>
      <w:r w:rsidRPr="00577EB1">
        <w:rPr>
          <w:szCs w:val="24"/>
          <w:lang w:val="fr-FR"/>
        </w:rPr>
        <w:t>Le renforcement du cadre stratégique, institutionnel et financier pour la conception, la mise en œuvre, la gestion, et le suivi et évaluation des programmes de filets sociaux</w:t>
      </w:r>
      <w:r w:rsidR="00C01991">
        <w:rPr>
          <w:szCs w:val="24"/>
          <w:lang w:val="fr-FR"/>
        </w:rPr>
        <w:t> ;</w:t>
      </w:r>
      <w:r w:rsidR="0007340F">
        <w:rPr>
          <w:szCs w:val="24"/>
          <w:lang w:val="fr-FR"/>
        </w:rPr>
        <w:t xml:space="preserve"> </w:t>
      </w:r>
      <w:r w:rsidRPr="00577EB1">
        <w:rPr>
          <w:szCs w:val="24"/>
          <w:lang w:val="fr-FR"/>
        </w:rPr>
        <w:t xml:space="preserve">et </w:t>
      </w:r>
    </w:p>
    <w:p w:rsidR="00726DDC" w:rsidRPr="00577EB1" w:rsidRDefault="00726DDC" w:rsidP="00E52A30">
      <w:pPr>
        <w:pStyle w:val="ListParagraph"/>
        <w:numPr>
          <w:ilvl w:val="0"/>
          <w:numId w:val="23"/>
        </w:numPr>
        <w:ind w:left="720" w:hanging="360"/>
        <w:rPr>
          <w:szCs w:val="24"/>
          <w:lang w:val="fr-FR"/>
        </w:rPr>
      </w:pPr>
      <w:r w:rsidRPr="00577EB1">
        <w:rPr>
          <w:szCs w:val="24"/>
          <w:lang w:val="fr-FR"/>
        </w:rPr>
        <w:t xml:space="preserve">L’établissement d’un plan d’amélioration de l’efficacité du système de filets sociaux par la réforme des programmes existants et, sur la base d’expériences récentes, par la conception de nouveaux programmes. En particulier, la réforme des programmes de filets sociaux existants devrait inclure la réduction des programmes de très petite </w:t>
      </w:r>
      <w:r w:rsidRPr="00577EB1">
        <w:rPr>
          <w:szCs w:val="24"/>
          <w:lang w:val="fr-FR"/>
        </w:rPr>
        <w:lastRenderedPageBreak/>
        <w:t xml:space="preserve">envergure ou inefficaces, et le renforcement des quelques programmes viables </w:t>
      </w:r>
      <w:r w:rsidR="007F187E">
        <w:rPr>
          <w:szCs w:val="24"/>
          <w:lang w:val="fr-FR"/>
        </w:rPr>
        <w:t xml:space="preserve">ayant </w:t>
      </w:r>
      <w:r w:rsidRPr="00577EB1">
        <w:rPr>
          <w:szCs w:val="24"/>
          <w:lang w:val="fr-FR"/>
        </w:rPr>
        <w:t xml:space="preserve"> un meilleur ciblage et de meilleurs résultats. </w:t>
      </w:r>
    </w:p>
    <w:p w:rsidR="00726DDC" w:rsidRPr="00577EB1" w:rsidRDefault="00726DDC" w:rsidP="00726DDC">
      <w:pPr>
        <w:rPr>
          <w:b/>
          <w:i/>
          <w:sz w:val="28"/>
          <w:szCs w:val="24"/>
          <w:lang w:val="fr-FR"/>
        </w:rPr>
      </w:pPr>
      <w:r w:rsidRPr="00577EB1">
        <w:rPr>
          <w:b/>
          <w:i/>
          <w:sz w:val="28"/>
          <w:szCs w:val="24"/>
          <w:lang w:val="fr-FR"/>
        </w:rPr>
        <w:t>Renforce</w:t>
      </w:r>
      <w:r w:rsidR="00635302">
        <w:rPr>
          <w:b/>
          <w:i/>
          <w:sz w:val="28"/>
          <w:szCs w:val="24"/>
          <w:lang w:val="fr-FR"/>
        </w:rPr>
        <w:t>r le</w:t>
      </w:r>
      <w:r w:rsidRPr="00577EB1">
        <w:rPr>
          <w:b/>
          <w:i/>
          <w:sz w:val="28"/>
          <w:szCs w:val="24"/>
          <w:lang w:val="fr-FR"/>
        </w:rPr>
        <w:t xml:space="preserve"> cadre stratégique, institutionnel et financier</w:t>
      </w:r>
    </w:p>
    <w:p w:rsidR="00726DDC" w:rsidRPr="00577EB1" w:rsidRDefault="00726DDC" w:rsidP="00E52A30">
      <w:pPr>
        <w:pStyle w:val="ListParagraph"/>
        <w:numPr>
          <w:ilvl w:val="0"/>
          <w:numId w:val="24"/>
        </w:numPr>
        <w:ind w:left="709" w:hanging="709"/>
        <w:rPr>
          <w:b/>
          <w:szCs w:val="24"/>
          <w:lang w:val="fr-FR"/>
        </w:rPr>
      </w:pPr>
      <w:r w:rsidRPr="00577EB1">
        <w:rPr>
          <w:b/>
          <w:szCs w:val="24"/>
          <w:lang w:val="fr-FR"/>
        </w:rPr>
        <w:t>Adopt</w:t>
      </w:r>
      <w:r w:rsidR="00635302">
        <w:rPr>
          <w:b/>
          <w:szCs w:val="24"/>
          <w:lang w:val="fr-FR"/>
        </w:rPr>
        <w:t xml:space="preserve">er </w:t>
      </w:r>
      <w:r w:rsidRPr="00577EB1">
        <w:rPr>
          <w:b/>
          <w:szCs w:val="24"/>
          <w:lang w:val="fr-FR"/>
        </w:rPr>
        <w:t xml:space="preserve">une stratégie nationale de protection sociale incluant des filets sociaux </w:t>
      </w:r>
    </w:p>
    <w:p w:rsidR="00726DDC" w:rsidRPr="00577EB1" w:rsidRDefault="00726DDC" w:rsidP="00726DDC">
      <w:pPr>
        <w:pStyle w:val="ListParagraph"/>
        <w:ind w:left="0"/>
        <w:rPr>
          <w:szCs w:val="24"/>
          <w:lang w:val="fr-FR"/>
        </w:rPr>
      </w:pPr>
      <w:r w:rsidRPr="00577EB1">
        <w:rPr>
          <w:b/>
          <w:szCs w:val="24"/>
          <w:lang w:val="fr-FR"/>
        </w:rPr>
        <w:t>Développe</w:t>
      </w:r>
      <w:r w:rsidR="007F187E">
        <w:rPr>
          <w:b/>
          <w:szCs w:val="24"/>
          <w:lang w:val="fr-FR"/>
        </w:rPr>
        <w:t xml:space="preserve">r </w:t>
      </w:r>
      <w:r w:rsidRPr="00577EB1">
        <w:rPr>
          <w:b/>
          <w:szCs w:val="24"/>
          <w:lang w:val="fr-FR"/>
        </w:rPr>
        <w:t>une stratégie complète de protection sociale.</w:t>
      </w:r>
      <w:r w:rsidRPr="00577EB1">
        <w:rPr>
          <w:szCs w:val="24"/>
          <w:lang w:val="fr-FR"/>
        </w:rPr>
        <w:t xml:space="preserve"> La politique nationale de protection sociale ébauchée en 2007 constitue un bon point de départ. Elle devrait être actualisée, en tenant compte des défis qui se posent actuellement au pays. Étant donné l’énormité des besoins de santé et d’éducation, et dans un contexte de ressources financières limitées, les instruments de protection sociale devraient contribuer directement au développement du capital humain. Il faut promouvoir les synergies et les économies d’échelle entre les différents instruments de protection sociale et d’autres politiques sociales. </w:t>
      </w:r>
    </w:p>
    <w:p w:rsidR="00726DDC" w:rsidRPr="00577EB1" w:rsidRDefault="00726DDC" w:rsidP="00726DDC">
      <w:pPr>
        <w:widowControl w:val="0"/>
        <w:rPr>
          <w:szCs w:val="24"/>
          <w:lang w:val="fr-FR"/>
        </w:rPr>
      </w:pPr>
      <w:r w:rsidRPr="00577EB1">
        <w:rPr>
          <w:b/>
          <w:szCs w:val="24"/>
          <w:lang w:val="fr-FR"/>
        </w:rPr>
        <w:t>Clarifi</w:t>
      </w:r>
      <w:r w:rsidR="007F187E">
        <w:rPr>
          <w:b/>
          <w:szCs w:val="24"/>
          <w:lang w:val="fr-FR"/>
        </w:rPr>
        <w:t>er l</w:t>
      </w:r>
      <w:r w:rsidRPr="00577EB1">
        <w:rPr>
          <w:b/>
          <w:szCs w:val="24"/>
          <w:lang w:val="fr-FR"/>
        </w:rPr>
        <w:t>es objectifs du système de filets sociaux au sein d’une stratégie de protection sociale plus large.</w:t>
      </w:r>
      <w:r w:rsidRPr="00577EB1">
        <w:rPr>
          <w:szCs w:val="24"/>
          <w:lang w:val="fr-FR"/>
        </w:rPr>
        <w:t xml:space="preserve"> Les objectifs de la composante « filets sociaux » sont</w:t>
      </w:r>
      <w:r w:rsidR="00806247">
        <w:rPr>
          <w:szCs w:val="24"/>
          <w:lang w:val="fr-FR"/>
        </w:rPr>
        <w:t> :</w:t>
      </w:r>
      <w:r w:rsidR="0007340F">
        <w:rPr>
          <w:szCs w:val="24"/>
          <w:lang w:val="fr-FR"/>
        </w:rPr>
        <w:t xml:space="preserve"> </w:t>
      </w:r>
      <w:r w:rsidRPr="00577EB1">
        <w:rPr>
          <w:szCs w:val="24"/>
          <w:lang w:val="fr-FR"/>
        </w:rPr>
        <w:t>i) d’apporter un appui direct à la consommation des populations chroniquement pauvres et vulnérables</w:t>
      </w:r>
      <w:r w:rsidR="00806247">
        <w:rPr>
          <w:szCs w:val="24"/>
          <w:lang w:val="fr-FR"/>
        </w:rPr>
        <w:t> ;</w:t>
      </w:r>
      <w:r w:rsidR="0007340F">
        <w:rPr>
          <w:szCs w:val="24"/>
          <w:lang w:val="fr-FR"/>
        </w:rPr>
        <w:t xml:space="preserve"> </w:t>
      </w:r>
      <w:r w:rsidRPr="00577EB1">
        <w:rPr>
          <w:szCs w:val="24"/>
          <w:lang w:val="fr-FR"/>
        </w:rPr>
        <w:t>ii) d’assurer l’accès des populations pauvres et vulnérables aux services sociaux de base, afin de promouvoir l’investissement dans le capital humain</w:t>
      </w:r>
      <w:r w:rsidR="00806247">
        <w:rPr>
          <w:szCs w:val="24"/>
          <w:lang w:val="fr-FR"/>
        </w:rPr>
        <w:t> ;</w:t>
      </w:r>
      <w:r w:rsidR="0007340F">
        <w:rPr>
          <w:szCs w:val="24"/>
          <w:lang w:val="fr-FR"/>
        </w:rPr>
        <w:t xml:space="preserve"> </w:t>
      </w:r>
      <w:r w:rsidRPr="00577EB1">
        <w:rPr>
          <w:szCs w:val="24"/>
          <w:lang w:val="fr-FR"/>
        </w:rPr>
        <w:t>et iii) de fournir une assistance temporaire aux populations pauvres et vulnérables frappées par des chocs. Pour cela, les principes prioritaires du système de filets sociaux devraient être</w:t>
      </w:r>
      <w:r w:rsidR="00806247">
        <w:rPr>
          <w:szCs w:val="24"/>
          <w:lang w:val="fr-FR"/>
        </w:rPr>
        <w:t> :</w:t>
      </w:r>
      <w:r w:rsidRPr="00577EB1">
        <w:rPr>
          <w:szCs w:val="24"/>
          <w:lang w:val="fr-FR"/>
        </w:rPr>
        <w:t xml:space="preserve"> i) d’assurer que les populations dans un état chronique de pauvreté extrême et </w:t>
      </w:r>
      <w:r w:rsidR="00806247">
        <w:rPr>
          <w:szCs w:val="24"/>
          <w:lang w:val="fr-FR"/>
        </w:rPr>
        <w:t xml:space="preserve">de </w:t>
      </w:r>
      <w:r w:rsidRPr="00577EB1">
        <w:rPr>
          <w:szCs w:val="24"/>
          <w:lang w:val="fr-FR"/>
        </w:rPr>
        <w:t>vulnérab</w:t>
      </w:r>
      <w:r w:rsidR="00806247">
        <w:rPr>
          <w:szCs w:val="24"/>
          <w:lang w:val="fr-FR"/>
        </w:rPr>
        <w:t>ilité</w:t>
      </w:r>
      <w:r w:rsidRPr="00577EB1">
        <w:rPr>
          <w:szCs w:val="24"/>
          <w:lang w:val="fr-FR"/>
        </w:rPr>
        <w:t xml:space="preserve"> reçoivent une assistance régulière et prévisible, accompagnée de programmes complémentaires pour les libérer des pièges de la pauvreté et briser la transmission intergénérationnelle de celle-ci</w:t>
      </w:r>
      <w:r w:rsidR="00806247">
        <w:rPr>
          <w:szCs w:val="24"/>
          <w:lang w:val="fr-FR"/>
        </w:rPr>
        <w:t> ;</w:t>
      </w:r>
      <w:r w:rsidR="0007340F">
        <w:rPr>
          <w:szCs w:val="24"/>
          <w:lang w:val="fr-FR"/>
        </w:rPr>
        <w:t xml:space="preserve"> </w:t>
      </w:r>
      <w:r w:rsidRPr="00577EB1">
        <w:rPr>
          <w:szCs w:val="24"/>
          <w:lang w:val="fr-FR"/>
        </w:rPr>
        <w:t>ii) de fournir des revenus temporaires aux groupes vulnérables en cas de choc</w:t>
      </w:r>
      <w:r w:rsidR="00806247">
        <w:rPr>
          <w:szCs w:val="24"/>
          <w:lang w:val="fr-FR"/>
        </w:rPr>
        <w:t> ;</w:t>
      </w:r>
      <w:r w:rsidR="0007340F">
        <w:rPr>
          <w:szCs w:val="24"/>
          <w:lang w:val="fr-FR"/>
        </w:rPr>
        <w:t xml:space="preserve"> </w:t>
      </w:r>
      <w:r w:rsidRPr="00577EB1">
        <w:rPr>
          <w:szCs w:val="24"/>
          <w:lang w:val="fr-FR"/>
        </w:rPr>
        <w:t>iii) de prêter une attention particulière aux besoins des enfants vulnérables (par exemple, les transferts nutritionnels, éducatifs ou monétaires conditionnels) et à ceux des femmes pauvres et vulnérables (c’est-à-dire minimiser les impacts négatifs potentiels et optimiser les impacts positifs sur les femmes et sur l’égalité des genres).</w:t>
      </w:r>
    </w:p>
    <w:p w:rsidR="00726DDC" w:rsidRPr="00577EB1" w:rsidRDefault="00726DDC" w:rsidP="00726DDC">
      <w:pPr>
        <w:widowControl w:val="0"/>
        <w:rPr>
          <w:b/>
          <w:szCs w:val="24"/>
          <w:lang w:val="fr-FR"/>
        </w:rPr>
      </w:pPr>
      <w:r w:rsidRPr="00577EB1">
        <w:rPr>
          <w:b/>
          <w:szCs w:val="24"/>
          <w:lang w:val="fr-FR"/>
        </w:rPr>
        <w:t>Propos</w:t>
      </w:r>
      <w:r w:rsidR="007F187E">
        <w:rPr>
          <w:b/>
          <w:szCs w:val="24"/>
          <w:lang w:val="fr-FR"/>
        </w:rPr>
        <w:t xml:space="preserve">er des </w:t>
      </w:r>
      <w:r w:rsidRPr="00577EB1">
        <w:rPr>
          <w:b/>
          <w:szCs w:val="24"/>
          <w:lang w:val="fr-FR"/>
        </w:rPr>
        <w:t>actions prioritaires</w:t>
      </w:r>
      <w:r w:rsidR="008302F0">
        <w:rPr>
          <w:b/>
          <w:szCs w:val="24"/>
          <w:lang w:val="fr-FR"/>
        </w:rPr>
        <w:t xml:space="preserve"> et clarifier les liens entre les politiques sociales</w:t>
      </w:r>
      <w:r w:rsidRPr="00577EB1">
        <w:rPr>
          <w:b/>
          <w:szCs w:val="24"/>
          <w:lang w:val="fr-FR"/>
        </w:rPr>
        <w:t>.</w:t>
      </w:r>
      <w:r w:rsidRPr="00577EB1">
        <w:rPr>
          <w:szCs w:val="24"/>
          <w:lang w:val="fr-FR"/>
        </w:rPr>
        <w:t xml:space="preserve"> Les différentes stratégies sectorielles existantes ont tendance à considérer tout le spectre des personnes dans le besoin, sans établir clairement les priorités. La stratégie devrait décrire les priorités et </w:t>
      </w:r>
      <w:r w:rsidR="00C62F8E" w:rsidRPr="00C62F8E">
        <w:rPr>
          <w:szCs w:val="24"/>
          <w:lang w:val="fr-FR"/>
        </w:rPr>
        <w:t>clarifier les liens entre les politiques sociales.</w:t>
      </w:r>
      <w:r w:rsidRPr="00806247">
        <w:rPr>
          <w:szCs w:val="24"/>
          <w:lang w:val="fr-FR"/>
        </w:rPr>
        <w:t xml:space="preserve"> </w:t>
      </w:r>
      <w:r w:rsidRPr="00577EB1">
        <w:rPr>
          <w:szCs w:val="24"/>
          <w:lang w:val="fr-FR"/>
        </w:rPr>
        <w:t xml:space="preserve">Les programmes de filets sociaux sont supposés agir conjointement avec d’autres programmes de réduction de la pauvreté, et sont habituellement utilisés en complément d’interventions liées à l’offre ou comme appoint lorsque les autres mesures ne peuvent pas produire des résultats </w:t>
      </w:r>
      <w:r w:rsidR="00806247">
        <w:rPr>
          <w:szCs w:val="24"/>
          <w:lang w:val="fr-FR"/>
        </w:rPr>
        <w:t xml:space="preserve">immédiats </w:t>
      </w:r>
      <w:r w:rsidRPr="00577EB1">
        <w:rPr>
          <w:szCs w:val="24"/>
          <w:lang w:val="fr-FR"/>
        </w:rPr>
        <w:t xml:space="preserve">suffisants. Au Burkina Faso, les programmes de filets sociaux pourraient donc compléter d’autres programmes sociaux, par exemple en assurant que la dépense dans l’éducation et la santé est favorable aux pauvres, en apportant une sécurité alimentaire, en complétant les politiques d’assurance maladie et démographiques, etc. Un appui coordonné serait nécessaire entre différents ministères sectoriels. </w:t>
      </w:r>
    </w:p>
    <w:p w:rsidR="00726DDC" w:rsidRPr="00577EB1" w:rsidRDefault="00726DDC" w:rsidP="00E52A30">
      <w:pPr>
        <w:pStyle w:val="ListParagraph"/>
        <w:keepNext/>
        <w:keepLines/>
        <w:numPr>
          <w:ilvl w:val="0"/>
          <w:numId w:val="24"/>
        </w:numPr>
        <w:ind w:left="0" w:firstLine="0"/>
        <w:rPr>
          <w:b/>
          <w:szCs w:val="24"/>
          <w:lang w:val="fr-FR"/>
        </w:rPr>
      </w:pPr>
      <w:r w:rsidRPr="00577EB1">
        <w:rPr>
          <w:b/>
          <w:szCs w:val="24"/>
          <w:lang w:val="fr-FR"/>
        </w:rPr>
        <w:lastRenderedPageBreak/>
        <w:t>Renforce</w:t>
      </w:r>
      <w:r w:rsidR="00635302">
        <w:rPr>
          <w:b/>
          <w:szCs w:val="24"/>
          <w:lang w:val="fr-FR"/>
        </w:rPr>
        <w:t>r le</w:t>
      </w:r>
      <w:r w:rsidRPr="00577EB1">
        <w:rPr>
          <w:b/>
          <w:szCs w:val="24"/>
          <w:lang w:val="fr-FR"/>
        </w:rPr>
        <w:t xml:space="preserve"> cadre institutionnel de protection sociale et des filets sociaux </w:t>
      </w:r>
    </w:p>
    <w:p w:rsidR="00726DDC" w:rsidRPr="00577EB1" w:rsidRDefault="00726DDC" w:rsidP="00726DDC">
      <w:pPr>
        <w:keepNext/>
        <w:keepLines/>
        <w:rPr>
          <w:szCs w:val="24"/>
          <w:lang w:val="fr-FR"/>
        </w:rPr>
      </w:pPr>
      <w:r w:rsidRPr="00577EB1">
        <w:rPr>
          <w:b/>
          <w:szCs w:val="24"/>
          <w:lang w:val="fr-FR"/>
        </w:rPr>
        <w:t>Appu</w:t>
      </w:r>
      <w:r w:rsidR="007F187E">
        <w:rPr>
          <w:b/>
          <w:szCs w:val="24"/>
          <w:lang w:val="fr-FR"/>
        </w:rPr>
        <w:t>yer le</w:t>
      </w:r>
      <w:r w:rsidRPr="00577EB1">
        <w:rPr>
          <w:b/>
          <w:szCs w:val="24"/>
          <w:lang w:val="fr-FR"/>
        </w:rPr>
        <w:t xml:space="preserve"> comité interministériel permanent de protection sociale créé récemment.</w:t>
      </w:r>
      <w:r w:rsidRPr="00577EB1">
        <w:rPr>
          <w:szCs w:val="24"/>
          <w:lang w:val="fr-FR"/>
        </w:rPr>
        <w:t xml:space="preserve"> Depuis février 2010, le gouvernement a mis en place un comité permanent de protection sociale. Il sera responsable de réviser la stratégie de protection sociale (y compris les programmes d’assurance sociale et de filets sociaux), de superviser et coordonner les diverses initiatives et d’assurer non seulement le dialogue intersectoriel entre ministères, mais </w:t>
      </w:r>
      <w:r w:rsidR="007F187E">
        <w:rPr>
          <w:szCs w:val="24"/>
          <w:lang w:val="fr-FR"/>
        </w:rPr>
        <w:t>également</w:t>
      </w:r>
      <w:r w:rsidRPr="00577EB1">
        <w:rPr>
          <w:szCs w:val="24"/>
          <w:lang w:val="fr-FR"/>
        </w:rPr>
        <w:t xml:space="preserve"> des résultats concrets</w:t>
      </w:r>
      <w:r w:rsidR="007F187E">
        <w:rPr>
          <w:szCs w:val="24"/>
          <w:lang w:val="fr-FR"/>
        </w:rPr>
        <w:t xml:space="preserve"> issus de ce dialogue</w:t>
      </w:r>
      <w:r w:rsidRPr="00577EB1">
        <w:rPr>
          <w:szCs w:val="24"/>
          <w:lang w:val="fr-FR"/>
        </w:rPr>
        <w:t xml:space="preserve">. Ce comité doit jouer un rôle actif dans la conception et la supervision de la mise en œuvre de la stratégie de protection sociale, filets sociaux compris. </w:t>
      </w:r>
    </w:p>
    <w:p w:rsidR="00726DDC" w:rsidRPr="00577EB1" w:rsidRDefault="00726DDC" w:rsidP="00726DDC">
      <w:pPr>
        <w:pStyle w:val="ListParagraph"/>
        <w:ind w:left="0"/>
        <w:rPr>
          <w:szCs w:val="24"/>
          <w:lang w:val="fr-FR"/>
        </w:rPr>
      </w:pPr>
      <w:r w:rsidRPr="00577EB1">
        <w:rPr>
          <w:b/>
          <w:szCs w:val="24"/>
          <w:lang w:val="fr-FR"/>
        </w:rPr>
        <w:t>Clarifi</w:t>
      </w:r>
      <w:r w:rsidR="007F187E">
        <w:rPr>
          <w:b/>
          <w:szCs w:val="24"/>
          <w:lang w:val="fr-FR"/>
        </w:rPr>
        <w:t>er</w:t>
      </w:r>
      <w:r w:rsidR="008302F0">
        <w:rPr>
          <w:b/>
          <w:szCs w:val="24"/>
          <w:lang w:val="fr-FR"/>
        </w:rPr>
        <w:t xml:space="preserve"> </w:t>
      </w:r>
      <w:r w:rsidR="007F187E">
        <w:rPr>
          <w:b/>
          <w:szCs w:val="24"/>
          <w:lang w:val="fr-FR"/>
        </w:rPr>
        <w:t>les</w:t>
      </w:r>
      <w:r w:rsidRPr="00577EB1">
        <w:rPr>
          <w:b/>
          <w:szCs w:val="24"/>
          <w:lang w:val="fr-FR"/>
        </w:rPr>
        <w:t xml:space="preserve"> rôle</w:t>
      </w:r>
      <w:r w:rsidR="007F187E">
        <w:rPr>
          <w:b/>
          <w:szCs w:val="24"/>
          <w:lang w:val="fr-FR"/>
        </w:rPr>
        <w:t>s</w:t>
      </w:r>
      <w:r w:rsidRPr="00577EB1">
        <w:rPr>
          <w:b/>
          <w:szCs w:val="24"/>
          <w:lang w:val="fr-FR"/>
        </w:rPr>
        <w:t xml:space="preserve"> et responsabilités des différentes institutions nationales impliquées dans les filets sociaux. </w:t>
      </w:r>
      <w:r w:rsidRPr="00577EB1">
        <w:rPr>
          <w:szCs w:val="24"/>
          <w:lang w:val="fr-FR"/>
        </w:rPr>
        <w:t>Une fois le cadre stratégique de la protection sociale défini et les actions prioritaires pour les filets sociaux clarifiées, il faudra définir les fonctions et les rôles respectifs des principales structures responsables des filets sociaux (MdS, M</w:t>
      </w:r>
      <w:r w:rsidR="007F187E">
        <w:rPr>
          <w:szCs w:val="24"/>
          <w:lang w:val="fr-FR"/>
        </w:rPr>
        <w:t>EBA</w:t>
      </w:r>
      <w:r w:rsidRPr="00577EB1">
        <w:rPr>
          <w:szCs w:val="24"/>
          <w:lang w:val="fr-FR"/>
        </w:rPr>
        <w:t>, MASSN, FNS et CONASUR). Ceci comprend</w:t>
      </w:r>
      <w:r w:rsidR="007F187E">
        <w:rPr>
          <w:szCs w:val="24"/>
          <w:lang w:val="fr-FR"/>
        </w:rPr>
        <w:t> :</w:t>
      </w:r>
      <w:r w:rsidRPr="00577EB1">
        <w:rPr>
          <w:szCs w:val="24"/>
          <w:lang w:val="fr-FR"/>
        </w:rPr>
        <w:t xml:space="preserve"> i) la définition des rôles des autorités centralisées et décentralisées</w:t>
      </w:r>
      <w:r w:rsidR="007F187E">
        <w:rPr>
          <w:szCs w:val="24"/>
          <w:lang w:val="fr-FR"/>
        </w:rPr>
        <w:t> ;</w:t>
      </w:r>
      <w:r w:rsidR="0007340F">
        <w:rPr>
          <w:szCs w:val="24"/>
          <w:lang w:val="fr-FR"/>
        </w:rPr>
        <w:t xml:space="preserve"> </w:t>
      </w:r>
      <w:r w:rsidRPr="00577EB1">
        <w:rPr>
          <w:szCs w:val="24"/>
          <w:lang w:val="fr-FR"/>
        </w:rPr>
        <w:t>ii) la définition des dispositifs de mise en œuvre adéquats et la séparation des tâches (y compris des ONG et du secteur privé impliqués dans la fourniture des filets sociaux)</w:t>
      </w:r>
      <w:r w:rsidR="007F187E">
        <w:rPr>
          <w:szCs w:val="24"/>
          <w:lang w:val="fr-FR"/>
        </w:rPr>
        <w:t> ;</w:t>
      </w:r>
      <w:r w:rsidR="0007340F">
        <w:rPr>
          <w:szCs w:val="24"/>
          <w:lang w:val="fr-FR"/>
        </w:rPr>
        <w:t xml:space="preserve"> </w:t>
      </w:r>
      <w:r w:rsidRPr="00577EB1">
        <w:rPr>
          <w:szCs w:val="24"/>
          <w:lang w:val="fr-FR"/>
        </w:rPr>
        <w:t>et iii) l’appui au renforcement des capacités. La définition de toute nouvelle responsabilité devra se traduire par des allocations budgétaires (par exemple, pour la formation du personnel, la mise en place de ressources humaines et matérielles, et le renforcement de la structure institutionnelle) et devra être appuyée par de meilleurs mécanismes de coordination entre les différents ministères sectoriels.</w:t>
      </w:r>
    </w:p>
    <w:p w:rsidR="00726DDC" w:rsidRPr="00577EB1" w:rsidRDefault="00726DDC" w:rsidP="00726DDC">
      <w:pPr>
        <w:pStyle w:val="ListParagraph"/>
        <w:ind w:left="0"/>
        <w:rPr>
          <w:szCs w:val="24"/>
          <w:lang w:val="fr-FR"/>
        </w:rPr>
      </w:pPr>
      <w:r w:rsidRPr="00577EB1">
        <w:rPr>
          <w:b/>
          <w:szCs w:val="24"/>
          <w:lang w:val="fr-FR"/>
        </w:rPr>
        <w:t>Appu</w:t>
      </w:r>
      <w:r w:rsidR="007F187E">
        <w:rPr>
          <w:b/>
          <w:szCs w:val="24"/>
          <w:lang w:val="fr-FR"/>
        </w:rPr>
        <w:t>yer le</w:t>
      </w:r>
      <w:r w:rsidRPr="00577EB1">
        <w:rPr>
          <w:b/>
          <w:szCs w:val="24"/>
          <w:lang w:val="fr-FR"/>
        </w:rPr>
        <w:t xml:space="preserve"> renforcement des capacités.</w:t>
      </w:r>
      <w:r w:rsidRPr="00577EB1">
        <w:rPr>
          <w:szCs w:val="24"/>
          <w:lang w:val="fr-FR"/>
        </w:rPr>
        <w:t xml:space="preserve"> Le concept de filets sociaux en tant qu’investissement social nécessaire (régulier et prévisible) est une assez grande nouveauté au Burkina Faso. Des efforts de sensibilisation et de formation seront nécessaires aux niveaux national et local. D’autres initiatives, telles que la formation sur le tas et les voyages d’études, peuvent s’avérer utiles pour accroître la compréhension générale des filets sociaux et de la protection sociale, et l’intérêt qui leur est porté.</w:t>
      </w:r>
    </w:p>
    <w:p w:rsidR="00726DDC" w:rsidRPr="00577EB1" w:rsidRDefault="00726DDC" w:rsidP="00E52A30">
      <w:pPr>
        <w:pStyle w:val="ListParagraph"/>
        <w:keepNext/>
        <w:keepLines/>
        <w:numPr>
          <w:ilvl w:val="0"/>
          <w:numId w:val="24"/>
        </w:numPr>
        <w:ind w:left="0" w:firstLine="0"/>
        <w:rPr>
          <w:b/>
          <w:szCs w:val="24"/>
          <w:lang w:val="fr-FR"/>
        </w:rPr>
      </w:pPr>
      <w:r w:rsidRPr="00577EB1">
        <w:rPr>
          <w:b/>
          <w:szCs w:val="24"/>
          <w:lang w:val="fr-FR"/>
        </w:rPr>
        <w:t>Renforce</w:t>
      </w:r>
      <w:r w:rsidR="00635302">
        <w:rPr>
          <w:b/>
          <w:szCs w:val="24"/>
          <w:lang w:val="fr-FR"/>
        </w:rPr>
        <w:t>r le</w:t>
      </w:r>
      <w:r w:rsidRPr="00577EB1">
        <w:rPr>
          <w:b/>
          <w:szCs w:val="24"/>
          <w:lang w:val="fr-FR"/>
        </w:rPr>
        <w:t xml:space="preserve"> cadre financier</w:t>
      </w:r>
    </w:p>
    <w:p w:rsidR="00726DDC" w:rsidRPr="00577EB1" w:rsidRDefault="008302F0" w:rsidP="00726DDC">
      <w:pPr>
        <w:keepNext/>
        <w:keepLines/>
        <w:rPr>
          <w:szCs w:val="24"/>
          <w:lang w:val="fr-FR"/>
        </w:rPr>
      </w:pPr>
      <w:r>
        <w:rPr>
          <w:b/>
          <w:szCs w:val="24"/>
          <w:lang w:val="fr-FR"/>
        </w:rPr>
        <w:t>Sécuris</w:t>
      </w:r>
      <w:r w:rsidRPr="00577EB1">
        <w:rPr>
          <w:b/>
          <w:szCs w:val="24"/>
          <w:lang w:val="fr-FR"/>
        </w:rPr>
        <w:t xml:space="preserve">er </w:t>
      </w:r>
      <w:r w:rsidR="00726DDC" w:rsidRPr="00577EB1">
        <w:rPr>
          <w:b/>
          <w:szCs w:val="24"/>
          <w:lang w:val="fr-FR"/>
        </w:rPr>
        <w:t xml:space="preserve">les ressources financières nécessaires pour qu’à court terme, les dépenses dans les programmes de filets sociaux soient, au minimum, maintenues à leurs niveaux actuels (autour de 1 % du PIB en 2009), et soient ultérieurement augmentées pour s’adapter à une plus large couverture. </w:t>
      </w:r>
      <w:r w:rsidR="00726DDC" w:rsidRPr="00577EB1">
        <w:rPr>
          <w:szCs w:val="24"/>
          <w:lang w:val="fr-FR"/>
        </w:rPr>
        <w:t>Dans ce but, un arbitrage budgétaire sera nécessaire pour maintenir ou étendre les programmes de filets sociaux les plus rentables. Le Burkina Faso doit examiner soigneusement le rôle que devraient jouer les filets sociaux dans la stratégie de développement du pays, le nombre souhaité de bénéficiaires pour chaque type de programme et le coût attendu selon le profil de pauvreté et de vulnérabilité, les performances des programmes existants, l’expérience internationale et la capacité institutionnelle nationale. Pour rendre ce financement plus soutenable, les étapes suivantes doivent être entreprises :</w:t>
      </w:r>
    </w:p>
    <w:p w:rsidR="00726DDC" w:rsidRPr="00577EB1" w:rsidRDefault="00726DDC" w:rsidP="00E52A30">
      <w:pPr>
        <w:numPr>
          <w:ilvl w:val="0"/>
          <w:numId w:val="19"/>
        </w:numPr>
        <w:tabs>
          <w:tab w:val="left" w:pos="3060"/>
        </w:tabs>
        <w:spacing w:before="120" w:after="0"/>
        <w:ind w:hanging="720"/>
        <w:rPr>
          <w:szCs w:val="24"/>
          <w:lang w:val="fr-FR"/>
        </w:rPr>
      </w:pPr>
      <w:r w:rsidRPr="00577EB1">
        <w:rPr>
          <w:szCs w:val="24"/>
          <w:lang w:val="fr-FR"/>
        </w:rPr>
        <w:t>Détermin</w:t>
      </w:r>
      <w:r w:rsidR="007F187E">
        <w:rPr>
          <w:szCs w:val="24"/>
          <w:lang w:val="fr-FR"/>
        </w:rPr>
        <w:t>er</w:t>
      </w:r>
      <w:r w:rsidRPr="00577EB1">
        <w:rPr>
          <w:szCs w:val="24"/>
          <w:lang w:val="fr-FR"/>
        </w:rPr>
        <w:t xml:space="preserve"> l’enveloppe budgétaire totale (provenant de l’État et de ses partenaires) nécessaire pour le niveau de couverture souhaité des filets sociaux et une fourniture annuelle adéquate de ce budget. </w:t>
      </w:r>
    </w:p>
    <w:p w:rsidR="00726DDC" w:rsidRPr="00577EB1" w:rsidRDefault="00726DDC" w:rsidP="00E52A30">
      <w:pPr>
        <w:numPr>
          <w:ilvl w:val="0"/>
          <w:numId w:val="19"/>
        </w:numPr>
        <w:tabs>
          <w:tab w:val="left" w:pos="3060"/>
        </w:tabs>
        <w:spacing w:before="120"/>
        <w:ind w:hanging="720"/>
        <w:rPr>
          <w:szCs w:val="24"/>
          <w:lang w:val="fr-FR"/>
        </w:rPr>
      </w:pPr>
      <w:r w:rsidRPr="00577EB1">
        <w:rPr>
          <w:szCs w:val="24"/>
          <w:lang w:val="fr-FR"/>
        </w:rPr>
        <w:t>Rechercher des appuis budgétaires dans le cadre du crédit IDA d’aide à la réduction de la pauvreté et d’autres opérations semblables d’autres partenaires extérieur</w:t>
      </w:r>
      <w:r w:rsidR="007F187E">
        <w:rPr>
          <w:szCs w:val="24"/>
          <w:lang w:val="fr-FR"/>
        </w:rPr>
        <w:t>s</w:t>
      </w:r>
      <w:r w:rsidRPr="00577EB1">
        <w:rPr>
          <w:szCs w:val="24"/>
          <w:lang w:val="fr-FR"/>
        </w:rPr>
        <w:t xml:space="preserve">. Ceci constituera un pas en avant dans la gestion du système de filets sociaux et une </w:t>
      </w:r>
      <w:r w:rsidRPr="00577EB1">
        <w:rPr>
          <w:szCs w:val="24"/>
          <w:lang w:val="fr-FR"/>
        </w:rPr>
        <w:lastRenderedPageBreak/>
        <w:t xml:space="preserve">amélioration d’aspects tels que les mécanismes fiduciaires, la passation des marchés et les audits, ainsi que le suivi et évaluation des résultats. </w:t>
      </w:r>
    </w:p>
    <w:p w:rsidR="00726DDC" w:rsidRPr="00577EB1" w:rsidRDefault="00726DDC" w:rsidP="00726DDC">
      <w:pPr>
        <w:pStyle w:val="ListParagraph"/>
        <w:ind w:left="0"/>
        <w:rPr>
          <w:szCs w:val="24"/>
          <w:lang w:val="fr-FR"/>
        </w:rPr>
      </w:pPr>
      <w:r w:rsidRPr="00577EB1">
        <w:rPr>
          <w:b/>
          <w:szCs w:val="24"/>
          <w:lang w:val="fr-FR"/>
        </w:rPr>
        <w:t>Des économies seront possibles grâce à un meilleur ciblage, une rationalisation des coûts et une réallocation des dépenses publiques, en réduisant les coûts des programmes de petite taille ou inefficaces et en renforçant les quelques programmes mieux ciblés et plus performants.</w:t>
      </w:r>
      <w:r w:rsidRPr="00577EB1">
        <w:rPr>
          <w:szCs w:val="24"/>
          <w:lang w:val="fr-FR"/>
        </w:rPr>
        <w:t xml:space="preserve"> Dans ce contexte, les dépenses doivent devenir en général plus efficaces et plus favorables aux pauvres, grâce à une réduction des subventions mal ciblées et à un recentrage sur des secteurs hautement prioritaires comme la santé et l’éducation. En outre, des économies sur les dépenses discrétionnaires peuvent amener des gains d’efficacité. </w:t>
      </w:r>
    </w:p>
    <w:p w:rsidR="00726DDC" w:rsidRPr="00577EB1" w:rsidRDefault="00726DDC" w:rsidP="00E52A30">
      <w:pPr>
        <w:pStyle w:val="ListParagraph"/>
        <w:keepNext/>
        <w:keepLines/>
        <w:numPr>
          <w:ilvl w:val="0"/>
          <w:numId w:val="24"/>
        </w:numPr>
        <w:ind w:left="0" w:firstLine="0"/>
        <w:rPr>
          <w:b/>
          <w:szCs w:val="24"/>
          <w:lang w:val="fr-FR"/>
        </w:rPr>
      </w:pPr>
      <w:r w:rsidRPr="00577EB1">
        <w:rPr>
          <w:b/>
          <w:szCs w:val="24"/>
          <w:lang w:val="fr-FR"/>
        </w:rPr>
        <w:t>Amélior</w:t>
      </w:r>
      <w:r w:rsidR="00635302">
        <w:rPr>
          <w:b/>
          <w:szCs w:val="24"/>
          <w:lang w:val="fr-FR"/>
        </w:rPr>
        <w:t>er le</w:t>
      </w:r>
      <w:r w:rsidRPr="00577EB1">
        <w:rPr>
          <w:b/>
          <w:szCs w:val="24"/>
          <w:lang w:val="fr-FR"/>
        </w:rPr>
        <w:t xml:space="preserve"> suivi et </w:t>
      </w:r>
      <w:r w:rsidR="00635302">
        <w:rPr>
          <w:b/>
          <w:szCs w:val="24"/>
          <w:lang w:val="fr-FR"/>
        </w:rPr>
        <w:t>l’</w:t>
      </w:r>
      <w:r w:rsidRPr="00577EB1">
        <w:rPr>
          <w:b/>
          <w:szCs w:val="24"/>
          <w:lang w:val="fr-FR"/>
        </w:rPr>
        <w:t>évaluation des programmes</w:t>
      </w:r>
    </w:p>
    <w:p w:rsidR="00726DDC" w:rsidRPr="00577EB1" w:rsidRDefault="00726DDC" w:rsidP="00726DDC">
      <w:pPr>
        <w:rPr>
          <w:szCs w:val="24"/>
          <w:lang w:val="fr-FR"/>
        </w:rPr>
      </w:pPr>
      <w:r w:rsidRPr="00577EB1">
        <w:rPr>
          <w:b/>
          <w:szCs w:val="24"/>
          <w:lang w:val="fr-FR"/>
        </w:rPr>
        <w:t>Le suivi systématique de l’ensemble des programmes de filets sociaux et l’évaluation individuelle de ces programmes sont nécessaires pour juger de la bonne utilisation des ressources.</w:t>
      </w:r>
      <w:r w:rsidRPr="00577EB1">
        <w:rPr>
          <w:szCs w:val="24"/>
          <w:lang w:val="fr-FR"/>
        </w:rPr>
        <w:t xml:space="preserve"> C’est là une condition préalable du pilotage et/ou de l’extension de tout programme de filet social. On peut en particulier envisager six actions systémiques :</w:t>
      </w:r>
    </w:p>
    <w:p w:rsidR="00726DDC" w:rsidRPr="00577EB1" w:rsidRDefault="00726DDC" w:rsidP="00E52A30">
      <w:pPr>
        <w:numPr>
          <w:ilvl w:val="0"/>
          <w:numId w:val="26"/>
        </w:numPr>
        <w:tabs>
          <w:tab w:val="clear" w:pos="709"/>
          <w:tab w:val="num" w:pos="720"/>
          <w:tab w:val="left" w:pos="3060"/>
        </w:tabs>
        <w:spacing w:before="120" w:after="0"/>
        <w:rPr>
          <w:szCs w:val="24"/>
          <w:lang w:val="fr-FR"/>
        </w:rPr>
      </w:pPr>
      <w:r w:rsidRPr="00577EB1">
        <w:rPr>
          <w:szCs w:val="24"/>
          <w:lang w:val="fr-FR"/>
        </w:rPr>
        <w:t>Établir une classification rigoureuse des dépenses de protection sociale et une liste complète des programmes publics de filets sociaux ;</w:t>
      </w:r>
    </w:p>
    <w:p w:rsidR="00726DDC" w:rsidRPr="00577EB1" w:rsidRDefault="00726DDC" w:rsidP="00E52A30">
      <w:pPr>
        <w:numPr>
          <w:ilvl w:val="0"/>
          <w:numId w:val="26"/>
        </w:numPr>
        <w:tabs>
          <w:tab w:val="clear" w:pos="709"/>
          <w:tab w:val="num" w:pos="720"/>
          <w:tab w:val="left" w:pos="3060"/>
        </w:tabs>
        <w:spacing w:before="120" w:after="0"/>
        <w:rPr>
          <w:szCs w:val="24"/>
          <w:lang w:val="fr-FR"/>
        </w:rPr>
      </w:pPr>
      <w:r w:rsidRPr="00577EB1">
        <w:rPr>
          <w:szCs w:val="24"/>
          <w:lang w:val="fr-FR"/>
        </w:rPr>
        <w:t>Établir les exigences minimales de production de rapports pour les programmes de filets sociaux, permettant un bon suivi et l’évaluation de l’efficacité, avec des coûts ventilés entre la prestation de services, les frais généraux, les sources de financement, etc.</w:t>
      </w:r>
    </w:p>
    <w:p w:rsidR="00726DDC" w:rsidRPr="00577EB1" w:rsidRDefault="00726DDC" w:rsidP="00E52A30">
      <w:pPr>
        <w:numPr>
          <w:ilvl w:val="0"/>
          <w:numId w:val="26"/>
        </w:numPr>
        <w:tabs>
          <w:tab w:val="clear" w:pos="709"/>
          <w:tab w:val="num" w:pos="720"/>
          <w:tab w:val="left" w:pos="3060"/>
        </w:tabs>
        <w:spacing w:before="120" w:after="0"/>
        <w:rPr>
          <w:szCs w:val="24"/>
          <w:lang w:val="fr-FR"/>
        </w:rPr>
      </w:pPr>
      <w:r w:rsidRPr="00577EB1">
        <w:rPr>
          <w:szCs w:val="24"/>
          <w:lang w:val="fr-FR"/>
        </w:rPr>
        <w:t>Transmettre systématiquement les rapports de suivi des programmes aux ministères sectoriels responsables de la protection sociale et des filets sociaux, et maintenir une base de données sur les programmes ;</w:t>
      </w:r>
    </w:p>
    <w:p w:rsidR="00726DDC" w:rsidRPr="00577EB1" w:rsidRDefault="00726DDC" w:rsidP="00E52A30">
      <w:pPr>
        <w:numPr>
          <w:ilvl w:val="0"/>
          <w:numId w:val="26"/>
        </w:numPr>
        <w:tabs>
          <w:tab w:val="clear" w:pos="709"/>
          <w:tab w:val="num" w:pos="720"/>
          <w:tab w:val="left" w:pos="3060"/>
        </w:tabs>
        <w:spacing w:before="120" w:after="0"/>
        <w:rPr>
          <w:szCs w:val="24"/>
          <w:lang w:val="fr-FR"/>
        </w:rPr>
      </w:pPr>
      <w:r w:rsidRPr="00577EB1">
        <w:rPr>
          <w:szCs w:val="24"/>
          <w:lang w:val="fr-FR"/>
        </w:rPr>
        <w:t>Mettre en place une évaluation adéquate des programmes, en particulier des programmes pilotes pendant l’introduction de nouvelles interventions ou l’extension d’interventions existantes à de nouvelles catégories de bénéficiaires.</w:t>
      </w:r>
    </w:p>
    <w:p w:rsidR="00726DDC" w:rsidRPr="00577EB1" w:rsidRDefault="00726DDC" w:rsidP="00E52A30">
      <w:pPr>
        <w:numPr>
          <w:ilvl w:val="0"/>
          <w:numId w:val="26"/>
        </w:numPr>
        <w:tabs>
          <w:tab w:val="clear" w:pos="709"/>
          <w:tab w:val="num" w:pos="720"/>
          <w:tab w:val="left" w:pos="3060"/>
        </w:tabs>
        <w:spacing w:before="120" w:after="0"/>
        <w:rPr>
          <w:szCs w:val="24"/>
          <w:lang w:val="fr-FR"/>
        </w:rPr>
      </w:pPr>
      <w:r w:rsidRPr="00577EB1">
        <w:rPr>
          <w:szCs w:val="24"/>
          <w:lang w:val="fr-FR"/>
        </w:rPr>
        <w:t xml:space="preserve">Impliquer la société civile dans le suivi et </w:t>
      </w:r>
      <w:r w:rsidR="00A52831">
        <w:rPr>
          <w:szCs w:val="24"/>
          <w:lang w:val="fr-FR"/>
        </w:rPr>
        <w:t>l’</w:t>
      </w:r>
      <w:r w:rsidRPr="00577EB1">
        <w:rPr>
          <w:szCs w:val="24"/>
          <w:lang w:val="fr-FR"/>
        </w:rPr>
        <w:t>évaluation ;</w:t>
      </w:r>
    </w:p>
    <w:p w:rsidR="00726DDC" w:rsidRPr="00577EB1" w:rsidRDefault="00726DDC" w:rsidP="00E52A30">
      <w:pPr>
        <w:widowControl w:val="0"/>
        <w:numPr>
          <w:ilvl w:val="0"/>
          <w:numId w:val="26"/>
        </w:numPr>
        <w:tabs>
          <w:tab w:val="clear" w:pos="709"/>
          <w:tab w:val="num" w:pos="720"/>
          <w:tab w:val="left" w:pos="3060"/>
        </w:tabs>
        <w:spacing w:before="120" w:after="0"/>
        <w:rPr>
          <w:szCs w:val="24"/>
          <w:lang w:val="fr-FR"/>
        </w:rPr>
      </w:pPr>
      <w:r w:rsidRPr="00577EB1">
        <w:rPr>
          <w:szCs w:val="24"/>
          <w:lang w:val="fr-FR"/>
        </w:rPr>
        <w:t xml:space="preserve">Renforcer les capacités de suivi et </w:t>
      </w:r>
      <w:r w:rsidR="00A52831">
        <w:rPr>
          <w:szCs w:val="24"/>
          <w:lang w:val="fr-FR"/>
        </w:rPr>
        <w:t>d’</w:t>
      </w:r>
      <w:r w:rsidRPr="00577EB1">
        <w:rPr>
          <w:szCs w:val="24"/>
          <w:lang w:val="fr-FR"/>
        </w:rPr>
        <w:t>évaluation des ministères sectoriels</w:t>
      </w:r>
      <w:r w:rsidR="00A52831">
        <w:rPr>
          <w:szCs w:val="24"/>
          <w:lang w:val="fr-FR"/>
        </w:rPr>
        <w:t> ;</w:t>
      </w:r>
      <w:r w:rsidRPr="00577EB1">
        <w:rPr>
          <w:szCs w:val="24"/>
          <w:lang w:val="fr-FR"/>
        </w:rPr>
        <w:t xml:space="preserve"> et</w:t>
      </w:r>
    </w:p>
    <w:p w:rsidR="00726DDC" w:rsidRPr="00577EB1" w:rsidRDefault="00A52831" w:rsidP="00E52A30">
      <w:pPr>
        <w:widowControl w:val="0"/>
        <w:numPr>
          <w:ilvl w:val="0"/>
          <w:numId w:val="26"/>
        </w:numPr>
        <w:tabs>
          <w:tab w:val="clear" w:pos="709"/>
          <w:tab w:val="num" w:pos="720"/>
          <w:tab w:val="left" w:pos="3060"/>
        </w:tabs>
        <w:spacing w:before="120" w:after="0"/>
        <w:rPr>
          <w:szCs w:val="24"/>
          <w:lang w:val="fr-FR"/>
        </w:rPr>
      </w:pPr>
      <w:r>
        <w:rPr>
          <w:szCs w:val="24"/>
          <w:lang w:val="fr-FR"/>
        </w:rPr>
        <w:t xml:space="preserve">Fournir plus de </w:t>
      </w:r>
      <w:r w:rsidR="00726DDC" w:rsidRPr="00577EB1">
        <w:rPr>
          <w:szCs w:val="24"/>
          <w:lang w:val="fr-FR"/>
        </w:rPr>
        <w:t xml:space="preserve"> formation </w:t>
      </w:r>
      <w:r>
        <w:rPr>
          <w:szCs w:val="24"/>
          <w:lang w:val="fr-FR"/>
        </w:rPr>
        <w:t>aux</w:t>
      </w:r>
      <w:r w:rsidR="00726DDC" w:rsidRPr="00577EB1">
        <w:rPr>
          <w:szCs w:val="24"/>
          <w:lang w:val="fr-FR"/>
        </w:rPr>
        <w:t xml:space="preserve"> responsables des programmes aux techniques de suivi et </w:t>
      </w:r>
      <w:r>
        <w:rPr>
          <w:szCs w:val="24"/>
          <w:lang w:val="fr-FR"/>
        </w:rPr>
        <w:t>d’</w:t>
      </w:r>
      <w:r w:rsidR="00726DDC" w:rsidRPr="00577EB1">
        <w:rPr>
          <w:szCs w:val="24"/>
          <w:lang w:val="fr-FR"/>
        </w:rPr>
        <w:t xml:space="preserve">évaluation, </w:t>
      </w:r>
      <w:r>
        <w:rPr>
          <w:szCs w:val="24"/>
          <w:lang w:val="fr-FR"/>
        </w:rPr>
        <w:t xml:space="preserve">couplée </w:t>
      </w:r>
      <w:r w:rsidR="00726DDC" w:rsidRPr="00577EB1">
        <w:rPr>
          <w:szCs w:val="24"/>
          <w:lang w:val="fr-FR"/>
        </w:rPr>
        <w:t>avec un mécanisme d’échange d’expériences entre programmes.</w:t>
      </w:r>
    </w:p>
    <w:p w:rsidR="00726DDC" w:rsidRPr="00577EB1" w:rsidRDefault="00726DDC" w:rsidP="00726DDC">
      <w:pPr>
        <w:pStyle w:val="ListParagraph"/>
        <w:keepNext/>
        <w:keepLines/>
        <w:spacing w:after="0"/>
        <w:rPr>
          <w:b/>
          <w:i/>
          <w:sz w:val="28"/>
          <w:szCs w:val="24"/>
          <w:lang w:val="fr-FR"/>
        </w:rPr>
      </w:pPr>
    </w:p>
    <w:p w:rsidR="00726DDC" w:rsidRPr="00577EB1" w:rsidRDefault="00726DDC" w:rsidP="00726DDC">
      <w:pPr>
        <w:pStyle w:val="ListParagraph"/>
        <w:keepNext/>
        <w:keepLines/>
        <w:ind w:left="0"/>
        <w:rPr>
          <w:b/>
          <w:i/>
          <w:sz w:val="28"/>
          <w:szCs w:val="24"/>
          <w:lang w:val="fr-FR"/>
        </w:rPr>
      </w:pPr>
      <w:r w:rsidRPr="00577EB1">
        <w:rPr>
          <w:b/>
          <w:i/>
          <w:sz w:val="28"/>
          <w:szCs w:val="24"/>
          <w:lang w:val="fr-FR"/>
        </w:rPr>
        <w:t xml:space="preserve">Planification de l’amélioration de l’efficacité du système de filets sociaux </w:t>
      </w:r>
    </w:p>
    <w:p w:rsidR="00726DDC" w:rsidRPr="00577EB1" w:rsidRDefault="00726DDC" w:rsidP="00726DDC">
      <w:pPr>
        <w:pStyle w:val="ListParagraph"/>
        <w:keepNext/>
        <w:keepLines/>
        <w:ind w:left="0"/>
        <w:rPr>
          <w:b/>
          <w:szCs w:val="24"/>
          <w:lang w:val="fr-FR"/>
        </w:rPr>
      </w:pPr>
      <w:r w:rsidRPr="00577EB1">
        <w:rPr>
          <w:szCs w:val="24"/>
          <w:lang w:val="fr-FR"/>
        </w:rPr>
        <w:t xml:space="preserve">Une fois que les cadres </w:t>
      </w:r>
      <w:r w:rsidR="00A52831">
        <w:rPr>
          <w:szCs w:val="24"/>
          <w:lang w:val="fr-FR"/>
        </w:rPr>
        <w:t>stratégique</w:t>
      </w:r>
      <w:r w:rsidRPr="00577EB1">
        <w:rPr>
          <w:szCs w:val="24"/>
          <w:lang w:val="fr-FR"/>
        </w:rPr>
        <w:t>, institutionnel et financier ainsi que le système de suivi et évaluation auront été définis, il faudra</w:t>
      </w:r>
      <w:r w:rsidR="00A52831">
        <w:rPr>
          <w:szCs w:val="24"/>
          <w:lang w:val="fr-FR"/>
        </w:rPr>
        <w:t> :</w:t>
      </w:r>
      <w:r w:rsidR="0007340F">
        <w:rPr>
          <w:szCs w:val="24"/>
          <w:lang w:val="fr-FR"/>
        </w:rPr>
        <w:t xml:space="preserve"> </w:t>
      </w:r>
      <w:r w:rsidRPr="00577EB1">
        <w:rPr>
          <w:i/>
          <w:szCs w:val="24"/>
          <w:lang w:val="fr-FR"/>
        </w:rPr>
        <w:t>i</w:t>
      </w:r>
      <w:r w:rsidRPr="00577EB1">
        <w:rPr>
          <w:szCs w:val="24"/>
          <w:lang w:val="fr-FR"/>
        </w:rPr>
        <w:t xml:space="preserve">) </w:t>
      </w:r>
      <w:r w:rsidRPr="00577EB1">
        <w:rPr>
          <w:i/>
          <w:szCs w:val="24"/>
          <w:lang w:val="fr-FR"/>
        </w:rPr>
        <w:t xml:space="preserve">identifier </w:t>
      </w:r>
      <w:r w:rsidRPr="00577EB1">
        <w:rPr>
          <w:szCs w:val="24"/>
          <w:lang w:val="fr-FR"/>
        </w:rPr>
        <w:t xml:space="preserve">les instruments de filets sociaux adéquats en </w:t>
      </w:r>
      <w:r w:rsidR="00A52831">
        <w:rPr>
          <w:szCs w:val="24"/>
          <w:lang w:val="fr-FR"/>
        </w:rPr>
        <w:t>fonction d</w:t>
      </w:r>
      <w:r w:rsidRPr="00577EB1">
        <w:rPr>
          <w:szCs w:val="24"/>
          <w:lang w:val="fr-FR"/>
        </w:rPr>
        <w:t>es besoins</w:t>
      </w:r>
      <w:r w:rsidR="00A52831">
        <w:rPr>
          <w:szCs w:val="24"/>
          <w:lang w:val="fr-FR"/>
        </w:rPr>
        <w:t> ;</w:t>
      </w:r>
      <w:r w:rsidR="0007340F">
        <w:rPr>
          <w:szCs w:val="24"/>
          <w:lang w:val="fr-FR"/>
        </w:rPr>
        <w:t xml:space="preserve"> </w:t>
      </w:r>
      <w:r w:rsidRPr="00577EB1">
        <w:rPr>
          <w:i/>
          <w:szCs w:val="24"/>
          <w:lang w:val="fr-FR"/>
        </w:rPr>
        <w:t>ii</w:t>
      </w:r>
      <w:r w:rsidRPr="00577EB1">
        <w:rPr>
          <w:szCs w:val="24"/>
          <w:lang w:val="fr-FR"/>
        </w:rPr>
        <w:t xml:space="preserve">) </w:t>
      </w:r>
      <w:r w:rsidRPr="00577EB1">
        <w:rPr>
          <w:i/>
          <w:szCs w:val="24"/>
          <w:lang w:val="fr-FR"/>
        </w:rPr>
        <w:t>améliorer</w:t>
      </w:r>
      <w:r w:rsidRPr="00577EB1">
        <w:rPr>
          <w:szCs w:val="24"/>
          <w:lang w:val="fr-FR"/>
        </w:rPr>
        <w:t xml:space="preserve"> l’efficience et l’efficacité du ciblage des programmes existants</w:t>
      </w:r>
      <w:r w:rsidR="00A52831">
        <w:rPr>
          <w:szCs w:val="24"/>
          <w:lang w:val="fr-FR"/>
        </w:rPr>
        <w:t> ;</w:t>
      </w:r>
      <w:r w:rsidR="0007340F">
        <w:rPr>
          <w:szCs w:val="24"/>
          <w:lang w:val="fr-FR"/>
        </w:rPr>
        <w:t xml:space="preserve"> </w:t>
      </w:r>
      <w:r w:rsidRPr="00577EB1">
        <w:rPr>
          <w:szCs w:val="24"/>
          <w:lang w:val="fr-FR"/>
        </w:rPr>
        <w:t xml:space="preserve">et </w:t>
      </w:r>
      <w:r w:rsidRPr="00577EB1">
        <w:rPr>
          <w:i/>
          <w:szCs w:val="24"/>
          <w:lang w:val="fr-FR"/>
        </w:rPr>
        <w:t>iii</w:t>
      </w:r>
      <w:r w:rsidRPr="00577EB1">
        <w:rPr>
          <w:szCs w:val="24"/>
          <w:lang w:val="fr-FR"/>
        </w:rPr>
        <w:t>)</w:t>
      </w:r>
      <w:r w:rsidRPr="00577EB1">
        <w:rPr>
          <w:i/>
          <w:szCs w:val="24"/>
          <w:lang w:val="fr-FR"/>
        </w:rPr>
        <w:t xml:space="preserve"> étendre</w:t>
      </w:r>
      <w:r w:rsidRPr="00577EB1">
        <w:rPr>
          <w:szCs w:val="24"/>
          <w:lang w:val="fr-FR"/>
        </w:rPr>
        <w:t xml:space="preserve"> les interventions pilote en cours couronnées de succès. </w:t>
      </w:r>
    </w:p>
    <w:p w:rsidR="00726DDC" w:rsidRPr="00577EB1" w:rsidRDefault="00726DDC" w:rsidP="00726DDC">
      <w:pPr>
        <w:pStyle w:val="Style3"/>
        <w:keepNext w:val="0"/>
        <w:rPr>
          <w:szCs w:val="24"/>
          <w:lang w:val="fr-FR"/>
        </w:rPr>
      </w:pPr>
      <w:r w:rsidRPr="00577EB1">
        <w:rPr>
          <w:szCs w:val="24"/>
          <w:lang w:val="fr-FR"/>
        </w:rPr>
        <w:t>Détermin</w:t>
      </w:r>
      <w:r w:rsidR="00A52831">
        <w:rPr>
          <w:szCs w:val="24"/>
          <w:lang w:val="fr-FR"/>
        </w:rPr>
        <w:t>er</w:t>
      </w:r>
      <w:r w:rsidRPr="00577EB1">
        <w:rPr>
          <w:szCs w:val="24"/>
          <w:lang w:val="fr-FR"/>
        </w:rPr>
        <w:t xml:space="preserve"> </w:t>
      </w:r>
      <w:r w:rsidR="00A52831">
        <w:rPr>
          <w:szCs w:val="24"/>
          <w:lang w:val="fr-FR"/>
        </w:rPr>
        <w:t xml:space="preserve">la combinaison </w:t>
      </w:r>
      <w:r w:rsidRPr="00577EB1">
        <w:rPr>
          <w:szCs w:val="24"/>
          <w:lang w:val="fr-FR"/>
        </w:rPr>
        <w:t>adéquat</w:t>
      </w:r>
      <w:r w:rsidR="00A52831">
        <w:rPr>
          <w:szCs w:val="24"/>
          <w:lang w:val="fr-FR"/>
        </w:rPr>
        <w:t>e</w:t>
      </w:r>
      <w:r w:rsidRPr="00577EB1">
        <w:rPr>
          <w:szCs w:val="24"/>
          <w:lang w:val="fr-FR"/>
        </w:rPr>
        <w:t xml:space="preserve"> d’instruments de filets sociaux. </w:t>
      </w:r>
      <w:r w:rsidRPr="00577EB1">
        <w:rPr>
          <w:b w:val="0"/>
          <w:szCs w:val="24"/>
          <w:lang w:val="fr-FR"/>
        </w:rPr>
        <w:t xml:space="preserve">Dans ce contexte, </w:t>
      </w:r>
      <w:r w:rsidRPr="00577EB1">
        <w:rPr>
          <w:b w:val="0"/>
          <w:i/>
          <w:szCs w:val="24"/>
          <w:lang w:val="fr-FR"/>
        </w:rPr>
        <w:t>premièrement</w:t>
      </w:r>
      <w:r w:rsidRPr="00577EB1">
        <w:rPr>
          <w:b w:val="0"/>
          <w:szCs w:val="24"/>
          <w:lang w:val="fr-FR"/>
        </w:rPr>
        <w:t xml:space="preserve">, à partir des données (qui seront disponibles en 2010-2011) de l’enquête intégrale sur les conditions de vie des ménages (EICVM) actuellement en cours, il faudra mettre à jour l’analyse de la pauvreté pour identifier les groupes cibles prioritaires, et repérer leur localisation géographique respective à l’aide de cartes de pauvreté. </w:t>
      </w:r>
      <w:r w:rsidRPr="00577EB1">
        <w:rPr>
          <w:b w:val="0"/>
          <w:i/>
          <w:szCs w:val="24"/>
          <w:lang w:val="fr-FR"/>
        </w:rPr>
        <w:t>Deuxièmement</w:t>
      </w:r>
      <w:r w:rsidRPr="00577EB1">
        <w:rPr>
          <w:b w:val="0"/>
          <w:szCs w:val="24"/>
          <w:lang w:val="fr-FR"/>
        </w:rPr>
        <w:t xml:space="preserve">, </w:t>
      </w:r>
      <w:r w:rsidRPr="00577EB1">
        <w:rPr>
          <w:b w:val="0"/>
          <w:szCs w:val="24"/>
          <w:lang w:val="fr-FR"/>
        </w:rPr>
        <w:lastRenderedPageBreak/>
        <w:t xml:space="preserve">définir le type, le rôle, l’échelle et la fréquence des instruments de filets sociaux pour chaque groupe cible prioritaire. Sur la base de l’analyse actualisée de la pauvreté, puis d’analyses de faisabilité, </w:t>
      </w:r>
      <w:r w:rsidR="00A52831">
        <w:rPr>
          <w:b w:val="0"/>
          <w:szCs w:val="24"/>
          <w:lang w:val="fr-FR"/>
        </w:rPr>
        <w:t>il est</w:t>
      </w:r>
      <w:r w:rsidRPr="00577EB1">
        <w:rPr>
          <w:b w:val="0"/>
          <w:szCs w:val="24"/>
          <w:lang w:val="fr-FR"/>
        </w:rPr>
        <w:t xml:space="preserve"> propos</w:t>
      </w:r>
      <w:r w:rsidR="00A52831">
        <w:rPr>
          <w:b w:val="0"/>
          <w:szCs w:val="24"/>
          <w:lang w:val="fr-FR"/>
        </w:rPr>
        <w:t>é</w:t>
      </w:r>
      <w:r w:rsidRPr="00577EB1">
        <w:rPr>
          <w:b w:val="0"/>
          <w:szCs w:val="24"/>
          <w:lang w:val="fr-FR"/>
        </w:rPr>
        <w:t xml:space="preserve"> d’envisager </w:t>
      </w:r>
      <w:r w:rsidR="00A52831">
        <w:rPr>
          <w:b w:val="0"/>
          <w:szCs w:val="24"/>
          <w:lang w:val="fr-FR"/>
        </w:rPr>
        <w:t>la combinaison d’instruments suivante de façon</w:t>
      </w:r>
      <w:r w:rsidRPr="00577EB1">
        <w:rPr>
          <w:b w:val="0"/>
          <w:szCs w:val="24"/>
          <w:lang w:val="fr-FR"/>
        </w:rPr>
        <w:t xml:space="preserve"> permanente  pour enrayer la pauvreté chronique</w:t>
      </w:r>
      <w:r w:rsidR="00A52831">
        <w:rPr>
          <w:b w:val="0"/>
          <w:szCs w:val="24"/>
          <w:lang w:val="fr-FR"/>
        </w:rPr>
        <w:t> :</w:t>
      </w:r>
      <w:r w:rsidR="0007340F">
        <w:rPr>
          <w:b w:val="0"/>
          <w:szCs w:val="24"/>
          <w:lang w:val="fr-FR"/>
        </w:rPr>
        <w:t xml:space="preserve"> </w:t>
      </w:r>
      <w:r w:rsidRPr="00577EB1">
        <w:rPr>
          <w:b w:val="0"/>
          <w:szCs w:val="24"/>
          <w:lang w:val="fr-FR"/>
        </w:rPr>
        <w:t>i) des programmes de supplémentation nutritionnelle pour les femmes enceintes ou allaitante</w:t>
      </w:r>
      <w:r w:rsidR="00A52831">
        <w:rPr>
          <w:b w:val="0"/>
          <w:szCs w:val="24"/>
          <w:lang w:val="fr-FR"/>
        </w:rPr>
        <w:t>s</w:t>
      </w:r>
      <w:r w:rsidRPr="00577EB1">
        <w:rPr>
          <w:b w:val="0"/>
          <w:szCs w:val="24"/>
          <w:lang w:val="fr-FR"/>
        </w:rPr>
        <w:t xml:space="preserve"> et pour les enfants de moins de 5 ans</w:t>
      </w:r>
      <w:r w:rsidR="00A52831">
        <w:rPr>
          <w:b w:val="0"/>
          <w:szCs w:val="24"/>
          <w:lang w:val="fr-FR"/>
        </w:rPr>
        <w:t> ;</w:t>
      </w:r>
      <w:r w:rsidR="0007340F">
        <w:rPr>
          <w:b w:val="0"/>
          <w:szCs w:val="24"/>
          <w:lang w:val="fr-FR"/>
        </w:rPr>
        <w:t xml:space="preserve"> </w:t>
      </w:r>
      <w:r w:rsidRPr="00577EB1">
        <w:rPr>
          <w:b w:val="0"/>
          <w:szCs w:val="24"/>
          <w:lang w:val="fr-FR"/>
        </w:rPr>
        <w:t>ii) des programmes ciblés de cantines scolaires pour les enfants de 6 à 14 ans, afin d’étendre la scolarisation et l’assiduité scolaire des enfants pauvres</w:t>
      </w:r>
      <w:r w:rsidR="00A52831">
        <w:rPr>
          <w:b w:val="0"/>
          <w:szCs w:val="24"/>
          <w:lang w:val="fr-FR"/>
        </w:rPr>
        <w:t> ;</w:t>
      </w:r>
      <w:r w:rsidR="0007340F">
        <w:rPr>
          <w:b w:val="0"/>
          <w:szCs w:val="24"/>
          <w:lang w:val="fr-FR"/>
        </w:rPr>
        <w:t xml:space="preserve"> </w:t>
      </w:r>
      <w:r w:rsidRPr="00577EB1">
        <w:rPr>
          <w:b w:val="0"/>
          <w:szCs w:val="24"/>
          <w:lang w:val="fr-FR"/>
        </w:rPr>
        <w:t>iii) des transferts monétaires réguliers aux ménages frappés de pauvreté chronique, pour augmenter leur revenu réel</w:t>
      </w:r>
      <w:r w:rsidR="00A52831">
        <w:rPr>
          <w:b w:val="0"/>
          <w:szCs w:val="24"/>
          <w:lang w:val="fr-FR"/>
        </w:rPr>
        <w:t> ;</w:t>
      </w:r>
      <w:r w:rsidR="0007340F">
        <w:rPr>
          <w:b w:val="0"/>
          <w:szCs w:val="24"/>
          <w:lang w:val="fr-FR"/>
        </w:rPr>
        <w:t xml:space="preserve"> </w:t>
      </w:r>
      <w:r w:rsidRPr="00577EB1">
        <w:rPr>
          <w:b w:val="0"/>
          <w:szCs w:val="24"/>
          <w:lang w:val="fr-FR"/>
        </w:rPr>
        <w:t>et iv) des travaux publics saisonniers à haute intensité de main d’œuvre afin de créer une source de revenus pour les travailleurs pauvres et de construire une infrastructure publique ou de fournir des services à la communauté. La portée et l’échelle de chacun des instruments proposés devront être déterminées sur la base des résultats de l’analyse, de la disponibilité budgétaire et de la capacité de mise en œuvre. Une fois qu’un système permanent adéquat de filets sociaux aura été établi, on pourra envisager d’étendre certains mécanismes pour répondre aux crises, en les accompagnant d’autres instruments</w:t>
      </w:r>
      <w:r w:rsidR="00A52831">
        <w:rPr>
          <w:b w:val="0"/>
          <w:szCs w:val="24"/>
          <w:lang w:val="fr-FR"/>
        </w:rPr>
        <w:t xml:space="preserve"> </w:t>
      </w:r>
      <w:r w:rsidR="00A52831" w:rsidRPr="00577EB1">
        <w:rPr>
          <w:b w:val="0"/>
          <w:szCs w:val="24"/>
          <w:lang w:val="fr-FR"/>
        </w:rPr>
        <w:t>temporaire</w:t>
      </w:r>
      <w:r w:rsidR="00A52831">
        <w:rPr>
          <w:b w:val="0"/>
          <w:szCs w:val="24"/>
          <w:lang w:val="fr-FR"/>
        </w:rPr>
        <w:t>s</w:t>
      </w:r>
      <w:r w:rsidRPr="00577EB1">
        <w:rPr>
          <w:b w:val="0"/>
          <w:szCs w:val="24"/>
          <w:lang w:val="fr-FR"/>
        </w:rPr>
        <w:t xml:space="preserve">. </w:t>
      </w:r>
    </w:p>
    <w:p w:rsidR="00726DDC" w:rsidRPr="00577EB1" w:rsidRDefault="00726DDC" w:rsidP="00726DDC">
      <w:pPr>
        <w:pStyle w:val="Style3"/>
        <w:rPr>
          <w:szCs w:val="24"/>
          <w:lang w:val="fr-FR"/>
        </w:rPr>
      </w:pPr>
      <w:r w:rsidRPr="00577EB1">
        <w:rPr>
          <w:szCs w:val="24"/>
          <w:lang w:val="fr-FR"/>
        </w:rPr>
        <w:t>Amélior</w:t>
      </w:r>
      <w:r w:rsidR="00A52831">
        <w:rPr>
          <w:szCs w:val="24"/>
          <w:lang w:val="fr-FR"/>
        </w:rPr>
        <w:t>er</w:t>
      </w:r>
      <w:r w:rsidRPr="00577EB1">
        <w:rPr>
          <w:szCs w:val="24"/>
          <w:lang w:val="fr-FR"/>
        </w:rPr>
        <w:t xml:space="preserve"> l’efficience et le ciblage des programmes de filets sociaux. </w:t>
      </w:r>
      <w:r w:rsidRPr="00577EB1">
        <w:rPr>
          <w:b w:val="0"/>
          <w:szCs w:val="24"/>
          <w:lang w:val="fr-FR"/>
        </w:rPr>
        <w:t>Le ciblage est à l’heure actuelle, confronté à beaucoup de contraintes, incluant, entre autres, les capacités administratives et la qualité de la gouvernance, la perception négative des programmes publics et les obligations familiales des femmes. À cet égard, l’expérience internationale nous indique, comme bonne pratique, l’approche suivante</w:t>
      </w:r>
      <w:r w:rsidR="00A52831">
        <w:rPr>
          <w:b w:val="0"/>
          <w:szCs w:val="24"/>
          <w:lang w:val="fr-FR"/>
        </w:rPr>
        <w:t> :</w:t>
      </w:r>
    </w:p>
    <w:p w:rsidR="00726DDC" w:rsidRPr="00577EB1" w:rsidRDefault="00726DDC" w:rsidP="00E52A30">
      <w:pPr>
        <w:pStyle w:val="ListParagraph"/>
        <w:numPr>
          <w:ilvl w:val="0"/>
          <w:numId w:val="25"/>
        </w:numPr>
        <w:tabs>
          <w:tab w:val="clear" w:pos="709"/>
          <w:tab w:val="left" w:pos="720"/>
        </w:tabs>
        <w:spacing w:after="120"/>
        <w:ind w:hanging="720"/>
        <w:rPr>
          <w:szCs w:val="24"/>
          <w:lang w:val="fr-FR"/>
        </w:rPr>
      </w:pPr>
      <w:r w:rsidRPr="00577EB1">
        <w:rPr>
          <w:i/>
          <w:szCs w:val="24"/>
          <w:lang w:val="fr-FR"/>
        </w:rPr>
        <w:t>Suivre les processus et les coûts des programmes.</w:t>
      </w:r>
      <w:r w:rsidRPr="00577EB1">
        <w:rPr>
          <w:szCs w:val="24"/>
          <w:lang w:val="fr-FR"/>
        </w:rPr>
        <w:t xml:space="preserve"> Les informations sur les ressources utilisées pour la gestion des programmes sont cruciales pour améliorer la qualité de l’exécution de ceux-ci et la réduction des coûts au fil du temps. Cependant, un investissement initial plus important dans les outils administratifs et les capacités pourrait s’avérer nécessaire.</w:t>
      </w:r>
    </w:p>
    <w:p w:rsidR="00726DDC" w:rsidRPr="00577EB1" w:rsidRDefault="00726DDC" w:rsidP="00E52A30">
      <w:pPr>
        <w:pStyle w:val="ListParagraph"/>
        <w:numPr>
          <w:ilvl w:val="0"/>
          <w:numId w:val="25"/>
        </w:numPr>
        <w:tabs>
          <w:tab w:val="clear" w:pos="709"/>
          <w:tab w:val="left" w:pos="720"/>
        </w:tabs>
        <w:spacing w:after="120"/>
        <w:ind w:hanging="720"/>
        <w:rPr>
          <w:szCs w:val="24"/>
          <w:lang w:val="fr-FR"/>
        </w:rPr>
      </w:pPr>
      <w:r w:rsidRPr="00577EB1">
        <w:rPr>
          <w:i/>
          <w:szCs w:val="24"/>
          <w:lang w:val="fr-FR"/>
        </w:rPr>
        <w:t xml:space="preserve">Assurer qu’une meilleure information </w:t>
      </w:r>
      <w:r w:rsidR="00313D16">
        <w:rPr>
          <w:i/>
          <w:szCs w:val="24"/>
          <w:lang w:val="fr-FR"/>
        </w:rPr>
        <w:t>soit</w:t>
      </w:r>
      <w:r w:rsidRPr="00577EB1">
        <w:rPr>
          <w:i/>
          <w:szCs w:val="24"/>
          <w:lang w:val="fr-FR"/>
        </w:rPr>
        <w:t xml:space="preserve"> recueillie auprès des bénéficiaires actuels et potentiels pour faciliter le ciblage et évaluer les résultats.</w:t>
      </w:r>
      <w:r w:rsidRPr="00577EB1">
        <w:rPr>
          <w:szCs w:val="24"/>
          <w:lang w:val="fr-FR"/>
        </w:rPr>
        <w:t xml:space="preserve"> Actuellement, les données détaillées sur les bénéficiaires sont insuffisantes. </w:t>
      </w:r>
    </w:p>
    <w:p w:rsidR="00726DDC" w:rsidRPr="00577EB1" w:rsidRDefault="00726DDC" w:rsidP="00E52A30">
      <w:pPr>
        <w:pStyle w:val="ListParagraph"/>
        <w:numPr>
          <w:ilvl w:val="0"/>
          <w:numId w:val="25"/>
        </w:numPr>
        <w:tabs>
          <w:tab w:val="clear" w:pos="709"/>
          <w:tab w:val="left" w:pos="720"/>
        </w:tabs>
        <w:spacing w:after="120"/>
        <w:ind w:hanging="720"/>
        <w:rPr>
          <w:szCs w:val="24"/>
          <w:lang w:val="fr-FR"/>
        </w:rPr>
      </w:pPr>
      <w:r w:rsidRPr="00577EB1">
        <w:rPr>
          <w:i/>
          <w:szCs w:val="24"/>
          <w:lang w:val="fr-FR"/>
        </w:rPr>
        <w:t>Mettre au point des outils de ciblage efficaces pour rediriger vers les pauvres le flux des ressources.</w:t>
      </w:r>
      <w:r w:rsidRPr="00577EB1">
        <w:rPr>
          <w:szCs w:val="24"/>
          <w:lang w:val="fr-FR"/>
        </w:rPr>
        <w:t xml:space="preserve"> L’État doit élaborer et appliquer des critères et des instruments de ciblage communs à deux niveaux</w:t>
      </w:r>
      <w:r w:rsidR="00313D16">
        <w:rPr>
          <w:szCs w:val="24"/>
          <w:lang w:val="fr-FR"/>
        </w:rPr>
        <w:t> :</w:t>
      </w:r>
      <w:r w:rsidR="0007340F">
        <w:rPr>
          <w:szCs w:val="24"/>
          <w:lang w:val="fr-FR"/>
        </w:rPr>
        <w:t xml:space="preserve"> </w:t>
      </w:r>
      <w:r w:rsidRPr="00577EB1">
        <w:rPr>
          <w:szCs w:val="24"/>
          <w:lang w:val="fr-FR"/>
        </w:rPr>
        <w:t xml:space="preserve">i) </w:t>
      </w:r>
      <w:r w:rsidRPr="00577EB1">
        <w:rPr>
          <w:i/>
          <w:szCs w:val="24"/>
          <w:lang w:val="fr-FR"/>
        </w:rPr>
        <w:t>au niveau géographique</w:t>
      </w:r>
      <w:r w:rsidRPr="00577EB1">
        <w:rPr>
          <w:szCs w:val="24"/>
          <w:lang w:val="fr-FR"/>
        </w:rPr>
        <w:t>, pour allouer les dépenses publiques sociales en général, et dans les programmes de filets sociaux en particulier, là où se trouve le plus grand nombre de pauvres chroniques</w:t>
      </w:r>
      <w:r w:rsidR="00313D16">
        <w:rPr>
          <w:szCs w:val="24"/>
          <w:lang w:val="fr-FR"/>
        </w:rPr>
        <w:t> ;</w:t>
      </w:r>
      <w:r w:rsidR="0007340F">
        <w:rPr>
          <w:szCs w:val="24"/>
          <w:lang w:val="fr-FR"/>
        </w:rPr>
        <w:t xml:space="preserve"> </w:t>
      </w:r>
      <w:r w:rsidRPr="00577EB1">
        <w:rPr>
          <w:szCs w:val="24"/>
          <w:lang w:val="fr-FR"/>
        </w:rPr>
        <w:t xml:space="preserve">et ii) </w:t>
      </w:r>
      <w:r w:rsidRPr="00577EB1">
        <w:rPr>
          <w:i/>
          <w:szCs w:val="24"/>
          <w:lang w:val="fr-FR"/>
        </w:rPr>
        <w:t>au niveau des ménages,</w:t>
      </w:r>
      <w:r w:rsidRPr="00577EB1">
        <w:rPr>
          <w:szCs w:val="24"/>
          <w:lang w:val="fr-FR"/>
        </w:rPr>
        <w:t xml:space="preserve"> avec la détermination d’indicateurs communs pour l’évaluation  des moyens d’existence</w:t>
      </w:r>
      <w:r w:rsidR="00313D16">
        <w:rPr>
          <w:szCs w:val="24"/>
          <w:lang w:val="fr-FR"/>
        </w:rPr>
        <w:t xml:space="preserve"> par approximation</w:t>
      </w:r>
      <w:r w:rsidRPr="00577EB1">
        <w:rPr>
          <w:szCs w:val="24"/>
          <w:lang w:val="fr-FR"/>
        </w:rPr>
        <w:t>, qui peuvent être appliqués objectivement à toute une gamme de programmes.</w:t>
      </w:r>
    </w:p>
    <w:p w:rsidR="00726DDC" w:rsidRPr="00577EB1" w:rsidRDefault="00726DDC" w:rsidP="00E52A30">
      <w:pPr>
        <w:pStyle w:val="Style3"/>
        <w:keepNext w:val="0"/>
        <w:numPr>
          <w:ilvl w:val="0"/>
          <w:numId w:val="25"/>
        </w:numPr>
        <w:tabs>
          <w:tab w:val="clear" w:pos="567"/>
          <w:tab w:val="clear" w:pos="709"/>
          <w:tab w:val="left" w:pos="720"/>
        </w:tabs>
        <w:ind w:hanging="720"/>
        <w:rPr>
          <w:szCs w:val="24"/>
          <w:lang w:val="fr-FR"/>
        </w:rPr>
      </w:pPr>
      <w:r w:rsidRPr="00577EB1">
        <w:rPr>
          <w:b w:val="0"/>
          <w:i/>
          <w:szCs w:val="24"/>
          <w:lang w:val="fr-FR"/>
        </w:rPr>
        <w:t>Mettre en place des mécanismes d’appel et de réclamation.</w:t>
      </w:r>
      <w:r w:rsidRPr="00577EB1">
        <w:rPr>
          <w:szCs w:val="24"/>
          <w:lang w:val="fr-FR"/>
        </w:rPr>
        <w:t xml:space="preserve"> </w:t>
      </w:r>
      <w:r w:rsidRPr="00577EB1">
        <w:rPr>
          <w:b w:val="0"/>
          <w:szCs w:val="24"/>
          <w:lang w:val="fr-FR"/>
        </w:rPr>
        <w:t>Plus de transparence est nécessaire dans les normes des programmes, et des normes de gouvernance de qualité doivent être mise en place et maintenues.</w:t>
      </w:r>
    </w:p>
    <w:p w:rsidR="00726DDC" w:rsidRPr="00577EB1" w:rsidRDefault="00726DDC" w:rsidP="00726DDC">
      <w:pPr>
        <w:pStyle w:val="Style3"/>
        <w:rPr>
          <w:szCs w:val="24"/>
          <w:lang w:val="fr-FR"/>
        </w:rPr>
      </w:pPr>
      <w:r w:rsidRPr="00577EB1">
        <w:rPr>
          <w:szCs w:val="24"/>
          <w:lang w:val="fr-FR"/>
        </w:rPr>
        <w:lastRenderedPageBreak/>
        <w:t>Mainten</w:t>
      </w:r>
      <w:r w:rsidR="00313D16">
        <w:rPr>
          <w:szCs w:val="24"/>
          <w:lang w:val="fr-FR"/>
        </w:rPr>
        <w:t>ir</w:t>
      </w:r>
      <w:r w:rsidRPr="00577EB1">
        <w:rPr>
          <w:szCs w:val="24"/>
          <w:lang w:val="fr-FR"/>
        </w:rPr>
        <w:t xml:space="preserve"> ou </w:t>
      </w:r>
      <w:r w:rsidR="00313D16">
        <w:rPr>
          <w:szCs w:val="24"/>
          <w:lang w:val="fr-FR"/>
        </w:rPr>
        <w:t>étendre</w:t>
      </w:r>
      <w:r w:rsidRPr="00577EB1">
        <w:rPr>
          <w:szCs w:val="24"/>
          <w:lang w:val="fr-FR"/>
        </w:rPr>
        <w:t xml:space="preserve"> </w:t>
      </w:r>
      <w:r w:rsidR="00313D16">
        <w:rPr>
          <w:szCs w:val="24"/>
          <w:lang w:val="fr-FR"/>
        </w:rPr>
        <w:t>l</w:t>
      </w:r>
      <w:r w:rsidRPr="00577EB1">
        <w:rPr>
          <w:szCs w:val="24"/>
          <w:lang w:val="fr-FR"/>
        </w:rPr>
        <w:t xml:space="preserve">es programmes efficaces et efficients. </w:t>
      </w:r>
      <w:r w:rsidRPr="00577EB1">
        <w:rPr>
          <w:b w:val="0"/>
          <w:szCs w:val="24"/>
          <w:lang w:val="fr-FR"/>
        </w:rPr>
        <w:t>Des évaluations et analyses supplémentaires seront nécessaires pour pouvoir émettre des propositions détaillées d’extension ou de réduction de la portée des programmes individuels de protection sociale. Ceci dit, l’étude présentée dans ce rapport permet d’émettre certaines recommandations initiales :</w:t>
      </w:r>
    </w:p>
    <w:p w:rsidR="00726DDC" w:rsidRPr="00577EB1" w:rsidRDefault="00726DDC" w:rsidP="00E52A30">
      <w:pPr>
        <w:numPr>
          <w:ilvl w:val="6"/>
          <w:numId w:val="5"/>
        </w:numPr>
        <w:tabs>
          <w:tab w:val="clear" w:pos="709"/>
          <w:tab w:val="left" w:pos="1080"/>
        </w:tabs>
        <w:spacing w:after="120"/>
        <w:ind w:left="1080" w:hanging="720"/>
        <w:rPr>
          <w:szCs w:val="24"/>
          <w:lang w:val="fr-FR"/>
        </w:rPr>
      </w:pPr>
      <w:r w:rsidRPr="00577EB1">
        <w:rPr>
          <w:i/>
          <w:szCs w:val="24"/>
          <w:lang w:val="fr-FR"/>
        </w:rPr>
        <w:t xml:space="preserve">Étendre les transferts monétaires efficients </w:t>
      </w:r>
      <w:r w:rsidRPr="00577EB1">
        <w:rPr>
          <w:szCs w:val="24"/>
          <w:lang w:val="fr-FR"/>
        </w:rPr>
        <w:t>en tenant compte des prochaines évaluations d’impact (transferts monétaires et coupons alimentaires) ;</w:t>
      </w:r>
    </w:p>
    <w:p w:rsidR="00726DDC" w:rsidRPr="00577EB1" w:rsidRDefault="00726DDC" w:rsidP="00E52A30">
      <w:pPr>
        <w:numPr>
          <w:ilvl w:val="6"/>
          <w:numId w:val="5"/>
        </w:numPr>
        <w:tabs>
          <w:tab w:val="clear" w:pos="709"/>
          <w:tab w:val="left" w:pos="1080"/>
        </w:tabs>
        <w:spacing w:after="120"/>
        <w:ind w:left="1080" w:hanging="720"/>
        <w:rPr>
          <w:szCs w:val="24"/>
          <w:lang w:val="fr-FR"/>
        </w:rPr>
      </w:pPr>
      <w:r w:rsidRPr="00577EB1">
        <w:rPr>
          <w:i/>
          <w:szCs w:val="24"/>
          <w:lang w:val="fr-FR"/>
        </w:rPr>
        <w:t xml:space="preserve">Examiner plus avant les ventes d’aliments à des prix subventionnés et les distributions ciblées de vivres </w:t>
      </w:r>
      <w:r w:rsidRPr="00577EB1">
        <w:rPr>
          <w:szCs w:val="24"/>
          <w:lang w:val="fr-FR"/>
        </w:rPr>
        <w:t>pour évaluer leur rentabilité et leur impact sur les bénéficiaires, et envisager leur réduction au profit d’un programme dont le ciblage donne de meilleurs résultats ;</w:t>
      </w:r>
    </w:p>
    <w:p w:rsidR="00726DDC" w:rsidRPr="00577EB1" w:rsidRDefault="00726DDC" w:rsidP="00E52A30">
      <w:pPr>
        <w:numPr>
          <w:ilvl w:val="6"/>
          <w:numId w:val="5"/>
        </w:numPr>
        <w:tabs>
          <w:tab w:val="clear" w:pos="709"/>
          <w:tab w:val="left" w:pos="1080"/>
        </w:tabs>
        <w:spacing w:after="120"/>
        <w:ind w:left="1080" w:hanging="720"/>
        <w:rPr>
          <w:szCs w:val="24"/>
          <w:lang w:val="fr-FR"/>
        </w:rPr>
      </w:pPr>
      <w:r w:rsidRPr="00577EB1">
        <w:rPr>
          <w:i/>
          <w:szCs w:val="24"/>
          <w:lang w:val="fr-FR"/>
        </w:rPr>
        <w:t>Renforcer et étendre les programmes nutritionnels</w:t>
      </w:r>
      <w:r w:rsidRPr="00577EB1">
        <w:rPr>
          <w:szCs w:val="24"/>
          <w:lang w:val="fr-FR"/>
        </w:rPr>
        <w:t>, en particulier en raison de</w:t>
      </w:r>
      <w:r w:rsidR="00313D16">
        <w:rPr>
          <w:szCs w:val="24"/>
          <w:lang w:val="fr-FR"/>
        </w:rPr>
        <w:t xml:space="preserve"> la</w:t>
      </w:r>
      <w:r w:rsidRPr="00577EB1">
        <w:rPr>
          <w:szCs w:val="24"/>
          <w:lang w:val="fr-FR"/>
        </w:rPr>
        <w:t xml:space="preserve"> médiocre</w:t>
      </w:r>
      <w:r w:rsidR="00313D16">
        <w:rPr>
          <w:szCs w:val="24"/>
          <w:lang w:val="fr-FR"/>
        </w:rPr>
        <w:t xml:space="preserve"> situation</w:t>
      </w:r>
      <w:r w:rsidRPr="00577EB1">
        <w:rPr>
          <w:szCs w:val="24"/>
          <w:lang w:val="fr-FR"/>
        </w:rPr>
        <w:t xml:space="preserve"> nutritionnel</w:t>
      </w:r>
      <w:r w:rsidR="00313D16">
        <w:rPr>
          <w:szCs w:val="24"/>
          <w:lang w:val="fr-FR"/>
        </w:rPr>
        <w:t>le</w:t>
      </w:r>
      <w:r w:rsidRPr="00577EB1">
        <w:rPr>
          <w:szCs w:val="24"/>
          <w:lang w:val="fr-FR"/>
        </w:rPr>
        <w:t> ;</w:t>
      </w:r>
    </w:p>
    <w:p w:rsidR="00726DDC" w:rsidRPr="00577EB1" w:rsidRDefault="00726DDC" w:rsidP="00E52A30">
      <w:pPr>
        <w:numPr>
          <w:ilvl w:val="6"/>
          <w:numId w:val="5"/>
        </w:numPr>
        <w:tabs>
          <w:tab w:val="clear" w:pos="709"/>
          <w:tab w:val="left" w:pos="1080"/>
        </w:tabs>
        <w:spacing w:after="120"/>
        <w:ind w:left="1080" w:hanging="720"/>
        <w:rPr>
          <w:szCs w:val="24"/>
          <w:lang w:val="fr-FR"/>
        </w:rPr>
      </w:pPr>
      <w:r w:rsidRPr="00577EB1">
        <w:rPr>
          <w:i/>
          <w:szCs w:val="24"/>
          <w:lang w:val="fr-FR"/>
        </w:rPr>
        <w:t>Rechercher des mécanismes de ciblage géographique pour les cantines scolaires</w:t>
      </w:r>
      <w:r w:rsidRPr="00577EB1">
        <w:rPr>
          <w:szCs w:val="24"/>
          <w:lang w:val="fr-FR"/>
        </w:rPr>
        <w:t xml:space="preserve"> afin d’assurer que celles-ci  bénéfici</w:t>
      </w:r>
      <w:r w:rsidR="005F6416">
        <w:rPr>
          <w:szCs w:val="24"/>
          <w:lang w:val="fr-FR"/>
        </w:rPr>
        <w:t xml:space="preserve">ent </w:t>
      </w:r>
      <w:r w:rsidRPr="00577EB1">
        <w:rPr>
          <w:szCs w:val="24"/>
          <w:lang w:val="fr-FR"/>
        </w:rPr>
        <w:t xml:space="preserve"> les enfants pauvres ;</w:t>
      </w:r>
      <w:r w:rsidR="005F6416">
        <w:rPr>
          <w:szCs w:val="24"/>
          <w:lang w:val="fr-FR"/>
        </w:rPr>
        <w:t xml:space="preserve">et surtout </w:t>
      </w:r>
      <w:r w:rsidR="008D3AA4">
        <w:rPr>
          <w:szCs w:val="24"/>
          <w:lang w:val="fr-FR"/>
        </w:rPr>
        <w:t xml:space="preserve">se baser sur les résultats </w:t>
      </w:r>
      <w:r w:rsidR="005F6416">
        <w:rPr>
          <w:szCs w:val="24"/>
          <w:lang w:val="fr-FR"/>
        </w:rPr>
        <w:t>des expériences en cours du PAM et CRS qui sont déjà géographiquement ciblées</w:t>
      </w:r>
      <w:r w:rsidR="00814C02">
        <w:rPr>
          <w:szCs w:val="24"/>
          <w:lang w:val="fr-FR"/>
        </w:rPr>
        <w:t> ;</w:t>
      </w:r>
      <w:r w:rsidR="005F6416">
        <w:rPr>
          <w:szCs w:val="24"/>
          <w:lang w:val="fr-FR"/>
        </w:rPr>
        <w:t xml:space="preserve"> </w:t>
      </w:r>
      <w:r w:rsidRPr="00577EB1">
        <w:rPr>
          <w:i/>
          <w:szCs w:val="24"/>
          <w:lang w:val="fr-FR"/>
        </w:rPr>
        <w:t>Éviter les subventions générales</w:t>
      </w:r>
      <w:r w:rsidRPr="00577EB1">
        <w:rPr>
          <w:szCs w:val="24"/>
          <w:lang w:val="fr-FR"/>
        </w:rPr>
        <w:t>, sauf en tant qu’instrument de dernier recours en temps de crise, et viser en particulier les produits principalement consommés par les pauvres ;</w:t>
      </w:r>
    </w:p>
    <w:p w:rsidR="00726DDC" w:rsidRPr="00577EB1" w:rsidRDefault="00726DDC" w:rsidP="00E52A30">
      <w:pPr>
        <w:numPr>
          <w:ilvl w:val="6"/>
          <w:numId w:val="5"/>
        </w:numPr>
        <w:tabs>
          <w:tab w:val="clear" w:pos="709"/>
          <w:tab w:val="left" w:pos="1080"/>
        </w:tabs>
        <w:spacing w:after="120"/>
        <w:ind w:left="1080" w:hanging="720"/>
        <w:rPr>
          <w:szCs w:val="24"/>
          <w:lang w:val="fr-FR"/>
        </w:rPr>
      </w:pPr>
      <w:r w:rsidRPr="00577EB1">
        <w:rPr>
          <w:i/>
          <w:szCs w:val="24"/>
          <w:lang w:val="fr-FR"/>
        </w:rPr>
        <w:t xml:space="preserve">Entreprendre des travaux publics </w:t>
      </w:r>
      <w:r w:rsidRPr="00577EB1">
        <w:rPr>
          <w:szCs w:val="24"/>
          <w:lang w:val="fr-FR"/>
        </w:rPr>
        <w:t>ciblés sur les pauvres des zones rurales, par exemple en utilisant les taux de rémunération et autres critères de ciblage possibles pour générer temporairement des revenus pendant les pertes d’emplois saisonnières et en périodes de chocs</w:t>
      </w:r>
      <w:r w:rsidR="00313D16">
        <w:rPr>
          <w:szCs w:val="24"/>
          <w:lang w:val="fr-FR"/>
        </w:rPr>
        <w:t> ;</w:t>
      </w:r>
    </w:p>
    <w:p w:rsidR="00726DDC" w:rsidRPr="00577EB1" w:rsidRDefault="00726DDC" w:rsidP="00E52A30">
      <w:pPr>
        <w:numPr>
          <w:ilvl w:val="6"/>
          <w:numId w:val="5"/>
        </w:numPr>
        <w:tabs>
          <w:tab w:val="clear" w:pos="709"/>
          <w:tab w:val="left" w:pos="1080"/>
        </w:tabs>
        <w:spacing w:after="0"/>
        <w:ind w:left="1080" w:hanging="720"/>
        <w:rPr>
          <w:vanish/>
          <w:szCs w:val="24"/>
          <w:lang w:val="fr-FR"/>
        </w:rPr>
      </w:pPr>
      <w:r w:rsidRPr="00577EB1">
        <w:rPr>
          <w:i/>
          <w:szCs w:val="24"/>
          <w:lang w:val="fr-FR"/>
        </w:rPr>
        <w:t>Examiner soigneusement les exemptions ou l’abolition du paiement par l’usager des soins de santé</w:t>
      </w:r>
      <w:r w:rsidRPr="00577EB1">
        <w:rPr>
          <w:szCs w:val="24"/>
          <w:lang w:val="fr-FR"/>
        </w:rPr>
        <w:t xml:space="preserve"> pour les pauvres des zones rurales, dans le cadre de réformes plus larges du système de santé et de son financement, afin de mettre en place des mécanismes de compensation pour une mise en œuvre effective du programme.</w:t>
      </w:r>
    </w:p>
    <w:p w:rsidR="00726DDC" w:rsidRPr="00577EB1" w:rsidRDefault="00726DDC" w:rsidP="00726DDC">
      <w:pPr>
        <w:spacing w:after="0"/>
        <w:rPr>
          <w:szCs w:val="24"/>
          <w:lang w:val="fr-FR"/>
        </w:rPr>
      </w:pPr>
    </w:p>
    <w:p w:rsidR="00726DDC" w:rsidRPr="00577EB1" w:rsidRDefault="00726DDC" w:rsidP="00726DDC">
      <w:pPr>
        <w:spacing w:after="0"/>
        <w:rPr>
          <w:szCs w:val="24"/>
          <w:lang w:val="fr-FR"/>
        </w:rPr>
      </w:pPr>
    </w:p>
    <w:p w:rsidR="00726DDC" w:rsidRPr="00577EB1" w:rsidRDefault="00726DDC" w:rsidP="00726DDC">
      <w:pPr>
        <w:spacing w:after="60"/>
        <w:jc w:val="center"/>
        <w:rPr>
          <w:szCs w:val="24"/>
          <w:lang w:val="fr-FR"/>
        </w:rPr>
        <w:sectPr w:rsidR="00726DDC" w:rsidRPr="00577EB1">
          <w:footerReference w:type="default" r:id="rId17"/>
          <w:pgSz w:w="11906" w:h="16838" w:code="9"/>
          <w:pgMar w:top="1418" w:right="1418" w:bottom="1418" w:left="1418" w:header="709" w:footer="709" w:gutter="0"/>
          <w:pgNumType w:fmt="lowerRoman" w:start="1"/>
          <w:cols w:space="708"/>
          <w:rtlGutter/>
          <w:docGrid w:linePitch="360"/>
        </w:sectPr>
      </w:pPr>
    </w:p>
    <w:p w:rsidR="00726DDC" w:rsidRPr="00577EB1" w:rsidRDefault="00726DDC" w:rsidP="00726DDC">
      <w:pPr>
        <w:jc w:val="center"/>
        <w:rPr>
          <w:szCs w:val="24"/>
          <w:lang w:val="fr-FR"/>
        </w:rPr>
      </w:pPr>
      <w:r w:rsidRPr="00577EB1">
        <w:rPr>
          <w:b/>
          <w:sz w:val="28"/>
          <w:szCs w:val="24"/>
          <w:lang w:val="fr-FR"/>
        </w:rPr>
        <w:lastRenderedPageBreak/>
        <w:t>Burkina Faso</w:t>
      </w:r>
      <w:r w:rsidR="00E309C1">
        <w:rPr>
          <w:b/>
          <w:sz w:val="28"/>
          <w:szCs w:val="24"/>
          <w:lang w:val="fr-FR"/>
        </w:rPr>
        <w:t> :</w:t>
      </w:r>
      <w:r w:rsidRPr="00577EB1">
        <w:rPr>
          <w:b/>
          <w:sz w:val="28"/>
          <w:szCs w:val="24"/>
          <w:lang w:val="fr-FR"/>
        </w:rPr>
        <w:t xml:space="preserve"> </w:t>
      </w:r>
      <w:r w:rsidRPr="00577EB1">
        <w:rPr>
          <w:b/>
          <w:szCs w:val="24"/>
          <w:lang w:val="fr-FR"/>
        </w:rPr>
        <w:t>PLAN D’ACTION POLITIQUE POUR UN SYSTÈME DE FILETS SOCIAUX EFFICACE</w:t>
      </w:r>
    </w:p>
    <w:tbl>
      <w:tblPr>
        <w:tblW w:w="4857" w:type="pct"/>
        <w:tblInd w:w="108" w:type="dxa"/>
        <w:tblLayout w:type="fixed"/>
        <w:tblLook w:val="0000"/>
      </w:tblPr>
      <w:tblGrid>
        <w:gridCol w:w="2750"/>
        <w:gridCol w:w="4232"/>
        <w:gridCol w:w="3449"/>
        <w:gridCol w:w="2230"/>
        <w:gridCol w:w="2506"/>
      </w:tblGrid>
      <w:tr w:rsidR="00726DDC" w:rsidRPr="00577EB1" w:rsidTr="003C538C">
        <w:trPr>
          <w:tblHeader/>
        </w:trPr>
        <w:tc>
          <w:tcPr>
            <w:tcW w:w="907" w:type="pct"/>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4B3541" w:rsidRDefault="00726DDC">
            <w:pPr>
              <w:snapToGrid w:val="0"/>
              <w:spacing w:after="0"/>
              <w:jc w:val="center"/>
              <w:rPr>
                <w:rFonts w:cs="Arial"/>
                <w:b/>
                <w:caps/>
                <w:sz w:val="28"/>
                <w:szCs w:val="24"/>
                <w:lang w:val="fr-FR"/>
              </w:rPr>
            </w:pPr>
            <w:r w:rsidRPr="00577EB1">
              <w:rPr>
                <w:b/>
                <w:sz w:val="20"/>
                <w:szCs w:val="24"/>
                <w:lang w:val="fr-FR"/>
              </w:rPr>
              <w:t>Recommandations de politiques</w:t>
            </w:r>
          </w:p>
        </w:tc>
        <w:tc>
          <w:tcPr>
            <w:tcW w:w="2532" w:type="pct"/>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4B3541" w:rsidRDefault="00726DDC">
            <w:pPr>
              <w:snapToGrid w:val="0"/>
              <w:spacing w:after="0"/>
              <w:jc w:val="center"/>
              <w:rPr>
                <w:rFonts w:cs="Arial"/>
                <w:b/>
                <w:caps/>
                <w:sz w:val="20"/>
                <w:szCs w:val="24"/>
                <w:lang w:val="fr-FR"/>
              </w:rPr>
            </w:pPr>
            <w:r w:rsidRPr="00577EB1">
              <w:rPr>
                <w:b/>
                <w:sz w:val="20"/>
                <w:szCs w:val="24"/>
                <w:lang w:val="fr-FR"/>
              </w:rPr>
              <w:t>Actions et calendrier</w:t>
            </w:r>
          </w:p>
        </w:tc>
        <w:tc>
          <w:tcPr>
            <w:tcW w:w="735" w:type="pct"/>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4B3541" w:rsidRDefault="00726DDC">
            <w:pPr>
              <w:snapToGrid w:val="0"/>
              <w:spacing w:after="0"/>
              <w:jc w:val="center"/>
              <w:rPr>
                <w:rFonts w:cs="Arial"/>
                <w:b/>
                <w:caps/>
                <w:sz w:val="28"/>
                <w:szCs w:val="24"/>
                <w:lang w:val="fr-FR"/>
              </w:rPr>
            </w:pPr>
            <w:r w:rsidRPr="00577EB1">
              <w:rPr>
                <w:b/>
                <w:sz w:val="20"/>
                <w:szCs w:val="24"/>
                <w:lang w:val="fr-FR"/>
              </w:rPr>
              <w:t>Acteurs</w:t>
            </w:r>
          </w:p>
        </w:tc>
        <w:tc>
          <w:tcPr>
            <w:tcW w:w="826" w:type="pct"/>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B3541" w:rsidRDefault="00726DDC">
            <w:pPr>
              <w:snapToGrid w:val="0"/>
              <w:spacing w:after="0"/>
              <w:jc w:val="center"/>
              <w:rPr>
                <w:rFonts w:cs="Arial"/>
                <w:b/>
                <w:caps/>
                <w:sz w:val="28"/>
                <w:szCs w:val="24"/>
                <w:lang w:val="fr-FR"/>
              </w:rPr>
            </w:pPr>
            <w:r w:rsidRPr="00577EB1">
              <w:rPr>
                <w:b/>
                <w:sz w:val="20"/>
                <w:szCs w:val="24"/>
                <w:lang w:val="fr-FR"/>
              </w:rPr>
              <w:t>Indicateurs de suivi</w:t>
            </w:r>
          </w:p>
        </w:tc>
      </w:tr>
      <w:tr w:rsidR="00726DDC" w:rsidRPr="00577EB1" w:rsidTr="003C538C">
        <w:trPr>
          <w:tblHeader/>
        </w:trPr>
        <w:tc>
          <w:tcPr>
            <w:tcW w:w="907" w:type="pct"/>
            <w:vMerge/>
            <w:tcBorders>
              <w:top w:val="single" w:sz="4" w:space="0" w:color="000000"/>
              <w:left w:val="single" w:sz="4" w:space="0" w:color="000000"/>
              <w:bottom w:val="single" w:sz="4" w:space="0" w:color="000000"/>
            </w:tcBorders>
          </w:tcPr>
          <w:p w:rsidR="00726DDC" w:rsidRPr="00577EB1" w:rsidRDefault="00726DDC" w:rsidP="002E752D">
            <w:pPr>
              <w:spacing w:before="60" w:after="60"/>
              <w:rPr>
                <w:sz w:val="20"/>
                <w:szCs w:val="24"/>
                <w:lang w:val="fr-FR"/>
              </w:rPr>
            </w:pPr>
          </w:p>
        </w:tc>
        <w:tc>
          <w:tcPr>
            <w:tcW w:w="1395" w:type="pct"/>
            <w:tcBorders>
              <w:top w:val="single" w:sz="4" w:space="0" w:color="000000"/>
              <w:left w:val="single" w:sz="4" w:space="0" w:color="000000"/>
              <w:bottom w:val="single" w:sz="4" w:space="0" w:color="000000"/>
            </w:tcBorders>
            <w:shd w:val="clear" w:color="auto" w:fill="F2F2F2" w:themeFill="background1" w:themeFillShade="F2"/>
          </w:tcPr>
          <w:p w:rsidR="004B3541" w:rsidRDefault="00726DDC">
            <w:pPr>
              <w:snapToGrid w:val="0"/>
              <w:spacing w:after="0"/>
              <w:jc w:val="center"/>
              <w:rPr>
                <w:b/>
                <w:sz w:val="20"/>
                <w:szCs w:val="24"/>
                <w:lang w:val="fr-FR"/>
              </w:rPr>
            </w:pPr>
            <w:r w:rsidRPr="00577EB1">
              <w:rPr>
                <w:b/>
                <w:sz w:val="20"/>
                <w:szCs w:val="24"/>
                <w:lang w:val="fr-FR"/>
              </w:rPr>
              <w:t>2010-2011</w:t>
            </w:r>
          </w:p>
        </w:tc>
        <w:tc>
          <w:tcPr>
            <w:tcW w:w="1137" w:type="pct"/>
            <w:tcBorders>
              <w:top w:val="single" w:sz="4" w:space="0" w:color="000000"/>
              <w:left w:val="single" w:sz="4" w:space="0" w:color="000000"/>
              <w:bottom w:val="single" w:sz="4" w:space="0" w:color="000000"/>
            </w:tcBorders>
            <w:shd w:val="clear" w:color="auto" w:fill="F2F2F2" w:themeFill="background1" w:themeFillShade="F2"/>
          </w:tcPr>
          <w:p w:rsidR="004B3541" w:rsidRDefault="00726DDC">
            <w:pPr>
              <w:snapToGrid w:val="0"/>
              <w:spacing w:after="0"/>
              <w:jc w:val="center"/>
              <w:rPr>
                <w:b/>
                <w:sz w:val="20"/>
                <w:szCs w:val="24"/>
                <w:lang w:val="fr-FR"/>
              </w:rPr>
            </w:pPr>
            <w:r w:rsidRPr="00577EB1">
              <w:rPr>
                <w:b/>
                <w:sz w:val="20"/>
                <w:szCs w:val="24"/>
                <w:lang w:val="fr-FR"/>
              </w:rPr>
              <w:t>2012-2014</w:t>
            </w:r>
          </w:p>
        </w:tc>
        <w:tc>
          <w:tcPr>
            <w:tcW w:w="735" w:type="pct"/>
            <w:vMerge/>
            <w:tcBorders>
              <w:top w:val="single" w:sz="4" w:space="0" w:color="000000"/>
              <w:left w:val="single" w:sz="4" w:space="0" w:color="000000"/>
              <w:bottom w:val="single" w:sz="4" w:space="0" w:color="000000"/>
            </w:tcBorders>
          </w:tcPr>
          <w:p w:rsidR="00726DDC" w:rsidRPr="00577EB1" w:rsidRDefault="00726DDC" w:rsidP="002E752D">
            <w:pPr>
              <w:spacing w:before="60" w:after="60"/>
              <w:rPr>
                <w:sz w:val="20"/>
                <w:szCs w:val="24"/>
                <w:lang w:val="fr-FR"/>
              </w:rPr>
            </w:pPr>
          </w:p>
        </w:tc>
        <w:tc>
          <w:tcPr>
            <w:tcW w:w="826" w:type="pct"/>
            <w:vMerge/>
            <w:tcBorders>
              <w:top w:val="single" w:sz="4" w:space="0" w:color="000000"/>
              <w:left w:val="single" w:sz="4" w:space="0" w:color="000000"/>
              <w:bottom w:val="single" w:sz="4" w:space="0" w:color="000000"/>
              <w:right w:val="single" w:sz="4" w:space="0" w:color="000000"/>
            </w:tcBorders>
          </w:tcPr>
          <w:p w:rsidR="00726DDC" w:rsidRPr="00577EB1" w:rsidRDefault="00726DDC" w:rsidP="002E752D">
            <w:pPr>
              <w:spacing w:before="60" w:after="60"/>
              <w:rPr>
                <w:sz w:val="20"/>
                <w:szCs w:val="24"/>
                <w:lang w:val="fr-FR"/>
              </w:rPr>
            </w:pPr>
          </w:p>
        </w:tc>
      </w:tr>
      <w:tr w:rsidR="00726DDC" w:rsidRPr="000A70E6" w:rsidTr="003C538C">
        <w:tc>
          <w:tcPr>
            <w:tcW w:w="5000" w:type="pct"/>
            <w:gridSpan w:val="5"/>
            <w:tcBorders>
              <w:left w:val="single" w:sz="4" w:space="0" w:color="000000"/>
              <w:bottom w:val="single" w:sz="4" w:space="0" w:color="000000"/>
              <w:right w:val="single" w:sz="4" w:space="0" w:color="000000"/>
            </w:tcBorders>
            <w:vAlign w:val="center"/>
          </w:tcPr>
          <w:p w:rsidR="004B3541" w:rsidRDefault="00726DDC">
            <w:pPr>
              <w:tabs>
                <w:tab w:val="left" w:pos="0"/>
              </w:tabs>
              <w:suppressAutoHyphens/>
              <w:overflowPunct w:val="0"/>
              <w:autoSpaceDE w:val="0"/>
              <w:snapToGrid w:val="0"/>
              <w:spacing w:before="40" w:after="40"/>
              <w:jc w:val="center"/>
              <w:textAlignment w:val="baseline"/>
              <w:rPr>
                <w:szCs w:val="24"/>
                <w:lang w:val="fr-FR"/>
              </w:rPr>
            </w:pPr>
            <w:r w:rsidRPr="00577EB1">
              <w:rPr>
                <w:b/>
                <w:sz w:val="20"/>
                <w:szCs w:val="24"/>
                <w:lang w:val="fr-FR"/>
              </w:rPr>
              <w:t>Objectif politique 1</w:t>
            </w:r>
            <w:r w:rsidR="00313D16">
              <w:rPr>
                <w:b/>
                <w:sz w:val="20"/>
                <w:szCs w:val="24"/>
                <w:lang w:val="fr-FR"/>
              </w:rPr>
              <w:t> :</w:t>
            </w:r>
            <w:r w:rsidR="0007340F">
              <w:rPr>
                <w:b/>
                <w:sz w:val="20"/>
                <w:szCs w:val="24"/>
                <w:lang w:val="fr-FR"/>
              </w:rPr>
              <w:t xml:space="preserve"> </w:t>
            </w:r>
            <w:r w:rsidRPr="00577EB1">
              <w:rPr>
                <w:b/>
                <w:color w:val="000000"/>
                <w:sz w:val="20"/>
                <w:szCs w:val="24"/>
                <w:lang w:val="fr-FR"/>
              </w:rPr>
              <w:t xml:space="preserve">Renforcer le </w:t>
            </w:r>
            <w:r w:rsidR="00965028">
              <w:rPr>
                <w:b/>
                <w:color w:val="000000"/>
                <w:sz w:val="20"/>
                <w:szCs w:val="24"/>
                <w:lang w:val="fr-FR"/>
              </w:rPr>
              <w:t>C</w:t>
            </w:r>
            <w:r w:rsidRPr="00577EB1">
              <w:rPr>
                <w:b/>
                <w:color w:val="000000"/>
                <w:sz w:val="20"/>
                <w:szCs w:val="24"/>
                <w:lang w:val="fr-FR"/>
              </w:rPr>
              <w:t xml:space="preserve">adre </w:t>
            </w:r>
            <w:r w:rsidR="00965028">
              <w:rPr>
                <w:b/>
                <w:color w:val="000000"/>
                <w:sz w:val="20"/>
                <w:szCs w:val="24"/>
                <w:lang w:val="fr-FR"/>
              </w:rPr>
              <w:t>S</w:t>
            </w:r>
            <w:r w:rsidRPr="00577EB1">
              <w:rPr>
                <w:b/>
                <w:color w:val="000000"/>
                <w:sz w:val="20"/>
                <w:szCs w:val="24"/>
                <w:lang w:val="fr-FR"/>
              </w:rPr>
              <w:t xml:space="preserve">tratégique </w:t>
            </w:r>
            <w:r w:rsidR="00313D16">
              <w:rPr>
                <w:b/>
                <w:color w:val="000000"/>
                <w:sz w:val="20"/>
                <w:szCs w:val="24"/>
                <w:lang w:val="fr-FR"/>
              </w:rPr>
              <w:t>pour Concevoir,</w:t>
            </w:r>
            <w:r w:rsidRPr="00577EB1">
              <w:rPr>
                <w:b/>
                <w:color w:val="000000"/>
                <w:sz w:val="20"/>
                <w:szCs w:val="24"/>
                <w:lang w:val="fr-FR"/>
              </w:rPr>
              <w:t xml:space="preserve"> </w:t>
            </w:r>
            <w:r w:rsidR="00965028">
              <w:rPr>
                <w:b/>
                <w:color w:val="000000"/>
                <w:sz w:val="20"/>
                <w:szCs w:val="24"/>
                <w:lang w:val="fr-FR"/>
              </w:rPr>
              <w:t>C</w:t>
            </w:r>
            <w:r w:rsidR="00313D16">
              <w:rPr>
                <w:b/>
                <w:color w:val="000000"/>
                <w:sz w:val="20"/>
                <w:szCs w:val="24"/>
                <w:lang w:val="fr-FR"/>
              </w:rPr>
              <w:t>oordonner</w:t>
            </w:r>
            <w:r w:rsidRPr="00577EB1">
              <w:rPr>
                <w:b/>
                <w:color w:val="000000"/>
                <w:sz w:val="20"/>
                <w:szCs w:val="24"/>
                <w:lang w:val="fr-FR"/>
              </w:rPr>
              <w:t xml:space="preserve">, </w:t>
            </w:r>
            <w:r w:rsidR="00965028">
              <w:rPr>
                <w:b/>
                <w:color w:val="000000"/>
                <w:sz w:val="20"/>
                <w:szCs w:val="24"/>
                <w:lang w:val="fr-FR"/>
              </w:rPr>
              <w:t>Gérer</w:t>
            </w:r>
            <w:r w:rsidRPr="00577EB1">
              <w:rPr>
                <w:b/>
                <w:color w:val="000000"/>
                <w:sz w:val="20"/>
                <w:szCs w:val="24"/>
                <w:lang w:val="fr-FR"/>
              </w:rPr>
              <w:t xml:space="preserve"> et </w:t>
            </w:r>
            <w:r w:rsidR="00965028">
              <w:rPr>
                <w:b/>
                <w:color w:val="000000"/>
                <w:sz w:val="20"/>
                <w:szCs w:val="24"/>
                <w:lang w:val="fr-FR"/>
              </w:rPr>
              <w:t>F</w:t>
            </w:r>
            <w:r w:rsidRPr="00577EB1">
              <w:rPr>
                <w:b/>
                <w:color w:val="000000"/>
                <w:sz w:val="20"/>
                <w:szCs w:val="24"/>
                <w:lang w:val="fr-FR"/>
              </w:rPr>
              <w:t>inance</w:t>
            </w:r>
            <w:r w:rsidR="00965028">
              <w:rPr>
                <w:b/>
                <w:color w:val="000000"/>
                <w:sz w:val="20"/>
                <w:szCs w:val="24"/>
                <w:lang w:val="fr-FR"/>
              </w:rPr>
              <w:t>r</w:t>
            </w:r>
            <w:r w:rsidRPr="00577EB1">
              <w:rPr>
                <w:b/>
                <w:color w:val="000000"/>
                <w:sz w:val="20"/>
                <w:szCs w:val="24"/>
                <w:lang w:val="fr-FR"/>
              </w:rPr>
              <w:t xml:space="preserve"> </w:t>
            </w:r>
            <w:r w:rsidR="00965028">
              <w:rPr>
                <w:b/>
                <w:color w:val="000000"/>
                <w:sz w:val="20"/>
                <w:szCs w:val="24"/>
                <w:lang w:val="fr-FR"/>
              </w:rPr>
              <w:t>le</w:t>
            </w:r>
            <w:r w:rsidRPr="00577EB1">
              <w:rPr>
                <w:b/>
                <w:color w:val="000000"/>
                <w:sz w:val="20"/>
                <w:szCs w:val="24"/>
                <w:lang w:val="fr-FR"/>
              </w:rPr>
              <w:t xml:space="preserve"> </w:t>
            </w:r>
            <w:r w:rsidR="00965028">
              <w:rPr>
                <w:b/>
                <w:color w:val="000000"/>
                <w:sz w:val="20"/>
                <w:szCs w:val="24"/>
                <w:lang w:val="fr-FR"/>
              </w:rPr>
              <w:t>S</w:t>
            </w:r>
            <w:r w:rsidRPr="00577EB1">
              <w:rPr>
                <w:b/>
                <w:color w:val="000000"/>
                <w:sz w:val="20"/>
                <w:szCs w:val="24"/>
                <w:lang w:val="fr-FR"/>
              </w:rPr>
              <w:t xml:space="preserve">ystème </w:t>
            </w:r>
            <w:r w:rsidR="00965028">
              <w:rPr>
                <w:b/>
                <w:color w:val="000000"/>
                <w:sz w:val="20"/>
                <w:szCs w:val="24"/>
                <w:lang w:val="fr-FR"/>
              </w:rPr>
              <w:t>N</w:t>
            </w:r>
            <w:r w:rsidRPr="00577EB1">
              <w:rPr>
                <w:b/>
                <w:color w:val="000000"/>
                <w:sz w:val="20"/>
                <w:szCs w:val="24"/>
                <w:lang w:val="fr-FR"/>
              </w:rPr>
              <w:t xml:space="preserve">ational de </w:t>
            </w:r>
            <w:r w:rsidR="00965028">
              <w:rPr>
                <w:b/>
                <w:color w:val="000000"/>
                <w:sz w:val="20"/>
                <w:szCs w:val="24"/>
                <w:lang w:val="fr-FR"/>
              </w:rPr>
              <w:t>P</w:t>
            </w:r>
            <w:r w:rsidRPr="00577EB1">
              <w:rPr>
                <w:b/>
                <w:color w:val="000000"/>
                <w:sz w:val="20"/>
                <w:szCs w:val="24"/>
                <w:lang w:val="fr-FR"/>
              </w:rPr>
              <w:t xml:space="preserve">rotection </w:t>
            </w:r>
            <w:r w:rsidR="00965028">
              <w:rPr>
                <w:b/>
                <w:color w:val="000000"/>
                <w:sz w:val="20"/>
                <w:szCs w:val="24"/>
                <w:lang w:val="fr-FR"/>
              </w:rPr>
              <w:t>S</w:t>
            </w:r>
            <w:r w:rsidRPr="00577EB1">
              <w:rPr>
                <w:b/>
                <w:color w:val="000000"/>
                <w:sz w:val="20"/>
                <w:szCs w:val="24"/>
                <w:lang w:val="fr-FR"/>
              </w:rPr>
              <w:t xml:space="preserve">ociale, </w:t>
            </w:r>
            <w:r w:rsidR="00965028">
              <w:rPr>
                <w:b/>
                <w:color w:val="000000"/>
                <w:sz w:val="20"/>
                <w:szCs w:val="24"/>
                <w:lang w:val="fr-FR"/>
              </w:rPr>
              <w:t>F</w:t>
            </w:r>
            <w:r w:rsidRPr="00577EB1">
              <w:rPr>
                <w:b/>
                <w:color w:val="000000"/>
                <w:sz w:val="20"/>
                <w:szCs w:val="24"/>
                <w:lang w:val="fr-FR"/>
              </w:rPr>
              <w:t xml:space="preserve">ilets </w:t>
            </w:r>
            <w:r w:rsidR="00965028">
              <w:rPr>
                <w:b/>
                <w:color w:val="000000"/>
                <w:sz w:val="20"/>
                <w:szCs w:val="24"/>
                <w:lang w:val="fr-FR"/>
              </w:rPr>
              <w:t>S</w:t>
            </w:r>
            <w:r w:rsidRPr="00577EB1">
              <w:rPr>
                <w:b/>
                <w:color w:val="000000"/>
                <w:sz w:val="20"/>
                <w:szCs w:val="24"/>
                <w:lang w:val="fr-FR"/>
              </w:rPr>
              <w:t xml:space="preserve">ociaux </w:t>
            </w:r>
            <w:r w:rsidR="00965028">
              <w:rPr>
                <w:b/>
                <w:color w:val="000000"/>
                <w:sz w:val="20"/>
                <w:szCs w:val="24"/>
                <w:lang w:val="fr-FR"/>
              </w:rPr>
              <w:t>C</w:t>
            </w:r>
            <w:r w:rsidRPr="00577EB1">
              <w:rPr>
                <w:b/>
                <w:color w:val="000000"/>
                <w:sz w:val="20"/>
                <w:szCs w:val="24"/>
                <w:lang w:val="fr-FR"/>
              </w:rPr>
              <w:t>ompris</w:t>
            </w:r>
          </w:p>
        </w:tc>
      </w:tr>
      <w:tr w:rsidR="00726DDC" w:rsidRPr="000A70E6" w:rsidTr="003C538C">
        <w:tc>
          <w:tcPr>
            <w:tcW w:w="907" w:type="pct"/>
            <w:tcBorders>
              <w:left w:val="single" w:sz="4" w:space="0" w:color="000000"/>
              <w:bottom w:val="single" w:sz="4" w:space="0" w:color="000000"/>
            </w:tcBorders>
          </w:tcPr>
          <w:p w:rsidR="00726DDC" w:rsidRPr="00577EB1" w:rsidRDefault="00726DDC" w:rsidP="002E752D">
            <w:pPr>
              <w:snapToGrid w:val="0"/>
              <w:spacing w:after="40"/>
              <w:jc w:val="left"/>
              <w:rPr>
                <w:szCs w:val="24"/>
                <w:lang w:val="fr-FR"/>
              </w:rPr>
            </w:pPr>
            <w:r w:rsidRPr="00577EB1">
              <w:rPr>
                <w:color w:val="000000"/>
                <w:sz w:val="20"/>
                <w:szCs w:val="24"/>
                <w:lang w:val="fr-FR"/>
              </w:rPr>
              <w:t>Un cadre national de consultation impliquant divers organismes du secteur social assure l’orientation politique</w:t>
            </w:r>
          </w:p>
        </w:tc>
        <w:tc>
          <w:tcPr>
            <w:tcW w:w="1395" w:type="pct"/>
            <w:tcBorders>
              <w:left w:val="single" w:sz="4" w:space="0" w:color="000000"/>
              <w:bottom w:val="single" w:sz="4" w:space="0" w:color="000000"/>
            </w:tcBorders>
          </w:tcPr>
          <w:p w:rsidR="00726DDC" w:rsidRPr="00577EB1" w:rsidRDefault="00965028" w:rsidP="00E52A30">
            <w:pPr>
              <w:numPr>
                <w:ilvl w:val="0"/>
                <w:numId w:val="19"/>
              </w:numPr>
              <w:tabs>
                <w:tab w:val="clear" w:pos="720"/>
                <w:tab w:val="left" w:pos="162"/>
                <w:tab w:val="num" w:pos="267"/>
                <w:tab w:val="left" w:pos="3060"/>
              </w:tabs>
              <w:spacing w:after="40"/>
              <w:ind w:left="162" w:hanging="162"/>
              <w:jc w:val="left"/>
              <w:rPr>
                <w:sz w:val="20"/>
                <w:szCs w:val="24"/>
                <w:lang w:val="fr-FR"/>
              </w:rPr>
            </w:pPr>
            <w:r>
              <w:rPr>
                <w:sz w:val="20"/>
                <w:szCs w:val="24"/>
                <w:lang w:val="fr-FR"/>
              </w:rPr>
              <w:t>Un</w:t>
            </w:r>
            <w:r w:rsidR="00726DDC" w:rsidRPr="00577EB1">
              <w:rPr>
                <w:sz w:val="20"/>
                <w:szCs w:val="24"/>
                <w:lang w:val="fr-FR"/>
              </w:rPr>
              <w:t xml:space="preserve"> comité interministériel </w:t>
            </w:r>
            <w:r>
              <w:rPr>
                <w:sz w:val="20"/>
                <w:szCs w:val="24"/>
                <w:lang w:val="fr-FR"/>
              </w:rPr>
              <w:t xml:space="preserve">permanent </w:t>
            </w:r>
            <w:r w:rsidR="00726DDC" w:rsidRPr="00577EB1">
              <w:rPr>
                <w:sz w:val="20"/>
                <w:szCs w:val="24"/>
                <w:lang w:val="fr-FR"/>
              </w:rPr>
              <w:t xml:space="preserve">de PS </w:t>
            </w:r>
            <w:r>
              <w:rPr>
                <w:sz w:val="20"/>
                <w:szCs w:val="24"/>
                <w:lang w:val="fr-FR"/>
              </w:rPr>
              <w:t>est créé pour</w:t>
            </w:r>
            <w:r w:rsidR="00726DDC" w:rsidRPr="00577EB1">
              <w:rPr>
                <w:sz w:val="20"/>
                <w:szCs w:val="24"/>
                <w:lang w:val="fr-FR"/>
              </w:rPr>
              <w:t xml:space="preserve"> conce</w:t>
            </w:r>
            <w:r>
              <w:rPr>
                <w:sz w:val="20"/>
                <w:szCs w:val="24"/>
                <w:lang w:val="fr-FR"/>
              </w:rPr>
              <w:t>voir</w:t>
            </w:r>
            <w:r w:rsidR="00726DDC" w:rsidRPr="00577EB1">
              <w:rPr>
                <w:sz w:val="20"/>
                <w:szCs w:val="24"/>
                <w:lang w:val="fr-FR"/>
              </w:rPr>
              <w:t xml:space="preserve"> et suiv</w:t>
            </w:r>
            <w:r>
              <w:rPr>
                <w:sz w:val="20"/>
                <w:szCs w:val="24"/>
                <w:lang w:val="fr-FR"/>
              </w:rPr>
              <w:t>re</w:t>
            </w:r>
            <w:r w:rsidR="00726DDC" w:rsidRPr="00577EB1">
              <w:rPr>
                <w:sz w:val="20"/>
                <w:szCs w:val="24"/>
                <w:lang w:val="fr-FR"/>
              </w:rPr>
              <w:t xml:space="preserve"> la stratégie de PS, y compris les filets sociaux</w:t>
            </w:r>
          </w:p>
          <w:p w:rsidR="00726DDC" w:rsidRPr="00577EB1" w:rsidRDefault="00965028" w:rsidP="00E52A30">
            <w:pPr>
              <w:numPr>
                <w:ilvl w:val="0"/>
                <w:numId w:val="19"/>
              </w:numPr>
              <w:tabs>
                <w:tab w:val="clear" w:pos="720"/>
                <w:tab w:val="left" w:pos="162"/>
                <w:tab w:val="num" w:pos="267"/>
                <w:tab w:val="left" w:pos="3060"/>
              </w:tabs>
              <w:spacing w:after="40"/>
              <w:ind w:left="162" w:hanging="162"/>
              <w:jc w:val="left"/>
              <w:rPr>
                <w:sz w:val="20"/>
                <w:szCs w:val="24"/>
                <w:lang w:val="fr-FR"/>
              </w:rPr>
            </w:pPr>
            <w:r>
              <w:rPr>
                <w:sz w:val="20"/>
                <w:szCs w:val="24"/>
                <w:lang w:val="fr-FR"/>
              </w:rPr>
              <w:t>Un</w:t>
            </w:r>
            <w:r w:rsidR="00726DDC" w:rsidRPr="00577EB1">
              <w:rPr>
                <w:sz w:val="20"/>
                <w:szCs w:val="24"/>
                <w:lang w:val="fr-FR"/>
              </w:rPr>
              <w:t xml:space="preserve"> sous-comité responsable du système d’assurances sociales </w:t>
            </w:r>
            <w:r>
              <w:rPr>
                <w:sz w:val="20"/>
                <w:szCs w:val="24"/>
                <w:lang w:val="fr-FR"/>
              </w:rPr>
              <w:t>est créé pour suivre</w:t>
            </w:r>
            <w:r w:rsidR="00726DDC" w:rsidRPr="00577EB1">
              <w:rPr>
                <w:sz w:val="20"/>
                <w:szCs w:val="24"/>
                <w:lang w:val="fr-FR"/>
              </w:rPr>
              <w:t xml:space="preserve"> </w:t>
            </w:r>
            <w:r>
              <w:rPr>
                <w:sz w:val="20"/>
                <w:szCs w:val="24"/>
                <w:lang w:val="fr-FR"/>
              </w:rPr>
              <w:t>l</w:t>
            </w:r>
            <w:r w:rsidR="00726DDC" w:rsidRPr="00577EB1">
              <w:rPr>
                <w:sz w:val="20"/>
                <w:szCs w:val="24"/>
                <w:lang w:val="fr-FR"/>
              </w:rPr>
              <w:t>es réformes des assurances sociales et du système de pensions</w:t>
            </w:r>
          </w:p>
          <w:p w:rsidR="008C3350" w:rsidRDefault="00965028">
            <w:pPr>
              <w:numPr>
                <w:ilvl w:val="0"/>
                <w:numId w:val="19"/>
              </w:numPr>
              <w:tabs>
                <w:tab w:val="clear" w:pos="720"/>
                <w:tab w:val="left" w:pos="162"/>
                <w:tab w:val="num" w:pos="267"/>
                <w:tab w:val="left" w:pos="3060"/>
              </w:tabs>
              <w:spacing w:after="40"/>
              <w:ind w:left="162" w:hanging="162"/>
              <w:jc w:val="left"/>
              <w:rPr>
                <w:sz w:val="20"/>
                <w:szCs w:val="24"/>
                <w:lang w:val="fr-FR"/>
              </w:rPr>
            </w:pPr>
            <w:r>
              <w:rPr>
                <w:sz w:val="20"/>
                <w:szCs w:val="24"/>
                <w:lang w:val="fr-FR"/>
              </w:rPr>
              <w:t xml:space="preserve">Un </w:t>
            </w:r>
            <w:r w:rsidR="00726DDC" w:rsidRPr="00577EB1">
              <w:rPr>
                <w:sz w:val="20"/>
                <w:szCs w:val="24"/>
                <w:lang w:val="fr-FR"/>
              </w:rPr>
              <w:t xml:space="preserve">sous-comité responsable des filets sociaux </w:t>
            </w:r>
            <w:r>
              <w:rPr>
                <w:sz w:val="20"/>
                <w:szCs w:val="24"/>
                <w:lang w:val="fr-FR"/>
              </w:rPr>
              <w:t>est créé pour</w:t>
            </w:r>
            <w:r w:rsidR="00726DDC" w:rsidRPr="00577EB1">
              <w:rPr>
                <w:sz w:val="20"/>
                <w:szCs w:val="24"/>
                <w:lang w:val="fr-FR"/>
              </w:rPr>
              <w:t xml:space="preserve"> définir le type, le rôle et l’instrument pour répondre aux besoins des personnes pauvres et vulnérables</w:t>
            </w:r>
          </w:p>
        </w:tc>
        <w:tc>
          <w:tcPr>
            <w:tcW w:w="1137" w:type="pct"/>
            <w:tcBorders>
              <w:left w:val="single" w:sz="4" w:space="0" w:color="000000"/>
              <w:bottom w:val="single" w:sz="4" w:space="0" w:color="000000"/>
            </w:tcBorders>
          </w:tcPr>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Les structures chargées de la PS et des filets sociaux sont opérationnelles</w:t>
            </w:r>
          </w:p>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Diffusion de la stratégie nationale de PS, y compris les filets sociaux</w:t>
            </w:r>
          </w:p>
          <w:p w:rsidR="00726DDC" w:rsidRPr="00577EB1" w:rsidRDefault="00726DDC" w:rsidP="002E752D">
            <w:pPr>
              <w:tabs>
                <w:tab w:val="clear" w:pos="709"/>
                <w:tab w:val="left" w:pos="185"/>
                <w:tab w:val="left" w:pos="3060"/>
              </w:tabs>
              <w:spacing w:after="40"/>
              <w:jc w:val="left"/>
              <w:rPr>
                <w:sz w:val="20"/>
                <w:szCs w:val="24"/>
                <w:lang w:val="fr-FR"/>
              </w:rPr>
            </w:pPr>
          </w:p>
        </w:tc>
        <w:tc>
          <w:tcPr>
            <w:tcW w:w="735" w:type="pct"/>
            <w:tcBorders>
              <w:left w:val="single" w:sz="4" w:space="0" w:color="000000"/>
              <w:bottom w:val="single" w:sz="4" w:space="0" w:color="000000"/>
            </w:tcBorders>
          </w:tcPr>
          <w:p w:rsidR="00726DDC" w:rsidRPr="00577EB1" w:rsidRDefault="00726DDC" w:rsidP="00E52A30">
            <w:pPr>
              <w:numPr>
                <w:ilvl w:val="0"/>
                <w:numId w:val="19"/>
              </w:numPr>
              <w:tabs>
                <w:tab w:val="clear" w:pos="720"/>
                <w:tab w:val="left" w:pos="162"/>
                <w:tab w:val="num" w:pos="267"/>
                <w:tab w:val="left" w:pos="3060"/>
              </w:tabs>
              <w:spacing w:after="40"/>
              <w:ind w:left="162" w:hanging="162"/>
              <w:jc w:val="left"/>
              <w:rPr>
                <w:sz w:val="20"/>
                <w:szCs w:val="24"/>
                <w:lang w:val="fr-FR"/>
              </w:rPr>
            </w:pPr>
            <w:r w:rsidRPr="00577EB1">
              <w:rPr>
                <w:sz w:val="20"/>
                <w:szCs w:val="24"/>
                <w:lang w:val="fr-FR"/>
              </w:rPr>
              <w:t>La DGEP dirige le comité interministériel comprenant des représentants des ministères sectoriels, des collectivités décentralisées, de la société civile et des partenaires techniques et financiers (PTF)</w:t>
            </w:r>
          </w:p>
        </w:tc>
        <w:tc>
          <w:tcPr>
            <w:tcW w:w="826" w:type="pct"/>
            <w:tcBorders>
              <w:left w:val="single" w:sz="4" w:space="0" w:color="000000"/>
              <w:bottom w:val="single" w:sz="4" w:space="0" w:color="000000"/>
              <w:right w:val="single" w:sz="4" w:space="0" w:color="000000"/>
            </w:tcBorders>
          </w:tcPr>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Adoption de la stratégie nationale de filets sociaux (2011)</w:t>
            </w:r>
          </w:p>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Adoption de la stratégie nationale de PS (2012)</w:t>
            </w:r>
          </w:p>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Rapports annuels sur les résultats de la PS, y compris les filets sociaux</w:t>
            </w:r>
          </w:p>
          <w:p w:rsidR="00726DDC" w:rsidRPr="00577EB1" w:rsidRDefault="00726DDC" w:rsidP="002E752D">
            <w:pPr>
              <w:tabs>
                <w:tab w:val="clear" w:pos="709"/>
                <w:tab w:val="left" w:pos="185"/>
                <w:tab w:val="left" w:pos="3060"/>
              </w:tabs>
              <w:spacing w:after="40"/>
              <w:jc w:val="left"/>
              <w:rPr>
                <w:sz w:val="20"/>
                <w:szCs w:val="24"/>
                <w:lang w:val="fr-FR"/>
              </w:rPr>
            </w:pPr>
          </w:p>
        </w:tc>
      </w:tr>
      <w:tr w:rsidR="00726DDC" w:rsidRPr="00577EB1" w:rsidTr="003C538C">
        <w:tc>
          <w:tcPr>
            <w:tcW w:w="907" w:type="pct"/>
            <w:tcBorders>
              <w:left w:val="single" w:sz="4" w:space="0" w:color="000000"/>
              <w:bottom w:val="single" w:sz="4" w:space="0" w:color="000000"/>
            </w:tcBorders>
          </w:tcPr>
          <w:p w:rsidR="00726DDC" w:rsidRPr="00577EB1" w:rsidRDefault="00CA7695" w:rsidP="00CA7695">
            <w:pPr>
              <w:snapToGrid w:val="0"/>
              <w:spacing w:after="40"/>
              <w:jc w:val="left"/>
              <w:rPr>
                <w:szCs w:val="24"/>
                <w:lang w:val="fr-FR"/>
              </w:rPr>
            </w:pPr>
            <w:r>
              <w:rPr>
                <w:sz w:val="20"/>
                <w:szCs w:val="24"/>
                <w:lang w:val="fr-FR"/>
              </w:rPr>
              <w:t>Le</w:t>
            </w:r>
            <w:r w:rsidR="00726DDC" w:rsidRPr="00577EB1">
              <w:rPr>
                <w:sz w:val="20"/>
                <w:szCs w:val="24"/>
                <w:lang w:val="fr-FR"/>
              </w:rPr>
              <w:t xml:space="preserve"> cadre institutionnel de la PS et des filets sociaux</w:t>
            </w:r>
            <w:r>
              <w:rPr>
                <w:sz w:val="20"/>
                <w:szCs w:val="24"/>
                <w:lang w:val="fr-FR"/>
              </w:rPr>
              <w:t xml:space="preserve"> est renforcé</w:t>
            </w:r>
          </w:p>
        </w:tc>
        <w:tc>
          <w:tcPr>
            <w:tcW w:w="1395" w:type="pct"/>
            <w:tcBorders>
              <w:left w:val="single" w:sz="4" w:space="0" w:color="000000"/>
              <w:bottom w:val="single" w:sz="4" w:space="0" w:color="000000"/>
            </w:tcBorders>
          </w:tcPr>
          <w:p w:rsidR="00726DDC" w:rsidRPr="00577EB1" w:rsidRDefault="00726DDC" w:rsidP="00E52A30">
            <w:pPr>
              <w:numPr>
                <w:ilvl w:val="0"/>
                <w:numId w:val="19"/>
              </w:numPr>
              <w:tabs>
                <w:tab w:val="clear" w:pos="720"/>
                <w:tab w:val="left" w:pos="162"/>
                <w:tab w:val="num" w:pos="267"/>
                <w:tab w:val="left" w:pos="3060"/>
              </w:tabs>
              <w:spacing w:after="40"/>
              <w:ind w:left="162" w:hanging="162"/>
              <w:jc w:val="left"/>
              <w:rPr>
                <w:sz w:val="20"/>
                <w:szCs w:val="24"/>
                <w:lang w:val="fr-FR"/>
              </w:rPr>
            </w:pPr>
            <w:r w:rsidRPr="00577EB1">
              <w:rPr>
                <w:sz w:val="20"/>
                <w:szCs w:val="24"/>
                <w:lang w:val="fr-FR"/>
              </w:rPr>
              <w:t>Clarification des rôles et responsabilités des différentes institutions nationales impliquées dans les filets sociaux</w:t>
            </w:r>
            <w:r w:rsidR="0007340F">
              <w:rPr>
                <w:sz w:val="20"/>
                <w:szCs w:val="24"/>
                <w:lang w:val="fr-FR"/>
              </w:rPr>
              <w:t xml:space="preserve"> </w:t>
            </w:r>
            <w:r w:rsidRPr="00577EB1">
              <w:rPr>
                <w:sz w:val="20"/>
                <w:szCs w:val="24"/>
                <w:lang w:val="fr-FR"/>
              </w:rPr>
              <w:t>définition des rôles et des dispositions de mise en œuvre adéquates et</w:t>
            </w:r>
          </w:p>
          <w:p w:rsidR="00726DDC" w:rsidRPr="00577EB1" w:rsidRDefault="00726DDC" w:rsidP="00E52A30">
            <w:pPr>
              <w:numPr>
                <w:ilvl w:val="0"/>
                <w:numId w:val="19"/>
              </w:numPr>
              <w:tabs>
                <w:tab w:val="clear" w:pos="720"/>
                <w:tab w:val="left" w:pos="162"/>
                <w:tab w:val="num" w:pos="267"/>
                <w:tab w:val="left" w:pos="3060"/>
              </w:tabs>
              <w:spacing w:after="40"/>
              <w:ind w:left="162" w:hanging="162"/>
              <w:jc w:val="left"/>
              <w:rPr>
                <w:sz w:val="20"/>
                <w:szCs w:val="24"/>
                <w:lang w:val="fr-FR"/>
              </w:rPr>
            </w:pPr>
            <w:r w:rsidRPr="00577EB1">
              <w:rPr>
                <w:sz w:val="20"/>
                <w:szCs w:val="24"/>
                <w:lang w:val="fr-FR"/>
              </w:rPr>
              <w:t>Soutien au renforcement des capacités.</w:t>
            </w:r>
          </w:p>
        </w:tc>
        <w:tc>
          <w:tcPr>
            <w:tcW w:w="1137" w:type="pct"/>
            <w:tcBorders>
              <w:left w:val="single" w:sz="4" w:space="0" w:color="000000"/>
              <w:bottom w:val="single" w:sz="4" w:space="0" w:color="000000"/>
            </w:tcBorders>
          </w:tcPr>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Assurer la coordination entre l’État et les PTF</w:t>
            </w:r>
          </w:p>
        </w:tc>
        <w:tc>
          <w:tcPr>
            <w:tcW w:w="735" w:type="pct"/>
            <w:tcBorders>
              <w:left w:val="single" w:sz="4" w:space="0" w:color="000000"/>
              <w:bottom w:val="single" w:sz="4" w:space="0" w:color="000000"/>
            </w:tcBorders>
          </w:tcPr>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DGEP</w:t>
            </w:r>
            <w:r w:rsidR="0007340F">
              <w:rPr>
                <w:sz w:val="20"/>
                <w:szCs w:val="24"/>
                <w:lang w:val="fr-FR"/>
              </w:rPr>
              <w:t xml:space="preserve"> </w:t>
            </w:r>
            <w:r w:rsidRPr="00577EB1">
              <w:rPr>
                <w:sz w:val="20"/>
                <w:szCs w:val="24"/>
                <w:lang w:val="fr-FR"/>
              </w:rPr>
              <w:t>comité interministériel pour la PS et les filets sociaux</w:t>
            </w:r>
          </w:p>
        </w:tc>
        <w:tc>
          <w:tcPr>
            <w:tcW w:w="826" w:type="pct"/>
            <w:tcBorders>
              <w:left w:val="single" w:sz="4" w:space="0" w:color="000000"/>
              <w:bottom w:val="single" w:sz="4" w:space="0" w:color="000000"/>
              <w:right w:val="single" w:sz="4" w:space="0" w:color="000000"/>
            </w:tcBorders>
          </w:tcPr>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Amélioration des capacités institutionnelles</w:t>
            </w:r>
          </w:p>
        </w:tc>
      </w:tr>
      <w:tr w:rsidR="00726DDC" w:rsidRPr="000A70E6" w:rsidTr="003C538C">
        <w:tc>
          <w:tcPr>
            <w:tcW w:w="907" w:type="pct"/>
            <w:tcBorders>
              <w:top w:val="single" w:sz="4" w:space="0" w:color="000000"/>
              <w:left w:val="single" w:sz="4" w:space="0" w:color="000000"/>
              <w:bottom w:val="single" w:sz="4" w:space="0" w:color="000000"/>
            </w:tcBorders>
          </w:tcPr>
          <w:p w:rsidR="00726DDC" w:rsidRPr="00577EB1" w:rsidRDefault="00CA7695" w:rsidP="00CA7695">
            <w:pPr>
              <w:snapToGrid w:val="0"/>
              <w:spacing w:after="40"/>
              <w:jc w:val="left"/>
              <w:rPr>
                <w:szCs w:val="24"/>
                <w:lang w:val="fr-FR"/>
              </w:rPr>
            </w:pPr>
            <w:r>
              <w:rPr>
                <w:color w:val="000000"/>
                <w:sz w:val="20"/>
                <w:szCs w:val="24"/>
                <w:lang w:val="fr-FR"/>
              </w:rPr>
              <w:t>U</w:t>
            </w:r>
            <w:r w:rsidR="00726DDC" w:rsidRPr="00577EB1">
              <w:rPr>
                <w:color w:val="000000"/>
                <w:sz w:val="20"/>
                <w:szCs w:val="24"/>
                <w:lang w:val="fr-FR"/>
              </w:rPr>
              <w:t xml:space="preserve">n cadre financier </w:t>
            </w:r>
            <w:r>
              <w:rPr>
                <w:color w:val="000000"/>
                <w:sz w:val="20"/>
                <w:szCs w:val="24"/>
                <w:lang w:val="fr-FR"/>
              </w:rPr>
              <w:t>viable</w:t>
            </w:r>
            <w:r w:rsidR="00726DDC" w:rsidRPr="00577EB1">
              <w:rPr>
                <w:color w:val="000000"/>
                <w:sz w:val="20"/>
                <w:szCs w:val="24"/>
                <w:lang w:val="fr-FR"/>
              </w:rPr>
              <w:t xml:space="preserve"> </w:t>
            </w:r>
            <w:r>
              <w:rPr>
                <w:color w:val="000000"/>
                <w:sz w:val="20"/>
                <w:szCs w:val="24"/>
                <w:lang w:val="fr-FR"/>
              </w:rPr>
              <w:t xml:space="preserve">est créé </w:t>
            </w:r>
            <w:r w:rsidR="00726DDC" w:rsidRPr="00577EB1">
              <w:rPr>
                <w:color w:val="000000"/>
                <w:sz w:val="20"/>
                <w:szCs w:val="24"/>
                <w:lang w:val="fr-FR"/>
              </w:rPr>
              <w:t>pour le financement des programmes de PS, y compris les filets sociaux</w:t>
            </w:r>
          </w:p>
        </w:tc>
        <w:tc>
          <w:tcPr>
            <w:tcW w:w="1395" w:type="pct"/>
            <w:tcBorders>
              <w:top w:val="single" w:sz="4" w:space="0" w:color="000000"/>
              <w:left w:val="single" w:sz="4" w:space="0" w:color="000000"/>
              <w:bottom w:val="single" w:sz="4" w:space="0" w:color="000000"/>
            </w:tcBorders>
          </w:tcPr>
          <w:p w:rsidR="00726DDC" w:rsidRPr="00577EB1" w:rsidRDefault="00726DDC" w:rsidP="00E52A30">
            <w:pPr>
              <w:numPr>
                <w:ilvl w:val="0"/>
                <w:numId w:val="19"/>
              </w:numPr>
              <w:tabs>
                <w:tab w:val="clear" w:pos="720"/>
                <w:tab w:val="left" w:pos="162"/>
                <w:tab w:val="num" w:pos="267"/>
                <w:tab w:val="left" w:pos="3060"/>
              </w:tabs>
              <w:spacing w:after="40"/>
              <w:ind w:left="162" w:hanging="162"/>
              <w:jc w:val="left"/>
              <w:rPr>
                <w:sz w:val="20"/>
                <w:szCs w:val="24"/>
                <w:lang w:val="fr-FR"/>
              </w:rPr>
            </w:pPr>
            <w:r w:rsidRPr="00577EB1">
              <w:rPr>
                <w:sz w:val="20"/>
                <w:szCs w:val="24"/>
                <w:lang w:val="fr-FR"/>
              </w:rPr>
              <w:t xml:space="preserve">Mise en place d’un suivi rigoureux des dépenses dans la PS et les filets sociaux publics </w:t>
            </w:r>
          </w:p>
          <w:p w:rsidR="00726DDC" w:rsidRPr="00577EB1" w:rsidRDefault="00726DDC" w:rsidP="00E52A30">
            <w:pPr>
              <w:numPr>
                <w:ilvl w:val="0"/>
                <w:numId w:val="19"/>
              </w:numPr>
              <w:tabs>
                <w:tab w:val="clear" w:pos="720"/>
                <w:tab w:val="left" w:pos="162"/>
                <w:tab w:val="num" w:pos="267"/>
                <w:tab w:val="left" w:pos="3060"/>
              </w:tabs>
              <w:spacing w:after="40"/>
              <w:ind w:left="162" w:hanging="162"/>
              <w:jc w:val="left"/>
              <w:rPr>
                <w:sz w:val="20"/>
                <w:szCs w:val="24"/>
                <w:lang w:val="fr-FR"/>
              </w:rPr>
            </w:pPr>
            <w:r w:rsidRPr="00577EB1">
              <w:rPr>
                <w:sz w:val="20"/>
                <w:szCs w:val="24"/>
                <w:lang w:val="fr-FR"/>
              </w:rPr>
              <w:t>Détermination de l’enveloppe budgétaire nécessaire à un système complet de filets sociaux</w:t>
            </w:r>
          </w:p>
          <w:p w:rsidR="008C3350" w:rsidRDefault="00726DDC">
            <w:pPr>
              <w:numPr>
                <w:ilvl w:val="0"/>
                <w:numId w:val="19"/>
              </w:numPr>
              <w:tabs>
                <w:tab w:val="clear" w:pos="720"/>
                <w:tab w:val="left" w:pos="162"/>
                <w:tab w:val="num" w:pos="267"/>
                <w:tab w:val="left" w:pos="3060"/>
              </w:tabs>
              <w:spacing w:after="40"/>
              <w:ind w:left="162" w:hanging="162"/>
              <w:jc w:val="left"/>
              <w:rPr>
                <w:sz w:val="20"/>
                <w:szCs w:val="24"/>
                <w:lang w:val="fr-FR"/>
              </w:rPr>
            </w:pPr>
            <w:r w:rsidRPr="00577EB1">
              <w:rPr>
                <w:sz w:val="20"/>
                <w:szCs w:val="24"/>
                <w:lang w:val="fr-FR"/>
              </w:rPr>
              <w:t xml:space="preserve">Identification des sources de financement </w:t>
            </w:r>
            <w:r w:rsidR="00CA7695">
              <w:rPr>
                <w:sz w:val="20"/>
                <w:szCs w:val="24"/>
                <w:lang w:val="fr-FR"/>
              </w:rPr>
              <w:t>viable</w:t>
            </w:r>
            <w:r w:rsidRPr="00577EB1">
              <w:rPr>
                <w:sz w:val="20"/>
                <w:szCs w:val="24"/>
                <w:lang w:val="fr-FR"/>
              </w:rPr>
              <w:t xml:space="preserve">s (budget, partenaires au développement, collectivités locales, ONG et secteur privé) </w:t>
            </w:r>
          </w:p>
        </w:tc>
        <w:tc>
          <w:tcPr>
            <w:tcW w:w="1137" w:type="pct"/>
            <w:tcBorders>
              <w:top w:val="single" w:sz="4" w:space="0" w:color="000000"/>
              <w:left w:val="single" w:sz="4" w:space="0" w:color="000000"/>
              <w:bottom w:val="single" w:sz="4" w:space="0" w:color="000000"/>
            </w:tcBorders>
          </w:tcPr>
          <w:p w:rsidR="00726DDC" w:rsidRPr="00577EB1" w:rsidRDefault="00726DDC" w:rsidP="00E52A30">
            <w:pPr>
              <w:numPr>
                <w:ilvl w:val="0"/>
                <w:numId w:val="19"/>
              </w:numPr>
              <w:tabs>
                <w:tab w:val="clear" w:pos="720"/>
                <w:tab w:val="left" w:pos="162"/>
                <w:tab w:val="num" w:pos="267"/>
                <w:tab w:val="left" w:pos="3060"/>
              </w:tabs>
              <w:spacing w:after="40"/>
              <w:ind w:left="162" w:hanging="162"/>
              <w:jc w:val="left"/>
              <w:rPr>
                <w:sz w:val="20"/>
                <w:szCs w:val="24"/>
                <w:lang w:val="fr-FR"/>
              </w:rPr>
            </w:pPr>
            <w:r w:rsidRPr="00577EB1">
              <w:rPr>
                <w:sz w:val="20"/>
                <w:szCs w:val="24"/>
                <w:lang w:val="fr-FR"/>
              </w:rPr>
              <w:t>Budgétisation d’un programme pluriannuel de filets sociaux</w:t>
            </w:r>
          </w:p>
        </w:tc>
        <w:tc>
          <w:tcPr>
            <w:tcW w:w="735" w:type="pct"/>
            <w:tcBorders>
              <w:top w:val="single" w:sz="4" w:space="0" w:color="000000"/>
              <w:left w:val="single" w:sz="4" w:space="0" w:color="000000"/>
              <w:bottom w:val="single" w:sz="4" w:space="0" w:color="000000"/>
            </w:tcBorders>
          </w:tcPr>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MEF/DGEP et ministères sectoriels, PTF</w:t>
            </w:r>
          </w:p>
        </w:tc>
        <w:tc>
          <w:tcPr>
            <w:tcW w:w="826" w:type="pct"/>
            <w:tcBorders>
              <w:top w:val="single" w:sz="4" w:space="0" w:color="000000"/>
              <w:left w:val="single" w:sz="4" w:space="0" w:color="000000"/>
              <w:bottom w:val="single" w:sz="4" w:space="0" w:color="000000"/>
              <w:right w:val="single" w:sz="4" w:space="0" w:color="000000"/>
            </w:tcBorders>
          </w:tcPr>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Système de production de rapport sur les dépenses dans les filets sociaux (budget et financement extérieur compris)</w:t>
            </w:r>
          </w:p>
        </w:tc>
      </w:tr>
      <w:tr w:rsidR="00726DDC" w:rsidRPr="000A70E6" w:rsidTr="003C538C">
        <w:trPr>
          <w:cantSplit/>
        </w:trPr>
        <w:tc>
          <w:tcPr>
            <w:tcW w:w="907" w:type="pct"/>
            <w:tcBorders>
              <w:left w:val="single" w:sz="4" w:space="0" w:color="000000"/>
              <w:bottom w:val="single" w:sz="4" w:space="0" w:color="000000"/>
            </w:tcBorders>
          </w:tcPr>
          <w:p w:rsidR="00726DDC" w:rsidRPr="00577EB1" w:rsidRDefault="00726DDC" w:rsidP="00CA7695">
            <w:pPr>
              <w:snapToGrid w:val="0"/>
              <w:spacing w:after="40"/>
              <w:jc w:val="left"/>
              <w:rPr>
                <w:szCs w:val="24"/>
                <w:lang w:val="fr-FR"/>
              </w:rPr>
            </w:pPr>
            <w:r w:rsidRPr="00577EB1">
              <w:rPr>
                <w:sz w:val="20"/>
                <w:szCs w:val="24"/>
                <w:lang w:val="fr-FR"/>
              </w:rPr>
              <w:t xml:space="preserve">Un système robuste de suivi-évaluation est en place pour </w:t>
            </w:r>
            <w:r w:rsidR="00CA7695">
              <w:rPr>
                <w:sz w:val="20"/>
                <w:szCs w:val="24"/>
                <w:lang w:val="fr-FR"/>
              </w:rPr>
              <w:t>informer</w:t>
            </w:r>
            <w:r w:rsidRPr="00577EB1">
              <w:rPr>
                <w:sz w:val="20"/>
                <w:szCs w:val="24"/>
                <w:lang w:val="fr-FR"/>
              </w:rPr>
              <w:t xml:space="preserve"> la prise de décisions politiques </w:t>
            </w:r>
          </w:p>
        </w:tc>
        <w:tc>
          <w:tcPr>
            <w:tcW w:w="1395" w:type="pct"/>
            <w:tcBorders>
              <w:left w:val="single" w:sz="4" w:space="0" w:color="000000"/>
              <w:bottom w:val="single" w:sz="4" w:space="0" w:color="000000"/>
            </w:tcBorders>
          </w:tcPr>
          <w:p w:rsidR="00726DDC" w:rsidRPr="00577EB1" w:rsidRDefault="00726DDC" w:rsidP="00E52A30">
            <w:pPr>
              <w:numPr>
                <w:ilvl w:val="0"/>
                <w:numId w:val="19"/>
              </w:numPr>
              <w:tabs>
                <w:tab w:val="clear" w:pos="720"/>
                <w:tab w:val="left" w:pos="162"/>
                <w:tab w:val="num" w:pos="267"/>
                <w:tab w:val="left" w:pos="3060"/>
              </w:tabs>
              <w:spacing w:after="40"/>
              <w:ind w:left="162" w:hanging="162"/>
              <w:jc w:val="left"/>
              <w:rPr>
                <w:sz w:val="20"/>
                <w:szCs w:val="24"/>
                <w:lang w:val="fr-FR"/>
              </w:rPr>
            </w:pPr>
            <w:r w:rsidRPr="00577EB1">
              <w:rPr>
                <w:sz w:val="20"/>
                <w:szCs w:val="24"/>
                <w:lang w:val="fr-FR"/>
              </w:rPr>
              <w:t>Investir dans le suivi et évaluation des programmes pour évaluer la rentabilité des filets sociaux.</w:t>
            </w:r>
          </w:p>
          <w:p w:rsidR="00726DDC" w:rsidRPr="00577EB1" w:rsidRDefault="00726DDC" w:rsidP="00E52A30">
            <w:pPr>
              <w:numPr>
                <w:ilvl w:val="0"/>
                <w:numId w:val="26"/>
              </w:numPr>
              <w:tabs>
                <w:tab w:val="clear" w:pos="709"/>
                <w:tab w:val="left" w:pos="162"/>
                <w:tab w:val="num" w:pos="447"/>
                <w:tab w:val="left" w:pos="3060"/>
              </w:tabs>
              <w:spacing w:after="40"/>
              <w:ind w:left="162" w:hanging="162"/>
              <w:jc w:val="left"/>
              <w:rPr>
                <w:sz w:val="20"/>
                <w:szCs w:val="24"/>
                <w:lang w:val="fr-FR"/>
              </w:rPr>
            </w:pPr>
            <w:r w:rsidRPr="00577EB1">
              <w:rPr>
                <w:sz w:val="20"/>
                <w:szCs w:val="24"/>
                <w:lang w:val="fr-FR"/>
              </w:rPr>
              <w:t>Définir des exigences minimales pour la production de rapports sur les filets sociaux</w:t>
            </w:r>
          </w:p>
          <w:p w:rsidR="00726DDC" w:rsidRPr="00577EB1" w:rsidRDefault="00726DDC" w:rsidP="00E52A30">
            <w:pPr>
              <w:numPr>
                <w:ilvl w:val="0"/>
                <w:numId w:val="26"/>
              </w:numPr>
              <w:tabs>
                <w:tab w:val="clear" w:pos="709"/>
                <w:tab w:val="left" w:pos="162"/>
                <w:tab w:val="num" w:pos="447"/>
                <w:tab w:val="left" w:pos="3060"/>
              </w:tabs>
              <w:spacing w:after="40"/>
              <w:ind w:left="162" w:hanging="162"/>
              <w:jc w:val="left"/>
              <w:rPr>
                <w:sz w:val="20"/>
                <w:szCs w:val="24"/>
                <w:lang w:val="fr-FR"/>
              </w:rPr>
            </w:pPr>
            <w:r w:rsidRPr="00577EB1">
              <w:rPr>
                <w:sz w:val="20"/>
                <w:szCs w:val="24"/>
                <w:lang w:val="fr-FR"/>
              </w:rPr>
              <w:t>Entamer la mise en œuvre</w:t>
            </w:r>
            <w:r w:rsidR="0007340F">
              <w:rPr>
                <w:sz w:val="20"/>
                <w:szCs w:val="24"/>
                <w:lang w:val="fr-FR"/>
              </w:rPr>
              <w:t xml:space="preserve"> </w:t>
            </w:r>
            <w:r w:rsidRPr="00577EB1">
              <w:rPr>
                <w:sz w:val="20"/>
                <w:szCs w:val="24"/>
                <w:lang w:val="fr-FR"/>
              </w:rPr>
              <w:t>du suivi systématique des filets sociaux</w:t>
            </w:r>
          </w:p>
          <w:p w:rsidR="004B3541" w:rsidRDefault="00726DDC">
            <w:pPr>
              <w:numPr>
                <w:ilvl w:val="0"/>
                <w:numId w:val="26"/>
              </w:numPr>
              <w:tabs>
                <w:tab w:val="clear" w:pos="709"/>
                <w:tab w:val="left" w:pos="162"/>
                <w:tab w:val="num" w:pos="447"/>
                <w:tab w:val="left" w:pos="3060"/>
              </w:tabs>
              <w:spacing w:after="0"/>
              <w:ind w:left="164" w:hanging="164"/>
              <w:jc w:val="left"/>
              <w:rPr>
                <w:sz w:val="20"/>
                <w:szCs w:val="24"/>
                <w:lang w:val="fr-FR"/>
              </w:rPr>
            </w:pPr>
            <w:r w:rsidRPr="00577EB1">
              <w:rPr>
                <w:sz w:val="20"/>
                <w:szCs w:val="24"/>
                <w:lang w:val="fr-FR"/>
              </w:rPr>
              <w:t>Impliquer la société civile dans le suivi et l’évaluation</w:t>
            </w:r>
          </w:p>
        </w:tc>
        <w:tc>
          <w:tcPr>
            <w:tcW w:w="1137" w:type="pct"/>
            <w:tcBorders>
              <w:left w:val="single" w:sz="4" w:space="0" w:color="000000"/>
              <w:bottom w:val="single" w:sz="4" w:space="0" w:color="000000"/>
            </w:tcBorders>
          </w:tcPr>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 xml:space="preserve">Transmettre des rapports annuels d’évaluation des programmes aux ministères sectoriels responsables de la PS et des filets sociaux </w:t>
            </w:r>
          </w:p>
          <w:p w:rsidR="00726DDC" w:rsidRPr="00577EB1" w:rsidRDefault="00726DDC" w:rsidP="00E52A30">
            <w:pPr>
              <w:widowControl w:val="0"/>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Renforcer les capacités de suivi et évaluation des ministères sectoriels (formation, échanges d’expérience entre les programmes)</w:t>
            </w:r>
          </w:p>
        </w:tc>
        <w:tc>
          <w:tcPr>
            <w:tcW w:w="735" w:type="pct"/>
            <w:tcBorders>
              <w:left w:val="single" w:sz="4" w:space="0" w:color="000000"/>
              <w:bottom w:val="single" w:sz="4" w:space="0" w:color="000000"/>
            </w:tcBorders>
          </w:tcPr>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MEF/ministères sectoriels et organismes, PTF</w:t>
            </w:r>
          </w:p>
        </w:tc>
        <w:tc>
          <w:tcPr>
            <w:tcW w:w="826" w:type="pct"/>
            <w:tcBorders>
              <w:left w:val="single" w:sz="4" w:space="0" w:color="000000"/>
              <w:bottom w:val="single" w:sz="4" w:space="0" w:color="000000"/>
              <w:right w:val="single" w:sz="4" w:space="0" w:color="000000"/>
            </w:tcBorders>
          </w:tcPr>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 xml:space="preserve">Rapport annuel sur le suivi de chaque programme </w:t>
            </w:r>
            <w:r w:rsidR="00CA7695">
              <w:rPr>
                <w:sz w:val="20"/>
                <w:szCs w:val="24"/>
                <w:lang w:val="fr-FR"/>
              </w:rPr>
              <w:t xml:space="preserve">de </w:t>
            </w:r>
            <w:r w:rsidRPr="00577EB1">
              <w:rPr>
                <w:sz w:val="20"/>
                <w:szCs w:val="24"/>
                <w:lang w:val="fr-FR"/>
              </w:rPr>
              <w:t>filets sociaux</w:t>
            </w:r>
          </w:p>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Évaluation de l’impact des programmes les plus importants</w:t>
            </w:r>
          </w:p>
        </w:tc>
      </w:tr>
      <w:tr w:rsidR="00726DDC" w:rsidRPr="000A70E6" w:rsidTr="003C538C">
        <w:tc>
          <w:tcPr>
            <w:tcW w:w="5000" w:type="pct"/>
            <w:gridSpan w:val="5"/>
            <w:tcBorders>
              <w:left w:val="single" w:sz="4" w:space="0" w:color="000000"/>
              <w:bottom w:val="single" w:sz="4" w:space="0" w:color="000000"/>
              <w:right w:val="single" w:sz="4" w:space="0" w:color="000000"/>
            </w:tcBorders>
            <w:vAlign w:val="center"/>
          </w:tcPr>
          <w:p w:rsidR="004B3541" w:rsidRDefault="00726DDC">
            <w:pPr>
              <w:tabs>
                <w:tab w:val="left" w:pos="0"/>
              </w:tabs>
              <w:suppressAutoHyphens/>
              <w:overflowPunct w:val="0"/>
              <w:autoSpaceDE w:val="0"/>
              <w:snapToGrid w:val="0"/>
              <w:spacing w:before="40" w:after="40"/>
              <w:jc w:val="center"/>
              <w:textAlignment w:val="baseline"/>
              <w:rPr>
                <w:b/>
                <w:sz w:val="20"/>
                <w:szCs w:val="24"/>
                <w:lang w:val="fr-FR"/>
              </w:rPr>
            </w:pPr>
            <w:r w:rsidRPr="00577EB1">
              <w:rPr>
                <w:b/>
                <w:sz w:val="20"/>
                <w:szCs w:val="24"/>
                <w:lang w:val="fr-FR"/>
              </w:rPr>
              <w:lastRenderedPageBreak/>
              <w:t>Objectif politique 2</w:t>
            </w:r>
            <w:r w:rsidR="00CA7695">
              <w:rPr>
                <w:b/>
                <w:sz w:val="20"/>
                <w:szCs w:val="24"/>
                <w:lang w:val="fr-FR"/>
              </w:rPr>
              <w:t> :</w:t>
            </w:r>
            <w:r w:rsidR="0007340F">
              <w:rPr>
                <w:b/>
                <w:sz w:val="20"/>
                <w:szCs w:val="24"/>
                <w:lang w:val="fr-FR"/>
              </w:rPr>
              <w:t xml:space="preserve"> </w:t>
            </w:r>
            <w:r w:rsidRPr="00577EB1">
              <w:rPr>
                <w:b/>
                <w:sz w:val="20"/>
                <w:szCs w:val="24"/>
                <w:lang w:val="fr-FR"/>
              </w:rPr>
              <w:t xml:space="preserve">Soutenir la </w:t>
            </w:r>
            <w:r w:rsidR="00CA7695">
              <w:rPr>
                <w:b/>
                <w:sz w:val="20"/>
                <w:szCs w:val="24"/>
                <w:lang w:val="fr-FR"/>
              </w:rPr>
              <w:t>C</w:t>
            </w:r>
            <w:r w:rsidRPr="00577EB1">
              <w:rPr>
                <w:b/>
                <w:sz w:val="20"/>
                <w:szCs w:val="24"/>
                <w:lang w:val="fr-FR"/>
              </w:rPr>
              <w:t xml:space="preserve">onsommation des </w:t>
            </w:r>
            <w:r w:rsidR="00CA7695">
              <w:rPr>
                <w:b/>
                <w:sz w:val="20"/>
                <w:szCs w:val="24"/>
                <w:lang w:val="fr-FR"/>
              </w:rPr>
              <w:t>P</w:t>
            </w:r>
            <w:r w:rsidRPr="00577EB1">
              <w:rPr>
                <w:b/>
                <w:sz w:val="20"/>
                <w:szCs w:val="24"/>
                <w:lang w:val="fr-FR"/>
              </w:rPr>
              <w:t xml:space="preserve">ersonnes </w:t>
            </w:r>
            <w:r w:rsidR="00CA7695">
              <w:rPr>
                <w:b/>
                <w:sz w:val="20"/>
                <w:szCs w:val="24"/>
                <w:lang w:val="fr-FR"/>
              </w:rPr>
              <w:t>P</w:t>
            </w:r>
            <w:r w:rsidRPr="00577EB1">
              <w:rPr>
                <w:b/>
                <w:sz w:val="20"/>
                <w:szCs w:val="24"/>
                <w:lang w:val="fr-FR"/>
              </w:rPr>
              <w:t xml:space="preserve">auvres et </w:t>
            </w:r>
            <w:r w:rsidR="00CA7695">
              <w:rPr>
                <w:b/>
                <w:sz w:val="20"/>
                <w:szCs w:val="24"/>
                <w:lang w:val="fr-FR"/>
              </w:rPr>
              <w:t>V</w:t>
            </w:r>
            <w:r w:rsidRPr="00577EB1">
              <w:rPr>
                <w:b/>
                <w:sz w:val="20"/>
                <w:szCs w:val="24"/>
                <w:lang w:val="fr-FR"/>
              </w:rPr>
              <w:t xml:space="preserve">ulnérables et </w:t>
            </w:r>
            <w:r w:rsidR="00CA7695">
              <w:rPr>
                <w:b/>
                <w:sz w:val="20"/>
                <w:szCs w:val="24"/>
                <w:lang w:val="fr-FR"/>
              </w:rPr>
              <w:t>E</w:t>
            </w:r>
            <w:r w:rsidRPr="00577EB1">
              <w:rPr>
                <w:b/>
                <w:sz w:val="20"/>
                <w:szCs w:val="24"/>
                <w:lang w:val="fr-FR"/>
              </w:rPr>
              <w:t xml:space="preserve">tendre </w:t>
            </w:r>
            <w:r w:rsidR="00CA7695">
              <w:rPr>
                <w:b/>
                <w:sz w:val="20"/>
                <w:szCs w:val="24"/>
                <w:lang w:val="fr-FR"/>
              </w:rPr>
              <w:t>L</w:t>
            </w:r>
            <w:r w:rsidRPr="00577EB1">
              <w:rPr>
                <w:b/>
                <w:sz w:val="20"/>
                <w:szCs w:val="24"/>
                <w:lang w:val="fr-FR"/>
              </w:rPr>
              <w:t xml:space="preserve">eur </w:t>
            </w:r>
            <w:r w:rsidR="00CA7695">
              <w:rPr>
                <w:b/>
                <w:sz w:val="20"/>
                <w:szCs w:val="24"/>
                <w:lang w:val="fr-FR"/>
              </w:rPr>
              <w:t>A</w:t>
            </w:r>
            <w:r w:rsidRPr="00577EB1">
              <w:rPr>
                <w:b/>
                <w:sz w:val="20"/>
                <w:szCs w:val="24"/>
                <w:lang w:val="fr-FR"/>
              </w:rPr>
              <w:t xml:space="preserve">ccès aux </w:t>
            </w:r>
            <w:r w:rsidR="00CA7695">
              <w:rPr>
                <w:b/>
                <w:sz w:val="20"/>
                <w:szCs w:val="24"/>
                <w:lang w:val="fr-FR"/>
              </w:rPr>
              <w:t>S</w:t>
            </w:r>
            <w:r w:rsidRPr="00577EB1">
              <w:rPr>
                <w:b/>
                <w:sz w:val="20"/>
                <w:szCs w:val="24"/>
                <w:lang w:val="fr-FR"/>
              </w:rPr>
              <w:t xml:space="preserve">ervices </w:t>
            </w:r>
            <w:r w:rsidR="00CA7695">
              <w:rPr>
                <w:b/>
                <w:sz w:val="20"/>
                <w:szCs w:val="24"/>
                <w:lang w:val="fr-FR"/>
              </w:rPr>
              <w:t>S</w:t>
            </w:r>
            <w:r w:rsidRPr="00577EB1">
              <w:rPr>
                <w:b/>
                <w:sz w:val="20"/>
                <w:szCs w:val="24"/>
                <w:lang w:val="fr-FR"/>
              </w:rPr>
              <w:t xml:space="preserve">ociaux de </w:t>
            </w:r>
            <w:r w:rsidR="00CA7695">
              <w:rPr>
                <w:b/>
                <w:sz w:val="20"/>
                <w:szCs w:val="24"/>
                <w:lang w:val="fr-FR"/>
              </w:rPr>
              <w:t>B</w:t>
            </w:r>
            <w:r w:rsidRPr="00577EB1">
              <w:rPr>
                <w:b/>
                <w:sz w:val="20"/>
                <w:szCs w:val="24"/>
                <w:lang w:val="fr-FR"/>
              </w:rPr>
              <w:t xml:space="preserve">ase à travers un </w:t>
            </w:r>
            <w:r w:rsidR="00CA7695">
              <w:rPr>
                <w:b/>
                <w:sz w:val="20"/>
                <w:szCs w:val="24"/>
                <w:lang w:val="fr-FR"/>
              </w:rPr>
              <w:t>S</w:t>
            </w:r>
            <w:r w:rsidRPr="00577EB1">
              <w:rPr>
                <w:b/>
                <w:sz w:val="20"/>
                <w:szCs w:val="24"/>
                <w:lang w:val="fr-FR"/>
              </w:rPr>
              <w:t xml:space="preserve">ystème </w:t>
            </w:r>
            <w:r w:rsidR="00CA7695">
              <w:rPr>
                <w:b/>
                <w:sz w:val="20"/>
                <w:szCs w:val="24"/>
                <w:lang w:val="fr-FR"/>
              </w:rPr>
              <w:t>E</w:t>
            </w:r>
            <w:r w:rsidRPr="00577EB1">
              <w:rPr>
                <w:b/>
                <w:sz w:val="20"/>
                <w:szCs w:val="24"/>
                <w:lang w:val="fr-FR"/>
              </w:rPr>
              <w:t xml:space="preserve">fficace de </w:t>
            </w:r>
            <w:r w:rsidR="00CA7695">
              <w:rPr>
                <w:b/>
                <w:sz w:val="20"/>
                <w:szCs w:val="24"/>
                <w:lang w:val="fr-FR"/>
              </w:rPr>
              <w:t>F</w:t>
            </w:r>
            <w:r w:rsidRPr="00577EB1">
              <w:rPr>
                <w:b/>
                <w:sz w:val="20"/>
                <w:szCs w:val="24"/>
                <w:lang w:val="fr-FR"/>
              </w:rPr>
              <w:t xml:space="preserve">ilets </w:t>
            </w:r>
            <w:r w:rsidR="00CA7695">
              <w:rPr>
                <w:b/>
                <w:sz w:val="20"/>
                <w:szCs w:val="24"/>
                <w:lang w:val="fr-FR"/>
              </w:rPr>
              <w:t>S</w:t>
            </w:r>
            <w:r w:rsidRPr="00577EB1">
              <w:rPr>
                <w:b/>
                <w:sz w:val="20"/>
                <w:szCs w:val="24"/>
                <w:lang w:val="fr-FR"/>
              </w:rPr>
              <w:t>ociaux</w:t>
            </w:r>
          </w:p>
        </w:tc>
      </w:tr>
      <w:tr w:rsidR="00726DDC" w:rsidRPr="000A70E6" w:rsidTr="003C538C">
        <w:tc>
          <w:tcPr>
            <w:tcW w:w="907" w:type="pct"/>
            <w:tcBorders>
              <w:left w:val="single" w:sz="4" w:space="0" w:color="000000"/>
              <w:bottom w:val="single" w:sz="4" w:space="0" w:color="000000"/>
            </w:tcBorders>
          </w:tcPr>
          <w:p w:rsidR="004B3541" w:rsidRDefault="00726DDC">
            <w:pPr>
              <w:overflowPunct w:val="0"/>
              <w:autoSpaceDE w:val="0"/>
              <w:snapToGrid w:val="0"/>
              <w:spacing w:after="40"/>
              <w:jc w:val="left"/>
              <w:textAlignment w:val="baseline"/>
              <w:rPr>
                <w:i/>
                <w:sz w:val="20"/>
                <w:szCs w:val="24"/>
                <w:lang w:val="fr-FR"/>
              </w:rPr>
            </w:pPr>
            <w:r w:rsidRPr="00577EB1">
              <w:rPr>
                <w:sz w:val="20"/>
                <w:szCs w:val="24"/>
                <w:lang w:val="fr-FR"/>
              </w:rPr>
              <w:t>L’efficacité des filets sociaux actuels est renforcée et la portée des programmes efficaces est augmentée</w:t>
            </w:r>
          </w:p>
        </w:tc>
        <w:tc>
          <w:tcPr>
            <w:tcW w:w="1395" w:type="pct"/>
            <w:tcBorders>
              <w:left w:val="single" w:sz="4" w:space="0" w:color="000000"/>
              <w:bottom w:val="single" w:sz="4" w:space="0" w:color="000000"/>
            </w:tcBorders>
          </w:tcPr>
          <w:p w:rsidR="00726DDC" w:rsidRPr="00577EB1" w:rsidRDefault="00726DDC" w:rsidP="00E52A30">
            <w:pPr>
              <w:numPr>
                <w:ilvl w:val="0"/>
                <w:numId w:val="19"/>
              </w:numPr>
              <w:tabs>
                <w:tab w:val="clear" w:pos="720"/>
                <w:tab w:val="left" w:pos="162"/>
                <w:tab w:val="num" w:pos="267"/>
                <w:tab w:val="left" w:pos="3060"/>
              </w:tabs>
              <w:spacing w:after="40"/>
              <w:ind w:left="162" w:hanging="162"/>
              <w:jc w:val="left"/>
              <w:rPr>
                <w:sz w:val="20"/>
                <w:szCs w:val="24"/>
                <w:lang w:val="fr-FR"/>
              </w:rPr>
            </w:pPr>
            <w:r w:rsidRPr="00577EB1">
              <w:rPr>
                <w:sz w:val="20"/>
                <w:szCs w:val="24"/>
                <w:lang w:val="fr-FR"/>
              </w:rPr>
              <w:t>Définir des groupes prioritaires de bénéficiaires des filets sociaux sur la base des résultats de l’enquête de 2010 sur le budget des ménages</w:t>
            </w:r>
          </w:p>
          <w:p w:rsidR="00726DDC" w:rsidRPr="00577EB1" w:rsidRDefault="00726DDC" w:rsidP="00E52A30">
            <w:pPr>
              <w:numPr>
                <w:ilvl w:val="0"/>
                <w:numId w:val="19"/>
              </w:numPr>
              <w:tabs>
                <w:tab w:val="clear" w:pos="720"/>
                <w:tab w:val="left" w:pos="162"/>
                <w:tab w:val="num" w:pos="267"/>
                <w:tab w:val="left" w:pos="3060"/>
              </w:tabs>
              <w:spacing w:after="40"/>
              <w:ind w:left="162" w:hanging="162"/>
              <w:jc w:val="left"/>
              <w:rPr>
                <w:sz w:val="20"/>
                <w:szCs w:val="24"/>
                <w:lang w:val="fr-FR"/>
              </w:rPr>
            </w:pPr>
            <w:r w:rsidRPr="00577EB1">
              <w:rPr>
                <w:sz w:val="20"/>
                <w:szCs w:val="24"/>
                <w:lang w:val="fr-FR"/>
              </w:rPr>
              <w:t xml:space="preserve">Définir des instruments prioritaires pour répondre aux besoins des groupes prioritaires </w:t>
            </w:r>
          </w:p>
          <w:p w:rsidR="00726DDC" w:rsidRPr="00577EB1" w:rsidRDefault="00726DDC" w:rsidP="00E52A30">
            <w:pPr>
              <w:numPr>
                <w:ilvl w:val="0"/>
                <w:numId w:val="19"/>
              </w:numPr>
              <w:tabs>
                <w:tab w:val="clear" w:pos="720"/>
                <w:tab w:val="left" w:pos="162"/>
                <w:tab w:val="num" w:pos="267"/>
                <w:tab w:val="left" w:pos="3060"/>
              </w:tabs>
              <w:spacing w:after="40"/>
              <w:ind w:left="162" w:hanging="162"/>
              <w:jc w:val="left"/>
              <w:rPr>
                <w:sz w:val="20"/>
                <w:szCs w:val="24"/>
                <w:lang w:val="fr-FR"/>
              </w:rPr>
            </w:pPr>
            <w:r w:rsidRPr="00577EB1">
              <w:rPr>
                <w:sz w:val="20"/>
                <w:szCs w:val="24"/>
                <w:lang w:val="fr-FR"/>
              </w:rPr>
              <w:t>Mettre au point un système de ciblage pour les populations en état de pauvreté chronique (insécurité alimentaire)</w:t>
            </w:r>
          </w:p>
          <w:p w:rsidR="00726DDC" w:rsidRPr="00577EB1" w:rsidRDefault="00726DDC" w:rsidP="00E52A30">
            <w:pPr>
              <w:pStyle w:val="ListParagraph"/>
              <w:numPr>
                <w:ilvl w:val="0"/>
                <w:numId w:val="19"/>
              </w:numPr>
              <w:tabs>
                <w:tab w:val="clear" w:pos="720"/>
                <w:tab w:val="left" w:pos="162"/>
                <w:tab w:val="num" w:pos="267"/>
                <w:tab w:val="left" w:pos="3060"/>
              </w:tabs>
              <w:spacing w:after="40"/>
              <w:ind w:left="162" w:hanging="162"/>
              <w:jc w:val="left"/>
              <w:rPr>
                <w:sz w:val="20"/>
                <w:szCs w:val="24"/>
                <w:lang w:val="fr-FR"/>
              </w:rPr>
            </w:pPr>
            <w:r w:rsidRPr="00577EB1">
              <w:rPr>
                <w:sz w:val="20"/>
                <w:szCs w:val="24"/>
                <w:lang w:val="fr-FR"/>
              </w:rPr>
              <w:t>Préparer une analyse de faisabilité pour l’extension des transferts monétaires, sur la base d’expériences récentes (transferts monétaires et coupons d’alimentation)</w:t>
            </w:r>
          </w:p>
          <w:p w:rsidR="00726DDC" w:rsidRPr="00577EB1" w:rsidRDefault="00726DDC" w:rsidP="00E52A30">
            <w:pPr>
              <w:numPr>
                <w:ilvl w:val="0"/>
                <w:numId w:val="19"/>
              </w:numPr>
              <w:tabs>
                <w:tab w:val="clear" w:pos="720"/>
                <w:tab w:val="left" w:pos="162"/>
                <w:tab w:val="num" w:pos="267"/>
                <w:tab w:val="left" w:pos="3060"/>
              </w:tabs>
              <w:spacing w:after="40"/>
              <w:ind w:left="162" w:hanging="162"/>
              <w:jc w:val="left"/>
              <w:rPr>
                <w:sz w:val="20"/>
                <w:szCs w:val="24"/>
                <w:lang w:val="fr-FR"/>
              </w:rPr>
            </w:pPr>
            <w:r w:rsidRPr="00577EB1">
              <w:rPr>
                <w:sz w:val="20"/>
                <w:szCs w:val="24"/>
                <w:lang w:val="fr-FR"/>
              </w:rPr>
              <w:t>Préparer une analyse de faisabilité pour l’introduction de travaux publics ciblant les pauvres et fondés sur les expériences en cours</w:t>
            </w:r>
          </w:p>
          <w:p w:rsidR="00726DDC" w:rsidRPr="00577EB1" w:rsidRDefault="00726DDC" w:rsidP="00E52A30">
            <w:pPr>
              <w:pStyle w:val="ListParagraph"/>
              <w:numPr>
                <w:ilvl w:val="0"/>
                <w:numId w:val="19"/>
              </w:numPr>
              <w:tabs>
                <w:tab w:val="clear" w:pos="720"/>
                <w:tab w:val="left" w:pos="162"/>
                <w:tab w:val="num" w:pos="267"/>
                <w:tab w:val="left" w:pos="3060"/>
              </w:tabs>
              <w:spacing w:after="40"/>
              <w:ind w:left="162" w:hanging="162"/>
              <w:jc w:val="left"/>
              <w:rPr>
                <w:sz w:val="20"/>
                <w:szCs w:val="24"/>
                <w:lang w:val="fr-FR"/>
              </w:rPr>
            </w:pPr>
            <w:r w:rsidRPr="00577EB1">
              <w:rPr>
                <w:sz w:val="20"/>
                <w:szCs w:val="24"/>
                <w:lang w:val="fr-FR"/>
              </w:rPr>
              <w:t>Examiner la rentabilité des ventes d’aliments à des prix subventionnés et des distributions de vivres ciblées</w:t>
            </w:r>
          </w:p>
          <w:p w:rsidR="004B3541" w:rsidRDefault="00726DDC">
            <w:pPr>
              <w:pStyle w:val="ListParagraph"/>
              <w:numPr>
                <w:ilvl w:val="0"/>
                <w:numId w:val="19"/>
              </w:numPr>
              <w:tabs>
                <w:tab w:val="clear" w:pos="720"/>
                <w:tab w:val="left" w:pos="162"/>
                <w:tab w:val="num" w:pos="267"/>
                <w:tab w:val="left" w:pos="3060"/>
              </w:tabs>
              <w:spacing w:after="0"/>
              <w:ind w:left="164" w:hanging="164"/>
              <w:jc w:val="left"/>
              <w:rPr>
                <w:sz w:val="20"/>
                <w:szCs w:val="24"/>
                <w:lang w:val="fr-FR"/>
              </w:rPr>
            </w:pPr>
            <w:r w:rsidRPr="00577EB1">
              <w:rPr>
                <w:sz w:val="20"/>
                <w:szCs w:val="24"/>
                <w:lang w:val="fr-FR"/>
              </w:rPr>
              <w:t>Examiner les mécanismes de renforcement et d’extension des programmes de nutrition</w:t>
            </w:r>
          </w:p>
        </w:tc>
        <w:tc>
          <w:tcPr>
            <w:tcW w:w="1137" w:type="pct"/>
            <w:tcBorders>
              <w:left w:val="single" w:sz="4" w:space="0" w:color="000000"/>
              <w:bottom w:val="single" w:sz="4" w:space="0" w:color="000000"/>
            </w:tcBorders>
          </w:tcPr>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Mettre au point des outils de ciblage efficaces pour rediriger vers les pauvres le flux des ressources</w:t>
            </w:r>
          </w:p>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Rechercher des mécanismes de ciblage géographique pour les cantines scolaires afin d’assurer que celles-ci aient bien pour bénéficiaires les enfants pauvres</w:t>
            </w:r>
          </w:p>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Examiner la faisabilité des exemptions des frais de santé et de l’abolition du paiement par l’usager pour les pauvres dans le contexte des réformes du financement des services de santé</w:t>
            </w:r>
          </w:p>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Tester les programmes pilote (transferts en espèces et travaux publics) et en assurer le suivi-évaluation</w:t>
            </w:r>
          </w:p>
        </w:tc>
        <w:tc>
          <w:tcPr>
            <w:tcW w:w="735" w:type="pct"/>
            <w:tcBorders>
              <w:left w:val="single" w:sz="4" w:space="0" w:color="000000"/>
              <w:bottom w:val="single" w:sz="4" w:space="0" w:color="000000"/>
            </w:tcBorders>
          </w:tcPr>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Sous-comité responsable des filets sociaux (préparer les TOR pour l’évaluation des programmes)</w:t>
            </w:r>
          </w:p>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Ministères techniques mettant en œuvre les programmes</w:t>
            </w:r>
          </w:p>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PTF</w:t>
            </w:r>
          </w:p>
        </w:tc>
        <w:tc>
          <w:tcPr>
            <w:tcW w:w="826" w:type="pct"/>
            <w:tcBorders>
              <w:left w:val="single" w:sz="4" w:space="0" w:color="000000"/>
              <w:bottom w:val="single" w:sz="4" w:space="0" w:color="000000"/>
              <w:right w:val="single" w:sz="4" w:space="0" w:color="000000"/>
            </w:tcBorders>
          </w:tcPr>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Rapports d’évaluation</w:t>
            </w:r>
            <w:r w:rsidR="002015E5">
              <w:rPr>
                <w:sz w:val="20"/>
                <w:szCs w:val="24"/>
                <w:lang w:val="fr-FR"/>
              </w:rPr>
              <w:t xml:space="preserve"> ex-ante</w:t>
            </w:r>
          </w:p>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Critères de ciblage</w:t>
            </w:r>
          </w:p>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Indicateurs pour le suivi</w:t>
            </w:r>
          </w:p>
          <w:p w:rsidR="00726DDC" w:rsidRPr="00577EB1" w:rsidRDefault="00726DDC" w:rsidP="00E52A30">
            <w:pPr>
              <w:numPr>
                <w:ilvl w:val="0"/>
                <w:numId w:val="19"/>
              </w:numPr>
              <w:tabs>
                <w:tab w:val="clear" w:pos="720"/>
                <w:tab w:val="left" w:pos="185"/>
                <w:tab w:val="num" w:pos="267"/>
                <w:tab w:val="left" w:pos="3060"/>
              </w:tabs>
              <w:spacing w:after="40"/>
              <w:ind w:left="162" w:hanging="162"/>
              <w:jc w:val="left"/>
              <w:rPr>
                <w:sz w:val="20"/>
                <w:szCs w:val="24"/>
                <w:lang w:val="fr-FR"/>
              </w:rPr>
            </w:pPr>
            <w:r w:rsidRPr="00577EB1">
              <w:rPr>
                <w:sz w:val="20"/>
                <w:szCs w:val="24"/>
                <w:lang w:val="fr-FR"/>
              </w:rPr>
              <w:t>Rapport d’évaluation des résultats des programmes pilotes</w:t>
            </w:r>
          </w:p>
        </w:tc>
      </w:tr>
    </w:tbl>
    <w:p w:rsidR="00726DDC" w:rsidRPr="00577EB1" w:rsidRDefault="00726DDC" w:rsidP="00726DDC">
      <w:pPr>
        <w:spacing w:after="60"/>
        <w:jc w:val="center"/>
        <w:rPr>
          <w:szCs w:val="24"/>
          <w:lang w:val="fr-FR"/>
        </w:rPr>
        <w:sectPr w:rsidR="00726DDC" w:rsidRPr="00577EB1" w:rsidSect="003C538C">
          <w:pgSz w:w="16838" w:h="11906" w:orient="landscape" w:code="9"/>
          <w:pgMar w:top="720" w:right="720" w:bottom="720" w:left="720" w:header="709" w:footer="709" w:gutter="0"/>
          <w:pgNumType w:fmt="lowerRoman" w:start="0"/>
          <w:cols w:space="708"/>
          <w:docGrid w:linePitch="360"/>
        </w:sectPr>
      </w:pPr>
    </w:p>
    <w:p w:rsidR="0065207E" w:rsidRPr="00577EB1" w:rsidRDefault="0050199E" w:rsidP="00EA4C09">
      <w:pPr>
        <w:pStyle w:val="Heading1"/>
      </w:pPr>
      <w:bookmarkStart w:id="3" w:name="_Toc264748719"/>
      <w:r w:rsidRPr="00577EB1">
        <w:lastRenderedPageBreak/>
        <w:t>CHAPITRE I</w:t>
      </w:r>
      <w:r w:rsidR="002015E5">
        <w:t> :</w:t>
      </w:r>
      <w:r w:rsidR="0007340F">
        <w:t xml:space="preserve"> </w:t>
      </w:r>
      <w:r w:rsidR="0065207E" w:rsidRPr="00577EB1">
        <w:t>INTRODUCTION</w:t>
      </w:r>
      <w:bookmarkEnd w:id="2"/>
      <w:bookmarkEnd w:id="3"/>
    </w:p>
    <w:p w:rsidR="0065207E" w:rsidRPr="00577EB1" w:rsidRDefault="005D73AD" w:rsidP="00E52A30">
      <w:pPr>
        <w:numPr>
          <w:ilvl w:val="0"/>
          <w:numId w:val="2"/>
        </w:numPr>
        <w:ind w:left="0" w:firstLine="0"/>
        <w:rPr>
          <w:rStyle w:val="longtext"/>
          <w:lang w:val="fr-FR"/>
        </w:rPr>
      </w:pPr>
      <w:r w:rsidRPr="00577EB1">
        <w:rPr>
          <w:rStyle w:val="longtext"/>
          <w:shd w:val="clear" w:color="auto" w:fill="FFFFFF"/>
          <w:lang w:val="fr-FR"/>
        </w:rPr>
        <w:t xml:space="preserve">Ce chapitre </w:t>
      </w:r>
      <w:r w:rsidR="0065207E" w:rsidRPr="00577EB1">
        <w:rPr>
          <w:rStyle w:val="longtext"/>
          <w:shd w:val="clear" w:color="auto" w:fill="FFFFFF"/>
          <w:lang w:val="fr-FR"/>
        </w:rPr>
        <w:t>présente le contexte, les raisons e</w:t>
      </w:r>
      <w:r w:rsidRPr="00577EB1">
        <w:rPr>
          <w:rStyle w:val="longtext"/>
          <w:shd w:val="clear" w:color="auto" w:fill="FFFFFF"/>
          <w:lang w:val="fr-FR"/>
        </w:rPr>
        <w:t xml:space="preserve">t les objectifs de l’étude, </w:t>
      </w:r>
      <w:r w:rsidR="0065207E" w:rsidRPr="00577EB1">
        <w:rPr>
          <w:rStyle w:val="longtext"/>
          <w:shd w:val="clear" w:color="auto" w:fill="FFFFFF"/>
          <w:lang w:val="fr-FR"/>
        </w:rPr>
        <w:t>clarifie la définition de « </w:t>
      </w:r>
      <w:r w:rsidR="0065207E" w:rsidRPr="00577EB1">
        <w:rPr>
          <w:rStyle w:val="longtext"/>
          <w:i/>
          <w:shd w:val="clear" w:color="auto" w:fill="FFFFFF"/>
          <w:lang w:val="fr-FR"/>
        </w:rPr>
        <w:t xml:space="preserve">filet social » </w:t>
      </w:r>
      <w:r w:rsidR="0065207E" w:rsidRPr="00577EB1">
        <w:rPr>
          <w:rStyle w:val="longtext"/>
          <w:shd w:val="clear" w:color="auto" w:fill="FFFFFF"/>
          <w:lang w:val="fr-FR"/>
        </w:rPr>
        <w:t xml:space="preserve">utilisée dans le cadre </w:t>
      </w:r>
      <w:r w:rsidRPr="00577EB1">
        <w:rPr>
          <w:rStyle w:val="longtext"/>
          <w:shd w:val="clear" w:color="auto" w:fill="FFFFFF"/>
          <w:lang w:val="fr-FR"/>
        </w:rPr>
        <w:t xml:space="preserve">de la présente analyse, et </w:t>
      </w:r>
      <w:r w:rsidR="0065207E" w:rsidRPr="00577EB1">
        <w:rPr>
          <w:rStyle w:val="longtext"/>
          <w:shd w:val="clear" w:color="auto" w:fill="FFFFFF"/>
          <w:lang w:val="fr-FR"/>
        </w:rPr>
        <w:t xml:space="preserve">expose la méthodologie et l’organisation du rapport. </w:t>
      </w:r>
    </w:p>
    <w:p w:rsidR="0065207E" w:rsidRPr="00577EB1" w:rsidRDefault="0065207E" w:rsidP="00A54EB6">
      <w:pPr>
        <w:pStyle w:val="Heading2"/>
      </w:pPr>
      <w:bookmarkStart w:id="4" w:name="_Toc264748720"/>
      <w:bookmarkStart w:id="5" w:name="_Toc261967399"/>
      <w:bookmarkStart w:id="6" w:name="_Toc262169621"/>
      <w:r w:rsidRPr="00577EB1">
        <w:t>Justification et objectifs</w:t>
      </w:r>
      <w:bookmarkEnd w:id="4"/>
      <w:r w:rsidRPr="00577EB1">
        <w:t xml:space="preserve"> </w:t>
      </w:r>
      <w:bookmarkEnd w:id="5"/>
      <w:bookmarkEnd w:id="6"/>
    </w:p>
    <w:p w:rsidR="0065207E" w:rsidRPr="00577EB1" w:rsidRDefault="0065207E" w:rsidP="00E52A30">
      <w:pPr>
        <w:numPr>
          <w:ilvl w:val="0"/>
          <w:numId w:val="2"/>
        </w:numPr>
        <w:ind w:left="0" w:firstLine="0"/>
        <w:rPr>
          <w:rStyle w:val="longtext"/>
          <w:lang w:val="fr-FR"/>
        </w:rPr>
      </w:pPr>
      <w:r w:rsidRPr="00577EB1">
        <w:rPr>
          <w:b/>
          <w:lang w:val="fr-FR"/>
        </w:rPr>
        <w:t>Le Burkina Faso souffre d’extrême pauvreté et de conditions de vie difficiles</w:t>
      </w:r>
      <w:r w:rsidRPr="00577EB1">
        <w:rPr>
          <w:lang w:val="fr-FR"/>
        </w:rPr>
        <w:t xml:space="preserve">. </w:t>
      </w:r>
      <w:r w:rsidRPr="00577EB1">
        <w:rPr>
          <w:rStyle w:val="longtext"/>
          <w:shd w:val="clear" w:color="auto" w:fill="FFFFFF"/>
          <w:lang w:val="fr-FR"/>
        </w:rPr>
        <w:t>Le pays est enclavé et pauvre, avec des ressources naturelles réduites et une population à croissance rapide de 15,8 millions d’habitants (mi-2009)</w:t>
      </w:r>
      <w:r w:rsidRPr="00577EB1">
        <w:rPr>
          <w:rStyle w:val="FootnoteReference"/>
          <w:lang w:val="fr-FR"/>
        </w:rPr>
        <w:footnoteReference w:id="1"/>
      </w:r>
      <w:r w:rsidRPr="00577EB1">
        <w:rPr>
          <w:rStyle w:val="longtext"/>
          <w:shd w:val="clear" w:color="auto" w:fill="FFFFFF"/>
          <w:lang w:val="fr-FR"/>
        </w:rPr>
        <w:t>. Malgré des réformes structurelles et des politiques macroéconomiques saines, l’économie reste très vulnérable aux chocs (climatiques et exogènes, y compris les termes de l’échange du coton ainsi que la hausse des prix alimentaires et pétroliers). L’économie est essentiellement agricole: les revenus de plus de 80 % de la population active proviennent de l’agriculture et le secteur représente plus de 40 % du produit intérieur brut (PIB). Le pays est classé parmi les derniers au monde (177</w:t>
      </w:r>
      <w:r w:rsidRPr="00577EB1">
        <w:rPr>
          <w:rStyle w:val="longtext"/>
          <w:shd w:val="clear" w:color="auto" w:fill="FFFFFF"/>
          <w:vertAlign w:val="superscript"/>
          <w:lang w:val="fr-FR"/>
        </w:rPr>
        <w:t>e</w:t>
      </w:r>
      <w:r w:rsidRPr="00577EB1">
        <w:rPr>
          <w:rStyle w:val="longtext"/>
          <w:shd w:val="clear" w:color="auto" w:fill="FFFFFF"/>
          <w:lang w:val="fr-FR"/>
        </w:rPr>
        <w:t xml:space="preserve"> sur 182 pays en 2009) selon l’indice de développement humain (IDH) du Programme des Nations Unies pour le développement (PNUD). En 2008, le revenu par habitant était de 480 dollars EU (méthode Atlas) et près de 40 % de la population vivaient en dessous du seuil de pauvreté. Comme dans d’autres pays, la pauvreté est surtout répandue dans les zones rurales qui abritent plus de 90 % des pauvres. </w:t>
      </w:r>
    </w:p>
    <w:p w:rsidR="0065207E" w:rsidRPr="00577EB1" w:rsidRDefault="0065207E" w:rsidP="00E52A30">
      <w:pPr>
        <w:numPr>
          <w:ilvl w:val="0"/>
          <w:numId w:val="2"/>
        </w:numPr>
        <w:tabs>
          <w:tab w:val="num" w:pos="709"/>
        </w:tabs>
        <w:ind w:left="0" w:firstLine="0"/>
        <w:rPr>
          <w:rStyle w:val="longtext"/>
          <w:lang w:val="fr-FR"/>
        </w:rPr>
      </w:pPr>
      <w:r w:rsidRPr="00577EB1">
        <w:rPr>
          <w:b/>
          <w:lang w:val="fr-FR"/>
        </w:rPr>
        <w:t xml:space="preserve">Malgré les efforts de l’État pour améliorer le niveau de vie général, l’inégalité d’accès aux services sociaux, le taux de croissance démographique élevé de 3,1 %, l’extrême pauvreté et la forte vulnérabilité à une grande variété de crises continuent d’affliger la population burkinabé. </w:t>
      </w:r>
      <w:r w:rsidRPr="00577EB1">
        <w:rPr>
          <w:rStyle w:val="longtext"/>
          <w:lang w:val="fr-FR"/>
        </w:rPr>
        <w:t>La croissance démographique rapide a compromis l’investissement dans le capital humain et a d’énormes conséquences pour l’économie et la sécurité alimentaire. Il ressort de la Stratégie d’aide-pays (CAS), que le Burkina Faso est peu susceptible d’atteindre plusieurs des objectifs du Millénaire pour le développement (OMD) d’ici 2015, tels que la réduction de moitié de la proportion de personnes vivant avec un revenu inférieur à 1,25 dollars EU par jour, l’enseignement primaire pour tous les enfants et l’élimination des</w:t>
      </w:r>
      <w:r w:rsidRPr="00577EB1">
        <w:rPr>
          <w:rStyle w:val="longtext"/>
          <w:shd w:val="clear" w:color="auto" w:fill="FFFFFF"/>
          <w:lang w:val="fr-FR"/>
        </w:rPr>
        <w:t xml:space="preserve"> inégalités filles-garçons dans l’enseignement primaire et secondaire. En ce qui concerne </w:t>
      </w:r>
      <w:r w:rsidRPr="00577EB1">
        <w:rPr>
          <w:rStyle w:val="longtext"/>
          <w:lang w:val="fr-FR"/>
        </w:rPr>
        <w:t xml:space="preserve">l’éducation, le taux d’alphabétisation des adultes n’était que de 28,7 % en 2007, et la qualité de l’enseignement est restée faible. </w:t>
      </w:r>
      <w:r w:rsidRPr="00577EB1">
        <w:rPr>
          <w:rStyle w:val="longtext"/>
          <w:shd w:val="clear" w:color="auto" w:fill="FFFFFF"/>
          <w:lang w:val="fr-FR"/>
        </w:rPr>
        <w:t>Les résultats en matière de santé pour les enfants et les femmes n’ont enregistré aucune amélioration</w:t>
      </w:r>
      <w:r w:rsidR="0007340F">
        <w:rPr>
          <w:rStyle w:val="longtext"/>
          <w:shd w:val="clear" w:color="auto" w:fill="FFFFFF"/>
          <w:lang w:val="fr-FR"/>
        </w:rPr>
        <w:t xml:space="preserve"> </w:t>
      </w:r>
      <w:r w:rsidRPr="00577EB1">
        <w:rPr>
          <w:rStyle w:val="longtext"/>
          <w:shd w:val="clear" w:color="auto" w:fill="FFFFFF"/>
          <w:lang w:val="fr-FR"/>
        </w:rPr>
        <w:t xml:space="preserve">seules 41 % des naissances ont été suivies par un personnel médical qualifié et le taux de mortalité maternelle était très élevé, avec 700 décès pour 100 000 naissances, tandis que la mortalité infantile était de l’ordre de 100 </w:t>
      </w:r>
      <w:r w:rsidRPr="00577EB1">
        <w:rPr>
          <w:rStyle w:val="longtext"/>
          <w:lang w:val="fr-FR"/>
        </w:rPr>
        <w:t xml:space="preserve">pour 1 000 naissances entre 2000 et 2008. Des progrès ont cependant </w:t>
      </w:r>
      <w:r w:rsidRPr="00577EB1">
        <w:rPr>
          <w:rStyle w:val="longtext"/>
          <w:shd w:val="clear" w:color="auto" w:fill="FFFFFF"/>
          <w:lang w:val="fr-FR"/>
        </w:rPr>
        <w:t xml:space="preserve">été réalisés dans d’autres domaines, notamment ceux liés à la prévalence du VIH et à la durabilité de l’environnement. Étant donné la détérioration des conditions économiques, la disponibilité des ressources publiques pour les services de base et les progrès en direction des OMD peuvent relever du défi. Comme </w:t>
      </w:r>
      <w:r w:rsidRPr="00577EB1">
        <w:rPr>
          <w:rStyle w:val="longtext"/>
          <w:lang w:val="fr-FR"/>
        </w:rPr>
        <w:t xml:space="preserve">la plupart des autres pays d’Afrique subsaharienne, le Burkina Faso est confronté à de fortes variations saisonnières de la pluviométrie ainsi qu’aux prix (termes de l’échange) et chocs sur la production associés qui affectent durement la consommation des pauvres (leur bien-être). Au Burkina, les pauvres sont également plus exposés aux chocs sanitaires. Les deux chocs covariants induits par la fluctuation des conditions météorologiques et de l’environnement macro et extérieur, ainsi que les risques idiosyncrasiques liés notamment à la santé rendent </w:t>
      </w:r>
      <w:r w:rsidRPr="00577EB1">
        <w:rPr>
          <w:rStyle w:val="longtext"/>
          <w:lang w:val="fr-FR"/>
        </w:rPr>
        <w:lastRenderedPageBreak/>
        <w:t xml:space="preserve">la plupart des personnes pauvres et quasi-pauvres vulnérables aux graves déficits de consommation. </w:t>
      </w:r>
    </w:p>
    <w:p w:rsidR="0065207E" w:rsidRPr="00577EB1" w:rsidRDefault="0065207E" w:rsidP="00E52A30">
      <w:pPr>
        <w:numPr>
          <w:ilvl w:val="0"/>
          <w:numId w:val="2"/>
        </w:numPr>
        <w:tabs>
          <w:tab w:val="num" w:pos="709"/>
        </w:tabs>
        <w:ind w:left="0" w:firstLine="0"/>
        <w:rPr>
          <w:rStyle w:val="longtext"/>
          <w:lang w:val="fr-FR"/>
        </w:rPr>
      </w:pPr>
      <w:r w:rsidRPr="00577EB1">
        <w:rPr>
          <w:b/>
          <w:lang w:val="fr-FR"/>
        </w:rPr>
        <w:t>Dans ce contexte, les programmes de filets sociaux de sécurité (FSS) sont particulièrement importants</w:t>
      </w:r>
      <w:r w:rsidRPr="00577EB1">
        <w:rPr>
          <w:lang w:val="fr-FR"/>
        </w:rPr>
        <w:t xml:space="preserve">. </w:t>
      </w:r>
      <w:r w:rsidRPr="00577EB1">
        <w:rPr>
          <w:rStyle w:val="longtext"/>
          <w:lang w:val="fr-FR"/>
        </w:rPr>
        <w:t xml:space="preserve">Le degré de vulnérabilité de la population a augmenté la demande de mesures de protection sociale. Une étude précédente de la Banque mondiale a passé en revue les programmes existants de gestion des risques et de filets sociaux financés par des fonds publics au Burkina Faso [Banque mondiale, 2004]. </w:t>
      </w:r>
      <w:r w:rsidRPr="00577EB1">
        <w:rPr>
          <w:rStyle w:val="longtext"/>
          <w:shd w:val="clear" w:color="auto" w:fill="FFFFFF"/>
          <w:lang w:val="fr-FR"/>
        </w:rPr>
        <w:t>Ce travail d’analyse a essentiellement porté sur les programmes de santé, d’éducation, de sécurité alimentaire, de marché du travail, et d’assistance sociale en faveur des femmes et des enfants. Les principaux constats sont les suivants</w:t>
      </w:r>
      <w:r w:rsidR="0007340F">
        <w:rPr>
          <w:rStyle w:val="longtext"/>
          <w:shd w:val="clear" w:color="auto" w:fill="FFFFFF"/>
          <w:lang w:val="fr-FR"/>
        </w:rPr>
        <w:t xml:space="preserve"> </w:t>
      </w:r>
      <w:r w:rsidRPr="00577EB1">
        <w:rPr>
          <w:rStyle w:val="longtext"/>
          <w:shd w:val="clear" w:color="auto" w:fill="FFFFFF"/>
          <w:lang w:val="fr-FR"/>
        </w:rPr>
        <w:t>i) les programmes sont gérés par plusieurs ministères (par exemple</w:t>
      </w:r>
      <w:r w:rsidR="0007340F">
        <w:rPr>
          <w:rStyle w:val="longtext"/>
          <w:shd w:val="clear" w:color="auto" w:fill="FFFFFF"/>
          <w:lang w:val="fr-FR"/>
        </w:rPr>
        <w:t xml:space="preserve"> </w:t>
      </w:r>
      <w:r w:rsidRPr="00577EB1">
        <w:rPr>
          <w:rStyle w:val="longtext"/>
          <w:shd w:val="clear" w:color="auto" w:fill="FFFFFF"/>
          <w:lang w:val="fr-FR"/>
        </w:rPr>
        <w:t>santé, éducation, affaires sociales, agriculture, femmes et enfants, etc.)</w:t>
      </w:r>
      <w:r w:rsidR="0007340F">
        <w:rPr>
          <w:rStyle w:val="longtext"/>
          <w:shd w:val="clear" w:color="auto" w:fill="FFFFFF"/>
          <w:lang w:val="fr-FR"/>
        </w:rPr>
        <w:t xml:space="preserve"> </w:t>
      </w:r>
      <w:r w:rsidRPr="00577EB1">
        <w:rPr>
          <w:rStyle w:val="longtext"/>
          <w:shd w:val="clear" w:color="auto" w:fill="FFFFFF"/>
          <w:lang w:val="fr-FR"/>
        </w:rPr>
        <w:t>ii) les programmes sont soit universels ou spécifiques à certains groupes vulnérables (les femmes, les enfants, les personnes handicapées, les rapatriés, etc.), et sont fortement tributaires de financements extérieurs</w:t>
      </w:r>
      <w:r w:rsidR="0007340F">
        <w:rPr>
          <w:rStyle w:val="longtext"/>
          <w:shd w:val="clear" w:color="auto" w:fill="FFFFFF"/>
          <w:lang w:val="fr-FR"/>
        </w:rPr>
        <w:t xml:space="preserve"> </w:t>
      </w:r>
      <w:r w:rsidRPr="00577EB1">
        <w:rPr>
          <w:rStyle w:val="longtext"/>
          <w:shd w:val="clear" w:color="auto" w:fill="FFFFFF"/>
          <w:lang w:val="fr-FR"/>
        </w:rPr>
        <w:t>iii) la plupart des programmes ont une couverture limitée, surtout à cause de l’inadéquation du financement, de l’absence de structures institutionnelles pour la mise en œuvre des programmes, et du manque de coordination entre les différents ministères</w:t>
      </w:r>
      <w:r w:rsidR="0007340F">
        <w:rPr>
          <w:rStyle w:val="longtext"/>
          <w:shd w:val="clear" w:color="auto" w:fill="FFFFFF"/>
          <w:lang w:val="fr-FR"/>
        </w:rPr>
        <w:t xml:space="preserve"> </w:t>
      </w:r>
      <w:r w:rsidRPr="00577EB1">
        <w:rPr>
          <w:rStyle w:val="longtext"/>
          <w:shd w:val="clear" w:color="auto" w:fill="FFFFFF"/>
          <w:lang w:val="fr-FR"/>
        </w:rPr>
        <w:t xml:space="preserve">et iv) une évaluation plus approfondie des programmes existants s’impose pour mieux comprendre le rôle des programmes de filets sociaux existants et, surtout, pour analyser le fonctionnement de certains programmes. </w:t>
      </w:r>
    </w:p>
    <w:p w:rsidR="0065207E" w:rsidRPr="00577EB1" w:rsidRDefault="0065207E" w:rsidP="00E52A30">
      <w:pPr>
        <w:numPr>
          <w:ilvl w:val="0"/>
          <w:numId w:val="2"/>
        </w:numPr>
        <w:tabs>
          <w:tab w:val="num" w:pos="709"/>
        </w:tabs>
        <w:ind w:left="0" w:firstLine="0"/>
        <w:rPr>
          <w:rStyle w:val="longtext"/>
          <w:lang w:val="fr-FR"/>
        </w:rPr>
      </w:pPr>
      <w:r w:rsidRPr="00577EB1">
        <w:rPr>
          <w:rStyle w:val="StyleMainParawithChapterBold1Char"/>
          <w:rFonts w:eastAsia="Calibri"/>
          <w:b/>
          <w:lang w:val="fr-FR"/>
        </w:rPr>
        <w:t xml:space="preserve">Le Gouvernement a demandé l’appui technique de la Banque mondiale afin d’améliorer l’efficacité des programmes de filets sociaux en faveur des populations les plus vulnérables. </w:t>
      </w:r>
      <w:r w:rsidRPr="00577EB1">
        <w:rPr>
          <w:rStyle w:val="longtext"/>
          <w:lang w:val="fr-FR"/>
        </w:rPr>
        <w:t>Dans ce contexte, le présent rapport vise à</w:t>
      </w:r>
      <w:r w:rsidR="0007340F">
        <w:rPr>
          <w:rStyle w:val="longtext"/>
          <w:lang w:val="fr-FR"/>
        </w:rPr>
        <w:t xml:space="preserve"> </w:t>
      </w:r>
      <w:r w:rsidRPr="00577EB1">
        <w:rPr>
          <w:rStyle w:val="longtext"/>
          <w:lang w:val="fr-FR"/>
        </w:rPr>
        <w:t>i) établir un inventaire détaillé et actualisé du système actuel de filets sociaux– en analysant leurs coûts, les mécanismes de financement, la couverture et l’efficacité chaque fois que les données sont disponibles</w:t>
      </w:r>
      <w:r w:rsidR="0007340F">
        <w:rPr>
          <w:rStyle w:val="longtext"/>
          <w:lang w:val="fr-FR"/>
        </w:rPr>
        <w:t xml:space="preserve"> </w:t>
      </w:r>
      <w:r w:rsidRPr="00577EB1">
        <w:rPr>
          <w:rStyle w:val="longtext"/>
          <w:lang w:val="fr-FR"/>
        </w:rPr>
        <w:t xml:space="preserve">ii) identifier les insuffisances de l’actuel </w:t>
      </w:r>
      <w:r w:rsidRPr="00577EB1">
        <w:rPr>
          <w:rStyle w:val="longtext"/>
          <w:shd w:val="clear" w:color="auto" w:fill="FFFFFF"/>
          <w:lang w:val="fr-FR"/>
        </w:rPr>
        <w:t>système de filets sociaux</w:t>
      </w:r>
      <w:r w:rsidR="0007340F">
        <w:rPr>
          <w:rStyle w:val="longtext"/>
          <w:shd w:val="clear" w:color="auto" w:fill="FFFFFF"/>
          <w:lang w:val="fr-FR"/>
        </w:rPr>
        <w:t xml:space="preserve"> </w:t>
      </w:r>
      <w:r w:rsidRPr="00577EB1">
        <w:rPr>
          <w:rStyle w:val="longtext"/>
          <w:shd w:val="clear" w:color="auto" w:fill="FFFFFF"/>
          <w:lang w:val="fr-FR"/>
        </w:rPr>
        <w:t xml:space="preserve">et iii) faire des suggestions sur la base de l’expérience internationale, pour améliorer la couverture, l’efficacité, la pertinence et la </w:t>
      </w:r>
      <w:r w:rsidR="00BD550B">
        <w:rPr>
          <w:rStyle w:val="longtext"/>
          <w:shd w:val="clear" w:color="auto" w:fill="FFFFFF"/>
          <w:lang w:val="fr-FR"/>
        </w:rPr>
        <w:t>viabilité</w:t>
      </w:r>
      <w:r w:rsidRPr="00577EB1">
        <w:rPr>
          <w:rStyle w:val="longtext"/>
          <w:shd w:val="clear" w:color="auto" w:fill="FFFFFF"/>
          <w:lang w:val="fr-FR"/>
        </w:rPr>
        <w:t xml:space="preserve"> financière du système de filets sociaux et de programmes sélectionnés, y compris des améliorations dans leur suivi et évaluation. </w:t>
      </w:r>
    </w:p>
    <w:p w:rsidR="0065207E" w:rsidRPr="00577EB1" w:rsidRDefault="0065207E" w:rsidP="00E52A30">
      <w:pPr>
        <w:numPr>
          <w:ilvl w:val="0"/>
          <w:numId w:val="2"/>
        </w:numPr>
        <w:ind w:left="0" w:firstLine="0"/>
        <w:rPr>
          <w:rStyle w:val="longtext"/>
          <w:lang w:val="fr-FR"/>
        </w:rPr>
      </w:pPr>
      <w:r w:rsidRPr="00577EB1">
        <w:rPr>
          <w:rStyle w:val="longtext"/>
          <w:lang w:val="fr-FR"/>
        </w:rPr>
        <w:t xml:space="preserve">Cette étude fait partie de l’assistance technique fournie au Burkina Faso, à la fois par la Banque mondiale et le Fonds des Nations Unies pour l’enfance (UNICEF). </w:t>
      </w:r>
      <w:r w:rsidRPr="00577EB1">
        <w:rPr>
          <w:rStyle w:val="longtext"/>
          <w:shd w:val="clear" w:color="auto" w:fill="FFFFFF"/>
          <w:lang w:val="fr-FR"/>
        </w:rPr>
        <w:t>Ses conclusions viendront directement soutenir la révision du Document de stratégie pour la réduction de la pauvreté (DSRP)</w:t>
      </w:r>
      <w:r w:rsidR="0007340F">
        <w:rPr>
          <w:rStyle w:val="longtext"/>
          <w:shd w:val="clear" w:color="auto" w:fill="FFFFFF"/>
          <w:lang w:val="fr-FR"/>
        </w:rPr>
        <w:t xml:space="preserve"> </w:t>
      </w:r>
      <w:r w:rsidRPr="00577EB1">
        <w:rPr>
          <w:rStyle w:val="longtext"/>
          <w:shd w:val="clear" w:color="auto" w:fill="FFFFFF"/>
          <w:lang w:val="fr-FR"/>
        </w:rPr>
        <w:t xml:space="preserve">qui sera remplacée en 2010 par la </w:t>
      </w:r>
      <w:r w:rsidRPr="00577EB1">
        <w:rPr>
          <w:lang w:val="fr-FR"/>
        </w:rPr>
        <w:t>Stratégie de croissance accélérée et de développement durable (SCADD)</w:t>
      </w:r>
      <w:r w:rsidR="0007340F">
        <w:rPr>
          <w:lang w:val="fr-FR"/>
        </w:rPr>
        <w:t xml:space="preserve"> </w:t>
      </w:r>
      <w:r w:rsidRPr="00577EB1">
        <w:rPr>
          <w:lang w:val="fr-FR"/>
        </w:rPr>
        <w:t>réalisé</w:t>
      </w:r>
      <w:r w:rsidRPr="00577EB1">
        <w:rPr>
          <w:rStyle w:val="longtext"/>
          <w:shd w:val="clear" w:color="auto" w:fill="FFFFFF"/>
          <w:lang w:val="fr-FR"/>
        </w:rPr>
        <w:t xml:space="preserve"> sous la supervision du ministère des Finances,</w:t>
      </w:r>
      <w:r w:rsidR="0007340F">
        <w:rPr>
          <w:rStyle w:val="longtext"/>
          <w:shd w:val="clear" w:color="auto" w:fill="FFFFFF"/>
          <w:lang w:val="fr-FR"/>
        </w:rPr>
        <w:t xml:space="preserve"> </w:t>
      </w:r>
      <w:r w:rsidRPr="00577EB1">
        <w:rPr>
          <w:rStyle w:val="longtext"/>
          <w:shd w:val="clear" w:color="auto" w:fill="FFFFFF"/>
          <w:lang w:val="fr-FR"/>
        </w:rPr>
        <w:t>ainsi que les efforts consentis d’une part par le ministère de l’Action sociale et de la Solidarité nationale (MASSN) pour élaborer une stratégie de protection sociale, et d’autre part, par le ministère de la Jeunesse et de l’Emploi (MJE) pour examiner l’utilisation des p</w:t>
      </w:r>
      <w:r w:rsidRPr="00577EB1">
        <w:rPr>
          <w:lang w:val="fr-FR"/>
        </w:rPr>
        <w:t>rogramme de travaux publics à haute intensité de main d’œuvre</w:t>
      </w:r>
      <w:r w:rsidRPr="00577EB1">
        <w:rPr>
          <w:rStyle w:val="longtext"/>
          <w:shd w:val="clear" w:color="auto" w:fill="FFFFFF"/>
          <w:lang w:val="fr-FR"/>
        </w:rPr>
        <w:t xml:space="preserve"> (HIMO) au Burkina Faso.</w:t>
      </w:r>
    </w:p>
    <w:p w:rsidR="0065207E" w:rsidRPr="00577EB1" w:rsidRDefault="0065207E" w:rsidP="00A54EB6">
      <w:pPr>
        <w:pStyle w:val="Heading2"/>
      </w:pPr>
      <w:bookmarkStart w:id="7" w:name="_Toc264748721"/>
      <w:bookmarkStart w:id="8" w:name="_Toc261967400"/>
      <w:bookmarkStart w:id="9" w:name="_Toc262169622"/>
      <w:r w:rsidRPr="00577EB1">
        <w:t>Définition des filets sociaux utilisée dans la présente étude</w:t>
      </w:r>
      <w:bookmarkEnd w:id="7"/>
      <w:r w:rsidRPr="00577EB1">
        <w:t xml:space="preserve"> </w:t>
      </w:r>
      <w:bookmarkEnd w:id="8"/>
      <w:bookmarkEnd w:id="9"/>
    </w:p>
    <w:p w:rsidR="0065207E" w:rsidRPr="00577EB1" w:rsidRDefault="0065207E" w:rsidP="00E52A30">
      <w:pPr>
        <w:numPr>
          <w:ilvl w:val="0"/>
          <w:numId w:val="2"/>
        </w:numPr>
        <w:ind w:left="0" w:firstLine="0"/>
        <w:rPr>
          <w:szCs w:val="24"/>
          <w:lang w:val="fr-FR"/>
        </w:rPr>
      </w:pPr>
      <w:r w:rsidRPr="00577EB1">
        <w:rPr>
          <w:b/>
          <w:lang w:val="fr-FR"/>
        </w:rPr>
        <w:t>Il n’y a pas de consensus sur une définition universelle des filets sociaux, sur ce qu’ils concernent et sur la manière d’adapter les programmes de filets sociaux aux conditions locales</w:t>
      </w:r>
      <w:r w:rsidRPr="00577EB1">
        <w:rPr>
          <w:rStyle w:val="FootnoteReference"/>
          <w:lang w:val="fr-FR"/>
        </w:rPr>
        <w:footnoteReference w:id="2"/>
      </w:r>
      <w:r w:rsidRPr="00577EB1">
        <w:rPr>
          <w:lang w:val="fr-FR"/>
        </w:rPr>
        <w:t>. Certains acteurs peuvent utiliser différents termes</w:t>
      </w:r>
      <w:r w:rsidR="0007340F">
        <w:rPr>
          <w:lang w:val="fr-FR"/>
        </w:rPr>
        <w:t xml:space="preserve"> </w:t>
      </w:r>
      <w:r w:rsidRPr="00577EB1">
        <w:rPr>
          <w:lang w:val="fr-FR"/>
        </w:rPr>
        <w:t xml:space="preserve">protection sociale, </w:t>
      </w:r>
      <w:r w:rsidRPr="00577EB1">
        <w:rPr>
          <w:lang w:val="fr-FR"/>
        </w:rPr>
        <w:lastRenderedPageBreak/>
        <w:t>sécurité sociale, assistance sociale, filets sociaux et transferts sociaux</w:t>
      </w:r>
      <w:r w:rsidR="0007340F">
        <w:rPr>
          <w:lang w:val="fr-FR"/>
        </w:rPr>
        <w:t xml:space="preserve"> </w:t>
      </w:r>
      <w:r w:rsidRPr="00577EB1">
        <w:rPr>
          <w:lang w:val="fr-FR"/>
        </w:rPr>
        <w:t>de manière interchangeable.</w:t>
      </w:r>
    </w:p>
    <w:p w:rsidR="0065207E" w:rsidRPr="00577EB1" w:rsidRDefault="0065207E" w:rsidP="00E52A30">
      <w:pPr>
        <w:numPr>
          <w:ilvl w:val="0"/>
          <w:numId w:val="2"/>
        </w:numPr>
        <w:ind w:left="0" w:firstLine="0"/>
        <w:rPr>
          <w:rStyle w:val="longtext"/>
          <w:lang w:val="fr-FR"/>
        </w:rPr>
      </w:pPr>
      <w:r w:rsidRPr="00577EB1">
        <w:rPr>
          <w:b/>
          <w:lang w:val="fr-FR"/>
        </w:rPr>
        <w:t xml:space="preserve">Dans le présent rapport, le terme </w:t>
      </w:r>
      <w:r w:rsidRPr="00577EB1">
        <w:rPr>
          <w:b/>
          <w:i/>
          <w:lang w:val="fr-FR"/>
        </w:rPr>
        <w:t>filets sociaux</w:t>
      </w:r>
      <w:r w:rsidRPr="00577EB1">
        <w:rPr>
          <w:b/>
          <w:lang w:val="fr-FR"/>
        </w:rPr>
        <w:t xml:space="preserve"> fait référence aux programmes de transfert non contributifs ciblant, d’une manière ou d’une autre, les pauvres ou les personnes vulnérables</w:t>
      </w:r>
      <w:r w:rsidRPr="00577EB1">
        <w:rPr>
          <w:lang w:val="fr-FR"/>
        </w:rPr>
        <w:t xml:space="preserve"> [Grosh et coll. 2008]. </w:t>
      </w:r>
      <w:r w:rsidRPr="00577EB1">
        <w:rPr>
          <w:rStyle w:val="longtext"/>
          <w:lang w:val="fr-FR"/>
        </w:rPr>
        <w:t xml:space="preserve">Défini de cette manière, l’on pourrait penser que le terme « filets sociaux » est analogue à l’expression burkinabé « action sociale ». Cependant, </w:t>
      </w:r>
      <w:r w:rsidRPr="00577EB1">
        <w:rPr>
          <w:rStyle w:val="longtext"/>
          <w:shd w:val="clear" w:color="auto" w:fill="FFFFFF"/>
          <w:lang w:val="fr-FR"/>
        </w:rPr>
        <w:t>en pratique, ce concept burkinabé semble couvrir un plus large éventail d’activités, y compris la prestation de services sociaux (par exemple, l’appui aux associations de personnes handicapées, l’accès à la justice, etc.) et les activités génératrices de revenus.</w:t>
      </w:r>
    </w:p>
    <w:p w:rsidR="0065207E" w:rsidRPr="00577EB1" w:rsidRDefault="0065207E" w:rsidP="00E52A30">
      <w:pPr>
        <w:numPr>
          <w:ilvl w:val="0"/>
          <w:numId w:val="2"/>
        </w:numPr>
        <w:ind w:left="0" w:firstLine="0"/>
        <w:rPr>
          <w:rStyle w:val="longtext"/>
          <w:lang w:val="fr-FR"/>
        </w:rPr>
      </w:pPr>
      <w:r w:rsidRPr="00577EB1">
        <w:rPr>
          <w:b/>
          <w:lang w:val="fr-FR"/>
        </w:rPr>
        <w:t xml:space="preserve">Les filets sociaux, tels que définis dans le présent rapport, visent à accroître et à stabiliser la consommation tout en soutenant l’utilisation des services sociaux de base </w:t>
      </w:r>
      <w:r w:rsidRPr="00577EB1">
        <w:rPr>
          <w:lang w:val="fr-FR"/>
        </w:rPr>
        <w:t>–</w:t>
      </w:r>
      <w:r w:rsidRPr="00577EB1">
        <w:rPr>
          <w:rStyle w:val="longtext"/>
          <w:shd w:val="clear" w:color="auto" w:fill="FFFFFF"/>
          <w:lang w:val="fr-FR"/>
        </w:rPr>
        <w:t>directement ou indirectement par la réduction du coût des denrées alimentaires, des autres produits de base et des services essentiels, et non par une augmentation des ressources elles-mêmes</w:t>
      </w:r>
      <w:r w:rsidRPr="00577EB1">
        <w:rPr>
          <w:rStyle w:val="longtext"/>
          <w:lang w:val="fr-FR"/>
        </w:rPr>
        <w:t xml:space="preserve">. Les activités génératrices de revenus et autres programmes de subsistance se trouvent donc exclus du champ de la présente étude. Ces programmes sont d’importants instruments de réduction de la pauvreté, mais peuvent ne pas assurer une augmentation directe de la consommation, et ne sont donc pas classés comme programmes de filets sociaux. </w:t>
      </w:r>
    </w:p>
    <w:p w:rsidR="0065207E" w:rsidRPr="00577EB1" w:rsidRDefault="0065207E" w:rsidP="00E52A30">
      <w:pPr>
        <w:numPr>
          <w:ilvl w:val="0"/>
          <w:numId w:val="2"/>
        </w:numPr>
        <w:ind w:left="0" w:firstLine="0"/>
        <w:rPr>
          <w:lang w:val="fr-FR"/>
        </w:rPr>
      </w:pPr>
      <w:r w:rsidRPr="00577EB1">
        <w:rPr>
          <w:b/>
          <w:lang w:val="fr-FR"/>
        </w:rPr>
        <w:t>Les filets sociaux visent d’une manière ou d’une autre les pauvres et les personnes vulnérables</w:t>
      </w:r>
      <w:r w:rsidRPr="00577EB1">
        <w:rPr>
          <w:lang w:val="fr-FR"/>
        </w:rPr>
        <w:t>, c’est-à-dire les individus vivant dans la pauvreté et incapables de satisfaire leurs propres besoins fondamentaux, ou risquant de tomber dans la pauvreté à cause de chocs exogènes ou de circonstances socioéconomiques, telles que l’âge, la maladie, le handicap ou la discrimination. Les filets sociaux peuvent s’adresser à un ou à une combinaison des groupes suivants [Grosh et coll. 2008] :</w:t>
      </w:r>
    </w:p>
    <w:p w:rsidR="0065207E" w:rsidRPr="00577EB1" w:rsidRDefault="0065207E" w:rsidP="00E52A30">
      <w:pPr>
        <w:numPr>
          <w:ilvl w:val="0"/>
          <w:numId w:val="3"/>
        </w:numPr>
        <w:tabs>
          <w:tab w:val="clear" w:pos="709"/>
        </w:tabs>
        <w:ind w:left="709" w:hanging="425"/>
        <w:rPr>
          <w:szCs w:val="24"/>
          <w:lang w:val="fr-FR"/>
        </w:rPr>
      </w:pPr>
      <w:r w:rsidRPr="00577EB1">
        <w:rPr>
          <w:i/>
          <w:szCs w:val="24"/>
          <w:lang w:val="fr-FR"/>
        </w:rPr>
        <w:t>Les pauvres chroniques</w:t>
      </w:r>
      <w:r w:rsidRPr="00577EB1">
        <w:rPr>
          <w:szCs w:val="24"/>
          <w:lang w:val="fr-FR"/>
        </w:rPr>
        <w:t>, c’est-à-dire les personnes qui n’ont pas les atouts nécessaires pour gagner des revenus suffisants, même les bonnes années ;</w:t>
      </w:r>
    </w:p>
    <w:p w:rsidR="0065207E" w:rsidRPr="00577EB1" w:rsidRDefault="0065207E" w:rsidP="00E52A30">
      <w:pPr>
        <w:numPr>
          <w:ilvl w:val="0"/>
          <w:numId w:val="3"/>
        </w:numPr>
        <w:tabs>
          <w:tab w:val="clear" w:pos="709"/>
        </w:tabs>
        <w:ind w:left="709" w:hanging="425"/>
        <w:rPr>
          <w:szCs w:val="24"/>
          <w:lang w:val="fr-FR"/>
        </w:rPr>
      </w:pPr>
      <w:r w:rsidRPr="00577EB1">
        <w:rPr>
          <w:i/>
          <w:szCs w:val="24"/>
          <w:lang w:val="fr-FR"/>
        </w:rPr>
        <w:t>Les pauvres transitoires</w:t>
      </w:r>
      <w:r w:rsidRPr="00577EB1">
        <w:rPr>
          <w:szCs w:val="24"/>
          <w:lang w:val="fr-FR"/>
        </w:rPr>
        <w:t xml:space="preserve">, c’est-à-dire les personnes qui gagnent suffisamment pendant les bonnes années, mais tombent dans la pauvreté, du moins temporairement, à la suite de chocs idiosyncratiques ou covariants allant d’une maladie au sein du ménage ou de la perte d’un emploi jusqu’à la sécheresse ou à une crise macroéconomique; </w:t>
      </w:r>
    </w:p>
    <w:p w:rsidR="0065207E" w:rsidRPr="00577EB1" w:rsidRDefault="0065207E" w:rsidP="00E52A30">
      <w:pPr>
        <w:numPr>
          <w:ilvl w:val="0"/>
          <w:numId w:val="3"/>
        </w:numPr>
        <w:tabs>
          <w:tab w:val="clear" w:pos="709"/>
        </w:tabs>
        <w:ind w:left="709" w:hanging="425"/>
        <w:rPr>
          <w:szCs w:val="24"/>
          <w:lang w:val="fr-FR"/>
        </w:rPr>
      </w:pPr>
      <w:r w:rsidRPr="00577EB1">
        <w:rPr>
          <w:i/>
          <w:szCs w:val="24"/>
          <w:lang w:val="fr-FR"/>
        </w:rPr>
        <w:t>Les groupes vulnérables</w:t>
      </w:r>
      <w:r w:rsidRPr="00577EB1">
        <w:rPr>
          <w:szCs w:val="24"/>
          <w:lang w:val="fr-FR"/>
        </w:rPr>
        <w:t>, c’est-à-dire, de manière non limitative, les personnes handicapées, âgées ou déplacées, les orphelins, les réfugiés, les demandeurs d’asile</w:t>
      </w:r>
      <w:r w:rsidR="0007340F">
        <w:rPr>
          <w:szCs w:val="24"/>
          <w:lang w:val="fr-FR"/>
        </w:rPr>
        <w:t xml:space="preserve"> </w:t>
      </w:r>
      <w:r w:rsidRPr="00577EB1">
        <w:rPr>
          <w:szCs w:val="24"/>
          <w:lang w:val="fr-FR"/>
        </w:rPr>
        <w:t xml:space="preserve">et </w:t>
      </w:r>
    </w:p>
    <w:p w:rsidR="0065207E" w:rsidRPr="00577EB1" w:rsidRDefault="0065207E" w:rsidP="00E52A30">
      <w:pPr>
        <w:numPr>
          <w:ilvl w:val="0"/>
          <w:numId w:val="3"/>
        </w:numPr>
        <w:tabs>
          <w:tab w:val="clear" w:pos="709"/>
        </w:tabs>
        <w:ind w:left="709" w:hanging="425"/>
        <w:rPr>
          <w:szCs w:val="24"/>
          <w:lang w:val="fr-FR"/>
        </w:rPr>
      </w:pPr>
      <w:r w:rsidRPr="00577EB1">
        <w:rPr>
          <w:i/>
          <w:szCs w:val="24"/>
          <w:lang w:val="fr-FR"/>
        </w:rPr>
        <w:t>Les personnes affectées négativement par les réformes</w:t>
      </w:r>
      <w:r w:rsidRPr="00577EB1">
        <w:rPr>
          <w:szCs w:val="24"/>
          <w:lang w:val="fr-FR"/>
        </w:rPr>
        <w:t xml:space="preserve">. </w:t>
      </w:r>
    </w:p>
    <w:p w:rsidR="0065207E" w:rsidRPr="00577EB1" w:rsidRDefault="0065207E" w:rsidP="00E52A30">
      <w:pPr>
        <w:numPr>
          <w:ilvl w:val="0"/>
          <w:numId w:val="2"/>
        </w:numPr>
        <w:ind w:left="0" w:firstLine="0"/>
        <w:rPr>
          <w:rStyle w:val="longtext"/>
          <w:lang w:val="fr-FR"/>
        </w:rPr>
      </w:pPr>
      <w:r w:rsidRPr="00577EB1">
        <w:rPr>
          <w:b/>
          <w:lang w:val="fr-FR"/>
        </w:rPr>
        <w:t>Les politiques et programmes visant à améliorer l’accès aux services de base pour l’ensemble de la population (exemple</w:t>
      </w:r>
      <w:r w:rsidR="0007340F">
        <w:rPr>
          <w:b/>
          <w:lang w:val="fr-FR"/>
        </w:rPr>
        <w:t xml:space="preserve"> </w:t>
      </w:r>
      <w:r w:rsidRPr="00577EB1">
        <w:rPr>
          <w:b/>
          <w:lang w:val="fr-FR"/>
        </w:rPr>
        <w:t>éducation primaire gratuite) ne sont donc pas concernés par le présent rapport</w:t>
      </w:r>
      <w:r w:rsidRPr="00577EB1">
        <w:rPr>
          <w:lang w:val="fr-FR"/>
        </w:rPr>
        <w:t>. Il en est de m</w:t>
      </w:r>
      <w:r w:rsidRPr="00577EB1">
        <w:rPr>
          <w:rStyle w:val="longtext"/>
          <w:shd w:val="clear" w:color="auto" w:fill="FFFFFF"/>
          <w:lang w:val="fr-FR"/>
        </w:rPr>
        <w:t>ême des programmes de transfert aux communautés et associations (exemple</w:t>
      </w:r>
      <w:r w:rsidR="0007340F">
        <w:rPr>
          <w:rStyle w:val="longtext"/>
          <w:shd w:val="clear" w:color="auto" w:fill="FFFFFF"/>
          <w:lang w:val="fr-FR"/>
        </w:rPr>
        <w:t xml:space="preserve"> </w:t>
      </w:r>
      <w:r w:rsidRPr="00577EB1">
        <w:rPr>
          <w:rStyle w:val="longtext"/>
          <w:shd w:val="clear" w:color="auto" w:fill="FFFFFF"/>
          <w:lang w:val="fr-FR"/>
        </w:rPr>
        <w:t>pour mettre en place des biens sociaux dans des communautés vulnérables) puisqu’ils ne visent pas directement les personnes ou ménages pauvres et vulnérables. Les programmes de subvention générale (exemple</w:t>
      </w:r>
      <w:r w:rsidR="0007340F">
        <w:rPr>
          <w:rStyle w:val="longtext"/>
          <w:shd w:val="clear" w:color="auto" w:fill="FFFFFF"/>
          <w:lang w:val="fr-FR"/>
        </w:rPr>
        <w:t xml:space="preserve"> </w:t>
      </w:r>
      <w:r w:rsidRPr="00577EB1">
        <w:rPr>
          <w:rStyle w:val="longtext"/>
          <w:shd w:val="clear" w:color="auto" w:fill="FFFFFF"/>
          <w:lang w:val="fr-FR"/>
        </w:rPr>
        <w:t xml:space="preserve">prix subventionnés) peuvent être considérés comme des filets sociaux s’ils visent à augmenter </w:t>
      </w:r>
      <w:r w:rsidRPr="00577EB1">
        <w:rPr>
          <w:rStyle w:val="longtext"/>
          <w:shd w:val="clear" w:color="auto" w:fill="FFFFFF"/>
          <w:lang w:val="fr-FR"/>
        </w:rPr>
        <w:lastRenderedPageBreak/>
        <w:t>la consommation des ménages vulnérables (exemple</w:t>
      </w:r>
      <w:r w:rsidR="0007340F">
        <w:rPr>
          <w:rStyle w:val="longtext"/>
          <w:shd w:val="clear" w:color="auto" w:fill="FFFFFF"/>
          <w:lang w:val="fr-FR"/>
        </w:rPr>
        <w:t xml:space="preserve"> </w:t>
      </w:r>
      <w:r w:rsidRPr="00577EB1">
        <w:rPr>
          <w:rStyle w:val="longtext"/>
          <w:shd w:val="clear" w:color="auto" w:fill="FFFFFF"/>
          <w:lang w:val="fr-FR"/>
        </w:rPr>
        <w:t>les ménages affectés par la flambée des cours mondiaux des denrées alimentaires) en réduisant les prix des produits de base qu’ils consomment</w:t>
      </w:r>
      <w:r w:rsidRPr="00577EB1">
        <w:rPr>
          <w:rStyle w:val="longtext"/>
          <w:lang w:val="fr-FR"/>
        </w:rPr>
        <w:t xml:space="preserve">. </w:t>
      </w:r>
    </w:p>
    <w:p w:rsidR="0065207E" w:rsidRPr="00577EB1" w:rsidRDefault="0065207E" w:rsidP="00E52A30">
      <w:pPr>
        <w:numPr>
          <w:ilvl w:val="0"/>
          <w:numId w:val="2"/>
        </w:numPr>
        <w:ind w:left="0" w:firstLine="0"/>
        <w:rPr>
          <w:lang w:val="fr-FR"/>
        </w:rPr>
      </w:pPr>
      <w:r w:rsidRPr="00577EB1">
        <w:rPr>
          <w:b/>
          <w:lang w:val="fr-FR"/>
        </w:rPr>
        <w:t>Les instruments utilisés pour accroître la consommation incluent les transferts directs, les subventions et les exemptions de frais</w:t>
      </w:r>
      <w:r w:rsidRPr="00577EB1">
        <w:rPr>
          <w:lang w:val="fr-FR"/>
        </w:rPr>
        <w:t>. Les types de programmes de filets sociaux les plus communs peuvent être classés comme suit [Grosh et coll. 2008] :</w:t>
      </w:r>
    </w:p>
    <w:p w:rsidR="0065207E" w:rsidRPr="00577EB1" w:rsidRDefault="0065207E" w:rsidP="00E52A30">
      <w:pPr>
        <w:numPr>
          <w:ilvl w:val="0"/>
          <w:numId w:val="3"/>
        </w:numPr>
        <w:tabs>
          <w:tab w:val="clear" w:pos="709"/>
        </w:tabs>
        <w:ind w:left="709" w:hanging="425"/>
        <w:rPr>
          <w:szCs w:val="24"/>
          <w:lang w:val="fr-FR"/>
        </w:rPr>
      </w:pPr>
      <w:r w:rsidRPr="00577EB1">
        <w:rPr>
          <w:szCs w:val="24"/>
          <w:lang w:val="fr-FR"/>
        </w:rPr>
        <w:t>Les programmes de transferts non conditionnels en espèces ou en nature :</w:t>
      </w:r>
    </w:p>
    <w:p w:rsidR="0065207E" w:rsidRPr="00577EB1" w:rsidRDefault="0065207E" w:rsidP="00E52A30">
      <w:pPr>
        <w:numPr>
          <w:ilvl w:val="0"/>
          <w:numId w:val="4"/>
        </w:numPr>
        <w:tabs>
          <w:tab w:val="clear" w:pos="709"/>
        </w:tabs>
        <w:ind w:left="1281" w:hanging="357"/>
        <w:rPr>
          <w:szCs w:val="24"/>
          <w:lang w:val="fr-FR"/>
        </w:rPr>
      </w:pPr>
      <w:r w:rsidRPr="00577EB1">
        <w:rPr>
          <w:i/>
          <w:szCs w:val="24"/>
          <w:lang w:val="fr-FR"/>
        </w:rPr>
        <w:t xml:space="preserve">Les transferts en espèces </w:t>
      </w:r>
      <w:r w:rsidRPr="00577EB1">
        <w:rPr>
          <w:szCs w:val="24"/>
          <w:lang w:val="fr-FR"/>
        </w:rPr>
        <w:t>(exemples</w:t>
      </w:r>
      <w:r w:rsidR="0007340F">
        <w:rPr>
          <w:szCs w:val="24"/>
          <w:lang w:val="fr-FR"/>
        </w:rPr>
        <w:t xml:space="preserve"> </w:t>
      </w:r>
      <w:r w:rsidRPr="00577EB1">
        <w:rPr>
          <w:szCs w:val="24"/>
          <w:lang w:val="fr-FR"/>
        </w:rPr>
        <w:t xml:space="preserve">prestations pour les enfants, allocations familiales, pensions sociales) et </w:t>
      </w:r>
      <w:r w:rsidRPr="00577EB1">
        <w:rPr>
          <w:i/>
          <w:szCs w:val="24"/>
          <w:lang w:val="fr-FR"/>
        </w:rPr>
        <w:t>en quasi espèces</w:t>
      </w:r>
      <w:r w:rsidRPr="00577EB1">
        <w:rPr>
          <w:szCs w:val="24"/>
          <w:lang w:val="fr-FR"/>
        </w:rPr>
        <w:t xml:space="preserve"> (exemples</w:t>
      </w:r>
      <w:r w:rsidR="0007340F">
        <w:rPr>
          <w:szCs w:val="24"/>
          <w:lang w:val="fr-FR"/>
        </w:rPr>
        <w:t xml:space="preserve"> </w:t>
      </w:r>
      <w:r w:rsidRPr="00577EB1">
        <w:rPr>
          <w:szCs w:val="24"/>
          <w:lang w:val="fr-FR"/>
        </w:rPr>
        <w:t>coupons alimentaires et bons pour des produits de base) ;</w:t>
      </w:r>
    </w:p>
    <w:p w:rsidR="0065207E" w:rsidRPr="00577EB1" w:rsidRDefault="0065207E" w:rsidP="00E52A30">
      <w:pPr>
        <w:numPr>
          <w:ilvl w:val="0"/>
          <w:numId w:val="4"/>
        </w:numPr>
        <w:tabs>
          <w:tab w:val="clear" w:pos="709"/>
        </w:tabs>
        <w:ind w:left="1281" w:hanging="357"/>
        <w:rPr>
          <w:szCs w:val="24"/>
          <w:lang w:val="fr-FR"/>
        </w:rPr>
      </w:pPr>
      <w:r w:rsidRPr="00577EB1">
        <w:rPr>
          <w:i/>
          <w:szCs w:val="24"/>
          <w:lang w:val="fr-FR"/>
        </w:rPr>
        <w:t xml:space="preserve">Transferts alimentaires en nature </w:t>
      </w:r>
      <w:r w:rsidRPr="00577EB1">
        <w:rPr>
          <w:szCs w:val="24"/>
          <w:lang w:val="fr-FR"/>
        </w:rPr>
        <w:t>(exemples</w:t>
      </w:r>
      <w:r w:rsidR="0007340F">
        <w:rPr>
          <w:szCs w:val="24"/>
          <w:lang w:val="fr-FR"/>
        </w:rPr>
        <w:t xml:space="preserve"> </w:t>
      </w:r>
      <w:r w:rsidRPr="00577EB1">
        <w:rPr>
          <w:szCs w:val="24"/>
          <w:lang w:val="fr-FR"/>
        </w:rPr>
        <w:t>cantines scolaires, rations à emporter) et autres transferts en nature (exemples</w:t>
      </w:r>
      <w:r w:rsidR="0007340F">
        <w:rPr>
          <w:szCs w:val="24"/>
          <w:lang w:val="fr-FR"/>
        </w:rPr>
        <w:t xml:space="preserve"> </w:t>
      </w:r>
      <w:r w:rsidRPr="00577EB1">
        <w:rPr>
          <w:szCs w:val="24"/>
          <w:lang w:val="fr-FR"/>
        </w:rPr>
        <w:t>fournitures scolaires)</w:t>
      </w:r>
      <w:r w:rsidR="0007340F">
        <w:rPr>
          <w:szCs w:val="24"/>
          <w:lang w:val="fr-FR"/>
        </w:rPr>
        <w:t xml:space="preserve"> </w:t>
      </w:r>
      <w:r w:rsidRPr="00577EB1">
        <w:rPr>
          <w:szCs w:val="24"/>
          <w:lang w:val="fr-FR"/>
        </w:rPr>
        <w:t>et</w:t>
      </w:r>
    </w:p>
    <w:p w:rsidR="0065207E" w:rsidRPr="00577EB1" w:rsidRDefault="0065207E" w:rsidP="00E52A30">
      <w:pPr>
        <w:numPr>
          <w:ilvl w:val="0"/>
          <w:numId w:val="4"/>
        </w:numPr>
        <w:tabs>
          <w:tab w:val="clear" w:pos="709"/>
        </w:tabs>
        <w:ind w:left="1281" w:hanging="357"/>
        <w:rPr>
          <w:szCs w:val="24"/>
          <w:lang w:val="fr-FR"/>
        </w:rPr>
      </w:pPr>
      <w:r w:rsidRPr="00577EB1">
        <w:rPr>
          <w:i/>
          <w:szCs w:val="24"/>
          <w:lang w:val="fr-FR"/>
        </w:rPr>
        <w:t xml:space="preserve">Subventions générales </w:t>
      </w:r>
      <w:r w:rsidRPr="00577EB1">
        <w:rPr>
          <w:szCs w:val="24"/>
          <w:lang w:val="fr-FR"/>
        </w:rPr>
        <w:t xml:space="preserve">destinées à bénéficier aux ménages, souvent pour la nourriture, l’énergie, le logement ou les services publics. </w:t>
      </w:r>
    </w:p>
    <w:p w:rsidR="0065207E" w:rsidRPr="00577EB1" w:rsidRDefault="0065207E" w:rsidP="00E52A30">
      <w:pPr>
        <w:numPr>
          <w:ilvl w:val="0"/>
          <w:numId w:val="3"/>
        </w:numPr>
        <w:tabs>
          <w:tab w:val="clear" w:pos="709"/>
        </w:tabs>
        <w:ind w:left="709" w:hanging="425"/>
        <w:rPr>
          <w:szCs w:val="24"/>
          <w:lang w:val="fr-FR"/>
        </w:rPr>
      </w:pPr>
      <w:r w:rsidRPr="00577EB1">
        <w:rPr>
          <w:szCs w:val="24"/>
          <w:lang w:val="fr-FR"/>
        </w:rPr>
        <w:t>Programmes pourvoyeurs de revenus :</w:t>
      </w:r>
    </w:p>
    <w:p w:rsidR="0065207E" w:rsidRPr="00577EB1" w:rsidRDefault="0065207E" w:rsidP="00E52A30">
      <w:pPr>
        <w:numPr>
          <w:ilvl w:val="0"/>
          <w:numId w:val="31"/>
        </w:numPr>
        <w:tabs>
          <w:tab w:val="clear" w:pos="709"/>
        </w:tabs>
        <w:ind w:left="1281" w:hanging="357"/>
        <w:rPr>
          <w:szCs w:val="24"/>
          <w:lang w:val="fr-FR"/>
        </w:rPr>
      </w:pPr>
      <w:r w:rsidRPr="00577EB1">
        <w:rPr>
          <w:i/>
          <w:szCs w:val="24"/>
          <w:lang w:val="fr-FR"/>
        </w:rPr>
        <w:t>Travaux publics</w:t>
      </w:r>
      <w:r w:rsidRPr="00577EB1">
        <w:rPr>
          <w:szCs w:val="24"/>
          <w:lang w:val="fr-FR"/>
        </w:rPr>
        <w:t xml:space="preserve"> dans lesquels les personnes pauvres/vulnérables travaillent en échange d’une rémunération en vivres ou en espèces ;</w:t>
      </w:r>
    </w:p>
    <w:p w:rsidR="0065207E" w:rsidRPr="00577EB1" w:rsidRDefault="0065207E" w:rsidP="00E52A30">
      <w:pPr>
        <w:numPr>
          <w:ilvl w:val="0"/>
          <w:numId w:val="3"/>
        </w:numPr>
        <w:tabs>
          <w:tab w:val="clear" w:pos="709"/>
        </w:tabs>
        <w:ind w:left="709" w:hanging="425"/>
        <w:rPr>
          <w:szCs w:val="24"/>
          <w:lang w:val="fr-FR"/>
        </w:rPr>
      </w:pPr>
      <w:r w:rsidRPr="00577EB1">
        <w:rPr>
          <w:szCs w:val="24"/>
          <w:lang w:val="fr-FR"/>
        </w:rPr>
        <w:t>Les programmes visant à protéger et améliorer le capital humain ainsi que l’accès aux services de base :</w:t>
      </w:r>
    </w:p>
    <w:p w:rsidR="0065207E" w:rsidRPr="00577EB1" w:rsidRDefault="0065207E" w:rsidP="00E52A30">
      <w:pPr>
        <w:numPr>
          <w:ilvl w:val="0"/>
          <w:numId w:val="32"/>
        </w:numPr>
        <w:tabs>
          <w:tab w:val="clear" w:pos="709"/>
        </w:tabs>
        <w:rPr>
          <w:szCs w:val="24"/>
          <w:lang w:val="fr-FR"/>
        </w:rPr>
      </w:pPr>
      <w:r w:rsidRPr="00577EB1">
        <w:rPr>
          <w:i/>
          <w:szCs w:val="24"/>
          <w:lang w:val="fr-FR"/>
        </w:rPr>
        <w:t xml:space="preserve">Les transferts conditionnels </w:t>
      </w:r>
      <w:r w:rsidRPr="00577EB1">
        <w:rPr>
          <w:szCs w:val="24"/>
          <w:lang w:val="fr-FR"/>
        </w:rPr>
        <w:t>(c’est-à-dire les transferts en espèces ou en nature destinés aux ménages pauvres/vulnérables sous réserve du respect de certaines conditions relatives à l’éducation et/ou à la santé)</w:t>
      </w:r>
      <w:r w:rsidR="0007340F">
        <w:rPr>
          <w:szCs w:val="24"/>
          <w:lang w:val="fr-FR"/>
        </w:rPr>
        <w:t xml:space="preserve"> </w:t>
      </w:r>
      <w:r w:rsidRPr="00577EB1">
        <w:rPr>
          <w:szCs w:val="24"/>
          <w:lang w:val="fr-FR"/>
        </w:rPr>
        <w:t xml:space="preserve">et </w:t>
      </w:r>
    </w:p>
    <w:p w:rsidR="0065207E" w:rsidRPr="00577EB1" w:rsidRDefault="0065207E" w:rsidP="00E52A30">
      <w:pPr>
        <w:numPr>
          <w:ilvl w:val="0"/>
          <w:numId w:val="32"/>
        </w:numPr>
        <w:tabs>
          <w:tab w:val="clear" w:pos="709"/>
        </w:tabs>
        <w:rPr>
          <w:szCs w:val="24"/>
          <w:lang w:val="fr-FR"/>
        </w:rPr>
      </w:pPr>
      <w:r w:rsidRPr="00577EB1">
        <w:rPr>
          <w:i/>
          <w:szCs w:val="24"/>
          <w:lang w:val="fr-FR"/>
        </w:rPr>
        <w:t xml:space="preserve">Les exemptions de frais pour la santé et l’enseignement </w:t>
      </w:r>
      <w:r w:rsidRPr="00577EB1">
        <w:rPr>
          <w:szCs w:val="24"/>
          <w:lang w:val="fr-FR"/>
        </w:rPr>
        <w:t>qui permettent d’accéder aux services publics essentiels (exemple</w:t>
      </w:r>
      <w:r w:rsidR="0007340F">
        <w:rPr>
          <w:szCs w:val="24"/>
          <w:lang w:val="fr-FR"/>
        </w:rPr>
        <w:t xml:space="preserve"> </w:t>
      </w:r>
      <w:r w:rsidRPr="00577EB1">
        <w:rPr>
          <w:szCs w:val="24"/>
          <w:lang w:val="fr-FR"/>
        </w:rPr>
        <w:t>exemption des frais de soins de santé, bourses scolaires, etc.), et que l’on désigne souvent comme des interventions portant sur la demande dans les secteurs de la santé et de l’enseignement.</w:t>
      </w:r>
    </w:p>
    <w:p w:rsidR="0065207E" w:rsidRPr="00577EB1" w:rsidRDefault="0065207E" w:rsidP="00E52A30">
      <w:pPr>
        <w:numPr>
          <w:ilvl w:val="0"/>
          <w:numId w:val="2"/>
        </w:numPr>
        <w:ind w:left="0" w:firstLine="0"/>
        <w:rPr>
          <w:rStyle w:val="longtext"/>
          <w:lang w:val="fr-FR"/>
        </w:rPr>
      </w:pPr>
      <w:r w:rsidRPr="00577EB1">
        <w:rPr>
          <w:b/>
          <w:lang w:val="fr-FR"/>
        </w:rPr>
        <w:t>Les systèmes de filets sociaux sont généralement constitués de plusieurs programmes se complétant, de préférence, les uns les autres et agissent en synergie avec d’autres politiques publiques ou sociales</w:t>
      </w:r>
      <w:r w:rsidRPr="00577EB1">
        <w:rPr>
          <w:lang w:val="fr-FR"/>
        </w:rPr>
        <w:t xml:space="preserve">. </w:t>
      </w:r>
      <w:r w:rsidRPr="00577EB1">
        <w:rPr>
          <w:rStyle w:val="longtext"/>
          <w:lang w:val="fr-FR"/>
        </w:rPr>
        <w:t xml:space="preserve">Ils peuvent être des transferts prévisibles à long terme ou des transferts d’aide d’urgence à court terme. </w:t>
      </w:r>
      <w:r w:rsidRPr="00577EB1">
        <w:rPr>
          <w:rStyle w:val="longtext"/>
          <w:shd w:val="clear" w:color="auto" w:fill="FFFFFF"/>
          <w:lang w:val="fr-FR"/>
        </w:rPr>
        <w:t xml:space="preserve">Un bon système de filet de sécurité est bien plus qu’une collection de programmes bien conçus et bien mis en œuvre. </w:t>
      </w:r>
      <w:r w:rsidRPr="00577EB1">
        <w:rPr>
          <w:rStyle w:val="longtext"/>
          <w:lang w:val="fr-FR"/>
        </w:rPr>
        <w:t xml:space="preserve">L’effet systémique de la protection sociale peut produire plus que la somme des différents programmes sociaux. </w:t>
      </w:r>
    </w:p>
    <w:p w:rsidR="0065207E" w:rsidRPr="00577EB1" w:rsidRDefault="0065207E" w:rsidP="00E52A30">
      <w:pPr>
        <w:numPr>
          <w:ilvl w:val="0"/>
          <w:numId w:val="2"/>
        </w:numPr>
        <w:ind w:left="0" w:firstLine="0"/>
        <w:rPr>
          <w:rStyle w:val="longtext"/>
          <w:lang w:val="fr-FR"/>
        </w:rPr>
      </w:pPr>
      <w:r w:rsidRPr="00577EB1">
        <w:rPr>
          <w:b/>
          <w:lang w:val="fr-FR"/>
        </w:rPr>
        <w:t xml:space="preserve">Les filets sociaux constituent un sous-ensemble de politiques et programmes plus larges de protection sociale, </w:t>
      </w:r>
      <w:r w:rsidRPr="00577EB1">
        <w:rPr>
          <w:lang w:val="fr-FR"/>
        </w:rPr>
        <w:t xml:space="preserve">accompagné </w:t>
      </w:r>
      <w:r w:rsidRPr="00577EB1">
        <w:rPr>
          <w:rStyle w:val="longtext"/>
          <w:shd w:val="clear" w:color="auto" w:fill="FFFFFF"/>
          <w:lang w:val="fr-FR"/>
        </w:rPr>
        <w:t>d’une assurance et d’une législation sociales, qui garantit des normes civiques minimales sauvegardant les intérêts des individus (exemple</w:t>
      </w:r>
      <w:r w:rsidR="0007340F">
        <w:rPr>
          <w:rStyle w:val="longtext"/>
          <w:shd w:val="clear" w:color="auto" w:fill="FFFFFF"/>
          <w:lang w:val="fr-FR"/>
        </w:rPr>
        <w:t xml:space="preserve"> </w:t>
      </w:r>
      <w:r w:rsidRPr="00577EB1">
        <w:rPr>
          <w:rStyle w:val="longtext"/>
          <w:shd w:val="clear" w:color="auto" w:fill="FFFFFF"/>
          <w:lang w:val="fr-FR"/>
        </w:rPr>
        <w:t xml:space="preserve">la législation du travail, et les normes de santé et de sécurité). La protection sociale est un droit humain fondamental qui s’attaque directement à la pauvreté </w:t>
      </w:r>
      <w:r w:rsidRPr="00577EB1">
        <w:rPr>
          <w:rStyle w:val="longtext"/>
          <w:shd w:val="clear" w:color="auto" w:fill="FFFFFF"/>
          <w:lang w:val="fr-FR"/>
        </w:rPr>
        <w:lastRenderedPageBreak/>
        <w:t xml:space="preserve">et à l’insécurité alimentaire tout en contribuant à la croissance économique et au développement humain. </w:t>
      </w:r>
    </w:p>
    <w:p w:rsidR="0065207E" w:rsidRPr="00577EB1" w:rsidRDefault="0065207E" w:rsidP="00E52A30">
      <w:pPr>
        <w:numPr>
          <w:ilvl w:val="0"/>
          <w:numId w:val="2"/>
        </w:numPr>
        <w:ind w:left="0" w:firstLine="0"/>
        <w:rPr>
          <w:rStyle w:val="longtext"/>
          <w:lang w:val="fr-FR"/>
        </w:rPr>
      </w:pPr>
      <w:r w:rsidRPr="00577EB1">
        <w:rPr>
          <w:b/>
          <w:lang w:val="fr-FR"/>
        </w:rPr>
        <w:t xml:space="preserve">Les </w:t>
      </w:r>
      <w:r w:rsidRPr="00577EB1">
        <w:rPr>
          <w:rStyle w:val="longtext"/>
          <w:b/>
          <w:shd w:val="clear" w:color="auto" w:fill="FFFFFF"/>
          <w:lang w:val="fr-FR"/>
        </w:rPr>
        <w:t>filets sociaux font partie d’une plus vaste stratégie de réduction de la pauvreté</w:t>
      </w:r>
      <w:r w:rsidRPr="00577EB1">
        <w:rPr>
          <w:rStyle w:val="longtext"/>
          <w:shd w:val="clear" w:color="auto" w:fill="FFFFFF"/>
          <w:lang w:val="fr-FR"/>
        </w:rPr>
        <w:t>. Les filets sociaux œuvrent parallèlement à l’assurance sociale et interagissent avec elle</w:t>
      </w:r>
      <w:r w:rsidR="0007340F">
        <w:rPr>
          <w:rStyle w:val="longtext"/>
          <w:shd w:val="clear" w:color="auto" w:fill="FFFFFF"/>
          <w:lang w:val="fr-FR"/>
        </w:rPr>
        <w:t xml:space="preserve"> </w:t>
      </w:r>
      <w:r w:rsidRPr="00577EB1">
        <w:rPr>
          <w:rStyle w:val="longtext"/>
          <w:shd w:val="clear" w:color="auto" w:fill="FFFFFF"/>
          <w:lang w:val="fr-FR"/>
        </w:rPr>
        <w:t>la santé, l’éducation et les services financiers</w:t>
      </w:r>
      <w:r w:rsidR="0007340F">
        <w:rPr>
          <w:rStyle w:val="longtext"/>
          <w:shd w:val="clear" w:color="auto" w:fill="FFFFFF"/>
          <w:lang w:val="fr-FR"/>
        </w:rPr>
        <w:t xml:space="preserve"> </w:t>
      </w:r>
      <w:r w:rsidRPr="00577EB1">
        <w:rPr>
          <w:rStyle w:val="longtext"/>
          <w:shd w:val="clear" w:color="auto" w:fill="FFFFFF"/>
          <w:lang w:val="fr-FR"/>
        </w:rPr>
        <w:t>la fourniture des services publics et les routes</w:t>
      </w:r>
      <w:r w:rsidR="0007340F">
        <w:rPr>
          <w:rStyle w:val="longtext"/>
          <w:shd w:val="clear" w:color="auto" w:fill="FFFFFF"/>
          <w:lang w:val="fr-FR"/>
        </w:rPr>
        <w:t xml:space="preserve"> </w:t>
      </w:r>
      <w:r w:rsidRPr="00577EB1">
        <w:rPr>
          <w:rStyle w:val="longtext"/>
          <w:shd w:val="clear" w:color="auto" w:fill="FFFFFF"/>
          <w:lang w:val="fr-FR"/>
        </w:rPr>
        <w:t xml:space="preserve">et d’autres politiques de réduction de la pauvreté et de gestion des risques (Figure 1). La réduction de la pauvreté passe par un accès assuré des populations à la consommation et à la sécurité alimentaire, à la santé, à l’éducation, aux droits, à l’expression, à la sécurité, à la dignité et à un travail décent. Elle implique un processus politique, et exige des efforts pour autonomiser les pauvres en renforçant leur voix et en favorisant la redevabilité démocratique. Ces dernières années, les concepts de </w:t>
      </w:r>
      <w:r w:rsidRPr="00577EB1">
        <w:rPr>
          <w:rStyle w:val="longtext"/>
          <w:i/>
          <w:shd w:val="clear" w:color="auto" w:fill="FFFFFF"/>
          <w:lang w:val="fr-FR"/>
        </w:rPr>
        <w:t>protection sociale</w:t>
      </w:r>
      <w:r w:rsidRPr="00577EB1">
        <w:rPr>
          <w:rStyle w:val="longtext"/>
          <w:shd w:val="clear" w:color="auto" w:fill="FFFFFF"/>
          <w:lang w:val="fr-FR"/>
        </w:rPr>
        <w:t xml:space="preserve"> et de </w:t>
      </w:r>
      <w:r w:rsidRPr="00577EB1">
        <w:rPr>
          <w:rStyle w:val="longtext"/>
          <w:i/>
          <w:shd w:val="clear" w:color="auto" w:fill="FFFFFF"/>
          <w:lang w:val="fr-FR"/>
        </w:rPr>
        <w:t xml:space="preserve">filets sociaux </w:t>
      </w:r>
      <w:r w:rsidRPr="00577EB1">
        <w:rPr>
          <w:rStyle w:val="longtext"/>
          <w:shd w:val="clear" w:color="auto" w:fill="FFFFFF"/>
          <w:lang w:val="fr-FR"/>
        </w:rPr>
        <w:t xml:space="preserve">sont progressivement devenus une composante clé des stratégies de réduction de la pauvreté et de sécurité alimentaire dans les pays en développement. </w:t>
      </w:r>
    </w:p>
    <w:p w:rsidR="0065207E" w:rsidRPr="00577EB1" w:rsidRDefault="0065207E" w:rsidP="00F07732">
      <w:pPr>
        <w:pStyle w:val="Heading8"/>
      </w:pPr>
      <w:bookmarkStart w:id="10" w:name="_Ref135722523"/>
      <w:bookmarkStart w:id="11" w:name="_Toc269722130"/>
      <w:bookmarkStart w:id="12" w:name="_Toc262170059"/>
      <w:r w:rsidRPr="00577EB1">
        <w:t xml:space="preserve">Figure </w:t>
      </w:r>
      <w:r w:rsidR="00725419">
        <w:fldChar w:fldCharType="begin"/>
      </w:r>
      <w:r w:rsidR="00EB214A">
        <w:instrText xml:space="preserve"> SEQ Figure \* ARABIC </w:instrText>
      </w:r>
      <w:r w:rsidR="00725419">
        <w:fldChar w:fldCharType="separate"/>
      </w:r>
      <w:r w:rsidR="00EF56B2">
        <w:rPr>
          <w:noProof/>
        </w:rPr>
        <w:t>1</w:t>
      </w:r>
      <w:r w:rsidR="00725419">
        <w:fldChar w:fldCharType="end"/>
      </w:r>
      <w:bookmarkEnd w:id="10"/>
      <w:r w:rsidR="0023017C">
        <w:t> </w:t>
      </w:r>
      <w:r w:rsidRPr="00577EB1">
        <w:t>: Place des filets sociaux au sein des politiques de développement</w:t>
      </w:r>
      <w:r w:rsidR="0008523C" w:rsidRPr="00577EB1">
        <w:t xml:space="preserve"> élargies</w:t>
      </w:r>
      <w:bookmarkEnd w:id="11"/>
      <w:r w:rsidRPr="00577EB1">
        <w:t xml:space="preserve"> </w:t>
      </w:r>
      <w:bookmarkEnd w:id="12"/>
    </w:p>
    <w:p w:rsidR="0065207E" w:rsidRPr="00577EB1" w:rsidRDefault="0065207E" w:rsidP="0065207E">
      <w:pPr>
        <w:keepNext/>
        <w:keepLines/>
        <w:pBdr>
          <w:top w:val="single" w:sz="4" w:space="1" w:color="auto"/>
          <w:left w:val="single" w:sz="4" w:space="0" w:color="auto"/>
          <w:bottom w:val="single" w:sz="4" w:space="0" w:color="auto"/>
          <w:right w:val="single" w:sz="4" w:space="1" w:color="auto"/>
        </w:pBdr>
        <w:spacing w:after="0"/>
        <w:rPr>
          <w:sz w:val="20"/>
          <w:szCs w:val="20"/>
          <w:lang w:val="fr-FR"/>
        </w:rPr>
      </w:pPr>
    </w:p>
    <w:p w:rsidR="0065207E" w:rsidRPr="00577EB1" w:rsidRDefault="0065207E" w:rsidP="0065207E">
      <w:pPr>
        <w:keepNext/>
        <w:keepLines/>
        <w:pBdr>
          <w:top w:val="single" w:sz="4" w:space="1" w:color="auto"/>
          <w:left w:val="single" w:sz="4" w:space="0" w:color="auto"/>
          <w:bottom w:val="single" w:sz="4" w:space="0" w:color="auto"/>
          <w:right w:val="single" w:sz="4" w:space="1" w:color="auto"/>
        </w:pBdr>
        <w:spacing w:after="0"/>
        <w:jc w:val="center"/>
        <w:rPr>
          <w:i/>
          <w:sz w:val="20"/>
          <w:szCs w:val="20"/>
          <w:lang w:val="fr-FR" w:eastAsia="fr-FR"/>
        </w:rPr>
      </w:pPr>
      <w:r w:rsidRPr="00577EB1">
        <w:rPr>
          <w:noProof/>
          <w:szCs w:val="24"/>
        </w:rPr>
        <w:drawing>
          <wp:inline distT="0" distB="0" distL="0" distR="0">
            <wp:extent cx="4398645" cy="3468370"/>
            <wp:effectExtent l="19050" t="0" r="1905"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398645" cy="3468370"/>
                    </a:xfrm>
                    <a:prstGeom prst="rect">
                      <a:avLst/>
                    </a:prstGeom>
                    <a:noFill/>
                    <a:ln w="9525">
                      <a:noFill/>
                      <a:miter lim="800000"/>
                      <a:headEnd/>
                      <a:tailEnd/>
                    </a:ln>
                  </pic:spPr>
                </pic:pic>
              </a:graphicData>
            </a:graphic>
          </wp:inline>
        </w:drawing>
      </w:r>
    </w:p>
    <w:p w:rsidR="0065207E" w:rsidRPr="00577EB1" w:rsidRDefault="0065207E" w:rsidP="0065207E">
      <w:pPr>
        <w:keepNext/>
        <w:keepLines/>
        <w:pBdr>
          <w:top w:val="single" w:sz="4" w:space="1" w:color="auto"/>
          <w:left w:val="single" w:sz="4" w:space="0" w:color="auto"/>
          <w:bottom w:val="single" w:sz="4" w:space="0" w:color="auto"/>
          <w:right w:val="single" w:sz="4" w:space="1" w:color="auto"/>
        </w:pBdr>
        <w:spacing w:after="0"/>
        <w:jc w:val="left"/>
        <w:rPr>
          <w:sz w:val="20"/>
          <w:szCs w:val="20"/>
          <w:lang w:val="fr-FR"/>
        </w:rPr>
      </w:pPr>
    </w:p>
    <w:p w:rsidR="004B3541" w:rsidRDefault="0065207E">
      <w:pPr>
        <w:keepLines/>
        <w:spacing w:before="120" w:after="480"/>
        <w:rPr>
          <w:i/>
          <w:sz w:val="20"/>
          <w:szCs w:val="20"/>
          <w:lang w:val="fr-FR"/>
        </w:rPr>
      </w:pPr>
      <w:r w:rsidRPr="00577EB1">
        <w:rPr>
          <w:i/>
          <w:sz w:val="20"/>
          <w:szCs w:val="20"/>
          <w:lang w:val="fr-FR"/>
        </w:rPr>
        <w:t>Source</w:t>
      </w:r>
      <w:r w:rsidR="00847527">
        <w:rPr>
          <w:i/>
          <w:sz w:val="20"/>
          <w:szCs w:val="20"/>
          <w:lang w:val="fr-FR"/>
        </w:rPr>
        <w:t xml:space="preserve"> : </w:t>
      </w:r>
      <w:r w:rsidRPr="00577EB1">
        <w:rPr>
          <w:sz w:val="20"/>
          <w:szCs w:val="20"/>
          <w:lang w:val="fr-FR"/>
        </w:rPr>
        <w:t>Grosh et coll. 2008.</w:t>
      </w:r>
    </w:p>
    <w:p w:rsidR="0065207E" w:rsidRPr="00577EB1" w:rsidRDefault="0065207E" w:rsidP="00E52A30">
      <w:pPr>
        <w:numPr>
          <w:ilvl w:val="0"/>
          <w:numId w:val="2"/>
        </w:numPr>
        <w:ind w:left="0" w:firstLine="0"/>
        <w:rPr>
          <w:rStyle w:val="longtext"/>
          <w:lang w:val="fr-FR"/>
        </w:rPr>
      </w:pPr>
      <w:r w:rsidRPr="00577EB1">
        <w:rPr>
          <w:rStyle w:val="longtext"/>
          <w:b/>
          <w:shd w:val="clear" w:color="auto" w:fill="FFFFFF"/>
          <w:lang w:val="fr-FR"/>
        </w:rPr>
        <w:t xml:space="preserve">Au cœur des nombreux débats entourant les filets sociaux se pose la question de la prévisibilité et de la </w:t>
      </w:r>
      <w:r w:rsidR="00BD550B">
        <w:rPr>
          <w:rStyle w:val="longtext"/>
          <w:b/>
          <w:shd w:val="clear" w:color="auto" w:fill="FFFFFF"/>
          <w:lang w:val="fr-FR"/>
        </w:rPr>
        <w:t>viabilité</w:t>
      </w:r>
      <w:r w:rsidRPr="00577EB1">
        <w:rPr>
          <w:rStyle w:val="longtext"/>
          <w:b/>
          <w:shd w:val="clear" w:color="auto" w:fill="FFFFFF"/>
          <w:lang w:val="fr-FR"/>
        </w:rPr>
        <w:t>.</w:t>
      </w:r>
      <w:r w:rsidRPr="00577EB1">
        <w:rPr>
          <w:rStyle w:val="longtext"/>
          <w:shd w:val="clear" w:color="auto" w:fill="FFFFFF"/>
          <w:lang w:val="fr-FR"/>
        </w:rPr>
        <w:t xml:space="preserve"> Pour un nombre croissant d’acteurs du développement, les transferts sociaux doivent être prévisibles, c’est-à-dire payés ou distribués régulièrement ou d’une manière prévisible (par exemple, chaque fois que les conditions climatiques empêchent d’avoir de bonnes production agricoles), et non comme une réaction opportuniste à une crise. En tant qu’initiative préventive, ce type de transfert social permet aux bénéficiaires de se préparer et de se protéger efficacement contre les catastrophes imprévisibles. </w:t>
      </w:r>
      <w:r w:rsidRPr="00577EB1">
        <w:rPr>
          <w:rStyle w:val="longtext"/>
          <w:lang w:val="fr-FR"/>
        </w:rPr>
        <w:t xml:space="preserve">Si par le passé, les filets sociaux ont souvent été perçus comme de simples transferts d’aide sociale permettant aux pauvres d’atténuer les pires effets des chocs, il est de plus en plus question de distinguer les filets sociaux des projets sociaux </w:t>
      </w:r>
      <w:r w:rsidRPr="00577EB1">
        <w:rPr>
          <w:rStyle w:val="longtext"/>
          <w:lang w:val="fr-FR"/>
        </w:rPr>
        <w:lastRenderedPageBreak/>
        <w:t xml:space="preserve">individuels, par l’intégration de plusieurs activités </w:t>
      </w:r>
      <w:r w:rsidRPr="00577EB1">
        <w:rPr>
          <w:rStyle w:val="longtext"/>
          <w:shd w:val="clear" w:color="auto" w:fill="FFFFFF"/>
          <w:lang w:val="fr-FR"/>
        </w:rPr>
        <w:t xml:space="preserve">dans un système de protection sociale prévisible, institutionnalisé et capable de répondre à la vulnérabilité aux risques, en s’appuyant sur une approche basée sur les droits. Les simples transferts d’aide d’urgence se sont avérés peu avantageux à long terme et présentent en plus un risque de création d’une dépendance. S’ils sont correctement mis en œuvre, les filets sociaux peuvent non seulement protéger, mais également promouvoir de manière significative les moyens de subsistance des populations pauvres. </w:t>
      </w:r>
    </w:p>
    <w:p w:rsidR="0065207E" w:rsidRPr="00577EB1" w:rsidRDefault="0065207E" w:rsidP="00E52A30">
      <w:pPr>
        <w:numPr>
          <w:ilvl w:val="0"/>
          <w:numId w:val="2"/>
        </w:numPr>
        <w:ind w:left="0" w:firstLine="0"/>
        <w:rPr>
          <w:rStyle w:val="longtext"/>
          <w:lang w:val="fr-FR"/>
        </w:rPr>
      </w:pPr>
      <w:r w:rsidRPr="00577EB1">
        <w:rPr>
          <w:rStyle w:val="longtext"/>
          <w:b/>
          <w:shd w:val="clear" w:color="auto" w:fill="FFFFFF"/>
          <w:lang w:val="fr-FR"/>
        </w:rPr>
        <w:t>Enfin, le principal domaine de l’action publique relevant du secteur public, le présent rapport se concentre sur les filets sociaux financés par les fonds publics</w:t>
      </w:r>
      <w:r w:rsidRPr="00577EB1">
        <w:rPr>
          <w:rStyle w:val="longtext"/>
          <w:shd w:val="clear" w:color="auto" w:fill="FFFFFF"/>
          <w:lang w:val="fr-FR"/>
        </w:rPr>
        <w:t xml:space="preserve"> ou par l’administration nationale ou locale ou par l’aide internationale officielle. Dans la plupart des pays en développement, il existe trois formes de base de transferts sociaux prévoyant</w:t>
      </w:r>
      <w:r w:rsidR="0007340F">
        <w:rPr>
          <w:rStyle w:val="longtext"/>
          <w:shd w:val="clear" w:color="auto" w:fill="FFFFFF"/>
          <w:lang w:val="fr-FR"/>
        </w:rPr>
        <w:t xml:space="preserve"> </w:t>
      </w:r>
      <w:r w:rsidRPr="00577EB1">
        <w:rPr>
          <w:rStyle w:val="longtext"/>
          <w:shd w:val="clear" w:color="auto" w:fill="FFFFFF"/>
          <w:lang w:val="fr-FR"/>
        </w:rPr>
        <w:t xml:space="preserve">i) des mécanismes </w:t>
      </w:r>
      <w:r w:rsidRPr="00577EB1">
        <w:rPr>
          <w:rStyle w:val="longtext"/>
          <w:i/>
          <w:shd w:val="clear" w:color="auto" w:fill="FFFFFF"/>
          <w:lang w:val="fr-FR"/>
        </w:rPr>
        <w:t>formels</w:t>
      </w:r>
      <w:r w:rsidRPr="00577EB1">
        <w:rPr>
          <w:rStyle w:val="longtext"/>
          <w:shd w:val="clear" w:color="auto" w:fill="FFFFFF"/>
          <w:lang w:val="fr-FR"/>
        </w:rPr>
        <w:t xml:space="preserve"> fournis par les États et prescrits par la loi</w:t>
      </w:r>
      <w:r w:rsidR="0007340F">
        <w:rPr>
          <w:rStyle w:val="longtext"/>
          <w:shd w:val="clear" w:color="auto" w:fill="FFFFFF"/>
          <w:lang w:val="fr-FR"/>
        </w:rPr>
        <w:t xml:space="preserve"> </w:t>
      </w:r>
      <w:r w:rsidRPr="00577EB1">
        <w:rPr>
          <w:rStyle w:val="longtext"/>
          <w:shd w:val="clear" w:color="auto" w:fill="FFFFFF"/>
          <w:lang w:val="fr-FR"/>
        </w:rPr>
        <w:t xml:space="preserve">ii) un appui </w:t>
      </w:r>
      <w:r w:rsidRPr="00577EB1">
        <w:rPr>
          <w:rStyle w:val="longtext"/>
          <w:i/>
          <w:shd w:val="clear" w:color="auto" w:fill="FFFFFF"/>
          <w:lang w:val="fr-FR"/>
        </w:rPr>
        <w:t>semi-formel</w:t>
      </w:r>
      <w:r w:rsidRPr="00577EB1">
        <w:rPr>
          <w:rStyle w:val="longtext"/>
          <w:shd w:val="clear" w:color="auto" w:fill="FFFFFF"/>
          <w:lang w:val="fr-FR"/>
        </w:rPr>
        <w:t xml:space="preserve"> fourni par les agences onusiennes ou les ONG</w:t>
      </w:r>
      <w:r w:rsidR="0007340F">
        <w:rPr>
          <w:rStyle w:val="longtext"/>
          <w:shd w:val="clear" w:color="auto" w:fill="FFFFFF"/>
          <w:lang w:val="fr-FR"/>
        </w:rPr>
        <w:t xml:space="preserve"> </w:t>
      </w:r>
      <w:r w:rsidRPr="00577EB1">
        <w:rPr>
          <w:rStyle w:val="longtext"/>
          <w:shd w:val="clear" w:color="auto" w:fill="FFFFFF"/>
          <w:lang w:val="fr-FR"/>
        </w:rPr>
        <w:t xml:space="preserve">et iii) des mécanismes </w:t>
      </w:r>
      <w:r w:rsidRPr="00577EB1">
        <w:rPr>
          <w:rStyle w:val="longtext"/>
          <w:i/>
          <w:shd w:val="clear" w:color="auto" w:fill="FFFFFF"/>
          <w:lang w:val="fr-FR"/>
        </w:rPr>
        <w:t>informels</w:t>
      </w:r>
      <w:r w:rsidRPr="00577EB1">
        <w:rPr>
          <w:rStyle w:val="longtext"/>
          <w:shd w:val="clear" w:color="auto" w:fill="FFFFFF"/>
          <w:lang w:val="fr-FR"/>
        </w:rPr>
        <w:t xml:space="preserve"> fournis par les ménages et les communautés. Le présent rapport ne couvre pas les filets sociaux informels.</w:t>
      </w:r>
    </w:p>
    <w:p w:rsidR="0065207E" w:rsidRPr="00577EB1" w:rsidRDefault="0065207E" w:rsidP="00A54EB6">
      <w:pPr>
        <w:pStyle w:val="Heading2"/>
      </w:pPr>
      <w:bookmarkStart w:id="13" w:name="_Toc261967401"/>
      <w:bookmarkStart w:id="14" w:name="_Toc262169623"/>
      <w:bookmarkStart w:id="15" w:name="_Toc264748722"/>
      <w:r w:rsidRPr="00577EB1">
        <w:t>Méthodologie de l’étude</w:t>
      </w:r>
      <w:bookmarkEnd w:id="13"/>
      <w:bookmarkEnd w:id="14"/>
      <w:bookmarkEnd w:id="15"/>
    </w:p>
    <w:p w:rsidR="0065207E" w:rsidRPr="00577EB1" w:rsidRDefault="0065207E" w:rsidP="00E52A30">
      <w:pPr>
        <w:numPr>
          <w:ilvl w:val="0"/>
          <w:numId w:val="2"/>
        </w:numPr>
        <w:ind w:left="0" w:firstLine="0"/>
        <w:rPr>
          <w:rStyle w:val="longtext"/>
          <w:lang w:val="fr-FR"/>
        </w:rPr>
      </w:pPr>
      <w:r w:rsidRPr="00577EB1">
        <w:rPr>
          <w:rStyle w:val="longtext"/>
          <w:b/>
          <w:shd w:val="clear" w:color="auto" w:fill="FFFFFF"/>
          <w:lang w:val="fr-FR"/>
        </w:rPr>
        <w:t>La présente étude a été réalisée à l’aide des analyses de la pauvreté existantes, des données administratives et de celles des enquêtes auprès des ménages, en étroite collaboration avec plusieurs ministères ainsi que des bailleurs de fonds engagés dans la protection sociale.</w:t>
      </w:r>
      <w:r w:rsidRPr="00577EB1">
        <w:rPr>
          <w:rStyle w:val="longtext"/>
          <w:shd w:val="clear" w:color="auto" w:fill="FFFFFF"/>
          <w:lang w:val="fr-FR"/>
        </w:rPr>
        <w:t xml:space="preserve"> </w:t>
      </w:r>
      <w:r w:rsidRPr="00577EB1">
        <w:rPr>
          <w:rStyle w:val="longtext"/>
          <w:lang w:val="fr-FR"/>
        </w:rPr>
        <w:t>Les principales sources de données utilisées dans le rapport sont les suivantes :</w:t>
      </w:r>
    </w:p>
    <w:p w:rsidR="0065207E" w:rsidRPr="00577EB1" w:rsidRDefault="0065207E" w:rsidP="00E52A30">
      <w:pPr>
        <w:pStyle w:val="BodyText2"/>
        <w:numPr>
          <w:ilvl w:val="0"/>
          <w:numId w:val="18"/>
        </w:numPr>
        <w:spacing w:after="240" w:line="240" w:lineRule="auto"/>
        <w:rPr>
          <w:rStyle w:val="longtext"/>
          <w:b/>
          <w:bCs/>
          <w:i/>
          <w:iCs/>
          <w:lang w:val="fr-FR"/>
        </w:rPr>
      </w:pPr>
      <w:r w:rsidRPr="00577EB1">
        <w:rPr>
          <w:rStyle w:val="longtext"/>
          <w:bCs/>
          <w:u w:val="single"/>
          <w:shd w:val="clear" w:color="auto" w:fill="FFFFFF"/>
          <w:lang w:val="fr-FR"/>
        </w:rPr>
        <w:t>Questionnaires</w:t>
      </w:r>
      <w:r w:rsidRPr="00577EB1">
        <w:rPr>
          <w:rStyle w:val="longtext"/>
          <w:u w:val="single"/>
          <w:shd w:val="clear" w:color="auto" w:fill="FFFFFF"/>
          <w:lang w:val="fr-FR"/>
        </w:rPr>
        <w:t xml:space="preserve"> sur les </w:t>
      </w:r>
      <w:r w:rsidRPr="00577EB1">
        <w:rPr>
          <w:rStyle w:val="longtext"/>
          <w:bCs/>
          <w:u w:val="single"/>
          <w:shd w:val="clear" w:color="auto" w:fill="FFFFFF"/>
          <w:lang w:val="fr-FR"/>
        </w:rPr>
        <w:t>indicateurs</w:t>
      </w:r>
      <w:r w:rsidRPr="00577EB1">
        <w:rPr>
          <w:rStyle w:val="longtext"/>
          <w:u w:val="single"/>
          <w:shd w:val="clear" w:color="auto" w:fill="FFFFFF"/>
          <w:lang w:val="fr-FR"/>
        </w:rPr>
        <w:t xml:space="preserve"> essentiels de </w:t>
      </w:r>
      <w:r w:rsidRPr="00577EB1">
        <w:rPr>
          <w:rStyle w:val="longtext"/>
          <w:bCs/>
          <w:u w:val="single"/>
          <w:shd w:val="clear" w:color="auto" w:fill="FFFFFF"/>
          <w:lang w:val="fr-FR"/>
        </w:rPr>
        <w:t>bien</w:t>
      </w:r>
      <w:r w:rsidRPr="00577EB1">
        <w:rPr>
          <w:rStyle w:val="longtext"/>
          <w:u w:val="single"/>
          <w:shd w:val="clear" w:color="auto" w:fill="FFFFFF"/>
          <w:lang w:val="fr-FR"/>
        </w:rPr>
        <w:t>-</w:t>
      </w:r>
      <w:r w:rsidRPr="00577EB1">
        <w:rPr>
          <w:rStyle w:val="longtext"/>
          <w:bCs/>
          <w:u w:val="single"/>
          <w:shd w:val="clear" w:color="auto" w:fill="FFFFFF"/>
          <w:lang w:val="fr-FR"/>
        </w:rPr>
        <w:t>être</w:t>
      </w:r>
      <w:r w:rsidRPr="00577EB1">
        <w:rPr>
          <w:lang w:val="fr-FR"/>
        </w:rPr>
        <w:t xml:space="preserve">. </w:t>
      </w:r>
      <w:r w:rsidRPr="00577EB1">
        <w:rPr>
          <w:rStyle w:val="longtext"/>
          <w:shd w:val="clear" w:color="auto" w:fill="FFFFFF"/>
          <w:lang w:val="fr-FR"/>
        </w:rPr>
        <w:t xml:space="preserve">L’analyse des besoins a nécessité une analyse économétrique des données de 2003, 2005 et 2007 des </w:t>
      </w:r>
      <w:r w:rsidRPr="00577EB1">
        <w:rPr>
          <w:rStyle w:val="longtext"/>
          <w:bCs/>
          <w:shd w:val="clear" w:color="auto" w:fill="FFFFFF"/>
          <w:lang w:val="fr-FR"/>
        </w:rPr>
        <w:t>questionnaires</w:t>
      </w:r>
      <w:r w:rsidRPr="00577EB1">
        <w:rPr>
          <w:rStyle w:val="longtext"/>
          <w:shd w:val="clear" w:color="auto" w:fill="FFFFFF"/>
          <w:lang w:val="fr-FR"/>
        </w:rPr>
        <w:t xml:space="preserve"> sur les </w:t>
      </w:r>
      <w:r w:rsidRPr="00577EB1">
        <w:rPr>
          <w:rStyle w:val="longtext"/>
          <w:bCs/>
          <w:shd w:val="clear" w:color="auto" w:fill="FFFFFF"/>
          <w:lang w:val="fr-FR"/>
        </w:rPr>
        <w:t>indicateurs</w:t>
      </w:r>
      <w:r w:rsidRPr="00577EB1">
        <w:rPr>
          <w:rStyle w:val="longtext"/>
          <w:shd w:val="clear" w:color="auto" w:fill="FFFFFF"/>
          <w:lang w:val="fr-FR"/>
        </w:rPr>
        <w:t xml:space="preserve"> essentiels de </w:t>
      </w:r>
      <w:r w:rsidRPr="00577EB1">
        <w:rPr>
          <w:rStyle w:val="longtext"/>
          <w:bCs/>
          <w:shd w:val="clear" w:color="auto" w:fill="FFFFFF"/>
          <w:lang w:val="fr-FR"/>
        </w:rPr>
        <w:t>bien</w:t>
      </w:r>
      <w:r w:rsidRPr="00577EB1">
        <w:rPr>
          <w:rStyle w:val="longtext"/>
          <w:shd w:val="clear" w:color="auto" w:fill="FFFFFF"/>
          <w:lang w:val="fr-FR"/>
        </w:rPr>
        <w:t>-</w:t>
      </w:r>
      <w:r w:rsidRPr="00577EB1">
        <w:rPr>
          <w:rStyle w:val="longtext"/>
          <w:bCs/>
          <w:shd w:val="clear" w:color="auto" w:fill="FFFFFF"/>
          <w:lang w:val="fr-FR"/>
        </w:rPr>
        <w:t>être</w:t>
      </w:r>
      <w:r w:rsidRPr="00577EB1">
        <w:rPr>
          <w:rStyle w:val="longtext"/>
          <w:shd w:val="clear" w:color="auto" w:fill="FFFFFF"/>
          <w:lang w:val="fr-FR"/>
        </w:rPr>
        <w:t xml:space="preserve"> (CWIQ), ainsi qu’un examen de l’évaluation des risques et de la vulnérabilité de 200</w:t>
      </w:r>
      <w:r w:rsidRPr="00577EB1">
        <w:rPr>
          <w:rStyle w:val="longtext"/>
          <w:bCs/>
          <w:iCs/>
          <w:lang w:val="fr-FR"/>
        </w:rPr>
        <w:t>3.</w:t>
      </w:r>
      <w:r w:rsidRPr="00577EB1">
        <w:rPr>
          <w:rStyle w:val="longtext"/>
          <w:shd w:val="clear" w:color="auto" w:fill="FFFFFF"/>
          <w:lang w:val="fr-FR"/>
        </w:rPr>
        <w:t xml:space="preserve"> </w:t>
      </w:r>
      <w:r w:rsidRPr="00577EB1">
        <w:rPr>
          <w:rStyle w:val="longtext"/>
          <w:lang w:val="fr-FR"/>
        </w:rPr>
        <w:t>Voir « Dynamique de la pauvreté et de la précarité au Burkina Faso</w:t>
      </w:r>
      <w:r w:rsidRPr="00577EB1">
        <w:rPr>
          <w:rStyle w:val="longtext"/>
          <w:i/>
          <w:lang w:val="fr-FR"/>
        </w:rPr>
        <w:t xml:space="preserve"> </w:t>
      </w:r>
      <w:r w:rsidRPr="00577EB1">
        <w:rPr>
          <w:rStyle w:val="longtext"/>
          <w:lang w:val="fr-FR"/>
        </w:rPr>
        <w:t xml:space="preserve">(2003-2007) » réalisée par une équipe conjointe du ministère de l’Économie et des Finances du Burkina Faso et de la Banque mondiale (Nouvé et coll. 2009, non publié). </w:t>
      </w:r>
      <w:r w:rsidRPr="00577EB1">
        <w:rPr>
          <w:rStyle w:val="longtext"/>
          <w:shd w:val="clear" w:color="auto" w:fill="FFFFFF"/>
          <w:lang w:val="fr-FR"/>
        </w:rPr>
        <w:t>Une nouvelle enquête auprès des ménages pour 2009-2010, avec des informations approfondies sur la consommation des ménages, est actuellement en cours sur le terrain (sur plus de 12 mois avec quatre visites aux ménages). Les résultats complets de cette enquête, attendus en 2011, fourniront des estimations plus précises de la pauvreté.</w:t>
      </w:r>
    </w:p>
    <w:p w:rsidR="0065207E" w:rsidRPr="00577EB1" w:rsidRDefault="0065207E" w:rsidP="00E52A30">
      <w:pPr>
        <w:pStyle w:val="BodyText2"/>
        <w:numPr>
          <w:ilvl w:val="0"/>
          <w:numId w:val="18"/>
        </w:numPr>
        <w:spacing w:after="240" w:line="240" w:lineRule="auto"/>
        <w:rPr>
          <w:lang w:val="fr-FR"/>
        </w:rPr>
      </w:pPr>
      <w:r w:rsidRPr="00577EB1">
        <w:rPr>
          <w:rStyle w:val="longtext"/>
          <w:u w:val="single"/>
          <w:shd w:val="clear" w:color="auto" w:fill="FFFFFF"/>
          <w:lang w:val="fr-FR"/>
        </w:rPr>
        <w:t>Inventaires de différents programmes de filets sociaux existants</w:t>
      </w:r>
      <w:r w:rsidRPr="00577EB1">
        <w:rPr>
          <w:rStyle w:val="longtext"/>
          <w:shd w:val="clear" w:color="auto" w:fill="FFFFFF"/>
          <w:lang w:val="fr-FR"/>
        </w:rPr>
        <w:t xml:space="preserve"> (financés par l’État, des organisations internationales/bailleurs de fonds bilatéraux et des ONG).</w:t>
      </w:r>
    </w:p>
    <w:p w:rsidR="0065207E" w:rsidRPr="00577EB1" w:rsidRDefault="0065207E" w:rsidP="00E52A30">
      <w:pPr>
        <w:pStyle w:val="BodyText2"/>
        <w:numPr>
          <w:ilvl w:val="0"/>
          <w:numId w:val="18"/>
        </w:numPr>
        <w:spacing w:after="240" w:line="240" w:lineRule="auto"/>
        <w:rPr>
          <w:lang w:val="fr-FR"/>
        </w:rPr>
      </w:pPr>
      <w:r w:rsidRPr="00577EB1">
        <w:rPr>
          <w:u w:val="single"/>
          <w:lang w:val="fr-FR"/>
        </w:rPr>
        <w:t>Des d</w:t>
      </w:r>
      <w:r w:rsidRPr="00577EB1">
        <w:rPr>
          <w:rStyle w:val="longtext"/>
          <w:u w:val="single"/>
          <w:shd w:val="clear" w:color="auto" w:fill="FFFFFF"/>
          <w:lang w:val="fr-FR"/>
        </w:rPr>
        <w:t>onnées administratives</w:t>
      </w:r>
      <w:r w:rsidRPr="00577EB1">
        <w:rPr>
          <w:rStyle w:val="longtext"/>
          <w:shd w:val="clear" w:color="auto" w:fill="FFFFFF"/>
          <w:lang w:val="fr-FR"/>
        </w:rPr>
        <w:t xml:space="preserve"> ainsi que les évaluations des programmes existants ont servi à l’évaluation de la portée et de l’efficacité desdits programmes ainsi que de leur pertinence par rapport aux principaux risques auxquels sont confrontés les ménages vulnérables. </w:t>
      </w:r>
    </w:p>
    <w:p w:rsidR="0065207E" w:rsidRPr="00577EB1" w:rsidRDefault="0065207E" w:rsidP="00E52A30">
      <w:pPr>
        <w:pStyle w:val="BodyText2"/>
        <w:numPr>
          <w:ilvl w:val="0"/>
          <w:numId w:val="18"/>
        </w:numPr>
        <w:spacing w:after="240" w:line="240" w:lineRule="auto"/>
        <w:rPr>
          <w:lang w:val="fr-FR"/>
        </w:rPr>
      </w:pPr>
      <w:r w:rsidRPr="00577EB1">
        <w:rPr>
          <w:rStyle w:val="longtext"/>
          <w:u w:val="single"/>
          <w:shd w:val="clear" w:color="auto" w:fill="FFFFFF"/>
          <w:lang w:val="fr-FR"/>
        </w:rPr>
        <w:t>L’inventaire détaillé des programmes de filets sociaux</w:t>
      </w:r>
      <w:r w:rsidRPr="00577EB1">
        <w:rPr>
          <w:rStyle w:val="longtext"/>
          <w:shd w:val="clear" w:color="auto" w:fill="FFFFFF"/>
          <w:lang w:val="fr-FR"/>
        </w:rPr>
        <w:t>, préparé par le professeur Kimseyinga Savadogo (consultant national), a constitué la principale source d’information pour cette étude</w:t>
      </w:r>
      <w:r w:rsidRPr="00577EB1">
        <w:rPr>
          <w:lang w:val="fr-FR"/>
        </w:rPr>
        <w:t>.</w:t>
      </w:r>
    </w:p>
    <w:p w:rsidR="0065207E" w:rsidRPr="00577EB1" w:rsidRDefault="0065207E" w:rsidP="00A54EB6">
      <w:pPr>
        <w:pStyle w:val="Heading2"/>
      </w:pPr>
      <w:bookmarkStart w:id="16" w:name="_Toc261967402"/>
      <w:bookmarkStart w:id="17" w:name="_Toc262169624"/>
      <w:bookmarkStart w:id="18" w:name="_Toc264748723"/>
      <w:r w:rsidRPr="00577EB1">
        <w:lastRenderedPageBreak/>
        <w:t>Structure du rapport</w:t>
      </w:r>
      <w:bookmarkEnd w:id="16"/>
      <w:bookmarkEnd w:id="17"/>
      <w:bookmarkEnd w:id="18"/>
    </w:p>
    <w:p w:rsidR="00B35B0F" w:rsidRPr="00577EB1" w:rsidRDefault="0065207E" w:rsidP="00E52A30">
      <w:pPr>
        <w:numPr>
          <w:ilvl w:val="0"/>
          <w:numId w:val="2"/>
        </w:numPr>
        <w:ind w:left="0" w:firstLine="0"/>
        <w:rPr>
          <w:lang w:val="fr-FR"/>
        </w:rPr>
      </w:pPr>
      <w:r w:rsidRPr="00577EB1">
        <w:rPr>
          <w:rStyle w:val="longtext"/>
          <w:shd w:val="clear" w:color="auto" w:fill="FFFFFF"/>
          <w:lang w:val="fr-FR"/>
        </w:rPr>
        <w:t>Le reste du rapport est organisé comme suit</w:t>
      </w:r>
      <w:r w:rsidR="0007340F">
        <w:rPr>
          <w:rStyle w:val="longtext"/>
          <w:shd w:val="clear" w:color="auto" w:fill="FFFFFF"/>
          <w:lang w:val="fr-FR"/>
        </w:rPr>
        <w:t xml:space="preserve"> </w:t>
      </w:r>
      <w:r w:rsidRPr="00577EB1">
        <w:rPr>
          <w:rStyle w:val="longtext"/>
          <w:shd w:val="clear" w:color="auto" w:fill="FFFFFF"/>
          <w:lang w:val="fr-FR"/>
        </w:rPr>
        <w:t xml:space="preserve">le Chapitre II expose la nature et l’ampleur du problème, en décrivant ce qui est connu de la pauvreté et de la vulnérabilité au Burkina Faso. Le Chapitre III donne un aperçu des politiques, des cadres institutionnels et du dispositif financier des filets sociaux. Le Chapitre IV passe en revue les performances des différents programmes de filets sociaux existants en prenant en particulier en compte leur adéquation, équité, rentabilité et </w:t>
      </w:r>
      <w:r w:rsidR="00BD550B">
        <w:rPr>
          <w:rStyle w:val="longtext"/>
          <w:shd w:val="clear" w:color="auto" w:fill="FFFFFF"/>
          <w:lang w:val="fr-FR"/>
        </w:rPr>
        <w:t>viabilité</w:t>
      </w:r>
      <w:r w:rsidRPr="00577EB1">
        <w:rPr>
          <w:rStyle w:val="longtext"/>
          <w:shd w:val="clear" w:color="auto" w:fill="FFFFFF"/>
          <w:lang w:val="fr-FR"/>
        </w:rPr>
        <w:t>. Enfin, le Chapitre V formule des recommandations politiques clés pour améliorer l’efficacité des filets sociaux existants afin de protéger les personnes pauvres et vulnérables tout en préparant une réponse aux crises à venir.</w:t>
      </w:r>
    </w:p>
    <w:p w:rsidR="00920EB3" w:rsidRPr="00577EB1" w:rsidRDefault="00920EB3" w:rsidP="00920EB3">
      <w:pPr>
        <w:rPr>
          <w:lang w:val="fr-FR"/>
        </w:rPr>
      </w:pPr>
    </w:p>
    <w:p w:rsidR="004B1FC7" w:rsidRPr="00577EB1" w:rsidRDefault="004B1FC7" w:rsidP="004B1FC7">
      <w:pPr>
        <w:pStyle w:val="Heading1"/>
      </w:pPr>
      <w:bookmarkStart w:id="19" w:name="_Toc264748724"/>
      <w:bookmarkStart w:id="20" w:name="_Toc237401034"/>
      <w:r w:rsidRPr="00577EB1">
        <w:lastRenderedPageBreak/>
        <w:t xml:space="preserve">CHAPITRE </w:t>
      </w:r>
      <w:r w:rsidR="0050199E" w:rsidRPr="00577EB1">
        <w:t>II</w:t>
      </w:r>
      <w:r w:rsidR="002015E5">
        <w:t> :</w:t>
      </w:r>
      <w:r w:rsidR="0007340F">
        <w:t xml:space="preserve"> </w:t>
      </w:r>
      <w:r w:rsidRPr="00577EB1">
        <w:t>PAUVRETÉ, VULNÉRABILITÉ ET RISQUES AU BURKINA FASO</w:t>
      </w:r>
      <w:bookmarkEnd w:id="19"/>
    </w:p>
    <w:p w:rsidR="004B1FC7" w:rsidRPr="008C3350" w:rsidRDefault="004B1FC7" w:rsidP="004B1FC7">
      <w:pPr>
        <w:rPr>
          <w:b/>
          <w:i/>
          <w:szCs w:val="24"/>
          <w:lang w:val="fr-FR"/>
        </w:rPr>
      </w:pPr>
      <w:r w:rsidRPr="008C3350">
        <w:rPr>
          <w:b/>
          <w:i/>
          <w:szCs w:val="24"/>
          <w:lang w:val="fr-FR"/>
        </w:rPr>
        <w:t>Suite à la croissance économique soutenue enregistrée au cours de la dernière décennie, on estime que l’incidence de la pauvreté monétaire au Burkina Faso a baissé de 46,4 % en 2003 à 43,2 % en 2009. En termes de biens, les études du QUIBB ont déterminé que la pauvreté a baissé de 46,3 % en 2003 à 38,5 % en 2007. Il y a cependant des raisons de croire que le récent ralentissement de la croissance économique et la hausse des prix des carburants et des aliments ont amené une chute du revenu réel et inversé la tendance positive de la réduction de la pauvreté. Même si les différentes études fournissent des estimations différentes de la pauvreté, c’est un fait confirmé que la pauvreté a diminué au long de la dernière décennie. Les prochaines enquêtes 2008 et 2009-2010 sur la consommation des ménages devraient fournir des informations plus précises sur les tendances de la pauvreté. Sur la base des données disponibles, la vulnérabilité aux risques d’un ménage burkinabé dépend de facteurs tels que l’état de santé et la situation nutritionnelle de ses membres, le genre, les biens physiques comme le logement, les infrastructures, le lieu de résidence, ainsi que le niveau d'éducation, l'accès à l'information et les pratiques culturelles et comportementales. Les pauvres sont plus vulnérables que les autres groupes de la population parce qu’ils sont généralement plus exposés au risque, sont confrontés à plusieurs risques en même temps, et ont moins de biens et de ressources pour faire face aux risques de perte de revenu. Sur la base des enquêtes QUIBB, on estime que la pauvreté chronique est tombée de 25,4 % en 2003 à 18,8 % en 2007, après avoir plafonné à 31,1 % en 2005 suite à la crise climatique de 2004. Par ailleurs, en périodes de chocs, on estime que 20 % de plus de la population devient temporairement pauvre. Selon l’enquête 2003 sur les priorités, un ménage burkinabé pauvre typique se compose de sept membres ou plus, a à sa tête un homme polygame, illettré ou avec un niveau d’études primaires inférieures, qui est agriculteur dans une zone rurale de la région Nord-est.</w:t>
      </w:r>
      <w:r w:rsidR="0007340F" w:rsidRPr="008C3350">
        <w:rPr>
          <w:b/>
          <w:i/>
          <w:szCs w:val="24"/>
          <w:lang w:val="fr-FR"/>
        </w:rPr>
        <w:t xml:space="preserve"> </w:t>
      </w:r>
      <w:r w:rsidRPr="008C3350">
        <w:rPr>
          <w:b/>
          <w:i/>
          <w:szCs w:val="24"/>
          <w:lang w:val="fr-FR"/>
        </w:rPr>
        <w:t xml:space="preserve">Certaines données indiquent que les veuves et les femmes qui l’ont été peuvent se trouver dans une situation sensiblement pire et être plus vulnérables au risque de perte de revenu que beaucoup des autres femmes du Mali rural. Ce sont des faits dont les politiques de filets sociaux devraient tenir compte. Étant donné la haute incidence de la pauvreté, le pourcentage de la population qui devrait bénéficier des filets sociaux est important (plus de 40 % de la population totale). Sur la base des données sur la pauvreté qui sont disponibles, le coût financier des transferts publics nécessaires pour combler l’écart de pauvreté pourrait aller de 2,3 à 2,6 % du PIB. Cependant, en raison des contraintes budgétaires, une stratégie sensée de filets sociaux devrait avoir pour but de réduire les formes les plus extrêmes d’indigence et d’insécurité alimentaire et d’aider les plus pauvres et les plus vulnérables à maintenir la consommation en période de chocs. De plus, les dépenses publiques en faveur des pauvres à travers des filets sociaux bien ciblés pourraient apporter des ressources permettant aux pauvres d’investir le nécessaire dans le développement du capital humain. </w:t>
      </w:r>
    </w:p>
    <w:p w:rsidR="004B1FC7" w:rsidRPr="00577EB1" w:rsidRDefault="004B1FC7" w:rsidP="00E52A30">
      <w:pPr>
        <w:numPr>
          <w:ilvl w:val="0"/>
          <w:numId w:val="2"/>
        </w:numPr>
        <w:ind w:left="0" w:firstLine="0"/>
        <w:rPr>
          <w:szCs w:val="24"/>
          <w:lang w:val="fr-FR"/>
        </w:rPr>
      </w:pPr>
      <w:r w:rsidRPr="00577EB1">
        <w:rPr>
          <w:szCs w:val="24"/>
          <w:lang w:val="fr-FR"/>
        </w:rPr>
        <w:t>Une bonne compréhension des groupes de population qui ont besoin de programmes de filets sociaux de manière permanente est essentielle pour éclairer les décideurs politiques lors de la définition d’une combinaison adéquate de politiques de filets sociaux. C’est pourquoi dans ce chapitre nous ferons le point de la situation de la pauvreté et de la vulnérabilité dans le pays, sur la base des rapports existants et des données disponibles. La section A examine le contexte macroéconomique national</w:t>
      </w:r>
      <w:r w:rsidR="0007340F">
        <w:rPr>
          <w:szCs w:val="24"/>
          <w:lang w:val="fr-FR"/>
        </w:rPr>
        <w:t xml:space="preserve"> </w:t>
      </w:r>
      <w:r w:rsidRPr="00577EB1">
        <w:rPr>
          <w:szCs w:val="24"/>
          <w:lang w:val="fr-FR"/>
        </w:rPr>
        <w:t xml:space="preserve">les sections B et </w:t>
      </w:r>
      <w:r w:rsidRPr="00577EB1">
        <w:rPr>
          <w:szCs w:val="24"/>
          <w:lang w:val="fr-FR"/>
        </w:rPr>
        <w:lastRenderedPageBreak/>
        <w:t xml:space="preserve">C se concentrent sur le niveau de pauvreté, l’accès aux services de base, l’évolution de la pauvreté à travers le temps et les principales sources de risques et de vulnérabilité. Enfin, la section D fait une évaluation rapide des aspects financiers de l’allègement de la pauvreté. </w:t>
      </w:r>
    </w:p>
    <w:p w:rsidR="004B1FC7" w:rsidRPr="00577EB1" w:rsidRDefault="004B1FC7" w:rsidP="00A54EB6">
      <w:pPr>
        <w:pStyle w:val="Heading2"/>
      </w:pPr>
      <w:bookmarkStart w:id="21" w:name="_Toc264748725"/>
      <w:r w:rsidRPr="00577EB1">
        <w:t>Contexte national et point de vue macroéconomique</w:t>
      </w:r>
      <w:bookmarkEnd w:id="21"/>
    </w:p>
    <w:p w:rsidR="004B1FC7" w:rsidRPr="00577EB1" w:rsidRDefault="004B1FC7" w:rsidP="00E52A30">
      <w:pPr>
        <w:numPr>
          <w:ilvl w:val="0"/>
          <w:numId w:val="2"/>
        </w:numPr>
        <w:ind w:left="0" w:firstLine="0"/>
        <w:rPr>
          <w:szCs w:val="24"/>
          <w:lang w:val="fr-FR"/>
        </w:rPr>
      </w:pPr>
      <w:r w:rsidRPr="00577EB1">
        <w:rPr>
          <w:b/>
          <w:szCs w:val="24"/>
          <w:lang w:val="fr-FR"/>
        </w:rPr>
        <w:t>Le Burkina Faso est un petit pays enclavé de l’Afrique de l’Ouest, à prédominance rurale.</w:t>
      </w:r>
      <w:r w:rsidRPr="00577EB1">
        <w:rPr>
          <w:szCs w:val="24"/>
          <w:lang w:val="fr-FR"/>
        </w:rPr>
        <w:t xml:space="preserve"> Sa population de 15,8 millions d’habitants (2009), en rapide expansion, dépend de ressources naturelles très limitées, où le coton est le seul produit d’exportation important.</w:t>
      </w:r>
      <w:r w:rsidRPr="00577EB1">
        <w:rPr>
          <w:rStyle w:val="FootnoteReference"/>
          <w:szCs w:val="24"/>
          <w:lang w:val="fr-FR"/>
        </w:rPr>
        <w:footnoteReference w:id="3"/>
      </w:r>
      <w:r w:rsidRPr="00577EB1">
        <w:rPr>
          <w:szCs w:val="24"/>
          <w:lang w:val="fr-FR"/>
        </w:rPr>
        <w:t xml:space="preserve"> Le secteur agricole emploie plus de 80 % de la population, et représente 40 % du PIB national. La filière coton est et restera un élément vital de l’économie du Burkina à court et moyen terme. Il génère 700 000 emplois, fait travailler 17 % de la population et constitue la seule source de revenus en espèces pour beaucoup d’agriculteurs. Or, l’économie agraire est particulièrement vulnérable aux chocs climatiques et extérieurs. Le fragile environnement sahélien du Burkina connaît aussi bien la sécheresse que des inondations. En plus des conditions climatiques, des facteurs extérieurs, comme les cours internationaux du coton et la fluctuation de ceux des carburants et des aliments ont également un impact sur le pays. En tant que pays enclavé, entouré de six voisins, le Burkina Faso est hautement dépendant de ses bonnes relations avec ceux-ci et de leur stabilité pour le transit, le commerce sur les marchés extérieurs et la stabilité politique.</w:t>
      </w:r>
    </w:p>
    <w:p w:rsidR="004B1FC7" w:rsidRPr="00577EB1" w:rsidRDefault="004B1FC7" w:rsidP="00E52A30">
      <w:pPr>
        <w:numPr>
          <w:ilvl w:val="0"/>
          <w:numId w:val="2"/>
        </w:numPr>
        <w:ind w:left="0" w:firstLine="0"/>
        <w:rPr>
          <w:szCs w:val="24"/>
          <w:lang w:val="fr-FR"/>
        </w:rPr>
      </w:pPr>
      <w:r w:rsidRPr="00577EB1">
        <w:rPr>
          <w:b/>
          <w:szCs w:val="24"/>
          <w:lang w:val="fr-FR"/>
        </w:rPr>
        <w:t>Depuis le début des années 90, le pays a bénéficié d’une relative stabilité politique et d’une plateforme progressiste de réformes économiques et politiques.</w:t>
      </w:r>
      <w:r w:rsidRPr="00577EB1">
        <w:rPr>
          <w:szCs w:val="24"/>
          <w:lang w:val="fr-FR"/>
        </w:rPr>
        <w:t xml:space="preserve"> Au cours des deux dernières décennies, le gouvernement du Burkina Faso s’est engagé dans un ambitieux agenda de réformes économiques et politiques, incluant le commerce, la libéralisation des prix et des tentatives de gouvernance décentralisée. Après la dévaluation de la monnaie en 1994 et au fil de l’exécution de l’agenda des réformes, un accroissement moyen du PIB réel stable de 5,6 % a pu être atteint de 1994 à 2004. Entre 1998 et 2006, le Burkina Faso a bénéficié d’un taux moyen de croissance économique élevé, d’environ 6 % par an. Entre les années 80 et 2008, le revenu par habitant est passé de 270 à 480 dollars EU. La plupart de ces résultats sont le fruit des gains d’efficacité réalisés grâce à la mise en œuvre de réformes structurelles, dont la dévaluation du franc CFA en 1994. L’important flux de l’aide extérieure, estimé entre 8 et 9 % du PIB depuis 1996, a lui aussi largement contribué à cette réussite. En fait, le Burkina Faso est devenu l’un des premiers pays éligibles à l’initiative pour les pays pauvres très endettés. </w:t>
      </w:r>
    </w:p>
    <w:p w:rsidR="004B1FC7" w:rsidRPr="00577EB1" w:rsidRDefault="004B1FC7" w:rsidP="00E52A30">
      <w:pPr>
        <w:numPr>
          <w:ilvl w:val="0"/>
          <w:numId w:val="2"/>
        </w:numPr>
        <w:ind w:left="0" w:firstLine="0"/>
        <w:rPr>
          <w:szCs w:val="24"/>
          <w:lang w:val="fr-FR"/>
        </w:rPr>
      </w:pPr>
      <w:r w:rsidRPr="00577EB1">
        <w:rPr>
          <w:b/>
          <w:szCs w:val="24"/>
          <w:lang w:val="fr-FR"/>
        </w:rPr>
        <w:t>Cependant, depuis 2007, l'instabilité des pluies, la fluctuation des cours des produits de base, la hausse des prix des carburants et du riz et la récente crise financière mondiale ont provoqué une chute du taux de croissance.</w:t>
      </w:r>
      <w:r w:rsidRPr="00577EB1">
        <w:rPr>
          <w:szCs w:val="24"/>
          <w:lang w:val="fr-FR"/>
        </w:rPr>
        <w:t xml:space="preserve"> La baisse des cours du coton en 2004-2006 (une chute de plus de 40 % du cours de référence mondial pendant cette période), la dépréciation du dollar EU par rapport à l'euro, la diminution de 44 % de la production de coton en 2007-2008, et l’augmentation des prix alimentaires et pétroliers des deux dernières années ont tous eu un effet sur la croissance du Burkina. La crise financière mondiale affecte négativement la croissance du Burkina et les performances budgétaires. Bien que le pays ait fait preuve de résilience face à l’impact de la crise financière grâce aux liaisons transfrontalières limitées de son système bancaire, les </w:t>
      </w:r>
      <w:r w:rsidRPr="00577EB1">
        <w:rPr>
          <w:szCs w:val="24"/>
          <w:lang w:val="fr-FR"/>
        </w:rPr>
        <w:lastRenderedPageBreak/>
        <w:t xml:space="preserve">perspectives économiques ont empiré à mesure que les effets néfastes pour l’activité réelle pénètrent l’économie. Les principaux mécanismes de transmission sont la chute spectaculaire des prix d’exportation du coton et la diminution de la demande, même s’ils sont en partie compensés par la baisse du pétrole et la hausse de l'or. L’affaiblissement de la croissance mondiale et la baisse des prix nationaux du coton ont sensiblement affecté la rentabilité des usines d’égrenage, fait pression sur les finances de l'État et créé un risque qui a entraîné une brusque baisse de la production des petits planteurs de coton menant potentiellement à une aggravation significative de la pauvreté. On s’attend aussi à ce que le durcissement des conditions du crédit freine les investissements étrangers directs, notamment dans le secteur minier. De plus, l’aide publique pourrait diminuer car les </w:t>
      </w:r>
      <w:r w:rsidR="005D6182">
        <w:rPr>
          <w:szCs w:val="24"/>
          <w:lang w:val="fr-FR"/>
        </w:rPr>
        <w:t>bailleurs de fond</w:t>
      </w:r>
      <w:r w:rsidRPr="00577EB1">
        <w:rPr>
          <w:szCs w:val="24"/>
          <w:lang w:val="fr-FR"/>
        </w:rPr>
        <w:t xml:space="preserve"> affrontent des crises financières dans leurs propres pays. </w:t>
      </w:r>
    </w:p>
    <w:p w:rsidR="004B1FC7" w:rsidRPr="00577EB1" w:rsidRDefault="004B1FC7" w:rsidP="00E52A30">
      <w:pPr>
        <w:numPr>
          <w:ilvl w:val="0"/>
          <w:numId w:val="2"/>
        </w:numPr>
        <w:ind w:left="0" w:firstLine="0"/>
        <w:rPr>
          <w:szCs w:val="24"/>
          <w:lang w:val="fr-FR"/>
        </w:rPr>
      </w:pPr>
      <w:r w:rsidRPr="00577EB1">
        <w:rPr>
          <w:b/>
          <w:color w:val="000000"/>
          <w:szCs w:val="24"/>
          <w:lang w:val="fr-FR"/>
        </w:rPr>
        <w:t xml:space="preserve">En conséquence, la croissance du PIB pour 2009 a été revue à la baisse, passant de 6,2 % avant la crise à une estimation de 3,1 %. Il en va de même pour les </w:t>
      </w:r>
      <w:r w:rsidR="006C7E0D" w:rsidRPr="00577EB1">
        <w:rPr>
          <w:b/>
          <w:color w:val="000000"/>
          <w:szCs w:val="24"/>
          <w:lang w:val="fr-FR"/>
        </w:rPr>
        <w:t>prévision</w:t>
      </w:r>
      <w:r w:rsidRPr="00577EB1">
        <w:rPr>
          <w:b/>
          <w:color w:val="000000"/>
          <w:szCs w:val="24"/>
          <w:lang w:val="fr-FR"/>
        </w:rPr>
        <w:t>s de croissance pour 2010, qui passent de 6,0 % à 4,2 %.</w:t>
      </w:r>
      <w:r w:rsidRPr="00577EB1">
        <w:rPr>
          <w:color w:val="000000"/>
          <w:szCs w:val="24"/>
          <w:lang w:val="fr-FR"/>
        </w:rPr>
        <w:t xml:space="preserve"> La croissance devrait principalement provenir du secteur agricole, étant donné que les mesures introduites en 2008 pour répondre à la crise alimentaire commencent à faire leur effet, et du secteur minier (bien que dans une moindre mesure) car les cours de l’or ont généralement résisté au fléchissement des marchés des matières premières, tandis que plus de mines passent à l’étape d’exploitation On ne s’attend pas à un rétablissement de la croissance avant 2012. Sur la base du rapport du personnel du FMI (janvier 2010), dans le budget supplémentaire de 2009, le déficit général (basé sur les engagements, y compris de dons) est estimé à 6,7 % du PIB. Avec le remboursement accéléré des arriérés de paiement nationaux, le déficit global en espèces (dons compris) devrait s’élargir à 7,3 % du PIB. Malgré l’impact du ralentissement de l’économie mondiale sur l’activité économique, le revenu est estimé à 13,2 % du PIB, grâce aux mesures administratives adoptées par les autorités pour renforcer les contrôles et améliorer l’efficacité des organismes de perception des impôts. La dépense totale est estimée à 27 % du PIB en 2009, contre 21,7 % en 2008. Ce sensible accroissement est dû au coût des mesures de lutte contre les chocs et au retour à la tendance dans l'investissement financé extérieurement. Celui-ci pourrait atteindre 7 % du PIB en 2009, en augmentation de plus de 3 points de pourcentage, étant donné que certains des projets retardés en 2008 devraient se terminer en 2009. Le bilan actuel ne devrait pas être significativement affecté pour le moment car la chute des exportations de coton est compensée par les cours élevés de l’or et par les bas prix du pétrole. L’inflation a elle aussi baissé de 2 % en 2009, à cause des récentes baisses des prix alimentaires et pétroliers.</w:t>
      </w:r>
      <w:r w:rsidR="0007340F">
        <w:rPr>
          <w:color w:val="000000"/>
          <w:szCs w:val="24"/>
          <w:lang w:val="fr-FR"/>
        </w:rPr>
        <w:t xml:space="preserve"> </w:t>
      </w:r>
    </w:p>
    <w:p w:rsidR="004B1FC7" w:rsidRPr="00577EB1" w:rsidRDefault="004B1FC7" w:rsidP="00A54EB6">
      <w:pPr>
        <w:pStyle w:val="Heading2"/>
      </w:pPr>
      <w:bookmarkStart w:id="22" w:name="_Toc264748726"/>
      <w:r w:rsidRPr="00577EB1">
        <w:t>Questions liées à la pauvreté et au développement humain</w:t>
      </w:r>
      <w:bookmarkEnd w:id="22"/>
    </w:p>
    <w:p w:rsidR="004B1FC7" w:rsidRPr="00577EB1" w:rsidRDefault="004B1FC7" w:rsidP="00E52A30">
      <w:pPr>
        <w:numPr>
          <w:ilvl w:val="0"/>
          <w:numId w:val="2"/>
        </w:numPr>
        <w:ind w:left="0" w:firstLine="0"/>
        <w:rPr>
          <w:szCs w:val="24"/>
          <w:lang w:val="fr-FR"/>
        </w:rPr>
      </w:pPr>
      <w:r w:rsidRPr="00577EB1">
        <w:rPr>
          <w:b/>
          <w:color w:val="000000"/>
          <w:szCs w:val="24"/>
          <w:lang w:val="fr-FR"/>
        </w:rPr>
        <w:t xml:space="preserve"> La bonne croissance économique passée et de plus importants investissements dans les services sociaux ont amené une diminution de l’incidence de la pauvreté.</w:t>
      </w:r>
      <w:r w:rsidRPr="00577EB1">
        <w:rPr>
          <w:color w:val="000000"/>
          <w:szCs w:val="24"/>
          <w:lang w:val="fr-FR"/>
        </w:rPr>
        <w:t xml:space="preserve"> Sur la base des données d’enquête disponibles et des </w:t>
      </w:r>
      <w:r w:rsidR="006C7E0D" w:rsidRPr="00577EB1">
        <w:rPr>
          <w:color w:val="000000"/>
          <w:szCs w:val="24"/>
          <w:lang w:val="fr-FR"/>
        </w:rPr>
        <w:t>prévision</w:t>
      </w:r>
      <w:r w:rsidRPr="00577EB1">
        <w:rPr>
          <w:color w:val="000000"/>
          <w:szCs w:val="24"/>
          <w:lang w:val="fr-FR"/>
        </w:rPr>
        <w:t>s pour les comptes nationaux, on estime que le pourcentage de la population vivant en-dessous du seuil de pauvreté est tombé de 46,4 % en 2003 à 43,2 % en 2009. Il y a cependant des raisons de croire que le récent ralentissement de la croissance économique et la hausse des prix pétroliers et alimentaires peut avoir amené une baisse du revenu réel et inversé la tendance positive de la réduction de la pauvreté. En 2009, la stratégie d’aide-pays (SAP) a estimé que le revenu réel moyen avait chuté de 1,1 % en 2007 et de 3 % en 2008, et que le pourcentage de la population vivant en-dessous du seuil de pauvreté était remonté à plus de 45 % en 2008.</w:t>
      </w:r>
      <w:r w:rsidRPr="00577EB1">
        <w:rPr>
          <w:color w:val="000000"/>
          <w:szCs w:val="24"/>
          <w:vertAlign w:val="superscript"/>
          <w:lang w:val="fr-FR"/>
        </w:rPr>
        <w:footnoteReference w:id="4"/>
      </w:r>
      <w:r w:rsidRPr="00577EB1">
        <w:rPr>
          <w:color w:val="000000"/>
          <w:szCs w:val="24"/>
          <w:lang w:val="fr-FR"/>
        </w:rPr>
        <w:t xml:space="preserve"> </w:t>
      </w:r>
      <w:r w:rsidRPr="00577EB1">
        <w:rPr>
          <w:color w:val="000000"/>
          <w:szCs w:val="24"/>
          <w:lang w:val="fr-FR"/>
        </w:rPr>
        <w:lastRenderedPageBreak/>
        <w:t xml:space="preserve">La SAP soutient également que, même si l’impact immédiat de la crise du coton sur les producteurs est atténué par le « fonds de lissage », la tendance à la hausse de la pauvreté pourrait être exacerbée si l’impact de la crise financière mondiale, notamment sur le secteur cotonnier, se prolongeait à cause des liens étroits entre la production de coton, la génération du revenu rural et la production alimentaire au Burkina Faso. </w:t>
      </w:r>
    </w:p>
    <w:p w:rsidR="004B1FC7" w:rsidRPr="00577EB1" w:rsidRDefault="004B1FC7" w:rsidP="00E52A30">
      <w:pPr>
        <w:numPr>
          <w:ilvl w:val="0"/>
          <w:numId w:val="2"/>
        </w:numPr>
        <w:ind w:left="0" w:firstLine="0"/>
        <w:rPr>
          <w:color w:val="000000"/>
          <w:szCs w:val="24"/>
          <w:lang w:val="fr-FR"/>
        </w:rPr>
      </w:pPr>
      <w:r w:rsidRPr="00577EB1">
        <w:rPr>
          <w:b/>
          <w:noProof/>
          <w:color w:val="000000"/>
          <w:szCs w:val="24"/>
          <w:lang w:val="fr-FR"/>
        </w:rPr>
        <w:t>De même, le Burkina a fait des progrès satisfaisants dans l'accès des ménages aux services de base.</w:t>
      </w:r>
      <w:r w:rsidRPr="00577EB1">
        <w:rPr>
          <w:color w:val="000000"/>
          <w:szCs w:val="24"/>
          <w:lang w:val="fr-FR"/>
        </w:rPr>
        <w:t xml:space="preserve"> Les indicateurs montrent des améliorations au niveau de l’eau potable et de la santé</w:t>
      </w:r>
      <w:r w:rsidRPr="00577EB1">
        <w:rPr>
          <w:noProof/>
          <w:color w:val="000000"/>
          <w:szCs w:val="24"/>
          <w:lang w:val="fr-FR"/>
        </w:rPr>
        <w:t>.</w:t>
      </w:r>
      <w:r w:rsidRPr="00577EB1">
        <w:rPr>
          <w:color w:val="000000"/>
          <w:szCs w:val="24"/>
          <w:lang w:val="fr-FR"/>
        </w:rPr>
        <w:t xml:space="preserve"> L’accès global à l’eau potable est passé de 54 % en 2004 à 79 % en 2007, avec des avancées plus modestes dans les zones rurales</w:t>
      </w:r>
      <w:r w:rsidRPr="00577EB1">
        <w:rPr>
          <w:noProof/>
          <w:color w:val="000000"/>
          <w:szCs w:val="24"/>
          <w:lang w:val="fr-FR"/>
        </w:rPr>
        <w:t>.</w:t>
      </w:r>
      <w:r w:rsidRPr="00577EB1">
        <w:rPr>
          <w:color w:val="000000"/>
          <w:szCs w:val="24"/>
          <w:lang w:val="fr-FR"/>
        </w:rPr>
        <w:t xml:space="preserve"> Les services de santé sont en moyenne plus accessibles grâce à l’augmentation constante du pourcentage du budget général consacré à la santé publique</w:t>
      </w:r>
      <w:r w:rsidRPr="00577EB1">
        <w:rPr>
          <w:noProof/>
          <w:color w:val="000000"/>
          <w:szCs w:val="24"/>
          <w:lang w:val="fr-FR"/>
        </w:rPr>
        <w:t xml:space="preserve"> (de 7,4 % en 2004 à 9,9 % en 2006).</w:t>
      </w:r>
      <w:r w:rsidRPr="00577EB1">
        <w:rPr>
          <w:color w:val="000000"/>
          <w:szCs w:val="24"/>
          <w:lang w:val="fr-FR"/>
        </w:rPr>
        <w:t xml:space="preserve"> Les taux de vaccination sont restés élevés, d’où de sensibles améliorations dans la lutte contre les maladies contagieuses avec, en particulier, une baisse de la mortalité par méningite (de 21 % en</w:t>
      </w:r>
      <w:r w:rsidRPr="00577EB1">
        <w:rPr>
          <w:noProof/>
          <w:color w:val="000000"/>
          <w:szCs w:val="24"/>
          <w:lang w:val="fr-FR"/>
        </w:rPr>
        <w:t xml:space="preserve"> 2005 à 8,5 % en 2006). La prévalence du VIH/SIDA reste basse, à 2,03 % en 2006.</w:t>
      </w:r>
    </w:p>
    <w:p w:rsidR="004B1FC7" w:rsidRPr="00577EB1" w:rsidRDefault="004B1FC7" w:rsidP="00E52A30">
      <w:pPr>
        <w:numPr>
          <w:ilvl w:val="0"/>
          <w:numId w:val="2"/>
        </w:numPr>
        <w:ind w:left="0" w:firstLine="0"/>
        <w:rPr>
          <w:color w:val="000000"/>
          <w:szCs w:val="24"/>
          <w:lang w:val="fr-FR"/>
        </w:rPr>
      </w:pPr>
      <w:r w:rsidRPr="00577EB1">
        <w:rPr>
          <w:b/>
          <w:noProof/>
          <w:color w:val="000000"/>
          <w:szCs w:val="24"/>
          <w:lang w:val="fr-FR"/>
        </w:rPr>
        <w:t>Il reste cependant des défis importants, notamment lié au fait que le Burkina Faso est un des pays situés le plus bas au classement mondial de l'indice de développement humain (IDH) du PNUD (177</w:t>
      </w:r>
      <w:r w:rsidRPr="00577EB1">
        <w:rPr>
          <w:b/>
          <w:noProof/>
          <w:color w:val="000000"/>
          <w:szCs w:val="24"/>
          <w:vertAlign w:val="superscript"/>
          <w:lang w:val="fr-FR"/>
        </w:rPr>
        <w:t>e</w:t>
      </w:r>
      <w:r w:rsidRPr="00577EB1">
        <w:rPr>
          <w:b/>
          <w:noProof/>
          <w:color w:val="000000"/>
          <w:szCs w:val="24"/>
          <w:lang w:val="fr-FR"/>
        </w:rPr>
        <w:t xml:space="preserve"> sur 182 pays en 2009).</w:t>
      </w:r>
      <w:r w:rsidRPr="00577EB1">
        <w:rPr>
          <w:color w:val="000000"/>
          <w:szCs w:val="24"/>
          <w:lang w:val="fr-FR"/>
        </w:rPr>
        <w:t xml:space="preserve"> </w:t>
      </w:r>
      <w:r w:rsidRPr="00577EB1">
        <w:rPr>
          <w:noProof/>
          <w:color w:val="000000"/>
          <w:szCs w:val="24"/>
          <w:lang w:val="fr-FR"/>
        </w:rPr>
        <w:t>L’IDH révèle que</w:t>
      </w:r>
      <w:r w:rsidR="0007340F">
        <w:rPr>
          <w:noProof/>
          <w:color w:val="000000"/>
          <w:szCs w:val="24"/>
          <w:lang w:val="fr-FR"/>
        </w:rPr>
        <w:t xml:space="preserve"> </w:t>
      </w:r>
      <w:r w:rsidRPr="00577EB1">
        <w:rPr>
          <w:noProof/>
          <w:color w:val="000000"/>
          <w:szCs w:val="24"/>
          <w:lang w:val="fr-FR"/>
        </w:rPr>
        <w:t>i) le taux d’alphabétisation est encore bas (28,7 % en 2007) et la qualité de l’enseignement est préoccupante</w:t>
      </w:r>
      <w:r w:rsidR="0007340F">
        <w:rPr>
          <w:noProof/>
          <w:color w:val="000000"/>
          <w:szCs w:val="24"/>
          <w:lang w:val="fr-FR"/>
        </w:rPr>
        <w:t xml:space="preserve"> </w:t>
      </w:r>
      <w:r w:rsidRPr="00577EB1">
        <w:rPr>
          <w:noProof/>
          <w:color w:val="000000"/>
          <w:szCs w:val="24"/>
          <w:lang w:val="fr-FR"/>
        </w:rPr>
        <w:t>ii) les écarts subsistent entre les genres dans les taux de scolarisation, d’alphabétisation, d’achèvement du cycle primaire (seulement 40 % dans l’ensemble), et d’accès au premier cycle du secondaire, même si ces taux sont en hausse</w:t>
      </w:r>
      <w:r w:rsidR="0007340F">
        <w:rPr>
          <w:noProof/>
          <w:color w:val="000000"/>
          <w:szCs w:val="24"/>
          <w:lang w:val="fr-FR"/>
        </w:rPr>
        <w:t xml:space="preserve"> </w:t>
      </w:r>
      <w:r w:rsidRPr="00577EB1">
        <w:rPr>
          <w:noProof/>
          <w:color w:val="000000"/>
          <w:szCs w:val="24"/>
          <w:lang w:val="fr-FR"/>
        </w:rPr>
        <w:t>et iii) le taux brut d’admission en première année primaire est de 82 %.</w:t>
      </w:r>
      <w:r w:rsidRPr="00577EB1">
        <w:rPr>
          <w:color w:val="000000"/>
          <w:szCs w:val="24"/>
          <w:lang w:val="fr-FR"/>
        </w:rPr>
        <w:t xml:space="preserve"> En plus des enfants qui ne peuvent pas entrer à l’école primaire, plus d’un tiers de ceux qui la fréquentent ne peuvent pas poursuivre des études secondaires</w:t>
      </w:r>
      <w:r w:rsidRPr="00577EB1">
        <w:rPr>
          <w:noProof/>
          <w:color w:val="000000"/>
          <w:szCs w:val="24"/>
          <w:lang w:val="fr-FR"/>
        </w:rPr>
        <w:t>.</w:t>
      </w:r>
    </w:p>
    <w:p w:rsidR="004B1FC7" w:rsidRPr="00577EB1" w:rsidRDefault="004B1FC7" w:rsidP="00E52A30">
      <w:pPr>
        <w:numPr>
          <w:ilvl w:val="0"/>
          <w:numId w:val="2"/>
        </w:numPr>
        <w:ind w:left="0" w:firstLine="0"/>
        <w:rPr>
          <w:szCs w:val="24"/>
          <w:lang w:val="fr-FR"/>
        </w:rPr>
      </w:pPr>
      <w:r w:rsidRPr="00577EB1">
        <w:rPr>
          <w:b/>
          <w:noProof/>
          <w:color w:val="000000"/>
          <w:szCs w:val="24"/>
          <w:lang w:val="fr-FR"/>
        </w:rPr>
        <w:t>De plus, la rapide croissance démographique pourrait empêcher le Burkina Faso d’atteindre ses OMD.</w:t>
      </w:r>
      <w:r w:rsidRPr="00577EB1">
        <w:rPr>
          <w:color w:val="000000"/>
          <w:szCs w:val="24"/>
          <w:lang w:val="fr-FR"/>
        </w:rPr>
        <w:t xml:space="preserve"> </w:t>
      </w:r>
      <w:r w:rsidRPr="00577EB1">
        <w:rPr>
          <w:noProof/>
          <w:color w:val="000000"/>
          <w:szCs w:val="24"/>
          <w:lang w:val="fr-FR"/>
        </w:rPr>
        <w:t>Malgré la baisse impressionnante des taux de mortalité, la fécondité est restée très haute avec une moyenne de 6,2 enfants par femme. À cause de son retard dans la transition de la fécondité, le Burkina Faso a connu une poussée démographique phénoménale.</w:t>
      </w:r>
      <w:r w:rsidRPr="00577EB1">
        <w:rPr>
          <w:color w:val="000000"/>
          <w:szCs w:val="24"/>
          <w:lang w:val="fr-FR"/>
        </w:rPr>
        <w:t xml:space="preserve"> Ceci est mis en évidence par la densification de la population, notamment dans les zones cultivables</w:t>
      </w:r>
      <w:r w:rsidRPr="00577EB1">
        <w:rPr>
          <w:noProof/>
          <w:color w:val="000000"/>
          <w:szCs w:val="24"/>
          <w:lang w:val="fr-FR"/>
        </w:rPr>
        <w:t>.</w:t>
      </w:r>
      <w:r w:rsidRPr="00577EB1">
        <w:rPr>
          <w:color w:val="000000"/>
          <w:szCs w:val="24"/>
          <w:lang w:val="fr-FR"/>
        </w:rPr>
        <w:t xml:space="preserve"> Depuis l’indépendance, la population urbaine a été multipliée par onze, tandis que la population rurale a triplé</w:t>
      </w:r>
      <w:r w:rsidRPr="00577EB1">
        <w:rPr>
          <w:noProof/>
          <w:color w:val="000000"/>
          <w:szCs w:val="24"/>
          <w:lang w:val="fr-FR"/>
        </w:rPr>
        <w:t>.</w:t>
      </w:r>
      <w:r w:rsidRPr="00577EB1">
        <w:rPr>
          <w:color w:val="000000"/>
          <w:szCs w:val="24"/>
          <w:lang w:val="fr-FR"/>
        </w:rPr>
        <w:t xml:space="preserve"> Actuellement,</w:t>
      </w:r>
      <w:r w:rsidRPr="00577EB1">
        <w:rPr>
          <w:noProof/>
          <w:color w:val="000000"/>
          <w:szCs w:val="24"/>
          <w:lang w:val="fr-FR"/>
        </w:rPr>
        <w:t xml:space="preserve"> le Burkina Faso doit faire face chaque année à 600 000 nouveaux-nés vivants, contre 200 000 en 1950. Enfin, l’accroissement rapide de la population a également toute une série de de conséquences pour l’économie dans les domaines de la productivité de la main d’œuvre, de l’épargne, de la croissance, du niveau de vie et de la réduction de la pauvreté</w:t>
      </w:r>
      <w:r w:rsidRPr="00577EB1">
        <w:rPr>
          <w:noProof/>
          <w:szCs w:val="24"/>
          <w:lang w:val="fr-FR"/>
        </w:rPr>
        <w:t>.</w:t>
      </w:r>
    </w:p>
    <w:p w:rsidR="004B1FC7" w:rsidRPr="00577EB1" w:rsidRDefault="004B1FC7" w:rsidP="00A54EB6">
      <w:pPr>
        <w:pStyle w:val="Heading2"/>
      </w:pPr>
      <w:bookmarkStart w:id="23" w:name="_Toc264748727"/>
      <w:r w:rsidRPr="00577EB1">
        <w:t>Tendances de la pauvreté, vulnérabilité et profil de la pauvreté</w:t>
      </w:r>
      <w:bookmarkEnd w:id="23"/>
    </w:p>
    <w:p w:rsidR="004B1FC7" w:rsidRPr="00577EB1" w:rsidRDefault="004B1FC7" w:rsidP="00E52A30">
      <w:pPr>
        <w:numPr>
          <w:ilvl w:val="0"/>
          <w:numId w:val="2"/>
        </w:numPr>
        <w:ind w:left="0" w:firstLine="0"/>
        <w:rPr>
          <w:szCs w:val="24"/>
          <w:lang w:val="fr-FR"/>
        </w:rPr>
      </w:pPr>
      <w:r w:rsidRPr="00577EB1">
        <w:rPr>
          <w:b/>
          <w:noProof/>
          <w:szCs w:val="24"/>
          <w:lang w:val="fr-FR"/>
        </w:rPr>
        <w:t>Suivre les tendances de la pauvreté au Burkina Faso est un défi, malgré un assez grand nombre d’enquêtes.</w:t>
      </w:r>
      <w:r w:rsidRPr="00577EB1">
        <w:rPr>
          <w:szCs w:val="24"/>
          <w:lang w:val="fr-FR"/>
        </w:rPr>
        <w:t xml:space="preserve"> Depuis</w:t>
      </w:r>
      <w:r w:rsidRPr="00577EB1">
        <w:rPr>
          <w:noProof/>
          <w:szCs w:val="24"/>
          <w:lang w:val="fr-FR"/>
        </w:rPr>
        <w:t xml:space="preserve"> 1994, quatre enquêtes sur les priorités (1994, 1998, 2003 et 2009/2010, dont les résultats ne sont disponibles que pour les trois premières) et plusieurs QUIBB (2003, 2005, et 2007) ont été entrepris par l’INSD.</w:t>
      </w:r>
      <w:r w:rsidRPr="00577EB1">
        <w:rPr>
          <w:szCs w:val="24"/>
          <w:lang w:val="fr-FR"/>
        </w:rPr>
        <w:t xml:space="preserve"> </w:t>
      </w:r>
      <w:r w:rsidRPr="00577EB1">
        <w:rPr>
          <w:noProof/>
          <w:szCs w:val="24"/>
          <w:lang w:val="fr-FR"/>
        </w:rPr>
        <w:t xml:space="preserve">Des </w:t>
      </w:r>
      <w:r w:rsidRPr="00577EB1">
        <w:rPr>
          <w:noProof/>
          <w:szCs w:val="24"/>
          <w:lang w:val="fr-FR"/>
        </w:rPr>
        <w:lastRenderedPageBreak/>
        <w:t>études qualitatives ont également été réalisées pour évaluer les risques auxquels les ménages sont confrontés et la vulnérabilité de ceux-ci.</w:t>
      </w:r>
      <w:r w:rsidRPr="00577EB1">
        <w:rPr>
          <w:szCs w:val="24"/>
          <w:lang w:val="fr-FR"/>
        </w:rPr>
        <w:t xml:space="preserve"> Malheureusement, ces diverses études utilisent des méthodologies différentes et ne sont pas directement comparables</w:t>
      </w:r>
      <w:r w:rsidRPr="00577EB1">
        <w:rPr>
          <w:noProof/>
          <w:szCs w:val="24"/>
          <w:lang w:val="fr-FR"/>
        </w:rPr>
        <w:t>.</w:t>
      </w:r>
      <w:r w:rsidRPr="00577EB1">
        <w:rPr>
          <w:szCs w:val="24"/>
          <w:lang w:val="fr-FR"/>
        </w:rPr>
        <w:t xml:space="preserve"> Les constats tirés des enquêtes sur les priorités </w:t>
      </w:r>
      <w:r w:rsidRPr="00577EB1">
        <w:rPr>
          <w:noProof/>
          <w:szCs w:val="24"/>
          <w:lang w:val="fr-FR"/>
        </w:rPr>
        <w:t xml:space="preserve">1994, 1998, et 2003 </w:t>
      </w:r>
      <w:r w:rsidRPr="00577EB1">
        <w:rPr>
          <w:szCs w:val="24"/>
          <w:lang w:val="fr-FR"/>
        </w:rPr>
        <w:t xml:space="preserve">de l’INSD </w:t>
      </w:r>
      <w:r w:rsidRPr="00577EB1">
        <w:rPr>
          <w:noProof/>
          <w:szCs w:val="24"/>
          <w:lang w:val="fr-FR"/>
        </w:rPr>
        <w:t>montrent une hausse des principaux indicateurs de la pauvreté, surtout en zone urbaine, comnme l’indique le Tableau 1.</w:t>
      </w:r>
    </w:p>
    <w:p w:rsidR="004B1FC7" w:rsidRPr="00577EB1" w:rsidRDefault="008302F0" w:rsidP="00F07732">
      <w:pPr>
        <w:pStyle w:val="Heading7"/>
        <w:rPr>
          <w:lang w:val="fr-FR"/>
        </w:rPr>
      </w:pPr>
      <w:bookmarkStart w:id="24" w:name="_Ref262125602"/>
      <w:bookmarkStart w:id="25" w:name="_Toc264496915"/>
      <w:bookmarkStart w:id="26" w:name="_Toc284528575"/>
      <w:bookmarkStart w:id="27" w:name="_Toc284530512"/>
      <w:r w:rsidRPr="00577EB1">
        <w:rPr>
          <w:lang w:val="fr-FR"/>
        </w:rPr>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1</w:t>
      </w:r>
      <w:r w:rsidR="00725419" w:rsidRPr="00577EB1">
        <w:rPr>
          <w:lang w:val="fr-FR"/>
        </w:rPr>
        <w:fldChar w:fldCharType="end"/>
      </w:r>
      <w:r w:rsidR="00837FC9">
        <w:rPr>
          <w:lang w:val="fr-FR"/>
        </w:rPr>
        <w:t> </w:t>
      </w:r>
      <w:r w:rsidR="004B1FC7" w:rsidRPr="00577EB1">
        <w:rPr>
          <w:lang w:val="fr-FR"/>
        </w:rPr>
        <w:t xml:space="preserve">: Indices de pauvreté selon le lieu </w:t>
      </w:r>
      <w:bookmarkEnd w:id="24"/>
      <w:r w:rsidR="004B1FC7" w:rsidRPr="00577EB1">
        <w:rPr>
          <w:lang w:val="fr-FR"/>
        </w:rPr>
        <w:t>de résidence</w:t>
      </w:r>
      <w:bookmarkEnd w:id="25"/>
      <w:bookmarkEnd w:id="26"/>
      <w:bookmarkEnd w:id="27"/>
    </w:p>
    <w:tbl>
      <w:tblPr>
        <w:tblW w:w="5000" w:type="pct"/>
        <w:jc w:val="center"/>
        <w:tblLayout w:type="fixed"/>
        <w:tblCellMar>
          <w:left w:w="0" w:type="dxa"/>
          <w:right w:w="0" w:type="dxa"/>
        </w:tblCellMar>
        <w:tblLook w:val="0000"/>
      </w:tblPr>
      <w:tblGrid>
        <w:gridCol w:w="1306"/>
        <w:gridCol w:w="624"/>
        <w:gridCol w:w="626"/>
        <w:gridCol w:w="625"/>
        <w:gridCol w:w="625"/>
        <w:gridCol w:w="625"/>
        <w:gridCol w:w="625"/>
        <w:gridCol w:w="623"/>
        <w:gridCol w:w="625"/>
        <w:gridCol w:w="625"/>
        <w:gridCol w:w="625"/>
        <w:gridCol w:w="625"/>
        <w:gridCol w:w="625"/>
      </w:tblGrid>
      <w:tr w:rsidR="004B1FC7" w:rsidRPr="00577EB1" w:rsidTr="004B1FC7">
        <w:trPr>
          <w:trHeight w:val="315"/>
          <w:jc w:val="center"/>
        </w:trPr>
        <w:tc>
          <w:tcPr>
            <w:tcW w:w="741" w:type="pct"/>
            <w:tcBorders>
              <w:top w:val="single" w:sz="4" w:space="0" w:color="auto"/>
              <w:right w:val="single" w:sz="4" w:space="0" w:color="auto"/>
            </w:tcBorders>
          </w:tcPr>
          <w:p w:rsidR="004B1FC7" w:rsidRPr="00577EB1" w:rsidRDefault="004B1FC7" w:rsidP="004B1FC7">
            <w:pPr>
              <w:keepNext/>
              <w:keepLines/>
              <w:spacing w:after="0"/>
              <w:rPr>
                <w:rFonts w:ascii="Arial Unicode MS" w:eastAsia="Arial Unicode MS"/>
                <w:szCs w:val="24"/>
                <w:lang w:val="fr-FR"/>
              </w:rPr>
            </w:pPr>
            <w:r w:rsidRPr="00577EB1">
              <w:rPr>
                <w:szCs w:val="24"/>
                <w:lang w:val="fr-FR"/>
              </w:rPr>
              <w:t> </w:t>
            </w:r>
          </w:p>
        </w:tc>
        <w:tc>
          <w:tcPr>
            <w:tcW w:w="1064" w:type="pct"/>
            <w:gridSpan w:val="3"/>
            <w:tcBorders>
              <w:top w:val="single" w:sz="4" w:space="0" w:color="auto"/>
              <w:left w:val="single" w:sz="4" w:space="0" w:color="auto"/>
              <w:right w:val="single" w:sz="4" w:space="0" w:color="auto"/>
            </w:tcBorders>
          </w:tcPr>
          <w:p w:rsidR="004B1FC7" w:rsidRPr="00577EB1" w:rsidRDefault="004B1FC7" w:rsidP="004B1FC7">
            <w:pPr>
              <w:keepNext/>
              <w:keepLines/>
              <w:spacing w:after="0"/>
              <w:jc w:val="center"/>
              <w:rPr>
                <w:rFonts w:ascii="Arial Unicode MS" w:eastAsia="Arial Unicode MS"/>
                <w:sz w:val="20"/>
                <w:szCs w:val="24"/>
                <w:lang w:val="fr-FR"/>
              </w:rPr>
            </w:pPr>
            <w:r w:rsidRPr="00577EB1">
              <w:rPr>
                <w:noProof/>
                <w:sz w:val="20"/>
                <w:szCs w:val="24"/>
                <w:lang w:val="fr-FR"/>
              </w:rPr>
              <w:t>Incidence</w:t>
            </w:r>
          </w:p>
        </w:tc>
        <w:tc>
          <w:tcPr>
            <w:tcW w:w="1065" w:type="pct"/>
            <w:gridSpan w:val="3"/>
            <w:tcBorders>
              <w:top w:val="single" w:sz="4" w:space="0" w:color="auto"/>
              <w:left w:val="single" w:sz="4" w:space="0" w:color="auto"/>
              <w:right w:val="single" w:sz="4" w:space="0" w:color="auto"/>
            </w:tcBorders>
          </w:tcPr>
          <w:p w:rsidR="004B1FC7" w:rsidRPr="00577EB1" w:rsidRDefault="004B1FC7" w:rsidP="004B1FC7">
            <w:pPr>
              <w:keepNext/>
              <w:keepLines/>
              <w:spacing w:after="0"/>
              <w:jc w:val="center"/>
              <w:rPr>
                <w:rFonts w:ascii="Arial Unicode MS" w:eastAsia="Arial Unicode MS"/>
                <w:sz w:val="20"/>
                <w:szCs w:val="24"/>
                <w:lang w:val="fr-FR"/>
              </w:rPr>
            </w:pPr>
            <w:r w:rsidRPr="00577EB1">
              <w:rPr>
                <w:noProof/>
                <w:sz w:val="20"/>
                <w:szCs w:val="24"/>
                <w:lang w:val="fr-FR"/>
              </w:rPr>
              <w:t>Profondeur</w:t>
            </w:r>
          </w:p>
        </w:tc>
        <w:tc>
          <w:tcPr>
            <w:tcW w:w="1064" w:type="pct"/>
            <w:gridSpan w:val="3"/>
            <w:tcBorders>
              <w:top w:val="single" w:sz="4" w:space="0" w:color="auto"/>
              <w:left w:val="single" w:sz="4" w:space="0" w:color="auto"/>
              <w:right w:val="single" w:sz="4" w:space="0" w:color="auto"/>
            </w:tcBorders>
            <w:tcMar>
              <w:top w:w="15" w:type="dxa"/>
              <w:left w:w="15" w:type="dxa"/>
              <w:bottom w:w="0" w:type="dxa"/>
              <w:right w:w="15" w:type="dxa"/>
            </w:tcMar>
          </w:tcPr>
          <w:p w:rsidR="004B1FC7" w:rsidRPr="00577EB1" w:rsidRDefault="003C538C" w:rsidP="003C538C">
            <w:pPr>
              <w:keepNext/>
              <w:keepLines/>
              <w:spacing w:after="0"/>
              <w:jc w:val="center"/>
              <w:rPr>
                <w:rFonts w:ascii="Arial Unicode MS" w:eastAsia="Arial Unicode MS"/>
                <w:sz w:val="20"/>
                <w:szCs w:val="24"/>
                <w:lang w:val="fr-FR"/>
              </w:rPr>
            </w:pPr>
            <w:r>
              <w:rPr>
                <w:noProof/>
                <w:sz w:val="20"/>
                <w:szCs w:val="24"/>
                <w:lang w:val="fr-FR"/>
              </w:rPr>
              <w:t>Sévérit</w:t>
            </w:r>
            <w:r w:rsidRPr="00577EB1">
              <w:rPr>
                <w:noProof/>
                <w:sz w:val="20"/>
                <w:szCs w:val="24"/>
                <w:lang w:val="fr-FR"/>
              </w:rPr>
              <w:t>é</w:t>
            </w:r>
          </w:p>
        </w:tc>
        <w:tc>
          <w:tcPr>
            <w:tcW w:w="1065" w:type="pct"/>
            <w:gridSpan w:val="3"/>
            <w:tcBorders>
              <w:top w:val="single" w:sz="4" w:space="0" w:color="auto"/>
              <w:left w:val="single" w:sz="4" w:space="0" w:color="auto"/>
            </w:tcBorders>
            <w:tcMar>
              <w:top w:w="0" w:type="dxa"/>
              <w:left w:w="15" w:type="dxa"/>
              <w:bottom w:w="0" w:type="dxa"/>
              <w:right w:w="15" w:type="dxa"/>
            </w:tcMar>
          </w:tcPr>
          <w:p w:rsidR="004B1FC7" w:rsidRPr="00577EB1" w:rsidRDefault="004B1FC7" w:rsidP="004B1FC7">
            <w:pPr>
              <w:keepNext/>
              <w:keepLines/>
              <w:spacing w:after="0"/>
              <w:jc w:val="center"/>
              <w:rPr>
                <w:rFonts w:ascii="Arial Unicode MS" w:eastAsia="Arial Unicode MS"/>
                <w:sz w:val="20"/>
                <w:szCs w:val="24"/>
                <w:lang w:val="fr-FR"/>
              </w:rPr>
            </w:pPr>
            <w:r w:rsidRPr="00577EB1">
              <w:rPr>
                <w:noProof/>
                <w:sz w:val="20"/>
                <w:szCs w:val="24"/>
                <w:lang w:val="fr-FR"/>
              </w:rPr>
              <w:t>Pourcentage</w:t>
            </w:r>
          </w:p>
        </w:tc>
      </w:tr>
      <w:tr w:rsidR="004B1FC7" w:rsidRPr="00577EB1" w:rsidTr="004B1FC7">
        <w:trPr>
          <w:trHeight w:val="315"/>
          <w:jc w:val="center"/>
        </w:trPr>
        <w:tc>
          <w:tcPr>
            <w:tcW w:w="741" w:type="pct"/>
            <w:tcBorders>
              <w:bottom w:val="single" w:sz="4" w:space="0" w:color="auto"/>
              <w:right w:val="single" w:sz="4" w:space="0" w:color="auto"/>
            </w:tcBorders>
            <w:tcMar>
              <w:top w:w="15" w:type="dxa"/>
              <w:left w:w="15" w:type="dxa"/>
              <w:bottom w:w="0" w:type="dxa"/>
              <w:right w:w="15" w:type="dxa"/>
            </w:tcMar>
          </w:tcPr>
          <w:p w:rsidR="004B1FC7" w:rsidRPr="00577EB1" w:rsidRDefault="004B1FC7" w:rsidP="004B1FC7">
            <w:pPr>
              <w:keepNext/>
              <w:keepLines/>
              <w:spacing w:after="0"/>
              <w:rPr>
                <w:rFonts w:ascii="Arial Unicode MS" w:eastAsia="Arial Unicode MS"/>
                <w:szCs w:val="24"/>
                <w:lang w:val="fr-FR"/>
              </w:rPr>
            </w:pPr>
            <w:r w:rsidRPr="00577EB1">
              <w:rPr>
                <w:szCs w:val="24"/>
                <w:lang w:val="fr-FR"/>
              </w:rPr>
              <w:t> </w:t>
            </w:r>
          </w:p>
        </w:tc>
        <w:tc>
          <w:tcPr>
            <w:tcW w:w="354" w:type="pct"/>
            <w:tcBorders>
              <w:left w:val="single" w:sz="4" w:space="0" w:color="auto"/>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1994</w:t>
            </w:r>
          </w:p>
        </w:tc>
        <w:tc>
          <w:tcPr>
            <w:tcW w:w="355" w:type="pct"/>
            <w:tcBorders>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1998</w:t>
            </w:r>
          </w:p>
        </w:tc>
        <w:tc>
          <w:tcPr>
            <w:tcW w:w="355" w:type="pct"/>
            <w:tcBorders>
              <w:bottom w:val="single" w:sz="4" w:space="0" w:color="auto"/>
              <w:righ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2003</w:t>
            </w:r>
          </w:p>
        </w:tc>
        <w:tc>
          <w:tcPr>
            <w:tcW w:w="355" w:type="pct"/>
            <w:tcBorders>
              <w:left w:val="single" w:sz="4" w:space="0" w:color="auto"/>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1994</w:t>
            </w:r>
          </w:p>
        </w:tc>
        <w:tc>
          <w:tcPr>
            <w:tcW w:w="355" w:type="pct"/>
            <w:tcBorders>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1998</w:t>
            </w:r>
          </w:p>
        </w:tc>
        <w:tc>
          <w:tcPr>
            <w:tcW w:w="355" w:type="pct"/>
            <w:tcBorders>
              <w:bottom w:val="single" w:sz="4" w:space="0" w:color="auto"/>
              <w:righ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2003</w:t>
            </w:r>
          </w:p>
        </w:tc>
        <w:tc>
          <w:tcPr>
            <w:tcW w:w="354" w:type="pct"/>
            <w:tcBorders>
              <w:left w:val="single" w:sz="4" w:space="0" w:color="auto"/>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1994</w:t>
            </w:r>
          </w:p>
        </w:tc>
        <w:tc>
          <w:tcPr>
            <w:tcW w:w="355" w:type="pct"/>
            <w:tcBorders>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1998</w:t>
            </w:r>
          </w:p>
        </w:tc>
        <w:tc>
          <w:tcPr>
            <w:tcW w:w="355" w:type="pct"/>
            <w:tcBorders>
              <w:bottom w:val="single" w:sz="4" w:space="0" w:color="auto"/>
              <w:righ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2003</w:t>
            </w:r>
          </w:p>
        </w:tc>
        <w:tc>
          <w:tcPr>
            <w:tcW w:w="355" w:type="pct"/>
            <w:tcBorders>
              <w:left w:val="single" w:sz="4" w:space="0" w:color="auto"/>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1994</w:t>
            </w:r>
          </w:p>
        </w:tc>
        <w:tc>
          <w:tcPr>
            <w:tcW w:w="355" w:type="pct"/>
            <w:tcBorders>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1998</w:t>
            </w:r>
          </w:p>
        </w:tc>
        <w:tc>
          <w:tcPr>
            <w:tcW w:w="355" w:type="pct"/>
            <w:tcBorders>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2003</w:t>
            </w:r>
          </w:p>
        </w:tc>
      </w:tr>
      <w:tr w:rsidR="004B1FC7" w:rsidRPr="00577EB1" w:rsidTr="004B1FC7">
        <w:trPr>
          <w:trHeight w:val="255"/>
          <w:jc w:val="center"/>
        </w:trPr>
        <w:tc>
          <w:tcPr>
            <w:tcW w:w="741" w:type="pct"/>
            <w:tcBorders>
              <w:top w:val="single" w:sz="4" w:space="0" w:color="auto"/>
              <w:right w:val="single" w:sz="4" w:space="0" w:color="auto"/>
            </w:tcBorders>
            <w:tcMar>
              <w:top w:w="15" w:type="dxa"/>
              <w:left w:w="15" w:type="dxa"/>
              <w:bottom w:w="0" w:type="dxa"/>
              <w:right w:w="15" w:type="dxa"/>
            </w:tcMar>
          </w:tcPr>
          <w:p w:rsidR="004B1FC7" w:rsidRPr="00577EB1" w:rsidRDefault="004B1FC7" w:rsidP="004B1FC7">
            <w:pPr>
              <w:keepNext/>
              <w:keepLines/>
              <w:spacing w:after="0"/>
              <w:rPr>
                <w:rFonts w:ascii="Arial Unicode MS" w:eastAsia="Arial Unicode MS"/>
                <w:sz w:val="20"/>
                <w:szCs w:val="24"/>
                <w:lang w:val="fr-FR"/>
              </w:rPr>
            </w:pPr>
            <w:r w:rsidRPr="00577EB1">
              <w:rPr>
                <w:noProof/>
                <w:sz w:val="20"/>
                <w:szCs w:val="24"/>
                <w:lang w:val="fr-FR"/>
              </w:rPr>
              <w:t>Urbain</w:t>
            </w:r>
          </w:p>
        </w:tc>
        <w:tc>
          <w:tcPr>
            <w:tcW w:w="354" w:type="pct"/>
            <w:tcBorders>
              <w:top w:val="single" w:sz="4" w:space="0" w:color="auto"/>
              <w:lef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10,4</w:t>
            </w:r>
          </w:p>
        </w:tc>
        <w:tc>
          <w:tcPr>
            <w:tcW w:w="355" w:type="pct"/>
            <w:tcBorders>
              <w:top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16,5</w:t>
            </w:r>
          </w:p>
        </w:tc>
        <w:tc>
          <w:tcPr>
            <w:tcW w:w="355" w:type="pct"/>
            <w:tcBorders>
              <w:top w:val="single" w:sz="4" w:space="0" w:color="auto"/>
              <w:righ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19,9</w:t>
            </w:r>
          </w:p>
        </w:tc>
        <w:tc>
          <w:tcPr>
            <w:tcW w:w="355" w:type="pct"/>
            <w:tcBorders>
              <w:top w:val="single" w:sz="4" w:space="0" w:color="auto"/>
              <w:lef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2,5</w:t>
            </w:r>
          </w:p>
        </w:tc>
        <w:tc>
          <w:tcPr>
            <w:tcW w:w="355" w:type="pct"/>
            <w:tcBorders>
              <w:top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4,0</w:t>
            </w:r>
          </w:p>
        </w:tc>
        <w:tc>
          <w:tcPr>
            <w:tcW w:w="355" w:type="pct"/>
            <w:tcBorders>
              <w:top w:val="single" w:sz="4" w:space="0" w:color="auto"/>
              <w:righ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5,5</w:t>
            </w:r>
          </w:p>
        </w:tc>
        <w:tc>
          <w:tcPr>
            <w:tcW w:w="354" w:type="pct"/>
            <w:tcBorders>
              <w:top w:val="single" w:sz="4" w:space="0" w:color="auto"/>
              <w:lef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0,9</w:t>
            </w:r>
          </w:p>
        </w:tc>
        <w:tc>
          <w:tcPr>
            <w:tcW w:w="355" w:type="pct"/>
            <w:tcBorders>
              <w:top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1,5</w:t>
            </w:r>
          </w:p>
        </w:tc>
        <w:tc>
          <w:tcPr>
            <w:tcW w:w="355" w:type="pct"/>
            <w:tcBorders>
              <w:top w:val="single" w:sz="4" w:space="0" w:color="auto"/>
              <w:righ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2,2</w:t>
            </w:r>
          </w:p>
        </w:tc>
        <w:tc>
          <w:tcPr>
            <w:tcW w:w="355" w:type="pct"/>
            <w:tcBorders>
              <w:top w:val="single" w:sz="4" w:space="0" w:color="auto"/>
              <w:lef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3,8</w:t>
            </w:r>
          </w:p>
        </w:tc>
        <w:tc>
          <w:tcPr>
            <w:tcW w:w="355" w:type="pct"/>
            <w:tcBorders>
              <w:top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6,1</w:t>
            </w:r>
          </w:p>
        </w:tc>
        <w:tc>
          <w:tcPr>
            <w:tcW w:w="355" w:type="pct"/>
            <w:tcBorders>
              <w:top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7,8</w:t>
            </w:r>
          </w:p>
        </w:tc>
      </w:tr>
      <w:tr w:rsidR="004B1FC7" w:rsidRPr="00577EB1" w:rsidTr="004B1FC7">
        <w:trPr>
          <w:trHeight w:val="255"/>
          <w:jc w:val="center"/>
        </w:trPr>
        <w:tc>
          <w:tcPr>
            <w:tcW w:w="741" w:type="pct"/>
            <w:tcBorders>
              <w:right w:val="single" w:sz="4" w:space="0" w:color="auto"/>
            </w:tcBorders>
            <w:tcMar>
              <w:top w:w="15" w:type="dxa"/>
              <w:left w:w="15" w:type="dxa"/>
              <w:bottom w:w="0" w:type="dxa"/>
              <w:right w:w="15" w:type="dxa"/>
            </w:tcMar>
          </w:tcPr>
          <w:p w:rsidR="004B1FC7" w:rsidRPr="00577EB1" w:rsidRDefault="004B1FC7" w:rsidP="004B1FC7">
            <w:pPr>
              <w:keepNext/>
              <w:keepLines/>
              <w:spacing w:after="0"/>
              <w:rPr>
                <w:rFonts w:ascii="Arial Unicode MS" w:eastAsia="Arial Unicode MS"/>
                <w:sz w:val="20"/>
                <w:szCs w:val="24"/>
                <w:lang w:val="fr-FR"/>
              </w:rPr>
            </w:pPr>
            <w:r w:rsidRPr="00577EB1">
              <w:rPr>
                <w:noProof/>
                <w:sz w:val="20"/>
                <w:szCs w:val="24"/>
                <w:lang w:val="fr-FR"/>
              </w:rPr>
              <w:t>Rural</w:t>
            </w:r>
          </w:p>
        </w:tc>
        <w:tc>
          <w:tcPr>
            <w:tcW w:w="354" w:type="pct"/>
            <w:tcBorders>
              <w:lef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51,0</w:t>
            </w:r>
          </w:p>
        </w:tc>
        <w:tc>
          <w:tcPr>
            <w:tcW w:w="355" w:type="pct"/>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51,0</w:t>
            </w:r>
          </w:p>
        </w:tc>
        <w:tc>
          <w:tcPr>
            <w:tcW w:w="355" w:type="pct"/>
            <w:tcBorders>
              <w:righ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52,3</w:t>
            </w:r>
          </w:p>
        </w:tc>
        <w:tc>
          <w:tcPr>
            <w:tcW w:w="355" w:type="pct"/>
            <w:tcBorders>
              <w:lef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16,1</w:t>
            </w:r>
          </w:p>
        </w:tc>
        <w:tc>
          <w:tcPr>
            <w:tcW w:w="355" w:type="pct"/>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15,7</w:t>
            </w:r>
          </w:p>
        </w:tc>
        <w:tc>
          <w:tcPr>
            <w:tcW w:w="355" w:type="pct"/>
            <w:tcBorders>
              <w:righ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17,9</w:t>
            </w:r>
          </w:p>
        </w:tc>
        <w:tc>
          <w:tcPr>
            <w:tcW w:w="354" w:type="pct"/>
            <w:tcBorders>
              <w:lef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7,0</w:t>
            </w:r>
          </w:p>
        </w:tc>
        <w:tc>
          <w:tcPr>
            <w:tcW w:w="355" w:type="pct"/>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6,8</w:t>
            </w:r>
          </w:p>
        </w:tc>
        <w:tc>
          <w:tcPr>
            <w:tcW w:w="355" w:type="pct"/>
            <w:tcBorders>
              <w:righ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8,2</w:t>
            </w:r>
          </w:p>
        </w:tc>
        <w:tc>
          <w:tcPr>
            <w:tcW w:w="355" w:type="pct"/>
            <w:tcBorders>
              <w:lef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96,2</w:t>
            </w:r>
          </w:p>
        </w:tc>
        <w:tc>
          <w:tcPr>
            <w:tcW w:w="355" w:type="pct"/>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93,9</w:t>
            </w:r>
          </w:p>
        </w:tc>
        <w:tc>
          <w:tcPr>
            <w:tcW w:w="355" w:type="pct"/>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92,2</w:t>
            </w:r>
          </w:p>
        </w:tc>
      </w:tr>
      <w:tr w:rsidR="004B1FC7" w:rsidRPr="00577EB1" w:rsidTr="004B1FC7">
        <w:trPr>
          <w:trHeight w:val="255"/>
          <w:jc w:val="center"/>
        </w:trPr>
        <w:tc>
          <w:tcPr>
            <w:tcW w:w="741" w:type="pct"/>
            <w:tcBorders>
              <w:bottom w:val="single" w:sz="4" w:space="0" w:color="auto"/>
              <w:right w:val="single" w:sz="4" w:space="0" w:color="auto"/>
            </w:tcBorders>
            <w:tcMar>
              <w:top w:w="15" w:type="dxa"/>
              <w:left w:w="15" w:type="dxa"/>
              <w:bottom w:w="0" w:type="dxa"/>
              <w:right w:w="15" w:type="dxa"/>
            </w:tcMar>
          </w:tcPr>
          <w:p w:rsidR="004B1FC7" w:rsidRPr="00577EB1" w:rsidRDefault="004B1FC7" w:rsidP="004B1FC7">
            <w:pPr>
              <w:keepNext/>
              <w:keepLines/>
              <w:spacing w:after="0"/>
              <w:rPr>
                <w:rFonts w:ascii="Arial Unicode MS" w:eastAsia="Arial Unicode MS"/>
                <w:sz w:val="20"/>
                <w:szCs w:val="24"/>
                <w:lang w:val="fr-FR"/>
              </w:rPr>
            </w:pPr>
            <w:r w:rsidRPr="00577EB1">
              <w:rPr>
                <w:noProof/>
                <w:sz w:val="20"/>
                <w:szCs w:val="24"/>
                <w:lang w:val="fr-FR"/>
              </w:rPr>
              <w:t>National</w:t>
            </w:r>
          </w:p>
        </w:tc>
        <w:tc>
          <w:tcPr>
            <w:tcW w:w="354" w:type="pct"/>
            <w:tcBorders>
              <w:left w:val="single" w:sz="4" w:space="0" w:color="auto"/>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44,5</w:t>
            </w:r>
          </w:p>
        </w:tc>
        <w:tc>
          <w:tcPr>
            <w:tcW w:w="355" w:type="pct"/>
            <w:tcBorders>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45,3</w:t>
            </w:r>
          </w:p>
        </w:tc>
        <w:tc>
          <w:tcPr>
            <w:tcW w:w="355" w:type="pct"/>
            <w:tcBorders>
              <w:bottom w:val="single" w:sz="4" w:space="0" w:color="auto"/>
              <w:righ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46,4</w:t>
            </w:r>
          </w:p>
        </w:tc>
        <w:tc>
          <w:tcPr>
            <w:tcW w:w="355" w:type="pct"/>
            <w:tcBorders>
              <w:left w:val="single" w:sz="4" w:space="0" w:color="auto"/>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13,9</w:t>
            </w:r>
          </w:p>
        </w:tc>
        <w:tc>
          <w:tcPr>
            <w:tcW w:w="355" w:type="pct"/>
            <w:tcBorders>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13,7</w:t>
            </w:r>
          </w:p>
        </w:tc>
        <w:tc>
          <w:tcPr>
            <w:tcW w:w="355" w:type="pct"/>
            <w:tcBorders>
              <w:bottom w:val="single" w:sz="4" w:space="0" w:color="auto"/>
              <w:righ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15,5</w:t>
            </w:r>
          </w:p>
        </w:tc>
        <w:tc>
          <w:tcPr>
            <w:tcW w:w="354" w:type="pct"/>
            <w:tcBorders>
              <w:left w:val="single" w:sz="4" w:space="0" w:color="auto"/>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6,0</w:t>
            </w:r>
          </w:p>
        </w:tc>
        <w:tc>
          <w:tcPr>
            <w:tcW w:w="355" w:type="pct"/>
            <w:tcBorders>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5,9</w:t>
            </w:r>
          </w:p>
        </w:tc>
        <w:tc>
          <w:tcPr>
            <w:tcW w:w="355" w:type="pct"/>
            <w:tcBorders>
              <w:bottom w:val="single" w:sz="4" w:space="0" w:color="auto"/>
              <w:right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7,0</w:t>
            </w:r>
          </w:p>
        </w:tc>
        <w:tc>
          <w:tcPr>
            <w:tcW w:w="355" w:type="pct"/>
            <w:tcBorders>
              <w:left w:val="single" w:sz="4" w:space="0" w:color="auto"/>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100,0</w:t>
            </w:r>
          </w:p>
        </w:tc>
        <w:tc>
          <w:tcPr>
            <w:tcW w:w="355" w:type="pct"/>
            <w:tcBorders>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100,0</w:t>
            </w:r>
          </w:p>
        </w:tc>
        <w:tc>
          <w:tcPr>
            <w:tcW w:w="355" w:type="pct"/>
            <w:tcBorders>
              <w:bottom w:val="single" w:sz="4" w:space="0" w:color="auto"/>
            </w:tcBorders>
            <w:tcMar>
              <w:top w:w="15" w:type="dxa"/>
              <w:left w:w="15" w:type="dxa"/>
              <w:bottom w:w="0" w:type="dxa"/>
              <w:right w:w="15" w:type="dxa"/>
            </w:tcMar>
          </w:tcPr>
          <w:p w:rsidR="004B1FC7" w:rsidRPr="00577EB1" w:rsidRDefault="004B1FC7" w:rsidP="004B1FC7">
            <w:pPr>
              <w:keepNext/>
              <w:keepLines/>
              <w:spacing w:after="0"/>
              <w:jc w:val="right"/>
              <w:rPr>
                <w:rFonts w:ascii="Arial Unicode MS" w:eastAsia="Arial Unicode MS"/>
                <w:sz w:val="20"/>
                <w:szCs w:val="24"/>
                <w:lang w:val="fr-FR"/>
              </w:rPr>
            </w:pPr>
            <w:r w:rsidRPr="00577EB1">
              <w:rPr>
                <w:sz w:val="20"/>
                <w:szCs w:val="24"/>
                <w:lang w:val="fr-FR"/>
              </w:rPr>
              <w:t>100,0</w:t>
            </w:r>
          </w:p>
        </w:tc>
      </w:tr>
    </w:tbl>
    <w:p w:rsidR="004B3541" w:rsidRDefault="004B1FC7">
      <w:pPr>
        <w:pStyle w:val="Source"/>
        <w:spacing w:before="120" w:after="480"/>
      </w:pPr>
      <w:r w:rsidRPr="00577EB1">
        <w:t>Source</w:t>
      </w:r>
      <w:r w:rsidR="00847527">
        <w:t> :</w:t>
      </w:r>
      <w:r w:rsidR="0007340F">
        <w:t xml:space="preserve"> </w:t>
      </w:r>
      <w:r w:rsidR="00EB214A" w:rsidRPr="00EB214A">
        <w:rPr>
          <w:i w:val="0"/>
        </w:rPr>
        <w:t>Institut national de la statistique et de la démographie (INSD), 2003</w:t>
      </w:r>
      <w:r w:rsidRPr="00577EB1">
        <w:t>.</w:t>
      </w:r>
    </w:p>
    <w:p w:rsidR="004B1FC7" w:rsidRPr="00577EB1" w:rsidRDefault="004B1FC7" w:rsidP="00E52A30">
      <w:pPr>
        <w:numPr>
          <w:ilvl w:val="0"/>
          <w:numId w:val="2"/>
        </w:numPr>
        <w:ind w:left="0" w:firstLine="0"/>
        <w:rPr>
          <w:szCs w:val="24"/>
          <w:lang w:val="fr-FR"/>
        </w:rPr>
      </w:pPr>
      <w:r w:rsidRPr="00577EB1">
        <w:rPr>
          <w:b/>
          <w:noProof/>
          <w:szCs w:val="24"/>
          <w:lang w:val="fr-FR"/>
        </w:rPr>
        <w:t>Pendant la période 1994-2003, le taux de croissance de la production a dépassé celui de la population de 3 points de pourcentage par an.</w:t>
      </w:r>
      <w:r w:rsidRPr="00577EB1">
        <w:rPr>
          <w:szCs w:val="24"/>
          <w:lang w:val="fr-FR"/>
        </w:rPr>
        <w:t xml:space="preserve"> Par conséquent, le PIB par habitant était de </w:t>
      </w:r>
      <w:r w:rsidRPr="00577EB1">
        <w:rPr>
          <w:noProof/>
          <w:szCs w:val="24"/>
          <w:lang w:val="fr-FR"/>
        </w:rPr>
        <w:t>14 % plus élevé en 1998 qu’en 1994, et de 13 % en 2003 qu’en 1998. L’inégalité est restée stable de 1994 à 1998 et a diminué de 1998 à 2003. De même, les tendances des indicateurs de bien-être non monétaire (éducation, santé et nutrition) ont montré une amélioration.</w:t>
      </w:r>
      <w:r w:rsidRPr="00577EB1">
        <w:rPr>
          <w:szCs w:val="24"/>
          <w:lang w:val="fr-FR"/>
        </w:rPr>
        <w:t xml:space="preserve"> La combinaison d’une croissance solide, d’une inégalité stable où en baisse, et de l’amélioration de plusieurs indicateurs de bien-être non monétaire devrait avoir eu un impact significatif sur la pauvreté</w:t>
      </w:r>
      <w:r w:rsidRPr="00577EB1">
        <w:rPr>
          <w:noProof/>
          <w:szCs w:val="24"/>
          <w:lang w:val="fr-FR"/>
        </w:rPr>
        <w:t>.</w:t>
      </w:r>
    </w:p>
    <w:p w:rsidR="004B1FC7" w:rsidRPr="00577EB1" w:rsidRDefault="004B1FC7" w:rsidP="00E52A30">
      <w:pPr>
        <w:numPr>
          <w:ilvl w:val="0"/>
          <w:numId w:val="2"/>
        </w:numPr>
        <w:ind w:left="0" w:firstLine="0"/>
        <w:rPr>
          <w:szCs w:val="24"/>
          <w:lang w:val="fr-FR"/>
        </w:rPr>
      </w:pPr>
      <w:r w:rsidRPr="00577EB1">
        <w:rPr>
          <w:b/>
          <w:noProof/>
          <w:szCs w:val="24"/>
          <w:lang w:val="fr-FR"/>
        </w:rPr>
        <w:t>Malgré diverses incohérences dans les données d’enquête, on peut sans risques conclure que la pauvreté a diminué au Burkina Faso au cours des 15 dernières années et que, malgré les chocs récents, l’incidence de la pauvreté semble rester actuellement aux alentours de 40 % de la population.</w:t>
      </w:r>
      <w:r w:rsidRPr="00577EB1">
        <w:rPr>
          <w:szCs w:val="24"/>
          <w:lang w:val="fr-FR"/>
        </w:rPr>
        <w:t xml:space="preserve"> L’évaluation 2004 des risques et de la vulnérabilité au Burkina Faso</w:t>
      </w:r>
      <w:r w:rsidRPr="00577EB1">
        <w:rPr>
          <w:noProof/>
          <w:szCs w:val="24"/>
          <w:lang w:val="fr-FR"/>
        </w:rPr>
        <w:t xml:space="preserve"> conclut que la pauvreté pourrait en fait avoir décru entre 1994 et 1998, compte tenu des incohérences dans les données résultants</w:t>
      </w:r>
      <w:r w:rsidR="0007340F">
        <w:rPr>
          <w:noProof/>
          <w:szCs w:val="24"/>
          <w:lang w:val="fr-FR"/>
        </w:rPr>
        <w:t xml:space="preserve"> </w:t>
      </w:r>
      <w:r w:rsidRPr="00577EB1">
        <w:rPr>
          <w:noProof/>
          <w:szCs w:val="24"/>
          <w:lang w:val="fr-FR"/>
        </w:rPr>
        <w:t>i) de modifications dans la période pour laquelle les personnes interrogées doit faire appel à leur mémoire, qui ont entraîné des changements substantiels et erronés dans la consommation déclarée, donc dans le degré de pauvreté</w:t>
      </w:r>
      <w:r w:rsidR="0007340F">
        <w:rPr>
          <w:noProof/>
          <w:szCs w:val="24"/>
          <w:lang w:val="fr-FR"/>
        </w:rPr>
        <w:t xml:space="preserve"> </w:t>
      </w:r>
      <w:r w:rsidRPr="00577EB1">
        <w:rPr>
          <w:noProof/>
          <w:szCs w:val="24"/>
          <w:lang w:val="fr-FR"/>
        </w:rPr>
        <w:t>et ii) du calendrier de réalisation de l’enquête, qui a eu un impact non négligeable sur les tendances de la pauvreté, en particulier dans l’environnement aride de l’Afrique de l’Ouest, à cause des grandes différences de consommation entre les périodes de pré-récolte (période de pénurie) et d’après-récolte. Des ajustements ont été réalisés pour corriger les incohérences identifiées dans l’étude de 2004 mentionnée ci-dessus.</w:t>
      </w:r>
      <w:r w:rsidRPr="00577EB1">
        <w:rPr>
          <w:szCs w:val="24"/>
          <w:lang w:val="fr-FR"/>
        </w:rPr>
        <w:t xml:space="preserve"> Les résultats ajustés indiquent que la pauvreté a baissé au Burkina Faso de 44,5 % en</w:t>
      </w:r>
      <w:r w:rsidRPr="00577EB1">
        <w:rPr>
          <w:noProof/>
          <w:szCs w:val="24"/>
          <w:lang w:val="fr-FR"/>
        </w:rPr>
        <w:t xml:space="preserve"> 1994 à une valeur sitée entre 33 et 36 % en 1998, ce qui est conforme aux tendances macroéconomiques et à la dynamique des principaux indicateurs de bien-être non monétaire.</w:t>
      </w:r>
      <w:r w:rsidRPr="00577EB1">
        <w:rPr>
          <w:szCs w:val="24"/>
          <w:lang w:val="fr-FR"/>
        </w:rPr>
        <w:t xml:space="preserve"> De même, d’autres ajustements effectués dans le cadre du modèle de simulation macroéconomique pour l’analyse de la pauvreté (MSAP)</w:t>
      </w:r>
      <w:r w:rsidRPr="00577EB1">
        <w:rPr>
          <w:noProof/>
          <w:szCs w:val="24"/>
          <w:lang w:val="fr-FR"/>
        </w:rPr>
        <w:t xml:space="preserve"> permettent de penser que la pauvreté pourrait avoir diminué de 46,4 % en 2003 à 39,2 % en 2007 (cité dans Nouvé et coll.</w:t>
      </w:r>
      <w:r w:rsidRPr="00577EB1">
        <w:rPr>
          <w:szCs w:val="24"/>
          <w:lang w:val="fr-FR"/>
        </w:rPr>
        <w:t xml:space="preserve"> 2009). D’après l’estimation de la pauvreté prévue fondée sur les comptes nationaux, l’incidence de la pauvreté a baissé au niveau national </w:t>
      </w:r>
      <w:r w:rsidRPr="00577EB1">
        <w:rPr>
          <w:noProof/>
          <w:szCs w:val="24"/>
          <w:lang w:val="fr-FR"/>
        </w:rPr>
        <w:t xml:space="preserve">de 46,4 à 43,2 % </w:t>
      </w:r>
      <w:r w:rsidRPr="00577EB1">
        <w:rPr>
          <w:szCs w:val="24"/>
          <w:lang w:val="fr-FR"/>
        </w:rPr>
        <w:t xml:space="preserve">au cours de la période </w:t>
      </w:r>
      <w:r w:rsidRPr="00577EB1">
        <w:rPr>
          <w:noProof/>
          <w:szCs w:val="24"/>
          <w:lang w:val="fr-FR"/>
        </w:rPr>
        <w:t>2003-2009 (Voir</w:t>
      </w:r>
      <w:r w:rsidR="008302F0">
        <w:rPr>
          <w:noProof/>
          <w:szCs w:val="24"/>
          <w:lang w:val="fr-FR"/>
        </w:rPr>
        <w:t xml:space="preserve"> Tableau 2</w:t>
      </w:r>
      <w:r w:rsidRPr="00577EB1">
        <w:rPr>
          <w:szCs w:val="24"/>
          <w:lang w:val="fr-FR"/>
        </w:rPr>
        <w:t>). Il est important de veiller à ce que les futures analyses de la pauvreté tiennent compte de la comparabilité entre les données des enquêtes</w:t>
      </w:r>
      <w:r w:rsidRPr="00577EB1">
        <w:rPr>
          <w:noProof/>
          <w:szCs w:val="24"/>
          <w:lang w:val="fr-FR"/>
        </w:rPr>
        <w:t>.</w:t>
      </w:r>
      <w:r w:rsidRPr="00577EB1">
        <w:rPr>
          <w:szCs w:val="24"/>
          <w:lang w:val="fr-FR"/>
        </w:rPr>
        <w:t xml:space="preserve"> Une enquête complète auprès des ménages a été lancée en </w:t>
      </w:r>
      <w:r w:rsidRPr="00577EB1">
        <w:rPr>
          <w:noProof/>
          <w:szCs w:val="24"/>
          <w:lang w:val="fr-FR"/>
        </w:rPr>
        <w:t xml:space="preserve">2009/2010 et sera achevée à la fin 2010. Elle couvre une période de 12 mois sur la base de quatre visites aux ménages et </w:t>
      </w:r>
      <w:r w:rsidRPr="00577EB1">
        <w:rPr>
          <w:noProof/>
          <w:szCs w:val="24"/>
          <w:lang w:val="fr-FR"/>
        </w:rPr>
        <w:lastRenderedPageBreak/>
        <w:t>est compartable à l’enquête 2003. Elle devrait fournir des informations fiables sur la pauvreté monétaire et sur les tendances.</w:t>
      </w:r>
      <w:r w:rsidRPr="00577EB1">
        <w:rPr>
          <w:szCs w:val="24"/>
          <w:lang w:val="fr-FR"/>
        </w:rPr>
        <w:t xml:space="preserve"> Les résultats de cette enquête sont attendus en 2011</w:t>
      </w:r>
      <w:r w:rsidRPr="00577EB1">
        <w:rPr>
          <w:noProof/>
          <w:szCs w:val="24"/>
          <w:lang w:val="fr-FR"/>
        </w:rPr>
        <w:t>.</w:t>
      </w:r>
    </w:p>
    <w:p w:rsidR="004B1FC7" w:rsidRPr="00577EB1" w:rsidRDefault="004B1FC7" w:rsidP="00F07732">
      <w:pPr>
        <w:pStyle w:val="Heading7"/>
        <w:rPr>
          <w:lang w:val="fr-FR"/>
        </w:rPr>
      </w:pPr>
      <w:bookmarkStart w:id="28" w:name="_Ref262125878"/>
      <w:bookmarkStart w:id="29" w:name="_Toc284528576"/>
      <w:bookmarkStart w:id="30" w:name="_Toc284530513"/>
      <w:r w:rsidRPr="00577EB1">
        <w:rPr>
          <w:lang w:val="fr-FR"/>
        </w:rPr>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2</w:t>
      </w:r>
      <w:r w:rsidR="00725419" w:rsidRPr="00577EB1">
        <w:rPr>
          <w:lang w:val="fr-FR"/>
        </w:rPr>
        <w:fldChar w:fldCharType="end"/>
      </w:r>
      <w:r w:rsidR="00837FC9">
        <w:rPr>
          <w:lang w:val="fr-FR"/>
        </w:rPr>
        <w:t> :</w:t>
      </w:r>
      <w:r w:rsidR="0007340F">
        <w:rPr>
          <w:lang w:val="fr-FR"/>
        </w:rPr>
        <w:t xml:space="preserve"> </w:t>
      </w:r>
      <w:r w:rsidRPr="00577EB1">
        <w:rPr>
          <w:lang w:val="fr-FR"/>
        </w:rPr>
        <w:t>Estimations de la tendance de la pauvreté monétaire sur la base des comptes nationaux</w:t>
      </w:r>
      <w:bookmarkEnd w:id="28"/>
      <w:bookmarkEnd w:id="29"/>
      <w:bookmarkEnd w:id="30"/>
    </w:p>
    <w:tbl>
      <w:tblPr>
        <w:tblW w:w="5000" w:type="pct"/>
        <w:tblLook w:val="00A0"/>
      </w:tblPr>
      <w:tblGrid>
        <w:gridCol w:w="2672"/>
        <w:gridCol w:w="1584"/>
        <w:gridCol w:w="1583"/>
        <w:gridCol w:w="1583"/>
        <w:gridCol w:w="1583"/>
      </w:tblGrid>
      <w:tr w:rsidR="004B1FC7" w:rsidRPr="00577EB1" w:rsidTr="008302F0">
        <w:tc>
          <w:tcPr>
            <w:tcW w:w="1483" w:type="pct"/>
            <w:tcBorders>
              <w:top w:val="single" w:sz="4" w:space="0" w:color="auto"/>
              <w:bottom w:val="single" w:sz="4" w:space="0" w:color="auto"/>
            </w:tcBorders>
          </w:tcPr>
          <w:p w:rsidR="004B1FC7" w:rsidRPr="00577EB1" w:rsidRDefault="004B1FC7" w:rsidP="004B1FC7">
            <w:pPr>
              <w:spacing w:after="0"/>
              <w:rPr>
                <w:sz w:val="20"/>
                <w:szCs w:val="24"/>
                <w:lang w:val="fr-FR"/>
              </w:rPr>
            </w:pPr>
          </w:p>
        </w:tc>
        <w:tc>
          <w:tcPr>
            <w:tcW w:w="879" w:type="pct"/>
            <w:tcBorders>
              <w:top w:val="single" w:sz="4" w:space="0" w:color="auto"/>
              <w:bottom w:val="single" w:sz="4" w:space="0" w:color="auto"/>
            </w:tcBorders>
          </w:tcPr>
          <w:p w:rsidR="004B1FC7" w:rsidRPr="00577EB1" w:rsidRDefault="004B1FC7" w:rsidP="004B1FC7">
            <w:pPr>
              <w:spacing w:after="0"/>
              <w:rPr>
                <w:b/>
                <w:sz w:val="20"/>
                <w:szCs w:val="24"/>
                <w:lang w:val="fr-FR"/>
              </w:rPr>
            </w:pPr>
            <w:r w:rsidRPr="00577EB1">
              <w:rPr>
                <w:b/>
                <w:sz w:val="20"/>
                <w:szCs w:val="24"/>
                <w:lang w:val="fr-FR"/>
              </w:rPr>
              <w:t>2003</w:t>
            </w:r>
          </w:p>
        </w:tc>
        <w:tc>
          <w:tcPr>
            <w:tcW w:w="879" w:type="pct"/>
            <w:tcBorders>
              <w:top w:val="single" w:sz="4" w:space="0" w:color="auto"/>
              <w:bottom w:val="single" w:sz="4" w:space="0" w:color="auto"/>
            </w:tcBorders>
          </w:tcPr>
          <w:p w:rsidR="004B1FC7" w:rsidRPr="00577EB1" w:rsidRDefault="004B1FC7" w:rsidP="004B1FC7">
            <w:pPr>
              <w:spacing w:after="0"/>
              <w:rPr>
                <w:b/>
                <w:sz w:val="20"/>
                <w:szCs w:val="24"/>
                <w:lang w:val="fr-FR"/>
              </w:rPr>
            </w:pPr>
            <w:r w:rsidRPr="00577EB1">
              <w:rPr>
                <w:b/>
                <w:sz w:val="20"/>
                <w:szCs w:val="24"/>
                <w:lang w:val="fr-FR"/>
              </w:rPr>
              <w:t>2005</w:t>
            </w:r>
          </w:p>
        </w:tc>
        <w:tc>
          <w:tcPr>
            <w:tcW w:w="879" w:type="pct"/>
            <w:tcBorders>
              <w:top w:val="single" w:sz="4" w:space="0" w:color="auto"/>
              <w:bottom w:val="single" w:sz="4" w:space="0" w:color="auto"/>
            </w:tcBorders>
          </w:tcPr>
          <w:p w:rsidR="004B1FC7" w:rsidRPr="00577EB1" w:rsidRDefault="004B1FC7" w:rsidP="004B1FC7">
            <w:pPr>
              <w:spacing w:after="0"/>
              <w:rPr>
                <w:b/>
                <w:sz w:val="20"/>
                <w:szCs w:val="24"/>
                <w:lang w:val="fr-FR"/>
              </w:rPr>
            </w:pPr>
            <w:r w:rsidRPr="00577EB1">
              <w:rPr>
                <w:b/>
                <w:sz w:val="20"/>
                <w:szCs w:val="24"/>
                <w:lang w:val="fr-FR"/>
              </w:rPr>
              <w:t>2007</w:t>
            </w:r>
          </w:p>
        </w:tc>
        <w:tc>
          <w:tcPr>
            <w:tcW w:w="879" w:type="pct"/>
            <w:tcBorders>
              <w:top w:val="single" w:sz="4" w:space="0" w:color="auto"/>
              <w:bottom w:val="single" w:sz="4" w:space="0" w:color="auto"/>
            </w:tcBorders>
          </w:tcPr>
          <w:p w:rsidR="004B1FC7" w:rsidRPr="00577EB1" w:rsidRDefault="004B1FC7" w:rsidP="004B1FC7">
            <w:pPr>
              <w:spacing w:after="0"/>
              <w:rPr>
                <w:b/>
                <w:sz w:val="20"/>
                <w:szCs w:val="24"/>
                <w:lang w:val="fr-FR"/>
              </w:rPr>
            </w:pPr>
            <w:r w:rsidRPr="00577EB1">
              <w:rPr>
                <w:b/>
                <w:sz w:val="20"/>
                <w:szCs w:val="24"/>
                <w:lang w:val="fr-FR"/>
              </w:rPr>
              <w:t>2009</w:t>
            </w:r>
          </w:p>
        </w:tc>
      </w:tr>
      <w:tr w:rsidR="004B1FC7" w:rsidRPr="00577EB1" w:rsidTr="008302F0">
        <w:tc>
          <w:tcPr>
            <w:tcW w:w="1483" w:type="pct"/>
            <w:tcBorders>
              <w:top w:val="single" w:sz="4" w:space="0" w:color="auto"/>
            </w:tcBorders>
          </w:tcPr>
          <w:p w:rsidR="004B1FC7" w:rsidRPr="008302F0" w:rsidRDefault="00EB214A" w:rsidP="004B1FC7">
            <w:pPr>
              <w:spacing w:after="0"/>
              <w:rPr>
                <w:sz w:val="20"/>
                <w:szCs w:val="24"/>
                <w:lang w:val="fr-FR"/>
              </w:rPr>
            </w:pPr>
            <w:r w:rsidRPr="00EB214A">
              <w:rPr>
                <w:noProof/>
                <w:sz w:val="20"/>
                <w:szCs w:val="24"/>
                <w:lang w:val="fr-FR"/>
              </w:rPr>
              <w:t>Nationale</w:t>
            </w:r>
          </w:p>
        </w:tc>
        <w:tc>
          <w:tcPr>
            <w:tcW w:w="879" w:type="pct"/>
            <w:tcBorders>
              <w:top w:val="single" w:sz="4" w:space="0" w:color="auto"/>
            </w:tcBorders>
          </w:tcPr>
          <w:p w:rsidR="004B1FC7" w:rsidRPr="00577EB1" w:rsidRDefault="004B1FC7" w:rsidP="004B1FC7">
            <w:pPr>
              <w:spacing w:after="0"/>
              <w:rPr>
                <w:sz w:val="20"/>
                <w:szCs w:val="24"/>
                <w:lang w:val="fr-FR"/>
              </w:rPr>
            </w:pPr>
            <w:r w:rsidRPr="00577EB1">
              <w:rPr>
                <w:sz w:val="20"/>
                <w:szCs w:val="24"/>
                <w:lang w:val="fr-FR"/>
              </w:rPr>
              <w:t>46,4</w:t>
            </w:r>
          </w:p>
        </w:tc>
        <w:tc>
          <w:tcPr>
            <w:tcW w:w="879" w:type="pct"/>
            <w:tcBorders>
              <w:top w:val="single" w:sz="4" w:space="0" w:color="auto"/>
            </w:tcBorders>
          </w:tcPr>
          <w:p w:rsidR="004B1FC7" w:rsidRPr="00577EB1" w:rsidRDefault="004B1FC7" w:rsidP="004B1FC7">
            <w:pPr>
              <w:spacing w:after="0"/>
              <w:rPr>
                <w:sz w:val="20"/>
                <w:szCs w:val="24"/>
                <w:lang w:val="fr-FR"/>
              </w:rPr>
            </w:pPr>
            <w:r w:rsidRPr="00577EB1">
              <w:rPr>
                <w:sz w:val="20"/>
                <w:szCs w:val="24"/>
                <w:lang w:val="fr-FR"/>
              </w:rPr>
              <w:t>45,4</w:t>
            </w:r>
          </w:p>
        </w:tc>
        <w:tc>
          <w:tcPr>
            <w:tcW w:w="879" w:type="pct"/>
            <w:tcBorders>
              <w:top w:val="single" w:sz="4" w:space="0" w:color="auto"/>
            </w:tcBorders>
          </w:tcPr>
          <w:p w:rsidR="004B1FC7" w:rsidRPr="00577EB1" w:rsidRDefault="004B1FC7" w:rsidP="004B1FC7">
            <w:pPr>
              <w:spacing w:after="0"/>
              <w:rPr>
                <w:sz w:val="20"/>
                <w:szCs w:val="24"/>
                <w:lang w:val="fr-FR"/>
              </w:rPr>
            </w:pPr>
            <w:r w:rsidRPr="00577EB1">
              <w:rPr>
                <w:sz w:val="20"/>
                <w:szCs w:val="24"/>
                <w:lang w:val="fr-FR"/>
              </w:rPr>
              <w:t>43,6</w:t>
            </w:r>
          </w:p>
        </w:tc>
        <w:tc>
          <w:tcPr>
            <w:tcW w:w="879" w:type="pct"/>
            <w:tcBorders>
              <w:top w:val="single" w:sz="4" w:space="0" w:color="auto"/>
            </w:tcBorders>
          </w:tcPr>
          <w:p w:rsidR="004B1FC7" w:rsidRPr="00577EB1" w:rsidRDefault="004B1FC7" w:rsidP="004B1FC7">
            <w:pPr>
              <w:spacing w:after="0"/>
              <w:rPr>
                <w:sz w:val="20"/>
                <w:szCs w:val="24"/>
                <w:lang w:val="fr-FR"/>
              </w:rPr>
            </w:pPr>
            <w:r w:rsidRPr="00577EB1">
              <w:rPr>
                <w:sz w:val="20"/>
                <w:szCs w:val="24"/>
                <w:lang w:val="fr-FR"/>
              </w:rPr>
              <w:t>43,2</w:t>
            </w:r>
          </w:p>
        </w:tc>
      </w:tr>
      <w:tr w:rsidR="004B1FC7" w:rsidRPr="00577EB1" w:rsidTr="008302F0">
        <w:tc>
          <w:tcPr>
            <w:tcW w:w="1483" w:type="pct"/>
          </w:tcPr>
          <w:p w:rsidR="004B1FC7" w:rsidRPr="008302F0" w:rsidRDefault="00EB214A" w:rsidP="004B1FC7">
            <w:pPr>
              <w:spacing w:after="0"/>
              <w:rPr>
                <w:sz w:val="20"/>
                <w:szCs w:val="24"/>
                <w:lang w:val="fr-FR"/>
              </w:rPr>
            </w:pPr>
            <w:r w:rsidRPr="00EB214A">
              <w:rPr>
                <w:noProof/>
                <w:sz w:val="20"/>
                <w:szCs w:val="24"/>
                <w:lang w:val="fr-FR"/>
              </w:rPr>
              <w:t>Rurale</w:t>
            </w:r>
          </w:p>
        </w:tc>
        <w:tc>
          <w:tcPr>
            <w:tcW w:w="879" w:type="pct"/>
          </w:tcPr>
          <w:p w:rsidR="004B1FC7" w:rsidRPr="00577EB1" w:rsidRDefault="004B1FC7" w:rsidP="004B1FC7">
            <w:pPr>
              <w:spacing w:after="0"/>
              <w:rPr>
                <w:sz w:val="20"/>
                <w:szCs w:val="24"/>
                <w:lang w:val="fr-FR"/>
              </w:rPr>
            </w:pPr>
            <w:r w:rsidRPr="00577EB1">
              <w:rPr>
                <w:sz w:val="20"/>
                <w:szCs w:val="24"/>
                <w:lang w:val="fr-FR"/>
              </w:rPr>
              <w:t>52,3</w:t>
            </w:r>
          </w:p>
        </w:tc>
        <w:tc>
          <w:tcPr>
            <w:tcW w:w="879" w:type="pct"/>
          </w:tcPr>
          <w:p w:rsidR="004B1FC7" w:rsidRPr="00577EB1" w:rsidRDefault="004B1FC7" w:rsidP="004B1FC7">
            <w:pPr>
              <w:spacing w:after="0"/>
              <w:rPr>
                <w:sz w:val="20"/>
                <w:szCs w:val="24"/>
                <w:lang w:val="fr-FR"/>
              </w:rPr>
            </w:pPr>
            <w:r w:rsidRPr="00577EB1">
              <w:rPr>
                <w:sz w:val="20"/>
                <w:szCs w:val="24"/>
                <w:lang w:val="fr-FR"/>
              </w:rPr>
              <w:t>51,4</w:t>
            </w:r>
          </w:p>
        </w:tc>
        <w:tc>
          <w:tcPr>
            <w:tcW w:w="879" w:type="pct"/>
          </w:tcPr>
          <w:p w:rsidR="004B1FC7" w:rsidRPr="00577EB1" w:rsidRDefault="004B1FC7" w:rsidP="004B1FC7">
            <w:pPr>
              <w:spacing w:after="0"/>
              <w:rPr>
                <w:sz w:val="20"/>
                <w:szCs w:val="24"/>
                <w:lang w:val="fr-FR"/>
              </w:rPr>
            </w:pPr>
            <w:r w:rsidRPr="00577EB1">
              <w:rPr>
                <w:sz w:val="20"/>
                <w:szCs w:val="24"/>
                <w:lang w:val="fr-FR"/>
              </w:rPr>
              <w:t>50,4</w:t>
            </w:r>
          </w:p>
        </w:tc>
        <w:tc>
          <w:tcPr>
            <w:tcW w:w="879" w:type="pct"/>
          </w:tcPr>
          <w:p w:rsidR="004B1FC7" w:rsidRPr="00577EB1" w:rsidRDefault="004B1FC7" w:rsidP="004B1FC7">
            <w:pPr>
              <w:spacing w:after="0"/>
              <w:rPr>
                <w:sz w:val="20"/>
                <w:szCs w:val="24"/>
                <w:lang w:val="fr-FR"/>
              </w:rPr>
            </w:pPr>
            <w:r w:rsidRPr="00577EB1">
              <w:rPr>
                <w:sz w:val="20"/>
                <w:szCs w:val="24"/>
                <w:lang w:val="fr-FR"/>
              </w:rPr>
              <w:t>48,8</w:t>
            </w:r>
          </w:p>
        </w:tc>
      </w:tr>
      <w:tr w:rsidR="004B1FC7" w:rsidRPr="00577EB1" w:rsidTr="008302F0">
        <w:tc>
          <w:tcPr>
            <w:tcW w:w="1483" w:type="pct"/>
            <w:tcBorders>
              <w:bottom w:val="single" w:sz="4" w:space="0" w:color="auto"/>
            </w:tcBorders>
          </w:tcPr>
          <w:p w:rsidR="004B1FC7" w:rsidRPr="008302F0" w:rsidRDefault="00EB214A" w:rsidP="004B1FC7">
            <w:pPr>
              <w:spacing w:after="0"/>
              <w:rPr>
                <w:sz w:val="20"/>
                <w:szCs w:val="24"/>
                <w:lang w:val="fr-FR"/>
              </w:rPr>
            </w:pPr>
            <w:r w:rsidRPr="00EB214A">
              <w:rPr>
                <w:noProof/>
                <w:sz w:val="20"/>
                <w:szCs w:val="24"/>
                <w:lang w:val="fr-FR"/>
              </w:rPr>
              <w:t>Urbaine</w:t>
            </w:r>
          </w:p>
        </w:tc>
        <w:tc>
          <w:tcPr>
            <w:tcW w:w="879" w:type="pct"/>
            <w:tcBorders>
              <w:bottom w:val="single" w:sz="4" w:space="0" w:color="auto"/>
            </w:tcBorders>
          </w:tcPr>
          <w:p w:rsidR="004B1FC7" w:rsidRPr="00577EB1" w:rsidRDefault="004B1FC7" w:rsidP="004B1FC7">
            <w:pPr>
              <w:spacing w:after="0"/>
              <w:rPr>
                <w:sz w:val="20"/>
                <w:szCs w:val="24"/>
                <w:lang w:val="fr-FR"/>
              </w:rPr>
            </w:pPr>
            <w:r w:rsidRPr="00577EB1">
              <w:rPr>
                <w:sz w:val="20"/>
                <w:szCs w:val="24"/>
                <w:lang w:val="fr-FR"/>
              </w:rPr>
              <w:t>19,9</w:t>
            </w:r>
          </w:p>
        </w:tc>
        <w:tc>
          <w:tcPr>
            <w:tcW w:w="879" w:type="pct"/>
            <w:tcBorders>
              <w:bottom w:val="single" w:sz="4" w:space="0" w:color="auto"/>
            </w:tcBorders>
          </w:tcPr>
          <w:p w:rsidR="004B1FC7" w:rsidRPr="00577EB1" w:rsidRDefault="004B1FC7" w:rsidP="004B1FC7">
            <w:pPr>
              <w:spacing w:after="0"/>
              <w:rPr>
                <w:sz w:val="20"/>
                <w:szCs w:val="24"/>
                <w:lang w:val="fr-FR"/>
              </w:rPr>
            </w:pPr>
            <w:r w:rsidRPr="00577EB1">
              <w:rPr>
                <w:sz w:val="20"/>
                <w:szCs w:val="24"/>
                <w:lang w:val="fr-FR"/>
              </w:rPr>
              <w:t>20,9</w:t>
            </w:r>
          </w:p>
        </w:tc>
        <w:tc>
          <w:tcPr>
            <w:tcW w:w="879" w:type="pct"/>
            <w:tcBorders>
              <w:bottom w:val="single" w:sz="4" w:space="0" w:color="auto"/>
            </w:tcBorders>
          </w:tcPr>
          <w:p w:rsidR="004B1FC7" w:rsidRPr="00577EB1" w:rsidRDefault="004B1FC7" w:rsidP="004B1FC7">
            <w:pPr>
              <w:spacing w:after="0"/>
              <w:rPr>
                <w:sz w:val="20"/>
                <w:szCs w:val="24"/>
                <w:lang w:val="fr-FR"/>
              </w:rPr>
            </w:pPr>
            <w:r w:rsidRPr="00577EB1">
              <w:rPr>
                <w:sz w:val="20"/>
                <w:szCs w:val="24"/>
                <w:lang w:val="fr-FR"/>
              </w:rPr>
              <w:t>19,2</w:t>
            </w:r>
          </w:p>
        </w:tc>
        <w:tc>
          <w:tcPr>
            <w:tcW w:w="879" w:type="pct"/>
            <w:tcBorders>
              <w:bottom w:val="single" w:sz="4" w:space="0" w:color="auto"/>
            </w:tcBorders>
          </w:tcPr>
          <w:p w:rsidR="004B1FC7" w:rsidRPr="00577EB1" w:rsidRDefault="004B1FC7" w:rsidP="004B1FC7">
            <w:pPr>
              <w:spacing w:after="0"/>
              <w:rPr>
                <w:sz w:val="20"/>
                <w:szCs w:val="24"/>
                <w:lang w:val="fr-FR"/>
              </w:rPr>
            </w:pPr>
            <w:r w:rsidRPr="00577EB1">
              <w:rPr>
                <w:sz w:val="20"/>
                <w:szCs w:val="24"/>
                <w:lang w:val="fr-FR"/>
              </w:rPr>
              <w:t>20,6</w:t>
            </w:r>
          </w:p>
        </w:tc>
      </w:tr>
    </w:tbl>
    <w:p w:rsidR="004B3541" w:rsidRDefault="004B1FC7">
      <w:pPr>
        <w:pStyle w:val="Source"/>
        <w:spacing w:before="120" w:after="480"/>
      </w:pPr>
      <w:r w:rsidRPr="00577EB1">
        <w:t>Source</w:t>
      </w:r>
      <w:r w:rsidR="00847527">
        <w:t xml:space="preserve"> : </w:t>
      </w:r>
      <w:r w:rsidR="00EB214A" w:rsidRPr="00EB214A">
        <w:rPr>
          <w:i w:val="0"/>
        </w:rPr>
        <w:t>Les données pour 2003 sont fondées sur l’enquête sur les budgets des ménages, et les estimations pour 2005-2007-2009 sur les prévisions économiques de la DGEP</w:t>
      </w:r>
      <w:r w:rsidRPr="00577EB1">
        <w:t>.</w:t>
      </w:r>
    </w:p>
    <w:p w:rsidR="004B1FC7" w:rsidRPr="00577EB1" w:rsidRDefault="004B1FC7" w:rsidP="00E52A30">
      <w:pPr>
        <w:numPr>
          <w:ilvl w:val="0"/>
          <w:numId w:val="2"/>
        </w:numPr>
        <w:ind w:left="0" w:firstLine="0"/>
        <w:rPr>
          <w:szCs w:val="24"/>
          <w:lang w:val="fr-FR"/>
        </w:rPr>
      </w:pPr>
      <w:r w:rsidRPr="00577EB1">
        <w:rPr>
          <w:b/>
          <w:noProof/>
          <w:szCs w:val="24"/>
          <w:lang w:val="fr-FR"/>
        </w:rPr>
        <w:t>Enfin, une nouvelle étude a tenté d’éclairer quelque peu les tendances de la pauvreté au Burkina Faso.</w:t>
      </w:r>
      <w:r w:rsidRPr="00577EB1">
        <w:rPr>
          <w:b/>
          <w:noProof/>
          <w:szCs w:val="24"/>
          <w:vertAlign w:val="superscript"/>
          <w:lang w:val="fr-FR"/>
        </w:rPr>
        <w:footnoteReference w:id="5"/>
      </w:r>
      <w:r w:rsidRPr="00577EB1">
        <w:rPr>
          <w:noProof/>
          <w:szCs w:val="24"/>
          <w:lang w:val="fr-FR"/>
        </w:rPr>
        <w:t xml:space="preserve"> Elle met à profit une série d’enquêtes auprès des ménages appelées Questionnaire des indicateurs de base du bien-être (QUIBB), conçues pour suivre la mise en œuvre de la stratégie de réduction de la pauvreté (DSRP), et le fait que les enquêtes 2003, 2005 et 2007 sur les priorités de l’INSD sont elles aussi fondées sur le modèle QUIBB.</w:t>
      </w:r>
      <w:r w:rsidRPr="00577EB1">
        <w:rPr>
          <w:szCs w:val="24"/>
          <w:lang w:val="fr-FR"/>
        </w:rPr>
        <w:t xml:space="preserve"> La principale différence réside dans le fait que les enquêtes sur les priorités contiennent des informations sur les revenus et les dépenses, tandis que le QUIBB </w:t>
      </w:r>
      <w:r w:rsidRPr="00577EB1">
        <w:rPr>
          <w:noProof/>
          <w:szCs w:val="24"/>
          <w:lang w:val="fr-FR"/>
        </w:rPr>
        <w:t>se base sur les avoirs et les biens d’une part, et sur la perception qu’ont les ménages de leur niveau de bien-être d’autre part.</w:t>
      </w:r>
      <w:r w:rsidRPr="00577EB1">
        <w:rPr>
          <w:szCs w:val="24"/>
          <w:lang w:val="fr-FR"/>
        </w:rPr>
        <w:t xml:space="preserve"> L’enquête </w:t>
      </w:r>
      <w:r w:rsidRPr="00577EB1">
        <w:rPr>
          <w:noProof/>
          <w:szCs w:val="24"/>
          <w:lang w:val="fr-FR"/>
        </w:rPr>
        <w:t xml:space="preserve">2003 </w:t>
      </w:r>
      <w:r w:rsidRPr="00577EB1">
        <w:rPr>
          <w:szCs w:val="24"/>
          <w:lang w:val="fr-FR"/>
        </w:rPr>
        <w:t xml:space="preserve">sur les priorités </w:t>
      </w:r>
      <w:r w:rsidRPr="00577EB1">
        <w:rPr>
          <w:noProof/>
          <w:szCs w:val="24"/>
          <w:lang w:val="fr-FR"/>
        </w:rPr>
        <w:t>est également un QUIBB, ce qui a permis à cette étude d’utiliser la pauvreté monétaire en 2003 comme niveau de référence.</w:t>
      </w:r>
      <w:r w:rsidRPr="00577EB1">
        <w:rPr>
          <w:szCs w:val="24"/>
          <w:lang w:val="fr-FR"/>
        </w:rPr>
        <w:t xml:space="preserve"> Au stade actuel, il s’avère qu’il serait conceptuellement plus approprié d’utiliser la série des </w:t>
      </w:r>
      <w:r w:rsidRPr="00577EB1">
        <w:rPr>
          <w:noProof/>
          <w:szCs w:val="24"/>
          <w:lang w:val="fr-FR"/>
        </w:rPr>
        <w:t>QUIBB pour suivre les tendances de la pauvreté (et sans doute aussi la vulnérabilité des ménages) et d’utiliser l’enquête 2003 sur les priorités (en attendant les résultats de celle de 2008) pour déterminer le profil de la pauvreté à un moment particulier.</w:t>
      </w:r>
    </w:p>
    <w:p w:rsidR="004B1FC7" w:rsidRPr="00577EB1" w:rsidRDefault="004B1FC7" w:rsidP="004B1FC7">
      <w:pPr>
        <w:pStyle w:val="Style3"/>
        <w:rPr>
          <w:szCs w:val="24"/>
          <w:lang w:val="fr-FR"/>
        </w:rPr>
      </w:pPr>
      <w:r w:rsidRPr="00577EB1">
        <w:rPr>
          <w:noProof/>
          <w:szCs w:val="24"/>
          <w:lang w:val="fr-FR"/>
        </w:rPr>
        <w:t>Tendances de la pauvreté</w:t>
      </w:r>
      <w:r w:rsidRPr="00577EB1">
        <w:rPr>
          <w:rStyle w:val="FootnoteReference"/>
          <w:noProof/>
          <w:szCs w:val="24"/>
          <w:lang w:val="fr-FR"/>
        </w:rPr>
        <w:footnoteReference w:id="6"/>
      </w:r>
    </w:p>
    <w:p w:rsidR="004B1FC7" w:rsidRPr="00577EB1" w:rsidRDefault="004B1FC7" w:rsidP="00E52A30">
      <w:pPr>
        <w:numPr>
          <w:ilvl w:val="0"/>
          <w:numId w:val="2"/>
        </w:numPr>
        <w:ind w:left="0" w:firstLine="0"/>
        <w:rPr>
          <w:szCs w:val="24"/>
          <w:lang w:val="fr-FR"/>
        </w:rPr>
      </w:pPr>
      <w:r w:rsidRPr="00577EB1">
        <w:rPr>
          <w:b/>
          <w:noProof/>
          <w:szCs w:val="24"/>
          <w:lang w:val="fr-FR"/>
        </w:rPr>
        <w:t xml:space="preserve">En termes d’avoirs, comme le montrent les enquêtes QUIBB, la pauvreté a diminué de 46,3 % en 2003 à 38,5 % en 2007 </w:t>
      </w:r>
      <w:r w:rsidR="00EB214A" w:rsidRPr="00EB214A">
        <w:rPr>
          <w:noProof/>
          <w:szCs w:val="24"/>
          <w:lang w:val="fr-FR"/>
        </w:rPr>
        <w:t>(Tableau 3).</w:t>
      </w:r>
      <w:r w:rsidRPr="00577EB1">
        <w:rPr>
          <w:b/>
          <w:szCs w:val="24"/>
          <w:lang w:val="fr-FR"/>
        </w:rPr>
        <w:t xml:space="preserve"> </w:t>
      </w:r>
      <w:r w:rsidRPr="00577EB1">
        <w:rPr>
          <w:noProof/>
          <w:szCs w:val="24"/>
          <w:lang w:val="fr-FR"/>
        </w:rPr>
        <w:t>Ceci concorde avec le schéma de la croissance économique, les indicateurs de bien-être non monétaire et les tendances de l’inégalité.</w:t>
      </w:r>
      <w:r w:rsidRPr="00577EB1">
        <w:rPr>
          <w:szCs w:val="24"/>
          <w:lang w:val="fr-FR"/>
        </w:rPr>
        <w:t xml:space="preserve"> Une tendance similaire est observée dans les zones tant urbaines </w:t>
      </w:r>
      <w:r w:rsidRPr="00577EB1">
        <w:rPr>
          <w:noProof/>
          <w:szCs w:val="24"/>
          <w:lang w:val="fr-FR"/>
        </w:rPr>
        <w:t>(entre 19,9 et 13,0 %) que rurales (entre 52,2 et 43,9 %) sur la même période.</w:t>
      </w:r>
      <w:r w:rsidRPr="00577EB1">
        <w:rPr>
          <w:szCs w:val="24"/>
          <w:lang w:val="fr-FR"/>
        </w:rPr>
        <w:t xml:space="preserve"> Des tendances à la baisse semblables ont pu être observées dans la plupart des régions administratives</w:t>
      </w:r>
      <w:r w:rsidRPr="00577EB1">
        <w:rPr>
          <w:noProof/>
          <w:szCs w:val="24"/>
          <w:lang w:val="fr-FR"/>
        </w:rPr>
        <w:t>, avec toutefois des niveaux de départ différents, des ralentissements et, parfois, une inversion au milieu de la période (2005).</w:t>
      </w:r>
      <w:r w:rsidRPr="00577EB1">
        <w:rPr>
          <w:szCs w:val="24"/>
          <w:lang w:val="fr-FR"/>
        </w:rPr>
        <w:t xml:space="preserve"> En termes d’avoirs, les régions du Nord-est et du Sud-est ont la plus haute incidence de pauvreté (plus de 60 %) Ces régions n’ont pas seulement connu très peu d’amélioration entre les dates des enquêtes, mais leur situation a également empiré en 2005. Cette dégradation peut s’expliquer par les effets des basses précipitations et par les invasions de criquets de 2004 qui ont frappé l’agriculture, surtout dans les régions agro-écologiquement fragiles, ce qui a contribué à la hausse des prix alimentaires observée en 2005. Ce phénomène est visible dans les données décrivant la vulnérabilité alimentaire (Tableau 3). L’information recueillie auprès des ménages sur leur capacité à satisfaire leurs besoins alimentaires montre clairement une pointe en 2005, avant un retour à des niveaux </w:t>
      </w:r>
      <w:r w:rsidRPr="00577EB1">
        <w:rPr>
          <w:szCs w:val="24"/>
          <w:lang w:val="fr-FR"/>
        </w:rPr>
        <w:lastRenderedPageBreak/>
        <w:t>inférieurs en 2007. Les effets varient selon la situation géographique et, dans une certaine mesure, selon le niveau initial des avoirs familiaux. Les ménages urbains ont vu leur vulnérabilité alimentaire augmenter de 5,6 % entre 2003 et 2005, alors que les ménages ruraux ont subi une hausse beaucoup plus marquée, allant jusqu’à 18,5</w:t>
      </w:r>
      <w:r w:rsidRPr="00577EB1">
        <w:rPr>
          <w:rFonts w:ascii="Tahoma" w:hAnsi="Tahoma"/>
          <w:szCs w:val="24"/>
          <w:lang w:val="fr-FR"/>
        </w:rPr>
        <w:t xml:space="preserve"> </w:t>
      </w:r>
      <w:r w:rsidRPr="00577EB1">
        <w:rPr>
          <w:szCs w:val="24"/>
          <w:lang w:val="fr-FR"/>
        </w:rPr>
        <w:t>points de pourcentage sur la même période. Les régions Nord-est, Sud-ouest ainsi que celle des Cascades ont été les plus touchées par le choc de 2004-2005, et ne semblaient pas s’en être complètement rétablies en 2007 si on les compare avec d’autres régions. Même s’ils ont été touchés au même titre que les autres groupes, les ménages qui avaient les plus hauts niveaux d’avoirs en 2003 ont pu mieux surmonter le choc de 2004-2005. Ceci est particulièrement vrai dans les centres urbains et dans quelques secteurs de la région Centrale.</w:t>
      </w:r>
    </w:p>
    <w:p w:rsidR="004B1FC7" w:rsidRPr="00577EB1" w:rsidRDefault="004B1FC7" w:rsidP="00E52A30">
      <w:pPr>
        <w:numPr>
          <w:ilvl w:val="0"/>
          <w:numId w:val="2"/>
        </w:numPr>
        <w:ind w:left="0" w:firstLine="0"/>
        <w:rPr>
          <w:sz w:val="22"/>
          <w:szCs w:val="24"/>
          <w:lang w:val="fr-FR"/>
        </w:rPr>
      </w:pPr>
      <w:bookmarkStart w:id="31" w:name="_Ref262126310"/>
      <w:r w:rsidRPr="00577EB1">
        <w:rPr>
          <w:b/>
          <w:szCs w:val="24"/>
          <w:lang w:val="fr-FR"/>
        </w:rPr>
        <w:t>L’étude 2009 (Nouvé et coll</w:t>
      </w:r>
      <w:r w:rsidRPr="00577EB1">
        <w:rPr>
          <w:b/>
          <w:i/>
          <w:szCs w:val="24"/>
          <w:lang w:val="fr-FR"/>
        </w:rPr>
        <w:t>.</w:t>
      </w:r>
      <w:r w:rsidRPr="00577EB1">
        <w:rPr>
          <w:b/>
          <w:szCs w:val="24"/>
          <w:lang w:val="fr-FR"/>
        </w:rPr>
        <w:t>) a combiné les indicateurs d’avoirs et de vulnérabilité alimentaire au cours du temps, afin de définir une typologie régionale des ménages.</w:t>
      </w:r>
      <w:r w:rsidRPr="00577EB1">
        <w:rPr>
          <w:szCs w:val="24"/>
          <w:lang w:val="fr-FR"/>
        </w:rPr>
        <w:t xml:space="preserve"> Cette approche identifiait trois régions distinctes, reflétant le niveau de dépenses des ménages, leurs avoirs, leur vulnérabilité aux chocs alimentaires ainsi que leur résilience aux chocs pendant la période 2003-2007. La typologie régionale distingue</w:t>
      </w:r>
      <w:r w:rsidR="0007340F">
        <w:rPr>
          <w:szCs w:val="24"/>
          <w:lang w:val="fr-FR"/>
        </w:rPr>
        <w:t xml:space="preserve"> </w:t>
      </w:r>
      <w:r w:rsidRPr="00577EB1">
        <w:rPr>
          <w:szCs w:val="24"/>
          <w:lang w:val="fr-FR"/>
        </w:rPr>
        <w:t>i) la région Nord-est caractérisée par une consommation moyenne, des avoirs limités, une forte précarité et une situation de stagnation</w:t>
      </w:r>
      <w:r w:rsidR="0007340F">
        <w:rPr>
          <w:szCs w:val="24"/>
          <w:lang w:val="fr-FR"/>
        </w:rPr>
        <w:t xml:space="preserve"> </w:t>
      </w:r>
      <w:r w:rsidRPr="00577EB1">
        <w:rPr>
          <w:szCs w:val="24"/>
          <w:lang w:val="fr-FR"/>
        </w:rPr>
        <w:t>ii) la région centrale caractérisée par une faible consommation, des avoirs moyens, une précarité moyenne et une situation en progrès</w:t>
      </w:r>
      <w:r w:rsidR="0007340F">
        <w:rPr>
          <w:szCs w:val="24"/>
          <w:lang w:val="fr-FR"/>
        </w:rPr>
        <w:t xml:space="preserve"> </w:t>
      </w:r>
      <w:r w:rsidRPr="00577EB1">
        <w:rPr>
          <w:szCs w:val="24"/>
          <w:lang w:val="fr-FR"/>
        </w:rPr>
        <w:t>iii) les régions de la capitale et du Sud caractérisées par une consommation élevée, des avoirs importants, une précarité limitée et une situation en progrès (Tableau 3). Le message sous-jacent de cette approche est que la prise en compte des risques et de la résilience aux chocs est essentielle pour la formulation de politiques solides et pour le choix des interventions visant la pauvreté et la vulnérabilité.</w:t>
      </w:r>
    </w:p>
    <w:p w:rsidR="004B1FC7" w:rsidRPr="00577EB1" w:rsidRDefault="00DD0F50" w:rsidP="00F07732">
      <w:pPr>
        <w:pStyle w:val="Heading7"/>
        <w:rPr>
          <w:lang w:val="fr-FR"/>
        </w:rPr>
      </w:pPr>
      <w:bookmarkStart w:id="32" w:name="_Toc284528577"/>
      <w:bookmarkStart w:id="33" w:name="_Toc284530514"/>
      <w:bookmarkEnd w:id="31"/>
      <w:r w:rsidRPr="00577EB1">
        <w:rPr>
          <w:lang w:val="fr-FR"/>
        </w:rPr>
        <w:lastRenderedPageBreak/>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3</w:t>
      </w:r>
      <w:r w:rsidR="00725419" w:rsidRPr="00577EB1">
        <w:rPr>
          <w:lang w:val="fr-FR"/>
        </w:rPr>
        <w:fldChar w:fldCharType="end"/>
      </w:r>
      <w:r>
        <w:rPr>
          <w:lang w:val="fr-FR"/>
        </w:rPr>
        <w:t xml:space="preserve"> </w:t>
      </w:r>
      <w:r w:rsidR="00837FC9">
        <w:rPr>
          <w:lang w:val="fr-FR"/>
        </w:rPr>
        <w:t>:</w:t>
      </w:r>
      <w:r w:rsidR="0007340F">
        <w:rPr>
          <w:lang w:val="fr-FR"/>
        </w:rPr>
        <w:t xml:space="preserve"> </w:t>
      </w:r>
      <w:r w:rsidR="004B1FC7" w:rsidRPr="00577EB1">
        <w:rPr>
          <w:lang w:val="fr-FR"/>
        </w:rPr>
        <w:t>Incidence de la pauvreté et vulnérabilité alimentaire par régions administratives</w:t>
      </w:r>
      <w:bookmarkEnd w:id="32"/>
      <w:bookmarkEnd w:id="33"/>
    </w:p>
    <w:tbl>
      <w:tblPr>
        <w:tblW w:w="5055" w:type="pct"/>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165"/>
        <w:gridCol w:w="1006"/>
        <w:gridCol w:w="25"/>
        <w:gridCol w:w="897"/>
        <w:gridCol w:w="23"/>
        <w:gridCol w:w="899"/>
        <w:gridCol w:w="22"/>
        <w:gridCol w:w="903"/>
        <w:gridCol w:w="20"/>
        <w:gridCol w:w="903"/>
        <w:gridCol w:w="18"/>
        <w:gridCol w:w="1074"/>
        <w:gridCol w:w="14"/>
        <w:gridCol w:w="1058"/>
      </w:tblGrid>
      <w:tr w:rsidR="004B1FC7" w:rsidRPr="000A70E6" w:rsidTr="004B1FC7">
        <w:tc>
          <w:tcPr>
            <w:tcW w:w="1196" w:type="pct"/>
            <w:tcBorders>
              <w:top w:val="single" w:sz="4" w:space="0" w:color="auto"/>
              <w:bottom w:val="nil"/>
              <w:right w:val="single" w:sz="4" w:space="0" w:color="auto"/>
            </w:tcBorders>
            <w:noWrap/>
            <w:vAlign w:val="bottom"/>
          </w:tcPr>
          <w:p w:rsidR="004B1FC7" w:rsidRPr="00577EB1" w:rsidRDefault="004B1FC7" w:rsidP="004B1FC7">
            <w:pPr>
              <w:keepNext/>
              <w:keepLines/>
              <w:spacing w:after="0"/>
              <w:rPr>
                <w:b/>
                <w:sz w:val="20"/>
                <w:szCs w:val="24"/>
                <w:lang w:val="fr-FR"/>
              </w:rPr>
            </w:pPr>
          </w:p>
        </w:tc>
        <w:tc>
          <w:tcPr>
            <w:tcW w:w="571" w:type="pct"/>
            <w:gridSpan w:val="2"/>
            <w:tcBorders>
              <w:top w:val="single" w:sz="4" w:space="0" w:color="auto"/>
              <w:left w:val="single" w:sz="4" w:space="0" w:color="auto"/>
              <w:bottom w:val="nil"/>
              <w:right w:val="single" w:sz="4" w:space="0" w:color="auto"/>
            </w:tcBorders>
            <w:noWrap/>
            <w:vAlign w:val="bottom"/>
          </w:tcPr>
          <w:p w:rsidR="004B1FC7" w:rsidRPr="00577EB1" w:rsidRDefault="004B1FC7" w:rsidP="004B1FC7">
            <w:pPr>
              <w:keepNext/>
              <w:keepLines/>
              <w:spacing w:after="0"/>
              <w:jc w:val="center"/>
              <w:rPr>
                <w:b/>
                <w:sz w:val="20"/>
                <w:szCs w:val="24"/>
                <w:lang w:val="fr-FR"/>
              </w:rPr>
            </w:pPr>
            <w:r w:rsidRPr="00577EB1">
              <w:rPr>
                <w:b/>
                <w:sz w:val="20"/>
                <w:szCs w:val="24"/>
                <w:lang w:val="fr-FR"/>
              </w:rPr>
              <w:t>Pauvreté</w:t>
            </w:r>
          </w:p>
          <w:p w:rsidR="004B1FC7" w:rsidRPr="00577EB1" w:rsidRDefault="004B1FC7" w:rsidP="004B1FC7">
            <w:pPr>
              <w:keepNext/>
              <w:keepLines/>
              <w:spacing w:after="0"/>
              <w:jc w:val="center"/>
              <w:rPr>
                <w:szCs w:val="24"/>
                <w:lang w:val="fr-FR"/>
              </w:rPr>
            </w:pPr>
            <w:r w:rsidRPr="00577EB1">
              <w:rPr>
                <w:b/>
                <w:sz w:val="20"/>
                <w:szCs w:val="24"/>
                <w:lang w:val="fr-FR"/>
              </w:rPr>
              <w:t>monétaire</w:t>
            </w:r>
          </w:p>
        </w:tc>
        <w:tc>
          <w:tcPr>
            <w:tcW w:w="1530" w:type="pct"/>
            <w:gridSpan w:val="6"/>
            <w:tcBorders>
              <w:top w:val="single" w:sz="4" w:space="0" w:color="auto"/>
              <w:left w:val="single" w:sz="4" w:space="0" w:color="auto"/>
              <w:bottom w:val="nil"/>
              <w:right w:val="single" w:sz="4" w:space="0" w:color="auto"/>
            </w:tcBorders>
            <w:vAlign w:val="bottom"/>
          </w:tcPr>
          <w:p w:rsidR="004B1FC7" w:rsidRPr="00577EB1" w:rsidRDefault="004B1FC7" w:rsidP="004B1FC7">
            <w:pPr>
              <w:keepNext/>
              <w:keepLines/>
              <w:spacing w:after="0"/>
              <w:jc w:val="center"/>
              <w:rPr>
                <w:b/>
                <w:sz w:val="20"/>
                <w:szCs w:val="24"/>
                <w:lang w:val="fr-FR"/>
              </w:rPr>
            </w:pPr>
            <w:r w:rsidRPr="00577EB1">
              <w:rPr>
                <w:b/>
                <w:sz w:val="20"/>
                <w:szCs w:val="24"/>
                <w:lang w:val="fr-FR"/>
              </w:rPr>
              <w:t>Pauvreté basée sur les avoirs</w:t>
            </w:r>
          </w:p>
          <w:p w:rsidR="004B1FC7" w:rsidRPr="00577EB1" w:rsidRDefault="004B1FC7" w:rsidP="004B1FC7">
            <w:pPr>
              <w:keepNext/>
              <w:keepLines/>
              <w:spacing w:after="0"/>
              <w:jc w:val="center"/>
              <w:rPr>
                <w:szCs w:val="24"/>
                <w:lang w:val="fr-FR"/>
              </w:rPr>
            </w:pPr>
            <w:r w:rsidRPr="00577EB1">
              <w:rPr>
                <w:b/>
                <w:sz w:val="20"/>
                <w:szCs w:val="24"/>
                <w:lang w:val="fr-FR"/>
              </w:rPr>
              <w:t>ou les biens</w:t>
            </w:r>
          </w:p>
        </w:tc>
        <w:tc>
          <w:tcPr>
            <w:tcW w:w="1704" w:type="pct"/>
            <w:gridSpan w:val="5"/>
            <w:tcBorders>
              <w:top w:val="single" w:sz="4" w:space="0" w:color="auto"/>
              <w:left w:val="single" w:sz="4" w:space="0" w:color="auto"/>
              <w:bottom w:val="nil"/>
            </w:tcBorders>
            <w:noWrap/>
            <w:vAlign w:val="bottom"/>
          </w:tcPr>
          <w:p w:rsidR="004B1FC7" w:rsidRPr="00577EB1" w:rsidRDefault="004B1FC7" w:rsidP="004B1FC7">
            <w:pPr>
              <w:keepNext/>
              <w:keepLines/>
              <w:spacing w:after="0"/>
              <w:jc w:val="center"/>
              <w:rPr>
                <w:b/>
                <w:sz w:val="20"/>
                <w:szCs w:val="24"/>
                <w:lang w:val="fr-FR"/>
              </w:rPr>
            </w:pPr>
            <w:r w:rsidRPr="00577EB1">
              <w:rPr>
                <w:b/>
                <w:sz w:val="20"/>
                <w:szCs w:val="24"/>
                <w:lang w:val="fr-FR"/>
              </w:rPr>
              <w:t>Vulnérabilité alimentaire</w:t>
            </w:r>
          </w:p>
          <w:p w:rsidR="004B1FC7" w:rsidRPr="00577EB1" w:rsidRDefault="004B1FC7" w:rsidP="004B1FC7">
            <w:pPr>
              <w:keepNext/>
              <w:keepLines/>
              <w:spacing w:after="0"/>
              <w:jc w:val="center"/>
              <w:rPr>
                <w:szCs w:val="24"/>
                <w:lang w:val="fr-FR"/>
              </w:rPr>
            </w:pPr>
            <w:r w:rsidRPr="00577EB1">
              <w:rPr>
                <w:b/>
                <w:sz w:val="20"/>
                <w:szCs w:val="24"/>
                <w:lang w:val="fr-FR"/>
              </w:rPr>
              <w:t>(Incapacité à satisfaire les besoins alimentaires)</w:t>
            </w:r>
          </w:p>
        </w:tc>
      </w:tr>
      <w:tr w:rsidR="004B1FC7" w:rsidRPr="00577EB1" w:rsidTr="004B1FC7">
        <w:tc>
          <w:tcPr>
            <w:tcW w:w="1196" w:type="pct"/>
            <w:tcBorders>
              <w:top w:val="nil"/>
              <w:bottom w:val="single" w:sz="4" w:space="0" w:color="auto"/>
              <w:right w:val="single" w:sz="4" w:space="0" w:color="auto"/>
            </w:tcBorders>
            <w:noWrap/>
            <w:vAlign w:val="bottom"/>
          </w:tcPr>
          <w:p w:rsidR="004B1FC7" w:rsidRPr="00577EB1" w:rsidRDefault="004B1FC7" w:rsidP="004B1FC7">
            <w:pPr>
              <w:keepNext/>
              <w:keepLines/>
              <w:spacing w:after="0"/>
              <w:rPr>
                <w:b/>
                <w:sz w:val="20"/>
                <w:szCs w:val="24"/>
                <w:lang w:val="fr-FR"/>
              </w:rPr>
            </w:pPr>
          </w:p>
        </w:tc>
        <w:tc>
          <w:tcPr>
            <w:tcW w:w="571" w:type="pct"/>
            <w:gridSpan w:val="2"/>
            <w:tcBorders>
              <w:top w:val="nil"/>
              <w:left w:val="single" w:sz="4" w:space="0" w:color="auto"/>
              <w:bottom w:val="single" w:sz="4" w:space="0" w:color="auto"/>
              <w:right w:val="single" w:sz="4" w:space="0" w:color="auto"/>
            </w:tcBorders>
            <w:noWrap/>
            <w:vAlign w:val="bottom"/>
          </w:tcPr>
          <w:p w:rsidR="004B1FC7" w:rsidRPr="00577EB1" w:rsidRDefault="004B1FC7" w:rsidP="004B1FC7">
            <w:pPr>
              <w:keepNext/>
              <w:keepLines/>
              <w:spacing w:after="0"/>
              <w:jc w:val="center"/>
              <w:rPr>
                <w:b/>
                <w:sz w:val="20"/>
                <w:szCs w:val="24"/>
                <w:lang w:val="fr-FR"/>
              </w:rPr>
            </w:pPr>
            <w:r w:rsidRPr="00577EB1">
              <w:rPr>
                <w:b/>
                <w:sz w:val="20"/>
                <w:szCs w:val="24"/>
                <w:lang w:val="fr-FR"/>
              </w:rPr>
              <w:t>2003</w:t>
            </w:r>
          </w:p>
        </w:tc>
        <w:tc>
          <w:tcPr>
            <w:tcW w:w="510" w:type="pct"/>
            <w:gridSpan w:val="2"/>
            <w:tcBorders>
              <w:top w:val="nil"/>
              <w:left w:val="single" w:sz="4" w:space="0" w:color="auto"/>
              <w:bottom w:val="single" w:sz="4" w:space="0" w:color="auto"/>
            </w:tcBorders>
            <w:noWrap/>
            <w:vAlign w:val="bottom"/>
          </w:tcPr>
          <w:p w:rsidR="004B1FC7" w:rsidRPr="00577EB1" w:rsidRDefault="004B1FC7" w:rsidP="004B1FC7">
            <w:pPr>
              <w:keepNext/>
              <w:keepLines/>
              <w:spacing w:after="0"/>
              <w:jc w:val="center"/>
              <w:rPr>
                <w:b/>
                <w:sz w:val="20"/>
                <w:szCs w:val="24"/>
                <w:lang w:val="fr-FR"/>
              </w:rPr>
            </w:pPr>
            <w:r w:rsidRPr="00577EB1">
              <w:rPr>
                <w:b/>
                <w:sz w:val="20"/>
                <w:szCs w:val="24"/>
                <w:lang w:val="fr-FR"/>
              </w:rPr>
              <w:t>2003</w:t>
            </w:r>
          </w:p>
        </w:tc>
        <w:tc>
          <w:tcPr>
            <w:tcW w:w="510" w:type="pct"/>
            <w:gridSpan w:val="2"/>
            <w:tcBorders>
              <w:top w:val="nil"/>
              <w:bottom w:val="single" w:sz="4" w:space="0" w:color="auto"/>
            </w:tcBorders>
            <w:noWrap/>
            <w:vAlign w:val="bottom"/>
          </w:tcPr>
          <w:p w:rsidR="004B1FC7" w:rsidRPr="00577EB1" w:rsidRDefault="004B1FC7" w:rsidP="004B1FC7">
            <w:pPr>
              <w:keepNext/>
              <w:keepLines/>
              <w:spacing w:after="0"/>
              <w:jc w:val="center"/>
              <w:rPr>
                <w:b/>
                <w:sz w:val="20"/>
                <w:szCs w:val="24"/>
                <w:lang w:val="fr-FR"/>
              </w:rPr>
            </w:pPr>
            <w:r w:rsidRPr="00577EB1">
              <w:rPr>
                <w:b/>
                <w:sz w:val="20"/>
                <w:szCs w:val="24"/>
                <w:lang w:val="fr-FR"/>
              </w:rPr>
              <w:t>2005</w:t>
            </w:r>
          </w:p>
        </w:tc>
        <w:tc>
          <w:tcPr>
            <w:tcW w:w="511" w:type="pct"/>
            <w:gridSpan w:val="2"/>
            <w:tcBorders>
              <w:top w:val="nil"/>
              <w:bottom w:val="single" w:sz="4" w:space="0" w:color="auto"/>
              <w:right w:val="single" w:sz="4" w:space="0" w:color="auto"/>
            </w:tcBorders>
            <w:noWrap/>
            <w:vAlign w:val="bottom"/>
          </w:tcPr>
          <w:p w:rsidR="004B1FC7" w:rsidRPr="00577EB1" w:rsidRDefault="004B1FC7" w:rsidP="004B1FC7">
            <w:pPr>
              <w:keepNext/>
              <w:keepLines/>
              <w:spacing w:after="0"/>
              <w:jc w:val="center"/>
              <w:rPr>
                <w:b/>
                <w:sz w:val="20"/>
                <w:szCs w:val="24"/>
                <w:lang w:val="fr-FR"/>
              </w:rPr>
            </w:pPr>
            <w:r w:rsidRPr="00577EB1">
              <w:rPr>
                <w:b/>
                <w:sz w:val="20"/>
                <w:szCs w:val="24"/>
                <w:lang w:val="fr-FR"/>
              </w:rPr>
              <w:t>2007</w:t>
            </w:r>
          </w:p>
        </w:tc>
        <w:tc>
          <w:tcPr>
            <w:tcW w:w="510" w:type="pct"/>
            <w:gridSpan w:val="2"/>
            <w:tcBorders>
              <w:top w:val="nil"/>
              <w:left w:val="single" w:sz="4" w:space="0" w:color="auto"/>
              <w:bottom w:val="single" w:sz="4" w:space="0" w:color="auto"/>
            </w:tcBorders>
            <w:noWrap/>
            <w:vAlign w:val="bottom"/>
          </w:tcPr>
          <w:p w:rsidR="004B1FC7" w:rsidRPr="00577EB1" w:rsidRDefault="004B1FC7" w:rsidP="004B1FC7">
            <w:pPr>
              <w:keepNext/>
              <w:keepLines/>
              <w:spacing w:after="0"/>
              <w:jc w:val="center"/>
              <w:rPr>
                <w:b/>
                <w:sz w:val="20"/>
                <w:szCs w:val="24"/>
                <w:lang w:val="fr-FR"/>
              </w:rPr>
            </w:pPr>
            <w:r w:rsidRPr="00577EB1">
              <w:rPr>
                <w:b/>
                <w:sz w:val="20"/>
                <w:szCs w:val="24"/>
                <w:lang w:val="fr-FR"/>
              </w:rPr>
              <w:t>2003</w:t>
            </w:r>
          </w:p>
        </w:tc>
        <w:tc>
          <w:tcPr>
            <w:tcW w:w="603" w:type="pct"/>
            <w:gridSpan w:val="2"/>
            <w:tcBorders>
              <w:top w:val="nil"/>
              <w:bottom w:val="single" w:sz="4" w:space="0" w:color="auto"/>
            </w:tcBorders>
            <w:noWrap/>
            <w:vAlign w:val="bottom"/>
          </w:tcPr>
          <w:p w:rsidR="004B1FC7" w:rsidRPr="00577EB1" w:rsidRDefault="004B1FC7" w:rsidP="004B1FC7">
            <w:pPr>
              <w:keepNext/>
              <w:keepLines/>
              <w:spacing w:after="0"/>
              <w:jc w:val="center"/>
              <w:rPr>
                <w:b/>
                <w:sz w:val="20"/>
                <w:szCs w:val="24"/>
                <w:lang w:val="fr-FR"/>
              </w:rPr>
            </w:pPr>
            <w:r w:rsidRPr="00577EB1">
              <w:rPr>
                <w:b/>
                <w:sz w:val="20"/>
                <w:szCs w:val="24"/>
                <w:lang w:val="fr-FR"/>
              </w:rPr>
              <w:t>2005</w:t>
            </w:r>
          </w:p>
        </w:tc>
        <w:tc>
          <w:tcPr>
            <w:tcW w:w="591" w:type="pct"/>
            <w:tcBorders>
              <w:top w:val="nil"/>
              <w:bottom w:val="single" w:sz="4" w:space="0" w:color="auto"/>
            </w:tcBorders>
            <w:noWrap/>
            <w:vAlign w:val="bottom"/>
          </w:tcPr>
          <w:p w:rsidR="004B1FC7" w:rsidRPr="00577EB1" w:rsidRDefault="004B1FC7" w:rsidP="004B1FC7">
            <w:pPr>
              <w:keepNext/>
              <w:keepLines/>
              <w:spacing w:after="0"/>
              <w:jc w:val="center"/>
              <w:rPr>
                <w:b/>
                <w:sz w:val="20"/>
                <w:szCs w:val="24"/>
                <w:lang w:val="fr-FR"/>
              </w:rPr>
            </w:pPr>
            <w:r w:rsidRPr="00577EB1">
              <w:rPr>
                <w:b/>
                <w:sz w:val="20"/>
                <w:szCs w:val="24"/>
                <w:lang w:val="fr-FR"/>
              </w:rPr>
              <w:t>2007</w:t>
            </w:r>
          </w:p>
        </w:tc>
      </w:tr>
      <w:tr w:rsidR="004B1FC7" w:rsidRPr="00577EB1" w:rsidTr="004B1FC7">
        <w:tc>
          <w:tcPr>
            <w:tcW w:w="1196" w:type="pct"/>
            <w:tcBorders>
              <w:top w:val="single" w:sz="4" w:space="0" w:color="auto"/>
              <w:right w:val="single" w:sz="4" w:space="0" w:color="auto"/>
            </w:tcBorders>
            <w:noWrap/>
            <w:vAlign w:val="bottom"/>
          </w:tcPr>
          <w:p w:rsidR="004B1FC7" w:rsidRPr="00577EB1" w:rsidRDefault="004B1FC7" w:rsidP="004B1FC7">
            <w:pPr>
              <w:keepNext/>
              <w:keepLines/>
              <w:spacing w:after="0"/>
              <w:rPr>
                <w:b/>
                <w:sz w:val="20"/>
                <w:szCs w:val="24"/>
                <w:lang w:val="fr-FR"/>
              </w:rPr>
            </w:pPr>
          </w:p>
        </w:tc>
        <w:tc>
          <w:tcPr>
            <w:tcW w:w="571" w:type="pct"/>
            <w:gridSpan w:val="2"/>
            <w:tcBorders>
              <w:top w:val="single" w:sz="4" w:space="0" w:color="auto"/>
              <w:left w:val="single" w:sz="4" w:space="0" w:color="auto"/>
              <w:right w:val="single" w:sz="4" w:space="0" w:color="auto"/>
            </w:tcBorders>
            <w:noWrap/>
            <w:vAlign w:val="bottom"/>
          </w:tcPr>
          <w:p w:rsidR="004B1FC7" w:rsidRPr="00577EB1" w:rsidRDefault="004B1FC7" w:rsidP="004B1FC7">
            <w:pPr>
              <w:keepNext/>
              <w:keepLines/>
              <w:spacing w:after="0"/>
              <w:jc w:val="center"/>
              <w:rPr>
                <w:b/>
                <w:sz w:val="20"/>
                <w:szCs w:val="24"/>
                <w:lang w:val="fr-FR"/>
              </w:rPr>
            </w:pPr>
          </w:p>
        </w:tc>
        <w:tc>
          <w:tcPr>
            <w:tcW w:w="510" w:type="pct"/>
            <w:gridSpan w:val="2"/>
            <w:tcBorders>
              <w:top w:val="single" w:sz="4" w:space="0" w:color="auto"/>
              <w:left w:val="single" w:sz="4" w:space="0" w:color="auto"/>
            </w:tcBorders>
            <w:noWrap/>
            <w:vAlign w:val="bottom"/>
          </w:tcPr>
          <w:p w:rsidR="004B1FC7" w:rsidRPr="00577EB1" w:rsidRDefault="004B1FC7" w:rsidP="004B1FC7">
            <w:pPr>
              <w:keepNext/>
              <w:keepLines/>
              <w:spacing w:after="0"/>
              <w:jc w:val="center"/>
              <w:rPr>
                <w:b/>
                <w:sz w:val="20"/>
                <w:szCs w:val="24"/>
                <w:lang w:val="fr-FR"/>
              </w:rPr>
            </w:pPr>
          </w:p>
        </w:tc>
        <w:tc>
          <w:tcPr>
            <w:tcW w:w="510" w:type="pct"/>
            <w:gridSpan w:val="2"/>
            <w:tcBorders>
              <w:top w:val="single" w:sz="4" w:space="0" w:color="auto"/>
            </w:tcBorders>
            <w:noWrap/>
            <w:vAlign w:val="bottom"/>
          </w:tcPr>
          <w:p w:rsidR="004B1FC7" w:rsidRPr="00577EB1" w:rsidRDefault="004B1FC7" w:rsidP="004B1FC7">
            <w:pPr>
              <w:keepNext/>
              <w:keepLines/>
              <w:spacing w:after="0"/>
              <w:jc w:val="center"/>
              <w:rPr>
                <w:b/>
                <w:sz w:val="20"/>
                <w:szCs w:val="24"/>
                <w:lang w:val="fr-FR"/>
              </w:rPr>
            </w:pPr>
          </w:p>
        </w:tc>
        <w:tc>
          <w:tcPr>
            <w:tcW w:w="511" w:type="pct"/>
            <w:gridSpan w:val="2"/>
            <w:tcBorders>
              <w:top w:val="single" w:sz="4" w:space="0" w:color="auto"/>
              <w:right w:val="single" w:sz="4" w:space="0" w:color="auto"/>
            </w:tcBorders>
            <w:noWrap/>
            <w:vAlign w:val="bottom"/>
          </w:tcPr>
          <w:p w:rsidR="004B1FC7" w:rsidRPr="00577EB1" w:rsidRDefault="004B1FC7" w:rsidP="004B1FC7">
            <w:pPr>
              <w:keepNext/>
              <w:keepLines/>
              <w:spacing w:after="0"/>
              <w:jc w:val="center"/>
              <w:rPr>
                <w:b/>
                <w:sz w:val="20"/>
                <w:szCs w:val="24"/>
                <w:lang w:val="fr-FR"/>
              </w:rPr>
            </w:pPr>
          </w:p>
        </w:tc>
        <w:tc>
          <w:tcPr>
            <w:tcW w:w="510" w:type="pct"/>
            <w:gridSpan w:val="2"/>
            <w:tcBorders>
              <w:top w:val="single" w:sz="4" w:space="0" w:color="auto"/>
              <w:left w:val="single" w:sz="4" w:space="0" w:color="auto"/>
            </w:tcBorders>
            <w:noWrap/>
            <w:vAlign w:val="bottom"/>
          </w:tcPr>
          <w:p w:rsidR="004B1FC7" w:rsidRPr="00577EB1" w:rsidRDefault="004B1FC7" w:rsidP="004B1FC7">
            <w:pPr>
              <w:keepNext/>
              <w:keepLines/>
              <w:spacing w:after="0"/>
              <w:jc w:val="center"/>
              <w:rPr>
                <w:b/>
                <w:sz w:val="20"/>
                <w:szCs w:val="24"/>
                <w:lang w:val="fr-FR"/>
              </w:rPr>
            </w:pPr>
          </w:p>
        </w:tc>
        <w:tc>
          <w:tcPr>
            <w:tcW w:w="603" w:type="pct"/>
            <w:gridSpan w:val="2"/>
            <w:tcBorders>
              <w:top w:val="single" w:sz="4" w:space="0" w:color="auto"/>
            </w:tcBorders>
            <w:noWrap/>
            <w:vAlign w:val="bottom"/>
          </w:tcPr>
          <w:p w:rsidR="004B1FC7" w:rsidRPr="00577EB1" w:rsidRDefault="004B1FC7" w:rsidP="004B1FC7">
            <w:pPr>
              <w:keepNext/>
              <w:keepLines/>
              <w:spacing w:after="0"/>
              <w:jc w:val="center"/>
              <w:rPr>
                <w:b/>
                <w:sz w:val="20"/>
                <w:szCs w:val="24"/>
                <w:lang w:val="fr-FR"/>
              </w:rPr>
            </w:pPr>
          </w:p>
        </w:tc>
        <w:tc>
          <w:tcPr>
            <w:tcW w:w="591" w:type="pct"/>
            <w:tcBorders>
              <w:top w:val="single" w:sz="4" w:space="0" w:color="auto"/>
            </w:tcBorders>
            <w:noWrap/>
            <w:vAlign w:val="bottom"/>
          </w:tcPr>
          <w:p w:rsidR="004B1FC7" w:rsidRPr="00577EB1" w:rsidRDefault="004B1FC7" w:rsidP="004B1FC7">
            <w:pPr>
              <w:keepNext/>
              <w:keepLines/>
              <w:spacing w:after="0"/>
              <w:jc w:val="center"/>
              <w:rPr>
                <w:b/>
                <w:sz w:val="20"/>
                <w:szCs w:val="24"/>
                <w:lang w:val="fr-FR"/>
              </w:rPr>
            </w:pP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b/>
                <w:sz w:val="20"/>
                <w:szCs w:val="24"/>
                <w:lang w:val="fr-FR"/>
              </w:rPr>
              <w:t>NATIONALE</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46,4</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46,3</w:t>
            </w:r>
          </w:p>
        </w:tc>
        <w:tc>
          <w:tcPr>
            <w:tcW w:w="510"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40,4</w:t>
            </w: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38,5</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49,1</w:t>
            </w:r>
          </w:p>
        </w:tc>
        <w:tc>
          <w:tcPr>
            <w:tcW w:w="603"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65,4</w:t>
            </w:r>
          </w:p>
        </w:tc>
        <w:tc>
          <w:tcPr>
            <w:tcW w:w="591" w:type="pct"/>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38,2</w:t>
            </w: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b/>
                <w:sz w:val="20"/>
                <w:szCs w:val="24"/>
                <w:lang w:val="fr-FR"/>
              </w:rPr>
              <w:t>Lieu de résidence</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510" w:type="pct"/>
            <w:gridSpan w:val="2"/>
            <w:noWrap/>
            <w:vAlign w:val="bottom"/>
          </w:tcPr>
          <w:p w:rsidR="004B1FC7" w:rsidRPr="00577EB1" w:rsidRDefault="004B1FC7" w:rsidP="004B1FC7">
            <w:pPr>
              <w:keepNext/>
              <w:keepLines/>
              <w:spacing w:after="0"/>
              <w:jc w:val="center"/>
              <w:rPr>
                <w:sz w:val="20"/>
                <w:szCs w:val="24"/>
                <w:lang w:val="fr-FR"/>
              </w:rPr>
            </w:pP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603" w:type="pct"/>
            <w:gridSpan w:val="2"/>
            <w:noWrap/>
            <w:vAlign w:val="bottom"/>
          </w:tcPr>
          <w:p w:rsidR="004B1FC7" w:rsidRPr="00577EB1" w:rsidRDefault="004B1FC7" w:rsidP="004B1FC7">
            <w:pPr>
              <w:keepNext/>
              <w:keepLines/>
              <w:spacing w:after="0"/>
              <w:jc w:val="center"/>
              <w:rPr>
                <w:sz w:val="20"/>
                <w:szCs w:val="24"/>
                <w:lang w:val="fr-FR"/>
              </w:rPr>
            </w:pPr>
          </w:p>
        </w:tc>
        <w:tc>
          <w:tcPr>
            <w:tcW w:w="591" w:type="pct"/>
            <w:noWrap/>
            <w:vAlign w:val="bottom"/>
          </w:tcPr>
          <w:p w:rsidR="004B1FC7" w:rsidRPr="00577EB1" w:rsidRDefault="004B1FC7" w:rsidP="004B1FC7">
            <w:pPr>
              <w:keepNext/>
              <w:keepLines/>
              <w:spacing w:after="0"/>
              <w:jc w:val="center"/>
              <w:rPr>
                <w:sz w:val="20"/>
                <w:szCs w:val="24"/>
                <w:lang w:val="fr-FR"/>
              </w:rPr>
            </w:pP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Rural</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52,3</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52,2</w:t>
            </w:r>
          </w:p>
        </w:tc>
        <w:tc>
          <w:tcPr>
            <w:tcW w:w="510"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45,5</w:t>
            </w: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43,9</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50,7</w:t>
            </w:r>
          </w:p>
        </w:tc>
        <w:tc>
          <w:tcPr>
            <w:tcW w:w="603"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69,2</w:t>
            </w:r>
          </w:p>
        </w:tc>
        <w:tc>
          <w:tcPr>
            <w:tcW w:w="591" w:type="pct"/>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39,4</w:t>
            </w: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Urbain</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19,9</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19,9</w:t>
            </w:r>
          </w:p>
        </w:tc>
        <w:tc>
          <w:tcPr>
            <w:tcW w:w="510"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16,3</w:t>
            </w: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13,0</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41,5</w:t>
            </w:r>
          </w:p>
        </w:tc>
        <w:tc>
          <w:tcPr>
            <w:tcW w:w="603"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47,4</w:t>
            </w:r>
          </w:p>
        </w:tc>
        <w:tc>
          <w:tcPr>
            <w:tcW w:w="591" w:type="pct"/>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32,1</w:t>
            </w: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b/>
                <w:sz w:val="20"/>
                <w:szCs w:val="24"/>
                <w:lang w:val="fr-FR"/>
              </w:rPr>
              <w:t>Régions du Nord-est</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510" w:type="pct"/>
            <w:gridSpan w:val="2"/>
            <w:noWrap/>
            <w:vAlign w:val="bottom"/>
          </w:tcPr>
          <w:p w:rsidR="004B1FC7" w:rsidRPr="00577EB1" w:rsidRDefault="004B1FC7" w:rsidP="004B1FC7">
            <w:pPr>
              <w:keepNext/>
              <w:keepLines/>
              <w:spacing w:after="0"/>
              <w:jc w:val="center"/>
              <w:rPr>
                <w:sz w:val="20"/>
                <w:szCs w:val="24"/>
                <w:lang w:val="fr-FR"/>
              </w:rPr>
            </w:pP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603" w:type="pct"/>
            <w:gridSpan w:val="2"/>
            <w:noWrap/>
            <w:vAlign w:val="bottom"/>
          </w:tcPr>
          <w:p w:rsidR="004B1FC7" w:rsidRPr="00577EB1" w:rsidRDefault="004B1FC7" w:rsidP="004B1FC7">
            <w:pPr>
              <w:keepNext/>
              <w:keepLines/>
              <w:spacing w:after="0"/>
              <w:jc w:val="center"/>
              <w:rPr>
                <w:sz w:val="20"/>
                <w:szCs w:val="24"/>
                <w:lang w:val="fr-FR"/>
              </w:rPr>
            </w:pPr>
          </w:p>
        </w:tc>
        <w:tc>
          <w:tcPr>
            <w:tcW w:w="591" w:type="pct"/>
            <w:noWrap/>
            <w:vAlign w:val="bottom"/>
          </w:tcPr>
          <w:p w:rsidR="004B1FC7" w:rsidRPr="00577EB1" w:rsidRDefault="004B1FC7" w:rsidP="004B1FC7">
            <w:pPr>
              <w:keepNext/>
              <w:keepLines/>
              <w:spacing w:after="0"/>
              <w:jc w:val="center"/>
              <w:rPr>
                <w:sz w:val="20"/>
                <w:szCs w:val="24"/>
                <w:lang w:val="fr-FR"/>
              </w:rPr>
            </w:pP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Sahel</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37,2</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62,7</w:t>
            </w:r>
          </w:p>
        </w:tc>
        <w:tc>
          <w:tcPr>
            <w:tcW w:w="510"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83,7</w:t>
            </w: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67,1</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50,2</w:t>
            </w:r>
          </w:p>
        </w:tc>
        <w:tc>
          <w:tcPr>
            <w:tcW w:w="603"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86,8</w:t>
            </w:r>
          </w:p>
        </w:tc>
        <w:tc>
          <w:tcPr>
            <w:tcW w:w="591" w:type="pct"/>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52,5</w:t>
            </w: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Centre-nord</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34,0</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64,0</w:t>
            </w:r>
          </w:p>
        </w:tc>
        <w:tc>
          <w:tcPr>
            <w:tcW w:w="510"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55,4</w:t>
            </w: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50,5</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45,0</w:t>
            </w:r>
          </w:p>
        </w:tc>
        <w:tc>
          <w:tcPr>
            <w:tcW w:w="603"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90,6</w:t>
            </w:r>
          </w:p>
        </w:tc>
        <w:tc>
          <w:tcPr>
            <w:tcW w:w="591" w:type="pct"/>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42,4</w:t>
            </w: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Est</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40,9</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76,6</w:t>
            </w:r>
          </w:p>
        </w:tc>
        <w:tc>
          <w:tcPr>
            <w:tcW w:w="510"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63,1</w:t>
            </w: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73,2</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45,3</w:t>
            </w:r>
          </w:p>
        </w:tc>
        <w:tc>
          <w:tcPr>
            <w:tcW w:w="603"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72,0</w:t>
            </w:r>
          </w:p>
        </w:tc>
        <w:tc>
          <w:tcPr>
            <w:tcW w:w="591" w:type="pct"/>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34,7</w:t>
            </w:r>
          </w:p>
        </w:tc>
      </w:tr>
      <w:tr w:rsidR="004B1FC7" w:rsidRPr="00577EB1" w:rsidTr="004B1FC7">
        <w:tc>
          <w:tcPr>
            <w:tcW w:w="119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Région centrale</w:t>
            </w:r>
          </w:p>
        </w:tc>
        <w:tc>
          <w:tcPr>
            <w:tcW w:w="557"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511"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511" w:type="pct"/>
            <w:gridSpan w:val="2"/>
            <w:noWrap/>
            <w:vAlign w:val="bottom"/>
          </w:tcPr>
          <w:p w:rsidR="004B1FC7" w:rsidRPr="00577EB1" w:rsidRDefault="004B1FC7" w:rsidP="004B1FC7">
            <w:pPr>
              <w:keepNext/>
              <w:keepLines/>
              <w:spacing w:after="0"/>
              <w:jc w:val="center"/>
              <w:rPr>
                <w:sz w:val="20"/>
                <w:szCs w:val="24"/>
                <w:lang w:val="fr-FR"/>
              </w:rPr>
            </w:pPr>
          </w:p>
        </w:tc>
        <w:tc>
          <w:tcPr>
            <w:tcW w:w="512"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511"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605" w:type="pct"/>
            <w:gridSpan w:val="2"/>
            <w:noWrap/>
            <w:vAlign w:val="bottom"/>
          </w:tcPr>
          <w:p w:rsidR="004B1FC7" w:rsidRPr="00577EB1" w:rsidRDefault="004B1FC7" w:rsidP="004B1FC7">
            <w:pPr>
              <w:keepNext/>
              <w:keepLines/>
              <w:spacing w:after="0"/>
              <w:jc w:val="center"/>
              <w:rPr>
                <w:sz w:val="20"/>
                <w:szCs w:val="24"/>
                <w:lang w:val="fr-FR"/>
              </w:rPr>
            </w:pPr>
          </w:p>
        </w:tc>
        <w:tc>
          <w:tcPr>
            <w:tcW w:w="593" w:type="pct"/>
            <w:gridSpan w:val="2"/>
            <w:noWrap/>
            <w:vAlign w:val="bottom"/>
          </w:tcPr>
          <w:p w:rsidR="004B1FC7" w:rsidRPr="00577EB1" w:rsidRDefault="004B1FC7" w:rsidP="004B1FC7">
            <w:pPr>
              <w:keepNext/>
              <w:keepLines/>
              <w:spacing w:after="0"/>
              <w:jc w:val="center"/>
              <w:rPr>
                <w:sz w:val="20"/>
                <w:szCs w:val="24"/>
                <w:lang w:val="fr-FR"/>
              </w:rPr>
            </w:pP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Nord</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68,6</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43,8</w:t>
            </w:r>
          </w:p>
        </w:tc>
        <w:tc>
          <w:tcPr>
            <w:tcW w:w="510"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37,7</w:t>
            </w: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23,6</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70,9</w:t>
            </w:r>
          </w:p>
        </w:tc>
        <w:tc>
          <w:tcPr>
            <w:tcW w:w="603"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72,1</w:t>
            </w:r>
          </w:p>
        </w:tc>
        <w:tc>
          <w:tcPr>
            <w:tcW w:w="591" w:type="pct"/>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23,7</w:t>
            </w: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Boucle du Mouhoun</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60,5</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51,3</w:t>
            </w:r>
          </w:p>
        </w:tc>
        <w:tc>
          <w:tcPr>
            <w:tcW w:w="510"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42,5</w:t>
            </w: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35,8</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46,4</w:t>
            </w:r>
          </w:p>
        </w:tc>
        <w:tc>
          <w:tcPr>
            <w:tcW w:w="603"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52,5</w:t>
            </w:r>
          </w:p>
        </w:tc>
        <w:tc>
          <w:tcPr>
            <w:tcW w:w="591" w:type="pct"/>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29,0</w:t>
            </w: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Centre Ouest</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41,3</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44,7</w:t>
            </w:r>
          </w:p>
        </w:tc>
        <w:tc>
          <w:tcPr>
            <w:tcW w:w="510"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40,2</w:t>
            </w: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39,4</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61,3</w:t>
            </w:r>
          </w:p>
        </w:tc>
        <w:tc>
          <w:tcPr>
            <w:tcW w:w="603"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64,9</w:t>
            </w:r>
          </w:p>
        </w:tc>
        <w:tc>
          <w:tcPr>
            <w:tcW w:w="591" w:type="pct"/>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45,8</w:t>
            </w:r>
          </w:p>
        </w:tc>
      </w:tr>
      <w:tr w:rsidR="004B1FC7" w:rsidRPr="00577EB1" w:rsidTr="004B1FC7">
        <w:tc>
          <w:tcPr>
            <w:tcW w:w="119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Plateau central</w:t>
            </w:r>
          </w:p>
        </w:tc>
        <w:tc>
          <w:tcPr>
            <w:tcW w:w="557"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58,6</w:t>
            </w:r>
          </w:p>
        </w:tc>
        <w:tc>
          <w:tcPr>
            <w:tcW w:w="511"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37,5</w:t>
            </w:r>
          </w:p>
        </w:tc>
        <w:tc>
          <w:tcPr>
            <w:tcW w:w="511"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27,1</w:t>
            </w:r>
          </w:p>
        </w:tc>
        <w:tc>
          <w:tcPr>
            <w:tcW w:w="512"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36,4</w:t>
            </w:r>
          </w:p>
        </w:tc>
        <w:tc>
          <w:tcPr>
            <w:tcW w:w="511"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71,3</w:t>
            </w:r>
          </w:p>
        </w:tc>
        <w:tc>
          <w:tcPr>
            <w:tcW w:w="605"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64,9</w:t>
            </w:r>
          </w:p>
        </w:tc>
        <w:tc>
          <w:tcPr>
            <w:tcW w:w="593"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38,3</w:t>
            </w: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Centre-sud</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66,1</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45,1</w:t>
            </w:r>
          </w:p>
        </w:tc>
        <w:tc>
          <w:tcPr>
            <w:tcW w:w="510"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29,6</w:t>
            </w: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26,4</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54,9</w:t>
            </w:r>
          </w:p>
        </w:tc>
        <w:tc>
          <w:tcPr>
            <w:tcW w:w="603"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65,7</w:t>
            </w:r>
          </w:p>
        </w:tc>
        <w:tc>
          <w:tcPr>
            <w:tcW w:w="591" w:type="pct"/>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43,5</w:t>
            </w: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Centre-est</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55,1</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40,2</w:t>
            </w:r>
          </w:p>
        </w:tc>
        <w:tc>
          <w:tcPr>
            <w:tcW w:w="510"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40,7</w:t>
            </w: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38,4</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43,6</w:t>
            </w:r>
          </w:p>
        </w:tc>
        <w:tc>
          <w:tcPr>
            <w:tcW w:w="603"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73,7</w:t>
            </w:r>
          </w:p>
        </w:tc>
        <w:tc>
          <w:tcPr>
            <w:tcW w:w="591" w:type="pct"/>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48,9</w:t>
            </w: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Sud-ouest</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56,6</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69,3</w:t>
            </w:r>
          </w:p>
        </w:tc>
        <w:tc>
          <w:tcPr>
            <w:tcW w:w="510"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63,5</w:t>
            </w: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60,2</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58,6</w:t>
            </w:r>
          </w:p>
        </w:tc>
        <w:tc>
          <w:tcPr>
            <w:tcW w:w="603"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75,5</w:t>
            </w:r>
          </w:p>
        </w:tc>
        <w:tc>
          <w:tcPr>
            <w:tcW w:w="591" w:type="pct"/>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66,9</w:t>
            </w: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jc w:val="left"/>
              <w:rPr>
                <w:szCs w:val="24"/>
                <w:lang w:val="fr-FR"/>
              </w:rPr>
            </w:pPr>
            <w:r w:rsidRPr="00577EB1">
              <w:rPr>
                <w:sz w:val="20"/>
                <w:szCs w:val="24"/>
                <w:lang w:val="fr-FR"/>
              </w:rPr>
              <w:t xml:space="preserve">Capitale/Régions du </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510" w:type="pct"/>
            <w:gridSpan w:val="2"/>
            <w:noWrap/>
            <w:vAlign w:val="bottom"/>
          </w:tcPr>
          <w:p w:rsidR="004B1FC7" w:rsidRPr="00577EB1" w:rsidRDefault="004B1FC7" w:rsidP="004B1FC7">
            <w:pPr>
              <w:keepNext/>
              <w:keepLines/>
              <w:spacing w:after="0"/>
              <w:jc w:val="center"/>
              <w:rPr>
                <w:sz w:val="20"/>
                <w:szCs w:val="24"/>
                <w:lang w:val="fr-FR"/>
              </w:rPr>
            </w:pP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603" w:type="pct"/>
            <w:gridSpan w:val="2"/>
            <w:noWrap/>
            <w:vAlign w:val="bottom"/>
          </w:tcPr>
          <w:p w:rsidR="004B1FC7" w:rsidRPr="00577EB1" w:rsidRDefault="004B1FC7" w:rsidP="004B1FC7">
            <w:pPr>
              <w:keepNext/>
              <w:keepLines/>
              <w:spacing w:after="0"/>
              <w:jc w:val="center"/>
              <w:rPr>
                <w:sz w:val="20"/>
                <w:szCs w:val="24"/>
                <w:lang w:val="fr-FR"/>
              </w:rPr>
            </w:pPr>
          </w:p>
        </w:tc>
        <w:tc>
          <w:tcPr>
            <w:tcW w:w="591" w:type="pct"/>
            <w:noWrap/>
            <w:vAlign w:val="bottom"/>
          </w:tcPr>
          <w:p w:rsidR="004B1FC7" w:rsidRPr="00577EB1" w:rsidRDefault="004B1FC7" w:rsidP="004B1FC7">
            <w:pPr>
              <w:keepNext/>
              <w:keepLines/>
              <w:spacing w:after="0"/>
              <w:jc w:val="center"/>
              <w:rPr>
                <w:sz w:val="20"/>
                <w:szCs w:val="24"/>
                <w:lang w:val="fr-FR"/>
              </w:rPr>
            </w:pP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Centre</w:t>
            </w:r>
            <w:r w:rsidRPr="00577EB1" w:rsidDel="00E86FB1">
              <w:rPr>
                <w:sz w:val="20"/>
                <w:szCs w:val="24"/>
                <w:lang w:val="fr-FR"/>
              </w:rPr>
              <w:t xml:space="preserve"> </w:t>
            </w:r>
            <w:r w:rsidRPr="00577EB1">
              <w:rPr>
                <w:sz w:val="20"/>
                <w:szCs w:val="24"/>
                <w:lang w:val="fr-FR"/>
              </w:rPr>
              <w:t>Sud</w:t>
            </w:r>
            <w:r w:rsidRPr="00577EB1" w:rsidDel="00E86FB1">
              <w:rPr>
                <w:sz w:val="20"/>
                <w:szCs w:val="24"/>
                <w:lang w:val="fr-FR"/>
              </w:rPr>
              <w:t xml:space="preserve"> </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22,3</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10,5</w:t>
            </w:r>
          </w:p>
        </w:tc>
        <w:tc>
          <w:tcPr>
            <w:tcW w:w="510"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7,1</w:t>
            </w: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7,8</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41,7</w:t>
            </w:r>
          </w:p>
        </w:tc>
        <w:tc>
          <w:tcPr>
            <w:tcW w:w="603"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50,6</w:t>
            </w:r>
          </w:p>
        </w:tc>
        <w:tc>
          <w:tcPr>
            <w:tcW w:w="591" w:type="pct"/>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31,9</w:t>
            </w:r>
          </w:p>
        </w:tc>
      </w:tr>
      <w:tr w:rsidR="004B1FC7" w:rsidRPr="00577EB1" w:rsidTr="004B1FC7">
        <w:tc>
          <w:tcPr>
            <w:tcW w:w="1196"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Hauts Bassins</w:t>
            </w:r>
          </w:p>
        </w:tc>
        <w:tc>
          <w:tcPr>
            <w:tcW w:w="571" w:type="pct"/>
            <w:gridSpan w:val="2"/>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34,8</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28,7</w:t>
            </w:r>
          </w:p>
        </w:tc>
        <w:tc>
          <w:tcPr>
            <w:tcW w:w="510"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21,8</w:t>
            </w:r>
          </w:p>
        </w:tc>
        <w:tc>
          <w:tcPr>
            <w:tcW w:w="511" w:type="pct"/>
            <w:gridSpan w:val="2"/>
            <w:tcBorders>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17,0</w:t>
            </w:r>
          </w:p>
        </w:tc>
        <w:tc>
          <w:tcPr>
            <w:tcW w:w="510" w:type="pct"/>
            <w:gridSpan w:val="2"/>
            <w:tcBorders>
              <w:lef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27,0</w:t>
            </w:r>
          </w:p>
        </w:tc>
        <w:tc>
          <w:tcPr>
            <w:tcW w:w="603" w:type="pct"/>
            <w:gridSpan w:val="2"/>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44,0</w:t>
            </w:r>
          </w:p>
        </w:tc>
        <w:tc>
          <w:tcPr>
            <w:tcW w:w="591" w:type="pct"/>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22,7</w:t>
            </w:r>
          </w:p>
        </w:tc>
      </w:tr>
      <w:tr w:rsidR="004B1FC7" w:rsidRPr="00577EB1" w:rsidTr="004B1FC7">
        <w:tc>
          <w:tcPr>
            <w:tcW w:w="1196" w:type="pct"/>
            <w:tcBorders>
              <w:bottom w:val="single" w:sz="4" w:space="0" w:color="auto"/>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Cascades</w:t>
            </w:r>
          </w:p>
        </w:tc>
        <w:tc>
          <w:tcPr>
            <w:tcW w:w="571" w:type="pct"/>
            <w:gridSpan w:val="2"/>
            <w:tcBorders>
              <w:left w:val="single" w:sz="4" w:space="0" w:color="auto"/>
              <w:bottom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39,1</w:t>
            </w:r>
          </w:p>
        </w:tc>
        <w:tc>
          <w:tcPr>
            <w:tcW w:w="510" w:type="pct"/>
            <w:gridSpan w:val="2"/>
            <w:tcBorders>
              <w:left w:val="single" w:sz="4" w:space="0" w:color="auto"/>
              <w:bottom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54,2</w:t>
            </w:r>
          </w:p>
        </w:tc>
        <w:tc>
          <w:tcPr>
            <w:tcW w:w="510" w:type="pct"/>
            <w:gridSpan w:val="2"/>
            <w:tcBorders>
              <w:bottom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23,4</w:t>
            </w:r>
          </w:p>
        </w:tc>
        <w:tc>
          <w:tcPr>
            <w:tcW w:w="511" w:type="pct"/>
            <w:gridSpan w:val="2"/>
            <w:tcBorders>
              <w:bottom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47,4</w:t>
            </w:r>
          </w:p>
        </w:tc>
        <w:tc>
          <w:tcPr>
            <w:tcW w:w="510" w:type="pct"/>
            <w:gridSpan w:val="2"/>
            <w:tcBorders>
              <w:left w:val="single" w:sz="4" w:space="0" w:color="auto"/>
              <w:bottom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34,9</w:t>
            </w:r>
          </w:p>
        </w:tc>
        <w:tc>
          <w:tcPr>
            <w:tcW w:w="603" w:type="pct"/>
            <w:gridSpan w:val="2"/>
            <w:tcBorders>
              <w:bottom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39,6</w:t>
            </w:r>
          </w:p>
        </w:tc>
        <w:tc>
          <w:tcPr>
            <w:tcW w:w="591" w:type="pct"/>
            <w:tcBorders>
              <w:bottom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47,7</w:t>
            </w:r>
          </w:p>
        </w:tc>
      </w:tr>
    </w:tbl>
    <w:p w:rsidR="004B3541" w:rsidRDefault="004B1FC7">
      <w:pPr>
        <w:pStyle w:val="Source"/>
        <w:spacing w:before="120" w:after="480"/>
        <w:rPr>
          <w:i w:val="0"/>
        </w:rPr>
      </w:pPr>
      <w:r w:rsidRPr="00577EB1">
        <w:t>Source</w:t>
      </w:r>
      <w:r w:rsidR="00847527">
        <w:t xml:space="preserve"> : </w:t>
      </w:r>
      <w:r w:rsidR="00EB214A" w:rsidRPr="00EB214A">
        <w:rPr>
          <w:i w:val="0"/>
        </w:rPr>
        <w:t>Nouvé et coll., non publié 2009 fondé sur les QUIBB 2003, 2005, et 2007de l’INSD.</w:t>
      </w:r>
    </w:p>
    <w:p w:rsidR="004B1FC7" w:rsidRPr="00577EB1" w:rsidRDefault="00EE4747" w:rsidP="00F07732">
      <w:pPr>
        <w:pStyle w:val="Heading8"/>
      </w:pPr>
      <w:bookmarkStart w:id="34" w:name="_Toc269722131"/>
      <w:r w:rsidRPr="00577EB1">
        <w:t xml:space="preserve">Figure </w:t>
      </w:r>
      <w:r w:rsidR="00725419">
        <w:fldChar w:fldCharType="begin"/>
      </w:r>
      <w:r>
        <w:instrText xml:space="preserve"> SEQ Figure \* ARABIC </w:instrText>
      </w:r>
      <w:r w:rsidR="00725419">
        <w:fldChar w:fldCharType="separate"/>
      </w:r>
      <w:r w:rsidR="00EF56B2">
        <w:rPr>
          <w:noProof/>
        </w:rPr>
        <w:t>2</w:t>
      </w:r>
      <w:r w:rsidR="00725419">
        <w:fldChar w:fldCharType="end"/>
      </w:r>
      <w:r w:rsidR="0023017C">
        <w:t> :</w:t>
      </w:r>
      <w:r w:rsidR="0007340F">
        <w:t xml:space="preserve"> </w:t>
      </w:r>
      <w:r w:rsidR="004B1FC7" w:rsidRPr="00577EB1">
        <w:t>Typologie régionale du Burkina Faso</w:t>
      </w:r>
      <w:bookmarkEnd w:id="34"/>
    </w:p>
    <w:p w:rsidR="004B1FC7" w:rsidRPr="00577EB1" w:rsidRDefault="004B1FC7" w:rsidP="004B1FC7">
      <w:pPr>
        <w:pStyle w:val="Caption"/>
        <w:keepNext/>
        <w:keepLines/>
        <w:tabs>
          <w:tab w:val="clear" w:pos="709"/>
          <w:tab w:val="left" w:pos="0"/>
        </w:tabs>
        <w:spacing w:before="0" w:after="0"/>
        <w:rPr>
          <w:rFonts w:ascii="Tms Rmn" w:hAnsi="Tms Rmn"/>
          <w:b w:val="0"/>
          <w:bCs w:val="0"/>
          <w:szCs w:val="24"/>
          <w:lang w:val="fr-FR"/>
        </w:rPr>
      </w:pPr>
      <w:r w:rsidRPr="00577EB1">
        <w:rPr>
          <w:rFonts w:ascii="Tms Rmn" w:hAnsi="Tms Rmn"/>
          <w:b w:val="0"/>
          <w:bCs w:val="0"/>
          <w:noProof/>
          <w:szCs w:val="24"/>
        </w:rPr>
        <w:drawing>
          <wp:inline distT="0" distB="0" distL="0" distR="0">
            <wp:extent cx="5265420" cy="3830955"/>
            <wp:effectExtent l="19050" t="19050" r="11430" b="1714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65420" cy="3830955"/>
                    </a:xfrm>
                    <a:prstGeom prst="rect">
                      <a:avLst/>
                    </a:prstGeom>
                    <a:noFill/>
                    <a:ln w="6350" cmpd="sng">
                      <a:solidFill>
                        <a:srgbClr val="000000"/>
                      </a:solidFill>
                      <a:miter lim="800000"/>
                      <a:headEnd/>
                      <a:tailEnd/>
                    </a:ln>
                    <a:effectLst/>
                  </pic:spPr>
                </pic:pic>
              </a:graphicData>
            </a:graphic>
          </wp:inline>
        </w:drawing>
      </w:r>
    </w:p>
    <w:p w:rsidR="004B1FC7" w:rsidRPr="00577EB1" w:rsidRDefault="004B1FC7" w:rsidP="00847527">
      <w:pPr>
        <w:keepLines/>
        <w:spacing w:before="120" w:after="480"/>
        <w:ind w:left="284"/>
        <w:rPr>
          <w:szCs w:val="24"/>
          <w:lang w:val="fr-FR"/>
        </w:rPr>
      </w:pPr>
      <w:r w:rsidRPr="00577EB1">
        <w:rPr>
          <w:i/>
          <w:sz w:val="20"/>
          <w:szCs w:val="24"/>
          <w:lang w:val="fr-FR"/>
        </w:rPr>
        <w:t>Source</w:t>
      </w:r>
      <w:r w:rsidR="00847527">
        <w:rPr>
          <w:i/>
          <w:sz w:val="20"/>
          <w:szCs w:val="24"/>
          <w:lang w:val="fr-FR"/>
        </w:rPr>
        <w:t xml:space="preserve"> : </w:t>
      </w:r>
      <w:r w:rsidRPr="00577EB1">
        <w:rPr>
          <w:sz w:val="20"/>
          <w:szCs w:val="24"/>
          <w:lang w:val="fr-FR"/>
        </w:rPr>
        <w:t>Nouvé et coll. non publié 2009</w:t>
      </w:r>
      <w:r w:rsidR="0007340F">
        <w:rPr>
          <w:sz w:val="20"/>
          <w:szCs w:val="24"/>
          <w:lang w:val="fr-FR"/>
        </w:rPr>
        <w:t xml:space="preserve"> </w:t>
      </w:r>
      <w:r w:rsidRPr="00577EB1">
        <w:rPr>
          <w:sz w:val="20"/>
          <w:szCs w:val="24"/>
          <w:lang w:val="fr-FR"/>
        </w:rPr>
        <w:t>fondé sur les QUIBB 2003, 2005, et 2007 de l’INSD.</w:t>
      </w:r>
    </w:p>
    <w:p w:rsidR="004B1FC7" w:rsidRPr="00577EB1" w:rsidRDefault="004B1FC7" w:rsidP="004B1FC7">
      <w:pPr>
        <w:pStyle w:val="Style3"/>
        <w:rPr>
          <w:szCs w:val="24"/>
          <w:lang w:val="fr-FR"/>
        </w:rPr>
      </w:pPr>
      <w:r w:rsidRPr="00577EB1">
        <w:rPr>
          <w:szCs w:val="24"/>
          <w:lang w:val="fr-FR"/>
        </w:rPr>
        <w:lastRenderedPageBreak/>
        <w:t>Risques, chocs et vulnérabilité</w:t>
      </w:r>
    </w:p>
    <w:p w:rsidR="004B1FC7" w:rsidRPr="00577EB1" w:rsidRDefault="004B1FC7" w:rsidP="00E52A30">
      <w:pPr>
        <w:numPr>
          <w:ilvl w:val="0"/>
          <w:numId w:val="2"/>
        </w:numPr>
        <w:ind w:left="0" w:firstLine="0"/>
        <w:rPr>
          <w:szCs w:val="24"/>
          <w:lang w:val="fr-FR"/>
        </w:rPr>
      </w:pPr>
      <w:r w:rsidRPr="00577EB1">
        <w:rPr>
          <w:szCs w:val="24"/>
          <w:lang w:val="fr-FR"/>
        </w:rPr>
        <w:t>Au Burkina Faso, les ménages sont confrontés à plusieurs catégories de risques, tels que</w:t>
      </w:r>
      <w:r w:rsidR="0007340F">
        <w:rPr>
          <w:szCs w:val="24"/>
          <w:lang w:val="fr-FR"/>
        </w:rPr>
        <w:t xml:space="preserve"> </w:t>
      </w:r>
      <w:r w:rsidRPr="00577EB1">
        <w:rPr>
          <w:szCs w:val="24"/>
          <w:lang w:val="fr-FR"/>
        </w:rPr>
        <w:t xml:space="preserve">les risques naturels et alimentaires, les risques économiques et sociaux, l’instabilité régionale, la santé et autres risques individuels. Ces risques constituent un facteur majeur d’accentuation de la vulnérabilité des pauvres aux pénuries de consommation et à la montée saisonnière de l’incidence de la pauvreté. </w:t>
      </w:r>
    </w:p>
    <w:p w:rsidR="004B1FC7" w:rsidRPr="00577EB1" w:rsidRDefault="004B1FC7" w:rsidP="004B1FC7">
      <w:pPr>
        <w:pStyle w:val="Style4"/>
        <w:rPr>
          <w:szCs w:val="24"/>
          <w:lang w:val="fr-FR"/>
        </w:rPr>
      </w:pPr>
      <w:r w:rsidRPr="00577EB1">
        <w:rPr>
          <w:szCs w:val="24"/>
          <w:lang w:val="fr-FR"/>
        </w:rPr>
        <w:t>Risques naturels (sécurité alimentaire)</w:t>
      </w:r>
    </w:p>
    <w:p w:rsidR="004B1FC7" w:rsidRPr="00577EB1" w:rsidRDefault="004B1FC7" w:rsidP="00E52A30">
      <w:pPr>
        <w:numPr>
          <w:ilvl w:val="0"/>
          <w:numId w:val="2"/>
        </w:numPr>
        <w:ind w:left="0" w:firstLine="0"/>
        <w:rPr>
          <w:szCs w:val="24"/>
          <w:lang w:val="fr-FR"/>
        </w:rPr>
      </w:pPr>
      <w:r w:rsidRPr="00577EB1">
        <w:rPr>
          <w:b/>
          <w:szCs w:val="24"/>
          <w:lang w:val="fr-FR"/>
        </w:rPr>
        <w:t>La situation géographique du Burkina est en soi une source de vulnérabilité.</w:t>
      </w:r>
      <w:r w:rsidRPr="00577EB1">
        <w:rPr>
          <w:szCs w:val="24"/>
          <w:lang w:val="fr-FR"/>
        </w:rPr>
        <w:t xml:space="preserve"> Située en Afrique subsaharienne, le Burkina est généralement sec et son sol est aride. Au nord, règne un climat de steppe semi-aride (sahélien), caractérisé par trois à cinq mois de pluies, souvent irrégulières. Vers le sud, le climat se fait de plus en plus tropical humide ou sec (soudanien), caractérisé par une plus grande variabilité des températures et des précipitations, avec un total de précipitations plus important. Comme dans la plupart des autres pays subsahariens, il y a une forte corrélation entre la production agricole et les niveaux des précipitations au Burkina. L'activité agricole du pays est associée à un niveau de risque élevé, à cause des fluctuations intra et inter annuelles du régime des pluies. Ces fluctuations ont des impacts immédiats sur la production agricole, donc sur le revenu et le niveau de bien-être des agriculteurs. De plus, le Burkina Faso dépend depuis toujours de manière prédominante de l’agriculture extensive pour satisfaire les besoins alimentaire de ses habitants.</w:t>
      </w:r>
      <w:r w:rsidR="0007340F">
        <w:rPr>
          <w:szCs w:val="24"/>
          <w:lang w:val="fr-FR"/>
        </w:rPr>
        <w:t xml:space="preserve"> </w:t>
      </w:r>
    </w:p>
    <w:p w:rsidR="004B1FC7" w:rsidRPr="00577EB1" w:rsidRDefault="004B1FC7" w:rsidP="004B1FC7">
      <w:pPr>
        <w:pStyle w:val="Style4"/>
        <w:rPr>
          <w:szCs w:val="24"/>
          <w:lang w:val="fr-FR"/>
        </w:rPr>
      </w:pPr>
      <w:r w:rsidRPr="00577EB1">
        <w:rPr>
          <w:szCs w:val="24"/>
          <w:lang w:val="fr-FR"/>
        </w:rPr>
        <w:t>Risques économiques (modalités des chocs commerciaux)</w:t>
      </w:r>
    </w:p>
    <w:p w:rsidR="004B1FC7" w:rsidRPr="00577EB1" w:rsidRDefault="004B1FC7" w:rsidP="00E52A30">
      <w:pPr>
        <w:numPr>
          <w:ilvl w:val="0"/>
          <w:numId w:val="2"/>
        </w:numPr>
        <w:ind w:left="0" w:firstLine="0"/>
        <w:rPr>
          <w:sz w:val="22"/>
          <w:szCs w:val="24"/>
          <w:lang w:val="fr-FR"/>
        </w:rPr>
      </w:pPr>
      <w:r w:rsidRPr="00577EB1">
        <w:rPr>
          <w:b/>
          <w:szCs w:val="24"/>
          <w:lang w:val="fr-FR"/>
        </w:rPr>
        <w:t xml:space="preserve">L’agriculture représente plus d’un tiers du PIB du Burkina Faso. </w:t>
      </w:r>
      <w:r w:rsidRPr="00577EB1">
        <w:rPr>
          <w:szCs w:val="24"/>
          <w:lang w:val="fr-FR"/>
        </w:rPr>
        <w:t>Jusqu’au récent boom minier, le coton et le bétail étaient les deux principaux biens d’exportation du Burkina. Le secteur cotonnier est le principal moyen de subsistance de quelque 3 millions de personnes, et représente environ 65 % des recettes d’exportation. Récemment, le marché mondial a connu un déclin des cours du coton. Ce choc sur les prix a été plus tard aggravé par un décalage du change entre les coûts de production et les prix à l’exportation. Le coton est vendu en dollars EU alors que les agriculteurs burkinabés sont payés en francs CFA. Comme la monnaie du Burkina est liée à l’euro, la récente appréciation de ce dernier par rapport au dollar a eu des implications directes pour les producteurs de coton, en abaissant leurs marges bénéficiaires. C’est pourquoi la capacité d’exportation limitée du pays le rend vulnérable à la volatilité des cours mondiaux des produits agricoles, et entraîne des fluctuations imprévisibles des revenus des ménages dans les zones rurales. Elle est également source de volatilité pour les recettes d’exportation du pays et pour les finances de l’État. Ces risques économiques peuvent entraîner une réduction des revenus, à cause soit du chômage, soit d’une diminution des activités génératrices de revenus dans l’agriculture, le petit commerce et la petite industrie.</w:t>
      </w:r>
    </w:p>
    <w:p w:rsidR="004B1FC7" w:rsidRPr="00577EB1" w:rsidRDefault="004B1FC7" w:rsidP="004B1FC7">
      <w:pPr>
        <w:pStyle w:val="Style4"/>
        <w:rPr>
          <w:szCs w:val="24"/>
          <w:lang w:val="fr-FR"/>
        </w:rPr>
      </w:pPr>
      <w:r w:rsidRPr="00577EB1">
        <w:rPr>
          <w:szCs w:val="24"/>
          <w:lang w:val="fr-FR"/>
        </w:rPr>
        <w:t>Risques géographiques (dépendance vis-à-vis de la stabilité régionale)</w:t>
      </w:r>
    </w:p>
    <w:p w:rsidR="004B1FC7" w:rsidRPr="00577EB1" w:rsidRDefault="004B1FC7" w:rsidP="00E52A30">
      <w:pPr>
        <w:numPr>
          <w:ilvl w:val="0"/>
          <w:numId w:val="2"/>
        </w:numPr>
        <w:ind w:left="0" w:firstLine="0"/>
        <w:rPr>
          <w:szCs w:val="24"/>
          <w:lang w:val="fr-FR"/>
        </w:rPr>
      </w:pPr>
      <w:r w:rsidRPr="00577EB1">
        <w:rPr>
          <w:b/>
          <w:szCs w:val="24"/>
          <w:lang w:val="fr-FR"/>
        </w:rPr>
        <w:t xml:space="preserve">Le Burkina est un pays enclavé, qui dépend de ses voisins pour l'entrée et la sortie des marchandises et, parfois, pour la migration des travailleurs. </w:t>
      </w:r>
      <w:r w:rsidRPr="00577EB1">
        <w:rPr>
          <w:szCs w:val="24"/>
          <w:lang w:val="fr-FR"/>
        </w:rPr>
        <w:t>Cette dépendance géographique rend l’économie du pays vulnérable à toute instabilité politique dans la région. Par exemple, le conflit en Côte d’Ivoire a affecté l’économie du Burkina Faso de plusieurs manières</w:t>
      </w:r>
      <w:r w:rsidR="0007340F">
        <w:rPr>
          <w:szCs w:val="24"/>
          <w:lang w:val="fr-FR"/>
        </w:rPr>
        <w:t xml:space="preserve"> </w:t>
      </w:r>
      <w:r w:rsidRPr="00577EB1">
        <w:rPr>
          <w:szCs w:val="24"/>
          <w:lang w:val="fr-FR"/>
        </w:rPr>
        <w:t>i) interruption du commerce dû à la difficulté de transporter des marchandises de et vers le port d’Abidjan</w:t>
      </w:r>
      <w:r w:rsidR="0007340F">
        <w:rPr>
          <w:szCs w:val="24"/>
          <w:lang w:val="fr-FR"/>
        </w:rPr>
        <w:t xml:space="preserve"> </w:t>
      </w:r>
      <w:r w:rsidRPr="00577EB1">
        <w:rPr>
          <w:szCs w:val="24"/>
          <w:lang w:val="fr-FR"/>
        </w:rPr>
        <w:t xml:space="preserve">ii) déficit des recettes de l’État dû à la chute des </w:t>
      </w:r>
      <w:r w:rsidRPr="00577EB1">
        <w:rPr>
          <w:szCs w:val="24"/>
          <w:lang w:val="fr-FR"/>
        </w:rPr>
        <w:lastRenderedPageBreak/>
        <w:t>recettes fiscales (douanières)</w:t>
      </w:r>
      <w:r w:rsidR="0007340F">
        <w:rPr>
          <w:szCs w:val="24"/>
          <w:lang w:val="fr-FR"/>
        </w:rPr>
        <w:t xml:space="preserve"> </w:t>
      </w:r>
      <w:r w:rsidRPr="00577EB1">
        <w:rPr>
          <w:szCs w:val="24"/>
          <w:lang w:val="fr-FR"/>
        </w:rPr>
        <w:t>iii) augmentation des dépenses pour la prise en charge des Burkinabés revenant au pays</w:t>
      </w:r>
      <w:r w:rsidR="0007340F">
        <w:rPr>
          <w:szCs w:val="24"/>
          <w:lang w:val="fr-FR"/>
        </w:rPr>
        <w:t xml:space="preserve"> </w:t>
      </w:r>
      <w:r w:rsidRPr="00577EB1">
        <w:rPr>
          <w:szCs w:val="24"/>
          <w:lang w:val="fr-FR"/>
        </w:rPr>
        <w:t xml:space="preserve">et iv) réduction des envois de fonds des travailleurs à l’étranger. </w:t>
      </w:r>
    </w:p>
    <w:p w:rsidR="004B1FC7" w:rsidRPr="00577EB1" w:rsidRDefault="004B1FC7" w:rsidP="004B1FC7">
      <w:pPr>
        <w:pStyle w:val="Style4"/>
        <w:rPr>
          <w:szCs w:val="24"/>
          <w:lang w:val="fr-FR"/>
        </w:rPr>
      </w:pPr>
      <w:r w:rsidRPr="00577EB1">
        <w:rPr>
          <w:szCs w:val="24"/>
          <w:lang w:val="fr-FR"/>
        </w:rPr>
        <w:t>Risques de santé (coût et manque à gagner)</w:t>
      </w:r>
    </w:p>
    <w:p w:rsidR="004B1FC7" w:rsidRPr="00577EB1" w:rsidRDefault="004B1FC7" w:rsidP="00E52A30">
      <w:pPr>
        <w:numPr>
          <w:ilvl w:val="0"/>
          <w:numId w:val="2"/>
        </w:numPr>
        <w:ind w:left="0" w:firstLine="0"/>
        <w:rPr>
          <w:szCs w:val="24"/>
          <w:lang w:val="fr-FR"/>
        </w:rPr>
      </w:pPr>
      <w:r w:rsidRPr="00577EB1">
        <w:rPr>
          <w:b/>
          <w:szCs w:val="24"/>
          <w:lang w:val="fr-FR"/>
        </w:rPr>
        <w:t>La pauvreté et la santé sont interdépendantes.</w:t>
      </w:r>
      <w:r w:rsidRPr="00577EB1">
        <w:rPr>
          <w:szCs w:val="24"/>
          <w:lang w:val="fr-FR"/>
        </w:rPr>
        <w:t xml:space="preserve"> La pauvreté compromet l’état de santé, et les problèmes de santé contribuent à la pauvreté monétaire. La médiocre situation sanitaire du pays se caractérise par des taux élevés de mortalité infantile et néonatale, de mortalité maternelle et de prévalence du VIH/SIDA. La malnutrition est aussi largement répandue. La malaria est la principale cause de morbidité et de mortalité infantiles au Burkina, les suivantes étant les maladies diarrhéiques et les infections respiratoires aiguës.</w:t>
      </w:r>
      <w:r w:rsidR="0007340F">
        <w:rPr>
          <w:szCs w:val="24"/>
          <w:lang w:val="fr-FR"/>
        </w:rPr>
        <w:t xml:space="preserve"> </w:t>
      </w:r>
      <w:r w:rsidRPr="00577EB1">
        <w:rPr>
          <w:szCs w:val="24"/>
          <w:lang w:val="fr-FR"/>
        </w:rPr>
        <w:t>Les épidémies récurrentes de rougeole et de méningite cérébrospinale sont aussi des préoccupations majeures au Burkina. Les risques de santé entraînent une perte de temps de travail, périodique ou permanente, qui réduit les revenus ainsi que la capacité à faire face à d’autres chocs.</w:t>
      </w:r>
    </w:p>
    <w:p w:rsidR="004B1FC7" w:rsidRPr="00577EB1" w:rsidRDefault="004B1FC7" w:rsidP="004B1FC7">
      <w:pPr>
        <w:pStyle w:val="Style4"/>
        <w:rPr>
          <w:szCs w:val="24"/>
          <w:lang w:val="fr-FR"/>
        </w:rPr>
      </w:pPr>
      <w:r w:rsidRPr="00577EB1">
        <w:rPr>
          <w:szCs w:val="24"/>
          <w:lang w:val="fr-FR"/>
        </w:rPr>
        <w:t>Risques sociaux</w:t>
      </w:r>
    </w:p>
    <w:p w:rsidR="004B1FC7" w:rsidRPr="00577EB1" w:rsidRDefault="004B1FC7" w:rsidP="00E52A30">
      <w:pPr>
        <w:numPr>
          <w:ilvl w:val="0"/>
          <w:numId w:val="2"/>
        </w:numPr>
        <w:ind w:left="0" w:firstLine="0"/>
        <w:rPr>
          <w:szCs w:val="24"/>
          <w:lang w:val="fr-FR"/>
        </w:rPr>
      </w:pPr>
      <w:r w:rsidRPr="00577EB1">
        <w:rPr>
          <w:b/>
          <w:szCs w:val="24"/>
          <w:lang w:val="fr-FR"/>
        </w:rPr>
        <w:t xml:space="preserve">Les ménages du Burkina Faso sont confrontés à divers événements liée au cycle de vie, comme les enterrements et les mariages, ainsi qu’à d’autres risques comme l’invalidité ou les blessures. </w:t>
      </w:r>
      <w:r w:rsidRPr="00577EB1">
        <w:rPr>
          <w:szCs w:val="24"/>
          <w:lang w:val="fr-FR"/>
        </w:rPr>
        <w:t>Cela exige souvent des dépenses supplémentaires et/ou des manques à gagner, au détriment des ressources disponibles pour les besoins essentiels. Les ménages qui sont exclus des ressources communes et des réseaux informels, ou qui n’y ont pas accès, sont confrontés à de graves difficultés.</w:t>
      </w:r>
    </w:p>
    <w:p w:rsidR="004B1FC7" w:rsidRPr="00577EB1" w:rsidRDefault="004B1FC7" w:rsidP="00E52A30">
      <w:pPr>
        <w:numPr>
          <w:ilvl w:val="0"/>
          <w:numId w:val="2"/>
        </w:numPr>
        <w:ind w:left="0" w:firstLine="0"/>
        <w:rPr>
          <w:szCs w:val="24"/>
          <w:lang w:val="fr-FR"/>
        </w:rPr>
      </w:pPr>
      <w:bookmarkStart w:id="35" w:name="_Ref262135814"/>
      <w:r w:rsidRPr="00577EB1">
        <w:rPr>
          <w:b/>
          <w:szCs w:val="24"/>
          <w:lang w:val="fr-FR"/>
        </w:rPr>
        <w:t>Grâce aux QUIBB 2003, 2005 et 2007, Nouvé et coll. (non publié 2009) ont montré que, au fil du temps, la vulnérabilité varie entre les groupes en fonction du patrimoine, de la capacité à satisfaire leurs besoins alimentaires et du lieu de résidence des ménages.</w:t>
      </w:r>
      <w:r w:rsidRPr="00577EB1">
        <w:rPr>
          <w:szCs w:val="24"/>
          <w:lang w:val="fr-FR"/>
        </w:rPr>
        <w:t xml:space="preserve"> La gravité et la fréquence des chocs, ainsi que les facteurs qui les composent, peuvent avoir des impacts différents selon les groupes. L’étude a identifié quatre groupes de ménages sur la base de leur niveau de pauvreté en avoirs et de leur capacité à satisfaire leurs besoins alimentaires</w:t>
      </w:r>
      <w:r w:rsidR="0007340F">
        <w:rPr>
          <w:szCs w:val="24"/>
          <w:lang w:val="fr-FR"/>
        </w:rPr>
        <w:t xml:space="preserve"> </w:t>
      </w:r>
      <w:r w:rsidRPr="00577EB1">
        <w:rPr>
          <w:szCs w:val="24"/>
          <w:lang w:val="fr-FR"/>
        </w:rPr>
        <w:t>i) les ménages non pauvres et non vulnérables à la baisse de la consommation alimentaire</w:t>
      </w:r>
      <w:r w:rsidR="0007340F">
        <w:rPr>
          <w:szCs w:val="24"/>
          <w:lang w:val="fr-FR"/>
        </w:rPr>
        <w:t xml:space="preserve"> </w:t>
      </w:r>
      <w:r w:rsidRPr="00577EB1">
        <w:rPr>
          <w:szCs w:val="24"/>
          <w:lang w:val="fr-FR"/>
        </w:rPr>
        <w:t>ii) les ménages non pauvres, mais vulnérables à la baisse de la consommation alimentaire</w:t>
      </w:r>
      <w:r w:rsidR="0007340F">
        <w:rPr>
          <w:szCs w:val="24"/>
          <w:lang w:val="fr-FR"/>
        </w:rPr>
        <w:t xml:space="preserve"> </w:t>
      </w:r>
      <w:r w:rsidRPr="00577EB1">
        <w:rPr>
          <w:szCs w:val="24"/>
          <w:lang w:val="fr-FR"/>
        </w:rPr>
        <w:t>iii) les ménages pauvres mais non vulnérables à la baisse de la consommation alimentaire</w:t>
      </w:r>
      <w:r w:rsidR="0007340F">
        <w:rPr>
          <w:szCs w:val="24"/>
          <w:lang w:val="fr-FR"/>
        </w:rPr>
        <w:t xml:space="preserve"> </w:t>
      </w:r>
      <w:r w:rsidRPr="00577EB1">
        <w:rPr>
          <w:szCs w:val="24"/>
          <w:lang w:val="fr-FR"/>
        </w:rPr>
        <w:t>et iv) les ménages pauvres et vulnérables à la baisse de la consommation alimentaire. On peut utiliser cette typologie pour déterminer l’étendue de la pauvreté chronique. La catégorie définie comme « pauvre et vulnérable à la baisse de la consommation alimentaire » pendant la période 2003-2007 pouvait être considérée comme une variable de remplacement pour la pauvreté chronique. Dans ce contexte, les pauvres chroniques sont des personnes non seulement vulnérables à la baisse de la consommation alimentaire, mais aussi peu capables d’augmenter leurs revenus et donc vouées à rester pauvres dans un avenir proche. Leur pourcentage est tombé de 25,4 % en 2003 à 18,8 % en 2007, après une pointe à 31,1 % en 2005 après le choc climatique de 2004. Le pourcentage global des pauvres a évolué de 46,4 % en 2003 à 40,4 % en 2005 puis à 38,5 % en 2007. C’est donc la proportion entre les personnes pauvres chroniques et les personnes pauvres et vulnérables à la pauvreté qui change en cas de choc (Figure 3).</w:t>
      </w:r>
    </w:p>
    <w:p w:rsidR="004B1FC7" w:rsidRPr="00577EB1" w:rsidRDefault="00EE4747" w:rsidP="00F07732">
      <w:pPr>
        <w:pStyle w:val="Heading8"/>
      </w:pPr>
      <w:bookmarkStart w:id="36" w:name="_Toc269722132"/>
      <w:bookmarkEnd w:id="35"/>
      <w:r w:rsidRPr="00577EB1">
        <w:lastRenderedPageBreak/>
        <w:t xml:space="preserve">Figure </w:t>
      </w:r>
      <w:r w:rsidR="00725419">
        <w:fldChar w:fldCharType="begin"/>
      </w:r>
      <w:r>
        <w:instrText xml:space="preserve"> SEQ Figure \* ARABIC </w:instrText>
      </w:r>
      <w:r w:rsidR="00725419">
        <w:fldChar w:fldCharType="separate"/>
      </w:r>
      <w:r w:rsidR="00EF56B2">
        <w:rPr>
          <w:noProof/>
        </w:rPr>
        <w:t>3</w:t>
      </w:r>
      <w:r w:rsidR="00725419">
        <w:fldChar w:fldCharType="end"/>
      </w:r>
      <w:r w:rsidR="0023017C">
        <w:t> :</w:t>
      </w:r>
      <w:r w:rsidR="0007340F">
        <w:t xml:space="preserve"> </w:t>
      </w:r>
      <w:r w:rsidR="004B1FC7" w:rsidRPr="00577EB1">
        <w:t>Typologie des ménages au Burkina Faso (nationale)</w:t>
      </w:r>
      <w:bookmarkEnd w:id="36"/>
    </w:p>
    <w:p w:rsidR="004B1FC7" w:rsidRPr="00577EB1" w:rsidRDefault="004B1FC7" w:rsidP="004B1FC7">
      <w:pPr>
        <w:keepNext/>
        <w:keepLines/>
        <w:spacing w:after="0"/>
        <w:jc w:val="center"/>
        <w:rPr>
          <w:rFonts w:ascii="Helv" w:hAnsi="Helv"/>
          <w:color w:val="000000"/>
          <w:sz w:val="20"/>
          <w:szCs w:val="24"/>
          <w:lang w:val="fr-FR"/>
        </w:rPr>
      </w:pPr>
      <w:r w:rsidRPr="00577EB1">
        <w:rPr>
          <w:rFonts w:ascii="Helv" w:hAnsi="Helv"/>
          <w:noProof/>
          <w:color w:val="000000"/>
          <w:sz w:val="20"/>
          <w:szCs w:val="24"/>
        </w:rPr>
        <w:drawing>
          <wp:inline distT="0" distB="0" distL="0" distR="0">
            <wp:extent cx="3373755" cy="2790190"/>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373755" cy="2790190"/>
                    </a:xfrm>
                    <a:prstGeom prst="rect">
                      <a:avLst/>
                    </a:prstGeom>
                    <a:noFill/>
                    <a:ln w="9525">
                      <a:noFill/>
                      <a:miter lim="800000"/>
                      <a:headEnd/>
                      <a:tailEnd/>
                    </a:ln>
                  </pic:spPr>
                </pic:pic>
              </a:graphicData>
            </a:graphic>
          </wp:inline>
        </w:drawing>
      </w:r>
    </w:p>
    <w:p w:rsidR="004B3541" w:rsidRDefault="004B1FC7">
      <w:pPr>
        <w:pStyle w:val="Source"/>
        <w:spacing w:before="120" w:after="480"/>
        <w:ind w:left="1701" w:right="1701"/>
        <w:rPr>
          <w:i w:val="0"/>
        </w:rPr>
      </w:pPr>
      <w:r w:rsidRPr="00577EB1">
        <w:t>Source</w:t>
      </w:r>
      <w:r w:rsidR="00847527">
        <w:t xml:space="preserve"> : </w:t>
      </w:r>
      <w:r w:rsidR="00EB214A" w:rsidRPr="00EB214A">
        <w:rPr>
          <w:i w:val="0"/>
        </w:rPr>
        <w:t>Nouvé et coll. inédit 2009 fondé sur les QUIBB 2003, 2005, et 2007 de l’INSD.</w:t>
      </w:r>
    </w:p>
    <w:p w:rsidR="004B1FC7" w:rsidRPr="00577EB1" w:rsidRDefault="004B1FC7" w:rsidP="00E52A30">
      <w:pPr>
        <w:numPr>
          <w:ilvl w:val="0"/>
          <w:numId w:val="2"/>
        </w:numPr>
        <w:ind w:left="0" w:firstLine="0"/>
        <w:rPr>
          <w:szCs w:val="24"/>
          <w:lang w:val="fr-FR"/>
        </w:rPr>
      </w:pPr>
      <w:bookmarkStart w:id="37" w:name="_Ref262135872"/>
      <w:r w:rsidRPr="00577EB1">
        <w:rPr>
          <w:b/>
          <w:szCs w:val="24"/>
          <w:lang w:val="fr-FR"/>
        </w:rPr>
        <w:t>Le tableau est très différent si on compare les ménages ruraux et urbains.</w:t>
      </w:r>
      <w:r w:rsidRPr="00577EB1">
        <w:rPr>
          <w:szCs w:val="24"/>
          <w:lang w:val="fr-FR"/>
        </w:rPr>
        <w:t xml:space="preserve"> La pauvreté chronique en zone urbaine a diminué de presque la moitié (de 12,5 % en 2003 à 6,7 % en 2007), avec toutefois un palier en 2005. Cependant, la pauvreté chronique n’a pas diminué dans les mêmes proportions en zone rurale qu’en zone urbaine. Elle n’est passée que de 28,2 % à 21,4 %, avec une pointe à 35 % en 2005 après le choc de 2004 (Figure 4</w:t>
      </w:r>
      <w:r w:rsidRPr="00577EB1">
        <w:rPr>
          <w:lang w:val="fr-FR"/>
        </w:rPr>
        <w:t>)</w:t>
      </w:r>
      <w:r w:rsidRPr="00577EB1">
        <w:rPr>
          <w:szCs w:val="24"/>
          <w:lang w:val="fr-FR"/>
        </w:rPr>
        <w:t>.</w:t>
      </w:r>
    </w:p>
    <w:p w:rsidR="004B1FC7" w:rsidRPr="00577EB1" w:rsidRDefault="00EE4747" w:rsidP="00F07732">
      <w:pPr>
        <w:pStyle w:val="Heading8"/>
      </w:pPr>
      <w:bookmarkStart w:id="38" w:name="_Toc269722133"/>
      <w:bookmarkEnd w:id="37"/>
      <w:r w:rsidRPr="00577EB1">
        <w:t xml:space="preserve">Figure </w:t>
      </w:r>
      <w:r w:rsidR="00725419">
        <w:fldChar w:fldCharType="begin"/>
      </w:r>
      <w:r>
        <w:instrText xml:space="preserve"> SEQ Figure \* ARABIC </w:instrText>
      </w:r>
      <w:r w:rsidR="00725419">
        <w:fldChar w:fldCharType="separate"/>
      </w:r>
      <w:r w:rsidR="00EF56B2">
        <w:rPr>
          <w:noProof/>
        </w:rPr>
        <w:t>4</w:t>
      </w:r>
      <w:r w:rsidR="00725419">
        <w:fldChar w:fldCharType="end"/>
      </w:r>
      <w:r w:rsidR="0023017C">
        <w:t> :</w:t>
      </w:r>
      <w:r w:rsidR="0007340F">
        <w:t xml:space="preserve"> </w:t>
      </w:r>
      <w:r w:rsidR="004B1FC7" w:rsidRPr="00577EB1">
        <w:t>Typologie des ménages au Burkina Faso (zones rurales/urbaines)</w:t>
      </w:r>
      <w:bookmarkEnd w:id="38"/>
    </w:p>
    <w:p w:rsidR="004B1FC7" w:rsidRPr="00577EB1" w:rsidRDefault="004B1FC7" w:rsidP="004B1FC7">
      <w:pPr>
        <w:pStyle w:val="Caption"/>
        <w:keepNext/>
        <w:keepLines/>
        <w:spacing w:before="0" w:after="0"/>
        <w:ind w:left="-284" w:right="-286"/>
        <w:jc w:val="left"/>
        <w:rPr>
          <w:rFonts w:ascii="Helv" w:hAnsi="Helv"/>
          <w:b w:val="0"/>
          <w:bCs w:val="0"/>
          <w:color w:val="000000"/>
          <w:szCs w:val="24"/>
          <w:lang w:val="fr-FR"/>
        </w:rPr>
      </w:pPr>
      <w:r w:rsidRPr="00577EB1">
        <w:rPr>
          <w:rFonts w:ascii="Helv" w:hAnsi="Helv"/>
          <w:b w:val="0"/>
          <w:bCs w:val="0"/>
          <w:noProof/>
          <w:color w:val="000000"/>
          <w:szCs w:val="24"/>
        </w:rPr>
        <w:drawing>
          <wp:inline distT="0" distB="0" distL="0" distR="0">
            <wp:extent cx="2884805" cy="2491105"/>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884805" cy="2491105"/>
                    </a:xfrm>
                    <a:prstGeom prst="rect">
                      <a:avLst/>
                    </a:prstGeom>
                    <a:noFill/>
                    <a:ln w="9525">
                      <a:noFill/>
                      <a:miter lim="800000"/>
                      <a:headEnd/>
                      <a:tailEnd/>
                    </a:ln>
                  </pic:spPr>
                </pic:pic>
              </a:graphicData>
            </a:graphic>
          </wp:inline>
        </w:drawing>
      </w:r>
      <w:r w:rsidRPr="00577EB1">
        <w:rPr>
          <w:rFonts w:ascii="Helv" w:hAnsi="Helv"/>
          <w:b w:val="0"/>
          <w:bCs w:val="0"/>
          <w:noProof/>
          <w:color w:val="000000"/>
          <w:szCs w:val="24"/>
        </w:rPr>
        <w:drawing>
          <wp:inline distT="0" distB="0" distL="0" distR="0">
            <wp:extent cx="2884805" cy="2491105"/>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884805" cy="2491105"/>
                    </a:xfrm>
                    <a:prstGeom prst="rect">
                      <a:avLst/>
                    </a:prstGeom>
                    <a:noFill/>
                    <a:ln w="9525">
                      <a:noFill/>
                      <a:miter lim="800000"/>
                      <a:headEnd/>
                      <a:tailEnd/>
                    </a:ln>
                  </pic:spPr>
                </pic:pic>
              </a:graphicData>
            </a:graphic>
          </wp:inline>
        </w:drawing>
      </w:r>
    </w:p>
    <w:p w:rsidR="004B3541" w:rsidRDefault="004B1FC7">
      <w:pPr>
        <w:pStyle w:val="Source"/>
        <w:spacing w:before="120" w:after="480"/>
        <w:rPr>
          <w:i w:val="0"/>
        </w:rPr>
      </w:pPr>
      <w:r w:rsidRPr="00577EB1">
        <w:t>Source</w:t>
      </w:r>
      <w:r w:rsidR="00847527">
        <w:t> :</w:t>
      </w:r>
      <w:r w:rsidR="0007340F">
        <w:t xml:space="preserve"> </w:t>
      </w:r>
      <w:r w:rsidR="00EB214A" w:rsidRPr="00EB214A">
        <w:rPr>
          <w:i w:val="0"/>
        </w:rPr>
        <w:t>Nouvé et coll. non publié 2009 fondé sur les QUIBB 2003, 2005, et 2007de l’INSD.</w:t>
      </w:r>
    </w:p>
    <w:p w:rsidR="004B1FC7" w:rsidRPr="00577EB1" w:rsidRDefault="004B1FC7" w:rsidP="004B1FC7">
      <w:pPr>
        <w:pStyle w:val="Style3"/>
        <w:rPr>
          <w:szCs w:val="24"/>
          <w:lang w:val="fr-FR"/>
        </w:rPr>
      </w:pPr>
      <w:r w:rsidRPr="00577EB1">
        <w:rPr>
          <w:szCs w:val="24"/>
          <w:lang w:val="fr-FR"/>
        </w:rPr>
        <w:t>Profil de la pauvreté</w:t>
      </w:r>
    </w:p>
    <w:p w:rsidR="004B1FC7" w:rsidRPr="00577EB1" w:rsidRDefault="004B1FC7" w:rsidP="00E52A30">
      <w:pPr>
        <w:numPr>
          <w:ilvl w:val="0"/>
          <w:numId w:val="2"/>
        </w:numPr>
        <w:ind w:left="0" w:firstLine="0"/>
        <w:rPr>
          <w:szCs w:val="24"/>
          <w:lang w:val="fr-FR"/>
        </w:rPr>
      </w:pPr>
      <w:r w:rsidRPr="00577EB1">
        <w:rPr>
          <w:b/>
          <w:szCs w:val="24"/>
          <w:lang w:val="fr-FR"/>
        </w:rPr>
        <w:t xml:space="preserve">Comme dit plus haut, l’enquête 2003 sur les priorités a été utilisée pour déterminer le profil de la pauvreté au Burkina Faso. </w:t>
      </w:r>
      <w:r w:rsidRPr="00577EB1">
        <w:rPr>
          <w:szCs w:val="24"/>
          <w:lang w:val="fr-FR"/>
        </w:rPr>
        <w:t xml:space="preserve">L’enquête 2003 apporte la plus récente information disponible sur la consommation des ménages. L’enquête 2009-2010 </w:t>
      </w:r>
      <w:r w:rsidRPr="00577EB1">
        <w:rPr>
          <w:szCs w:val="24"/>
          <w:lang w:val="fr-FR"/>
        </w:rPr>
        <w:lastRenderedPageBreak/>
        <w:t>auprès des ménages actuellement en cours comporte aussi des informations sur la consommation et les dépenses des ménages, mais ces données ne sont pas encore disponibles. Selon l’enquête 2003 sur les priorités, un ménage pauvre typique se compose de sept membres ou plus, a à sa tête un homme polygame, illettré ou avec un niveau</w:t>
      </w:r>
      <w:r w:rsidR="0007340F">
        <w:rPr>
          <w:szCs w:val="24"/>
          <w:lang w:val="fr-FR"/>
        </w:rPr>
        <w:t xml:space="preserve"> </w:t>
      </w:r>
      <w:r w:rsidRPr="00577EB1">
        <w:rPr>
          <w:szCs w:val="24"/>
          <w:lang w:val="fr-FR"/>
        </w:rPr>
        <w:t xml:space="preserve">d’études primaires inférieures, qui est agriculteur dans une zone rurale de la région Nord-est. </w:t>
      </w:r>
    </w:p>
    <w:p w:rsidR="004B1FC7" w:rsidRPr="00577EB1" w:rsidRDefault="004B1FC7" w:rsidP="00E52A30">
      <w:pPr>
        <w:numPr>
          <w:ilvl w:val="0"/>
          <w:numId w:val="2"/>
        </w:numPr>
        <w:ind w:left="0" w:firstLine="0"/>
        <w:rPr>
          <w:szCs w:val="24"/>
          <w:lang w:val="fr-FR"/>
        </w:rPr>
      </w:pPr>
      <w:r w:rsidRPr="00577EB1">
        <w:rPr>
          <w:b/>
          <w:szCs w:val="24"/>
          <w:lang w:val="fr-FR"/>
        </w:rPr>
        <w:t>La pauvreté reste un phénomène à prédominance rurale</w:t>
      </w:r>
      <w:r w:rsidR="0007340F">
        <w:rPr>
          <w:b/>
          <w:szCs w:val="24"/>
          <w:lang w:val="fr-FR"/>
        </w:rPr>
        <w:t xml:space="preserve"> </w:t>
      </w:r>
      <w:r w:rsidRPr="00577EB1">
        <w:rPr>
          <w:szCs w:val="24"/>
          <w:lang w:val="fr-FR"/>
        </w:rPr>
        <w:t>le pourcentage des personnes pauvres vivant en milieu rural atteignait 92,2 %, alors que leur représentation dans la population totale est inférieure d’environ 10 points de pourcentage (81,8 %). De plus, l’incidence de la pauvreté en zone rurale est deux fois supérieure à celle des zones urbaines (52,3 % contre 19,9 %). Dans les zones rurales l’écart de pauvreté est de 17,9 %, soit plus du triple de celui qu’on observe en milieu urbain (5,5 %)</w:t>
      </w:r>
    </w:p>
    <w:p w:rsidR="004B1FC7" w:rsidRPr="00577EB1" w:rsidRDefault="004B1FC7" w:rsidP="00E52A30">
      <w:pPr>
        <w:numPr>
          <w:ilvl w:val="0"/>
          <w:numId w:val="2"/>
        </w:numPr>
        <w:ind w:left="0" w:firstLine="0"/>
        <w:rPr>
          <w:szCs w:val="24"/>
          <w:lang w:val="fr-FR"/>
        </w:rPr>
      </w:pPr>
      <w:r w:rsidRPr="00577EB1">
        <w:rPr>
          <w:b/>
          <w:szCs w:val="24"/>
          <w:lang w:val="fr-FR"/>
        </w:rPr>
        <w:t>Les valeurs régionales de la pauvreté montrent que la Région centrale est parmi les plus pauvres, avec un taux de pauvreté situé très au-dessus de la moyenne nationale.</w:t>
      </w:r>
      <w:r w:rsidRPr="00577EB1">
        <w:rPr>
          <w:szCs w:val="24"/>
          <w:lang w:val="fr-FR"/>
        </w:rPr>
        <w:t xml:space="preserve"> Cette région héberge plus de la moitié des pauvres du Burkina Faso (part de population), et affiche aussi l’écart de pauvreté le plus élevé. Les régions Nord-est et Sud viennent en deuxième position, avec des taux de pauvreté légèrement inférieurs à la moyenne nationale, et la région de la Capitale montre la plus basse incidence de la pauvreté (environ la moitié de la moyenne nationale) (Tableau 4).</w:t>
      </w:r>
    </w:p>
    <w:p w:rsidR="004B1FC7" w:rsidRPr="00577EB1" w:rsidRDefault="00DD0F50" w:rsidP="00F07732">
      <w:pPr>
        <w:pStyle w:val="Heading7"/>
        <w:rPr>
          <w:lang w:val="fr-FR"/>
        </w:rPr>
      </w:pPr>
      <w:bookmarkStart w:id="39" w:name="_Ref262126355"/>
      <w:bookmarkStart w:id="40" w:name="_Ref262140974"/>
      <w:bookmarkStart w:id="41" w:name="_Toc284528578"/>
      <w:bookmarkStart w:id="42" w:name="_Toc284530515"/>
      <w:r w:rsidRPr="00577EB1">
        <w:rPr>
          <w:lang w:val="fr-FR"/>
        </w:rPr>
        <w:lastRenderedPageBreak/>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4</w:t>
      </w:r>
      <w:r w:rsidR="00725419" w:rsidRPr="00577EB1">
        <w:rPr>
          <w:lang w:val="fr-FR"/>
        </w:rPr>
        <w:fldChar w:fldCharType="end"/>
      </w:r>
      <w:r w:rsidR="00837FC9">
        <w:rPr>
          <w:lang w:val="fr-FR"/>
        </w:rPr>
        <w:t> :</w:t>
      </w:r>
      <w:r w:rsidR="0007340F">
        <w:rPr>
          <w:lang w:val="fr-FR"/>
        </w:rPr>
        <w:t xml:space="preserve"> </w:t>
      </w:r>
      <w:r w:rsidR="004B1FC7" w:rsidRPr="00577EB1">
        <w:rPr>
          <w:lang w:val="fr-FR"/>
        </w:rPr>
        <w:t>Pauvreté selon le lieu de résidence et la région administrative, 2003</w:t>
      </w:r>
      <w:bookmarkEnd w:id="39"/>
      <w:bookmarkEnd w:id="40"/>
      <w:bookmarkEnd w:id="41"/>
      <w:bookmarkEnd w:id="42"/>
    </w:p>
    <w:tbl>
      <w:tblPr>
        <w:tblW w:w="5000" w:type="pct"/>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337"/>
        <w:gridCol w:w="2129"/>
        <w:gridCol w:w="2127"/>
        <w:gridCol w:w="2336"/>
      </w:tblGrid>
      <w:tr w:rsidR="004B1FC7" w:rsidRPr="00577EB1" w:rsidTr="004B1FC7">
        <w:tc>
          <w:tcPr>
            <w:tcW w:w="1309" w:type="pct"/>
            <w:tcBorders>
              <w:top w:val="single" w:sz="4" w:space="0" w:color="auto"/>
              <w:bottom w:val="nil"/>
              <w:right w:val="single" w:sz="4" w:space="0" w:color="auto"/>
            </w:tcBorders>
            <w:noWrap/>
            <w:vAlign w:val="bottom"/>
          </w:tcPr>
          <w:p w:rsidR="004B1FC7" w:rsidRPr="00577EB1" w:rsidRDefault="004B1FC7" w:rsidP="004B1FC7">
            <w:pPr>
              <w:keepNext/>
              <w:keepLines/>
              <w:spacing w:after="0"/>
              <w:jc w:val="center"/>
              <w:rPr>
                <w:b/>
                <w:sz w:val="20"/>
                <w:szCs w:val="24"/>
                <w:lang w:val="fr-FR"/>
              </w:rPr>
            </w:pPr>
          </w:p>
        </w:tc>
        <w:tc>
          <w:tcPr>
            <w:tcW w:w="1192" w:type="pct"/>
            <w:tcBorders>
              <w:top w:val="single" w:sz="4" w:space="0" w:color="auto"/>
              <w:left w:val="single" w:sz="4" w:space="0" w:color="auto"/>
              <w:bottom w:val="nil"/>
              <w:right w:val="single" w:sz="4" w:space="0" w:color="auto"/>
            </w:tcBorders>
            <w:noWrap/>
            <w:vAlign w:val="bottom"/>
          </w:tcPr>
          <w:p w:rsidR="004B1FC7" w:rsidRPr="00577EB1" w:rsidRDefault="004B1FC7" w:rsidP="004B1FC7">
            <w:pPr>
              <w:keepNext/>
              <w:keepLines/>
              <w:spacing w:after="0"/>
              <w:jc w:val="center"/>
              <w:rPr>
                <w:szCs w:val="24"/>
                <w:lang w:val="fr-FR"/>
              </w:rPr>
            </w:pPr>
            <w:r w:rsidRPr="00577EB1">
              <w:rPr>
                <w:b/>
                <w:sz w:val="20"/>
                <w:szCs w:val="24"/>
                <w:lang w:val="fr-FR"/>
              </w:rPr>
              <w:t>Incidence de la pauvreté</w:t>
            </w:r>
          </w:p>
        </w:tc>
        <w:tc>
          <w:tcPr>
            <w:tcW w:w="1191" w:type="pct"/>
            <w:tcBorders>
              <w:top w:val="single" w:sz="4" w:space="0" w:color="auto"/>
              <w:left w:val="single" w:sz="4" w:space="0" w:color="auto"/>
              <w:bottom w:val="nil"/>
              <w:right w:val="single" w:sz="4" w:space="0" w:color="auto"/>
            </w:tcBorders>
          </w:tcPr>
          <w:p w:rsidR="004B1FC7" w:rsidRPr="00577EB1" w:rsidRDefault="004B1FC7" w:rsidP="004B1FC7">
            <w:pPr>
              <w:keepNext/>
              <w:keepLines/>
              <w:spacing w:after="0"/>
              <w:jc w:val="center"/>
              <w:rPr>
                <w:szCs w:val="24"/>
                <w:lang w:val="fr-FR"/>
              </w:rPr>
            </w:pPr>
            <w:r w:rsidRPr="00577EB1">
              <w:rPr>
                <w:b/>
                <w:sz w:val="20"/>
                <w:szCs w:val="24"/>
                <w:lang w:val="fr-FR"/>
              </w:rPr>
              <w:t>Pourcentage de la pauvreté</w:t>
            </w:r>
          </w:p>
        </w:tc>
        <w:tc>
          <w:tcPr>
            <w:tcW w:w="1308" w:type="pct"/>
            <w:tcBorders>
              <w:top w:val="single" w:sz="4" w:space="0" w:color="auto"/>
              <w:left w:val="single" w:sz="4" w:space="0" w:color="auto"/>
              <w:bottom w:val="nil"/>
            </w:tcBorders>
          </w:tcPr>
          <w:p w:rsidR="004B1FC7" w:rsidRPr="00577EB1" w:rsidRDefault="004B1FC7" w:rsidP="004B1FC7">
            <w:pPr>
              <w:keepNext/>
              <w:keepLines/>
              <w:spacing w:after="0"/>
              <w:jc w:val="center"/>
              <w:rPr>
                <w:szCs w:val="24"/>
                <w:lang w:val="fr-FR"/>
              </w:rPr>
            </w:pPr>
            <w:r w:rsidRPr="00577EB1">
              <w:rPr>
                <w:b/>
                <w:sz w:val="20"/>
                <w:szCs w:val="24"/>
                <w:lang w:val="fr-FR"/>
              </w:rPr>
              <w:t xml:space="preserve">Écart de </w:t>
            </w:r>
            <w:r w:rsidRPr="00577EB1">
              <w:rPr>
                <w:b/>
                <w:sz w:val="20"/>
                <w:szCs w:val="24"/>
                <w:lang w:val="fr-FR"/>
              </w:rPr>
              <w:br/>
              <w:t>pauvreté</w:t>
            </w:r>
          </w:p>
        </w:tc>
      </w:tr>
      <w:tr w:rsidR="004B1FC7" w:rsidRPr="00577EB1" w:rsidTr="004B1FC7">
        <w:tc>
          <w:tcPr>
            <w:tcW w:w="1309" w:type="pct"/>
            <w:tcBorders>
              <w:top w:val="nil"/>
              <w:bottom w:val="single" w:sz="4" w:space="0" w:color="auto"/>
              <w:right w:val="single" w:sz="4" w:space="0" w:color="auto"/>
            </w:tcBorders>
            <w:noWrap/>
            <w:vAlign w:val="bottom"/>
          </w:tcPr>
          <w:p w:rsidR="004B1FC7" w:rsidRPr="00577EB1" w:rsidRDefault="004B1FC7" w:rsidP="004B1FC7">
            <w:pPr>
              <w:keepNext/>
              <w:keepLines/>
              <w:spacing w:after="0"/>
              <w:jc w:val="center"/>
              <w:rPr>
                <w:b/>
                <w:sz w:val="20"/>
                <w:szCs w:val="24"/>
                <w:lang w:val="fr-FR"/>
              </w:rPr>
            </w:pPr>
          </w:p>
        </w:tc>
        <w:tc>
          <w:tcPr>
            <w:tcW w:w="1192" w:type="pct"/>
            <w:tcBorders>
              <w:top w:val="nil"/>
              <w:left w:val="single" w:sz="4" w:space="0" w:color="auto"/>
              <w:bottom w:val="single" w:sz="4" w:space="0" w:color="auto"/>
              <w:right w:val="single" w:sz="4" w:space="0" w:color="auto"/>
            </w:tcBorders>
            <w:noWrap/>
            <w:vAlign w:val="bottom"/>
          </w:tcPr>
          <w:p w:rsidR="004B1FC7" w:rsidRPr="00577EB1" w:rsidRDefault="004B1FC7" w:rsidP="004B1FC7">
            <w:pPr>
              <w:keepNext/>
              <w:keepLines/>
              <w:spacing w:after="0"/>
              <w:jc w:val="center"/>
              <w:rPr>
                <w:b/>
                <w:sz w:val="20"/>
                <w:szCs w:val="24"/>
                <w:lang w:val="fr-FR"/>
              </w:rPr>
            </w:pPr>
            <w:r w:rsidRPr="00577EB1">
              <w:rPr>
                <w:b/>
                <w:sz w:val="20"/>
                <w:szCs w:val="24"/>
                <w:lang w:val="fr-FR"/>
              </w:rPr>
              <w:t>%</w:t>
            </w:r>
          </w:p>
        </w:tc>
        <w:tc>
          <w:tcPr>
            <w:tcW w:w="1191" w:type="pct"/>
            <w:tcBorders>
              <w:top w:val="nil"/>
              <w:left w:val="single" w:sz="4" w:space="0" w:color="auto"/>
              <w:bottom w:val="single" w:sz="4" w:space="0" w:color="auto"/>
              <w:right w:val="single" w:sz="4" w:space="0" w:color="auto"/>
            </w:tcBorders>
          </w:tcPr>
          <w:p w:rsidR="004B1FC7" w:rsidRPr="00577EB1" w:rsidRDefault="004B1FC7" w:rsidP="004B1FC7">
            <w:pPr>
              <w:keepNext/>
              <w:keepLines/>
              <w:spacing w:after="0"/>
              <w:jc w:val="center"/>
              <w:rPr>
                <w:b/>
                <w:sz w:val="20"/>
                <w:szCs w:val="24"/>
                <w:lang w:val="fr-FR"/>
              </w:rPr>
            </w:pPr>
            <w:r w:rsidRPr="00577EB1">
              <w:rPr>
                <w:b/>
                <w:sz w:val="20"/>
                <w:szCs w:val="24"/>
                <w:lang w:val="fr-FR"/>
              </w:rPr>
              <w:t>%</w:t>
            </w:r>
          </w:p>
        </w:tc>
        <w:tc>
          <w:tcPr>
            <w:tcW w:w="1308" w:type="pct"/>
            <w:tcBorders>
              <w:top w:val="nil"/>
              <w:left w:val="single" w:sz="4" w:space="0" w:color="auto"/>
              <w:bottom w:val="single" w:sz="4" w:space="0" w:color="auto"/>
            </w:tcBorders>
          </w:tcPr>
          <w:p w:rsidR="004B1FC7" w:rsidRPr="00577EB1" w:rsidRDefault="004B1FC7" w:rsidP="004B1FC7">
            <w:pPr>
              <w:keepNext/>
              <w:keepLines/>
              <w:spacing w:after="0"/>
              <w:jc w:val="center"/>
              <w:rPr>
                <w:b/>
                <w:sz w:val="20"/>
                <w:szCs w:val="24"/>
                <w:lang w:val="fr-FR"/>
              </w:rPr>
            </w:pPr>
            <w:r w:rsidRPr="00577EB1">
              <w:rPr>
                <w:b/>
                <w:sz w:val="20"/>
                <w:szCs w:val="24"/>
                <w:lang w:val="fr-FR"/>
              </w:rPr>
              <w:t>%</w:t>
            </w: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b/>
                <w:sz w:val="20"/>
                <w:szCs w:val="24"/>
                <w:lang w:val="fr-FR"/>
              </w:rPr>
              <w:t>NATIONALE</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b/>
                <w:sz w:val="20"/>
                <w:szCs w:val="24"/>
                <w:lang w:val="fr-FR"/>
              </w:rPr>
            </w:pPr>
            <w:r w:rsidRPr="00577EB1">
              <w:rPr>
                <w:b/>
                <w:sz w:val="20"/>
                <w:szCs w:val="24"/>
                <w:lang w:val="fr-FR"/>
              </w:rPr>
              <w:t>46,4</w:t>
            </w:r>
          </w:p>
        </w:tc>
        <w:tc>
          <w:tcPr>
            <w:tcW w:w="1191" w:type="pct"/>
            <w:tcBorders>
              <w:left w:val="single" w:sz="4" w:space="0" w:color="auto"/>
              <w:right w:val="single" w:sz="4" w:space="0" w:color="auto"/>
            </w:tcBorders>
          </w:tcPr>
          <w:p w:rsidR="004B1FC7" w:rsidRPr="00577EB1" w:rsidRDefault="004B1FC7" w:rsidP="004B1FC7">
            <w:pPr>
              <w:keepNext/>
              <w:keepLines/>
              <w:spacing w:after="0"/>
              <w:jc w:val="center"/>
              <w:rPr>
                <w:b/>
                <w:sz w:val="20"/>
                <w:szCs w:val="24"/>
                <w:lang w:val="fr-FR"/>
              </w:rPr>
            </w:pPr>
            <w:r w:rsidRPr="00577EB1">
              <w:rPr>
                <w:b/>
                <w:sz w:val="20"/>
                <w:szCs w:val="24"/>
                <w:lang w:val="fr-FR"/>
              </w:rPr>
              <w:t>100</w:t>
            </w:r>
          </w:p>
        </w:tc>
        <w:tc>
          <w:tcPr>
            <w:tcW w:w="1308" w:type="pct"/>
            <w:tcBorders>
              <w:left w:val="single" w:sz="4" w:space="0" w:color="auto"/>
            </w:tcBorders>
          </w:tcPr>
          <w:p w:rsidR="004B1FC7" w:rsidRPr="00577EB1" w:rsidRDefault="004B1FC7" w:rsidP="004B1FC7">
            <w:pPr>
              <w:keepNext/>
              <w:keepLines/>
              <w:spacing w:after="0"/>
              <w:jc w:val="center"/>
              <w:rPr>
                <w:b/>
                <w:sz w:val="20"/>
                <w:szCs w:val="24"/>
                <w:lang w:val="fr-FR"/>
              </w:rPr>
            </w:pPr>
            <w:r w:rsidRPr="00577EB1">
              <w:rPr>
                <w:b/>
                <w:sz w:val="20"/>
                <w:szCs w:val="24"/>
                <w:lang w:val="fr-FR"/>
              </w:rPr>
              <w:t>15,5</w:t>
            </w:r>
          </w:p>
        </w:tc>
      </w:tr>
      <w:tr w:rsidR="004B1FC7" w:rsidRPr="00577EB1" w:rsidTr="004B1FC7">
        <w:trPr>
          <w:trHeight w:val="56"/>
        </w:trPr>
        <w:tc>
          <w:tcPr>
            <w:tcW w:w="1309" w:type="pct"/>
            <w:tcBorders>
              <w:top w:val="single" w:sz="4" w:space="0" w:color="auto"/>
              <w:right w:val="single" w:sz="4" w:space="0" w:color="auto"/>
            </w:tcBorders>
            <w:noWrap/>
            <w:vAlign w:val="bottom"/>
          </w:tcPr>
          <w:p w:rsidR="004B1FC7" w:rsidRPr="00577EB1" w:rsidRDefault="004B1FC7" w:rsidP="004B1FC7">
            <w:pPr>
              <w:keepNext/>
              <w:keepLines/>
              <w:spacing w:after="0"/>
              <w:rPr>
                <w:b/>
                <w:sz w:val="20"/>
                <w:szCs w:val="24"/>
                <w:lang w:val="fr-FR"/>
              </w:rPr>
            </w:pPr>
          </w:p>
        </w:tc>
        <w:tc>
          <w:tcPr>
            <w:tcW w:w="1192" w:type="pct"/>
            <w:tcBorders>
              <w:top w:val="single" w:sz="4" w:space="0" w:color="auto"/>
              <w:left w:val="single" w:sz="4" w:space="0" w:color="auto"/>
              <w:right w:val="single" w:sz="4" w:space="0" w:color="auto"/>
            </w:tcBorders>
            <w:noWrap/>
            <w:vAlign w:val="bottom"/>
          </w:tcPr>
          <w:p w:rsidR="004B1FC7" w:rsidRPr="00577EB1" w:rsidRDefault="004B1FC7" w:rsidP="004B1FC7">
            <w:pPr>
              <w:keepNext/>
              <w:keepLines/>
              <w:spacing w:after="0"/>
              <w:jc w:val="center"/>
              <w:rPr>
                <w:b/>
                <w:sz w:val="20"/>
                <w:szCs w:val="24"/>
                <w:lang w:val="fr-FR"/>
              </w:rPr>
            </w:pPr>
          </w:p>
        </w:tc>
        <w:tc>
          <w:tcPr>
            <w:tcW w:w="1191" w:type="pct"/>
            <w:tcBorders>
              <w:top w:val="single" w:sz="4" w:space="0" w:color="auto"/>
              <w:left w:val="single" w:sz="4" w:space="0" w:color="auto"/>
              <w:right w:val="single" w:sz="4" w:space="0" w:color="auto"/>
            </w:tcBorders>
          </w:tcPr>
          <w:p w:rsidR="004B1FC7" w:rsidRPr="00577EB1" w:rsidRDefault="004B1FC7" w:rsidP="004B1FC7">
            <w:pPr>
              <w:keepNext/>
              <w:keepLines/>
              <w:spacing w:after="0"/>
              <w:jc w:val="center"/>
              <w:rPr>
                <w:b/>
                <w:sz w:val="20"/>
                <w:szCs w:val="24"/>
                <w:lang w:val="fr-FR"/>
              </w:rPr>
            </w:pPr>
          </w:p>
        </w:tc>
        <w:tc>
          <w:tcPr>
            <w:tcW w:w="1308" w:type="pct"/>
            <w:tcBorders>
              <w:top w:val="single" w:sz="4" w:space="0" w:color="auto"/>
              <w:left w:val="single" w:sz="4" w:space="0" w:color="auto"/>
            </w:tcBorders>
          </w:tcPr>
          <w:p w:rsidR="004B1FC7" w:rsidRPr="00577EB1" w:rsidRDefault="004B1FC7" w:rsidP="004B1FC7">
            <w:pPr>
              <w:keepNext/>
              <w:keepLines/>
              <w:spacing w:after="0"/>
              <w:jc w:val="center"/>
              <w:rPr>
                <w:b/>
                <w:sz w:val="20"/>
                <w:szCs w:val="24"/>
                <w:lang w:val="fr-FR"/>
              </w:rPr>
            </w:pP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b/>
                <w:sz w:val="20"/>
                <w:szCs w:val="24"/>
                <w:lang w:val="fr-FR"/>
              </w:rPr>
              <w:t>Zone</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91" w:type="pct"/>
            <w:tcBorders>
              <w:left w:val="single" w:sz="4" w:space="0" w:color="auto"/>
              <w:righ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100</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Rurale</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52,3</w:t>
            </w: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92,2</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17,9</w:t>
            </w: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Urbaine</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19,9</w:t>
            </w: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7,8</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5,5</w:t>
            </w: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b/>
                <w:sz w:val="20"/>
                <w:szCs w:val="24"/>
                <w:lang w:val="fr-FR"/>
              </w:rPr>
            </w:pP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b/>
                <w:sz w:val="20"/>
                <w:szCs w:val="24"/>
                <w:lang w:val="fr-FR"/>
              </w:rPr>
              <w:t>Régions</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100</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b/>
                <w:sz w:val="20"/>
                <w:szCs w:val="24"/>
                <w:lang w:val="fr-FR"/>
              </w:rPr>
              <w:t>Région du Nord-est</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Sahel</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37,2</w:t>
            </w: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7,8</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12,6</w:t>
            </w: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Centre-nord</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34,0</w:t>
            </w: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11,4</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8,2</w:t>
            </w: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Est</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40,9</w:t>
            </w: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14,1</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12,3</w:t>
            </w: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 w:val="20"/>
                <w:szCs w:val="24"/>
                <w:lang w:val="fr-FR"/>
              </w:rPr>
            </w:pP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Région centrale</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Nord</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68,6</w:t>
            </w: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8,1</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24,7</w:t>
            </w: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Boucle du Mouhoun</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60,5</w:t>
            </w: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13,5</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21,3</w:t>
            </w: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Centre-ouest</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41,3</w:t>
            </w: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8,4</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14,1</w:t>
            </w: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Plateau central</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58,6</w:t>
            </w: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4,9</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20,3</w:t>
            </w: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Centre-sud</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66,1</w:t>
            </w: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4,2</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26,0</w:t>
            </w: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Centre-est</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55,1</w:t>
            </w: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7,2</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19,7</w:t>
            </w: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Sud-ouest</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56,6</w:t>
            </w: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7,3</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17,5</w:t>
            </w: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 w:val="20"/>
                <w:szCs w:val="24"/>
                <w:lang w:val="fr-FR"/>
              </w:rPr>
            </w:pP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Capitale/Région Sud</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Centre</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22,3</w:t>
            </w:r>
          </w:p>
        </w:tc>
        <w:tc>
          <w:tcPr>
            <w:tcW w:w="119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2,3</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7,1</w:t>
            </w:r>
          </w:p>
        </w:tc>
      </w:tr>
      <w:tr w:rsidR="004B1FC7" w:rsidRPr="00577EB1" w:rsidTr="004B1FC7">
        <w:tc>
          <w:tcPr>
            <w:tcW w:w="1309"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Hauts Bassins</w:t>
            </w:r>
          </w:p>
        </w:tc>
        <w:tc>
          <w:tcPr>
            <w:tcW w:w="1192"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34,8</w:t>
            </w:r>
          </w:p>
        </w:tc>
        <w:tc>
          <w:tcPr>
            <w:tcW w:w="1191" w:type="pct"/>
            <w:tcBorders>
              <w:left w:val="single" w:sz="4" w:space="0" w:color="auto"/>
              <w:righ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6,7</w:t>
            </w:r>
          </w:p>
        </w:tc>
        <w:tc>
          <w:tcPr>
            <w:tcW w:w="1308"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10,6</w:t>
            </w:r>
          </w:p>
        </w:tc>
      </w:tr>
      <w:tr w:rsidR="004B1FC7" w:rsidRPr="00577EB1" w:rsidTr="004B1FC7">
        <w:tc>
          <w:tcPr>
            <w:tcW w:w="1309" w:type="pct"/>
            <w:tcBorders>
              <w:bottom w:val="single" w:sz="4" w:space="0" w:color="auto"/>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Cascades</w:t>
            </w:r>
          </w:p>
        </w:tc>
        <w:tc>
          <w:tcPr>
            <w:tcW w:w="1192" w:type="pct"/>
            <w:tcBorders>
              <w:left w:val="single" w:sz="4" w:space="0" w:color="auto"/>
              <w:bottom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39,1</w:t>
            </w:r>
          </w:p>
        </w:tc>
        <w:tc>
          <w:tcPr>
            <w:tcW w:w="1191" w:type="pct"/>
            <w:tcBorders>
              <w:left w:val="single" w:sz="4" w:space="0" w:color="auto"/>
              <w:bottom w:val="single" w:sz="4" w:space="0" w:color="auto"/>
              <w:righ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4,3</w:t>
            </w:r>
          </w:p>
        </w:tc>
        <w:tc>
          <w:tcPr>
            <w:tcW w:w="1308" w:type="pct"/>
            <w:tcBorders>
              <w:left w:val="single" w:sz="4" w:space="0" w:color="auto"/>
              <w:bottom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14,6</w:t>
            </w:r>
          </w:p>
        </w:tc>
      </w:tr>
    </w:tbl>
    <w:p w:rsidR="004B3541" w:rsidRDefault="004B1FC7">
      <w:pPr>
        <w:pStyle w:val="Source"/>
        <w:spacing w:before="120" w:after="480"/>
        <w:rPr>
          <w:i w:val="0"/>
        </w:rPr>
      </w:pPr>
      <w:r w:rsidRPr="00577EB1">
        <w:t>Source</w:t>
      </w:r>
      <w:r w:rsidR="00847527">
        <w:t xml:space="preserve"> : </w:t>
      </w:r>
      <w:r w:rsidR="00EB214A" w:rsidRPr="00EB214A">
        <w:rPr>
          <w:i w:val="0"/>
        </w:rPr>
        <w:t>Nouvé et coll. inédit 2009 fondé sur l’enquête QUIBB sur les priorités de l’INSD de 2003.</w:t>
      </w:r>
    </w:p>
    <w:p w:rsidR="004B1FC7" w:rsidRPr="00577EB1" w:rsidRDefault="004B1FC7" w:rsidP="00E52A30">
      <w:pPr>
        <w:numPr>
          <w:ilvl w:val="0"/>
          <w:numId w:val="2"/>
        </w:numPr>
        <w:ind w:left="0" w:firstLine="0"/>
        <w:rPr>
          <w:szCs w:val="24"/>
          <w:lang w:val="fr-FR"/>
        </w:rPr>
      </w:pPr>
      <w:r w:rsidRPr="00577EB1">
        <w:rPr>
          <w:b/>
          <w:szCs w:val="24"/>
          <w:lang w:val="fr-FR"/>
        </w:rPr>
        <w:t>Les niveaux socioéconomique</w:t>
      </w:r>
      <w:r w:rsidR="00425065">
        <w:rPr>
          <w:b/>
          <w:szCs w:val="24"/>
          <w:lang w:val="fr-FR"/>
        </w:rPr>
        <w:t>s</w:t>
      </w:r>
      <w:r w:rsidRPr="00577EB1">
        <w:rPr>
          <w:b/>
          <w:szCs w:val="24"/>
          <w:lang w:val="fr-FR"/>
        </w:rPr>
        <w:t xml:space="preserve"> et d’études du chef de famille sont des facteurs déterminants clé de la pauvreté.</w:t>
      </w:r>
      <w:r w:rsidRPr="00577EB1">
        <w:rPr>
          <w:szCs w:val="24"/>
          <w:lang w:val="fr-FR"/>
        </w:rPr>
        <w:t xml:space="preserve"> Les ménages dont le chef de famille est un homme ont tendance à être plus pauvres que ceux menés par des femmes, tant en termes d’incidence (46,9 % contre 36,5 %) que d’écart (15,8 % contre 12,7 %). Un peu plus de la moitié (55,1 %) des ménages polygames sont plus pauvres que les autres groupes déterminés par l’état matrimonial du chef de famille. Les ménages dont le chef de famille est illettré ou a un niveau d’études primaires inférieures montrent une incidence de la pauvreté remarquablement haute, de 51,0 et 41,1 % respectivement. Les chefs de famille salariés, que ce soit dans le secteur public, privé formel ou privé informel, montrent une incidence de la pauvreté considérablement inférieure à celle des travailleurs agricoles, particulièrement dans la culture du coton. Ceux qui exercent des activités indépendantes (entrepreneurs) s’en sortent mieux que ceux qui sont engagés dans l’agriculture, mais légèrement moins bien que les salariés (Tableau 4). </w:t>
      </w:r>
    </w:p>
    <w:p w:rsidR="004B1FC7" w:rsidRPr="00577EB1" w:rsidRDefault="004B1FC7" w:rsidP="00E52A30">
      <w:pPr>
        <w:pStyle w:val="ListParagraph"/>
        <w:numPr>
          <w:ilvl w:val="0"/>
          <w:numId w:val="2"/>
        </w:numPr>
        <w:tabs>
          <w:tab w:val="clear" w:pos="709"/>
          <w:tab w:val="left" w:pos="0"/>
        </w:tabs>
        <w:autoSpaceDE w:val="0"/>
        <w:autoSpaceDN w:val="0"/>
        <w:adjustRightInd w:val="0"/>
        <w:ind w:left="0" w:firstLine="0"/>
        <w:rPr>
          <w:szCs w:val="24"/>
          <w:lang w:val="fr-FR"/>
        </w:rPr>
      </w:pPr>
      <w:r w:rsidRPr="00577EB1">
        <w:rPr>
          <w:b/>
          <w:szCs w:val="24"/>
          <w:lang w:val="fr-FR"/>
        </w:rPr>
        <w:t>Le genre est également un facteur clé corrélé avec la pauvreté.</w:t>
      </w:r>
      <w:r w:rsidRPr="00577EB1">
        <w:rPr>
          <w:szCs w:val="24"/>
          <w:lang w:val="fr-FR"/>
        </w:rPr>
        <w:t xml:space="preserve"> Des études faites partout dans le monde montrent que les membres d’un même ménage n’ont pas toujours le même niveau de vie</w:t>
      </w:r>
      <w:r w:rsidR="0007340F">
        <w:rPr>
          <w:szCs w:val="24"/>
          <w:lang w:val="fr-FR"/>
        </w:rPr>
        <w:t xml:space="preserve"> </w:t>
      </w:r>
      <w:r w:rsidRPr="00577EB1">
        <w:rPr>
          <w:szCs w:val="24"/>
          <w:lang w:val="fr-FR"/>
        </w:rPr>
        <w:t xml:space="preserve">les revenus et les ressources ne sont pas nécessairement mis en commun, ni également répartis. Les principaux facteurs de différentiation au sein du ménage sont typiquement l'âge et le genre. Comme à beaucoup d’endroits de l’Afrique de l’Ouest sahélienne, il y a des raisons de croire que certains groupes de femmes peuvent être particulièrement pauvres et vulnérables. Dans une grande partie du Burkina Faso, elles sont dépendantes des hommes. Les femmes célibataires ont des droits limités. On les marie jeunes à un mari ayant en moyenne 9 ans de plus qu’elles. Le mariage leur apporte une </w:t>
      </w:r>
      <w:r w:rsidRPr="00577EB1">
        <w:rPr>
          <w:szCs w:val="24"/>
          <w:lang w:val="fr-FR"/>
        </w:rPr>
        <w:lastRenderedPageBreak/>
        <w:t xml:space="preserve">protection et quelques droits comme l’utilisation de la terre. Ces droits sont cependant liés à leur état matrimonial et elles les perdent en cas de divorce ou de veuvage. Étant donné l’importante différence d’âge entre les conjoints, beaucoup de jeunes veuves se retrouvent avec peu de droits à la mort de leur mari. Presque toutes se remarient, souvent avec un parent de leur défunt mari, ce qui leur permet de conserver l'accès à certaines terres et un soutien pour elles et leurs enfants. Cette tradition du lévirat, où une veuve épouse un parent de son mari décédé, disparaît lentement en laissant les femmes sans autres opportunités d’assurer leur subsistance. </w:t>
      </w:r>
    </w:p>
    <w:p w:rsidR="004B1FC7" w:rsidRPr="00577EB1" w:rsidRDefault="004B1FC7" w:rsidP="00E52A30">
      <w:pPr>
        <w:pStyle w:val="ListParagraph"/>
        <w:numPr>
          <w:ilvl w:val="0"/>
          <w:numId w:val="2"/>
        </w:numPr>
        <w:tabs>
          <w:tab w:val="clear" w:pos="709"/>
          <w:tab w:val="left" w:pos="0"/>
        </w:tabs>
        <w:autoSpaceDE w:val="0"/>
        <w:autoSpaceDN w:val="0"/>
        <w:adjustRightInd w:val="0"/>
        <w:ind w:left="0" w:firstLine="0"/>
        <w:rPr>
          <w:szCs w:val="24"/>
          <w:lang w:val="fr-FR"/>
        </w:rPr>
      </w:pPr>
      <w:r w:rsidRPr="00577EB1">
        <w:rPr>
          <w:szCs w:val="24"/>
          <w:lang w:val="fr-FR"/>
        </w:rPr>
        <w:t xml:space="preserve"> </w:t>
      </w:r>
      <w:r w:rsidRPr="00577EB1">
        <w:rPr>
          <w:b/>
          <w:szCs w:val="24"/>
          <w:lang w:val="fr-FR"/>
        </w:rPr>
        <w:t xml:space="preserve">Malheureusement, les enquêtes sur la consommation des ménages ne recueillent pas de données individuelles détaillant la répartition des ressources, la consommation, le travail et l’utilisation du temps à l’intérieur des ménages. </w:t>
      </w:r>
      <w:r w:rsidRPr="00577EB1">
        <w:rPr>
          <w:szCs w:val="24"/>
          <w:lang w:val="fr-FR"/>
        </w:rPr>
        <w:t>Le niveau de pauvreté ou de vulnérabilité des membres du ménage pris individuellement ne peut donc pas être calculé directement à partir de ces études. Une approche souvent utilisée consiste à comparer les ménages dont les chefs de famille sont des femmes ou des hommes, pour en inférer les conséquences du genre sur le bien-être. Cependant, comme dans beaucoup de pays, les ménages burkinabés dirigés par des femmes sont extrêmement hétérogènes. Même si, comme dit plus haut, l'incidence générale de la pauvreté est plus basse parmi les ménages dirigés par des femmes, une analyse utilisant l’enquête 2003 sur les priorités confirme que, après prise en compte de différentes caractéristiques influençant le niveau de vie, il y a peu de différence entre les ménages dirigés par des femmes ou par des hommes. Toutefois, les enquêtes démographiques et de santé (EDS) contiennent, elles, des informations sur les individus, y compris quelques indicateurs de bien-être au niveau individuel. Mais elles présentent certains inconvénients pour ce type d’analyse</w:t>
      </w:r>
      <w:r w:rsidR="0007340F">
        <w:rPr>
          <w:szCs w:val="24"/>
          <w:lang w:val="fr-FR"/>
        </w:rPr>
        <w:t xml:space="preserve"> </w:t>
      </w:r>
      <w:r w:rsidRPr="00577EB1">
        <w:rPr>
          <w:szCs w:val="24"/>
          <w:lang w:val="fr-FR"/>
        </w:rPr>
        <w:t xml:space="preserve">elles interrogent beaucoup plus de femmes que d’hommes, et ne recueillent des informations détaillées que sur les personnes âgées de 15 à 49 ans. </w:t>
      </w:r>
    </w:p>
    <w:p w:rsidR="004B1FC7" w:rsidRPr="00577EB1" w:rsidRDefault="00EE4747" w:rsidP="00847527">
      <w:pPr>
        <w:pStyle w:val="Heading8"/>
      </w:pPr>
      <w:bookmarkStart w:id="43" w:name="_Toc269722134"/>
      <w:r w:rsidRPr="00577EB1">
        <w:t xml:space="preserve">Figure </w:t>
      </w:r>
      <w:r w:rsidR="00725419">
        <w:fldChar w:fldCharType="begin"/>
      </w:r>
      <w:r>
        <w:instrText xml:space="preserve"> SEQ Figure \* ARABIC </w:instrText>
      </w:r>
      <w:r w:rsidR="00725419">
        <w:fldChar w:fldCharType="separate"/>
      </w:r>
      <w:r w:rsidR="00EF56B2">
        <w:rPr>
          <w:noProof/>
        </w:rPr>
        <w:t>5</w:t>
      </w:r>
      <w:r w:rsidR="00725419">
        <w:fldChar w:fldCharType="end"/>
      </w:r>
      <w:r w:rsidR="00C742E2">
        <w:t> :</w:t>
      </w:r>
      <w:r w:rsidR="0007340F">
        <w:t xml:space="preserve"> </w:t>
      </w:r>
      <w:r w:rsidR="004B1FC7" w:rsidRPr="00577EB1">
        <w:t>Les femmes veuves ou qui l’ont été ont un indice de masse corporelle inférieur à celui des femmes ayant un autre état matrimonial</w:t>
      </w:r>
      <w:bookmarkEnd w:id="43"/>
    </w:p>
    <w:p w:rsidR="004B3541" w:rsidRDefault="004B1FC7">
      <w:pPr>
        <w:keepNext/>
        <w:keepLines/>
        <w:spacing w:after="0"/>
        <w:ind w:left="357"/>
        <w:jc w:val="center"/>
        <w:rPr>
          <w:i/>
          <w:szCs w:val="24"/>
          <w:lang w:val="fr-FR"/>
        </w:rPr>
      </w:pPr>
      <w:r w:rsidRPr="00577EB1">
        <w:rPr>
          <w:i/>
          <w:noProof/>
          <w:szCs w:val="24"/>
        </w:rPr>
        <w:drawing>
          <wp:inline distT="0" distB="0" distL="0" distR="0">
            <wp:extent cx="3625850" cy="2632710"/>
            <wp:effectExtent l="19050" t="0" r="0" b="0"/>
            <wp:docPr id="1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3625850" cy="2632710"/>
                    </a:xfrm>
                    <a:prstGeom prst="rect">
                      <a:avLst/>
                    </a:prstGeom>
                    <a:noFill/>
                    <a:ln w="9525">
                      <a:noFill/>
                      <a:miter lim="800000"/>
                      <a:headEnd/>
                      <a:tailEnd/>
                    </a:ln>
                  </pic:spPr>
                </pic:pic>
              </a:graphicData>
            </a:graphic>
          </wp:inline>
        </w:drawing>
      </w:r>
    </w:p>
    <w:p w:rsidR="004B3541" w:rsidRDefault="004B1FC7">
      <w:pPr>
        <w:pStyle w:val="Source"/>
        <w:keepNext w:val="0"/>
        <w:spacing w:before="120" w:after="480"/>
        <w:ind w:left="1701"/>
      </w:pPr>
      <w:r w:rsidRPr="00577EB1">
        <w:t>Source</w:t>
      </w:r>
      <w:r w:rsidR="00EE4747">
        <w:t> :</w:t>
      </w:r>
      <w:r w:rsidR="00EB214A" w:rsidRPr="00EB214A">
        <w:rPr>
          <w:i w:val="0"/>
        </w:rPr>
        <w:t>Van de Walle, 2010</w:t>
      </w:r>
      <w:r w:rsidRPr="00577EB1">
        <w:t>.</w:t>
      </w:r>
    </w:p>
    <w:p w:rsidR="004B1FC7" w:rsidRPr="00577EB1" w:rsidRDefault="00EE4747" w:rsidP="00847527">
      <w:pPr>
        <w:pStyle w:val="Heading8"/>
      </w:pPr>
      <w:bookmarkStart w:id="44" w:name="_Toc269722135"/>
      <w:r w:rsidRPr="00577EB1">
        <w:lastRenderedPageBreak/>
        <w:t xml:space="preserve">Figure </w:t>
      </w:r>
      <w:r w:rsidR="00725419">
        <w:fldChar w:fldCharType="begin"/>
      </w:r>
      <w:r>
        <w:instrText xml:space="preserve"> SEQ Figure \* ARABIC </w:instrText>
      </w:r>
      <w:r w:rsidR="00725419">
        <w:fldChar w:fldCharType="separate"/>
      </w:r>
      <w:r w:rsidR="00EF56B2">
        <w:rPr>
          <w:noProof/>
        </w:rPr>
        <w:t>6</w:t>
      </w:r>
      <w:r w:rsidR="00725419">
        <w:fldChar w:fldCharType="end"/>
      </w:r>
      <w:r w:rsidR="00C742E2">
        <w:t> :</w:t>
      </w:r>
      <w:r w:rsidR="0007340F">
        <w:t xml:space="preserve"> </w:t>
      </w:r>
      <w:r w:rsidR="004B1FC7" w:rsidRPr="00577EB1">
        <w:t>En milieu rural, les enfants des veuves ou des femmes qui l’ont été ont moins de chances d'être scolarisés</w:t>
      </w:r>
      <w:bookmarkEnd w:id="44"/>
    </w:p>
    <w:p w:rsidR="004B3541" w:rsidRDefault="004B1FC7">
      <w:pPr>
        <w:keepNext/>
        <w:keepLines/>
        <w:spacing w:after="0"/>
        <w:ind w:left="357"/>
        <w:jc w:val="center"/>
        <w:rPr>
          <w:szCs w:val="24"/>
          <w:lang w:val="fr-FR"/>
        </w:rPr>
      </w:pPr>
      <w:r w:rsidRPr="00577EB1">
        <w:rPr>
          <w:noProof/>
          <w:szCs w:val="24"/>
        </w:rPr>
        <w:drawing>
          <wp:inline distT="0" distB="0" distL="0" distR="0">
            <wp:extent cx="3641725" cy="2648585"/>
            <wp:effectExtent l="19050" t="0" r="0" b="0"/>
            <wp:docPr id="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3641725" cy="2648585"/>
                    </a:xfrm>
                    <a:prstGeom prst="rect">
                      <a:avLst/>
                    </a:prstGeom>
                    <a:noFill/>
                    <a:ln w="9525">
                      <a:noFill/>
                      <a:miter lim="800000"/>
                      <a:headEnd/>
                      <a:tailEnd/>
                    </a:ln>
                  </pic:spPr>
                </pic:pic>
              </a:graphicData>
            </a:graphic>
          </wp:inline>
        </w:drawing>
      </w:r>
    </w:p>
    <w:p w:rsidR="004B3541" w:rsidRDefault="004B1FC7">
      <w:pPr>
        <w:pStyle w:val="Source"/>
        <w:keepNext w:val="0"/>
        <w:spacing w:before="120" w:after="480"/>
        <w:ind w:left="1701"/>
      </w:pPr>
      <w:r w:rsidRPr="00577EB1">
        <w:t>Source</w:t>
      </w:r>
      <w:r w:rsidR="00EE4747">
        <w:t> :</w:t>
      </w:r>
      <w:r w:rsidR="00EB214A" w:rsidRPr="00EB214A">
        <w:rPr>
          <w:i w:val="0"/>
        </w:rPr>
        <w:t>Van de Walle, 2010</w:t>
      </w:r>
      <w:r w:rsidRPr="00577EB1">
        <w:t>.</w:t>
      </w:r>
    </w:p>
    <w:p w:rsidR="004B1FC7" w:rsidRPr="00577EB1" w:rsidRDefault="004B1FC7" w:rsidP="00E52A30">
      <w:pPr>
        <w:pStyle w:val="ListParagraph"/>
        <w:numPr>
          <w:ilvl w:val="0"/>
          <w:numId w:val="2"/>
        </w:numPr>
        <w:tabs>
          <w:tab w:val="clear" w:pos="709"/>
          <w:tab w:val="left" w:pos="0"/>
        </w:tabs>
        <w:autoSpaceDE w:val="0"/>
        <w:autoSpaceDN w:val="0"/>
        <w:adjustRightInd w:val="0"/>
        <w:ind w:left="0" w:firstLine="0"/>
        <w:rPr>
          <w:szCs w:val="24"/>
          <w:lang w:val="fr-FR"/>
        </w:rPr>
      </w:pPr>
      <w:r w:rsidRPr="00577EB1">
        <w:rPr>
          <w:b/>
          <w:szCs w:val="24"/>
          <w:lang w:val="fr-FR"/>
        </w:rPr>
        <w:t xml:space="preserve">Une analyse de l’EDS 2003 du Burkina Faso révèle que les veuves et les femmes actuellement mariées mais précédemment veuves ou divorcées peuvent constituer des groupes particulièrement vulnérables dans ce pays. </w:t>
      </w:r>
      <w:r w:rsidRPr="00577EB1">
        <w:rPr>
          <w:szCs w:val="24"/>
          <w:lang w:val="fr-FR"/>
        </w:rPr>
        <w:t>Malheureusement, l’EDS ne dit rien sur l’important groupe des veuves et autres femmes non mariées de plus de 49 ans. Elle fournit néanmoins quelques indicateurs individuels de bien-être pour les femmes de 15 à 49 ans, par état matrimonial. En tenant compte de l’âge, nous observons que dans le Burkina rural, les veuves et les femmes mariées plus d’une fois constituent un groupe particulièrement vulnérable par rapport à ceux des femmes mariées une seule fois ou actuellement divorcées. La Figure 5 montre qu’elles ont des indices de masse corporelle nettement inférieurs à ceux des autres femmes, de telles différences n’apparaissant cependant pas dans les zones urbaines. Les données indiquent également que les enfants des femmes veuves ou qui l’ont été ont moins de chance d’être scolarisés que ceux des femmes ayant un autre état matrimonial (Figure 6).</w:t>
      </w:r>
      <w:r w:rsidR="0007340F">
        <w:rPr>
          <w:i/>
          <w:szCs w:val="24"/>
          <w:lang w:val="fr-FR"/>
        </w:rPr>
        <w:t xml:space="preserve"> </w:t>
      </w:r>
    </w:p>
    <w:p w:rsidR="004B1FC7" w:rsidRPr="00837FC9" w:rsidRDefault="00DD0F50" w:rsidP="00837FC9">
      <w:pPr>
        <w:pStyle w:val="Heading7"/>
      </w:pPr>
      <w:bookmarkStart w:id="45" w:name="_Ref262126525"/>
      <w:bookmarkStart w:id="46" w:name="_Toc284528579"/>
      <w:bookmarkStart w:id="47" w:name="_Toc284530516"/>
      <w:r w:rsidRPr="00577EB1">
        <w:rPr>
          <w:lang w:val="fr-FR"/>
        </w:rPr>
        <w:lastRenderedPageBreak/>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5</w:t>
      </w:r>
      <w:r w:rsidR="00725419" w:rsidRPr="00577EB1">
        <w:rPr>
          <w:lang w:val="fr-FR"/>
        </w:rPr>
        <w:fldChar w:fldCharType="end"/>
      </w:r>
      <w:r w:rsidR="00837FC9">
        <w:t> :</w:t>
      </w:r>
      <w:r w:rsidR="0007340F" w:rsidRPr="00837FC9">
        <w:t xml:space="preserve"> </w:t>
      </w:r>
      <w:r w:rsidR="004B1FC7" w:rsidRPr="00837FC9">
        <w:t>Pauvreté en fonction de quelques caractéristiques des chefs de famille, 2003</w:t>
      </w:r>
      <w:bookmarkEnd w:id="45"/>
      <w:bookmarkEnd w:id="46"/>
      <w:bookmarkEnd w:id="47"/>
    </w:p>
    <w:tbl>
      <w:tblPr>
        <w:tblW w:w="5000" w:type="pct"/>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3332"/>
        <w:gridCol w:w="1841"/>
        <w:gridCol w:w="1984"/>
        <w:gridCol w:w="1772"/>
      </w:tblGrid>
      <w:tr w:rsidR="004B1FC7" w:rsidRPr="00577EB1" w:rsidTr="004B1FC7">
        <w:tc>
          <w:tcPr>
            <w:tcW w:w="1865" w:type="pct"/>
            <w:tcBorders>
              <w:top w:val="single" w:sz="4" w:space="0" w:color="auto"/>
              <w:bottom w:val="nil"/>
              <w:right w:val="single" w:sz="4" w:space="0" w:color="auto"/>
            </w:tcBorders>
            <w:noWrap/>
            <w:vAlign w:val="bottom"/>
          </w:tcPr>
          <w:p w:rsidR="004B1FC7" w:rsidRPr="00577EB1" w:rsidRDefault="004B1FC7" w:rsidP="004B1FC7">
            <w:pPr>
              <w:keepNext/>
              <w:keepLines/>
              <w:spacing w:after="0"/>
              <w:jc w:val="center"/>
              <w:rPr>
                <w:b/>
                <w:sz w:val="20"/>
                <w:szCs w:val="24"/>
                <w:lang w:val="fr-FR"/>
              </w:rPr>
            </w:pPr>
          </w:p>
        </w:tc>
        <w:tc>
          <w:tcPr>
            <w:tcW w:w="1031" w:type="pct"/>
            <w:tcBorders>
              <w:top w:val="single" w:sz="4" w:space="0" w:color="auto"/>
              <w:left w:val="single" w:sz="4" w:space="0" w:color="auto"/>
              <w:bottom w:val="nil"/>
              <w:right w:val="single" w:sz="4" w:space="0" w:color="auto"/>
            </w:tcBorders>
            <w:noWrap/>
            <w:vAlign w:val="bottom"/>
          </w:tcPr>
          <w:p w:rsidR="004B1FC7" w:rsidRPr="00577EB1" w:rsidRDefault="004B1FC7" w:rsidP="004B1FC7">
            <w:pPr>
              <w:keepNext/>
              <w:keepLines/>
              <w:spacing w:after="0"/>
              <w:jc w:val="center"/>
              <w:rPr>
                <w:szCs w:val="24"/>
                <w:lang w:val="fr-FR"/>
              </w:rPr>
            </w:pPr>
            <w:r w:rsidRPr="00577EB1">
              <w:rPr>
                <w:b/>
                <w:sz w:val="20"/>
                <w:szCs w:val="24"/>
                <w:lang w:val="fr-FR"/>
              </w:rPr>
              <w:t>Incidence de la pauvreté</w:t>
            </w:r>
          </w:p>
        </w:tc>
        <w:tc>
          <w:tcPr>
            <w:tcW w:w="1111" w:type="pct"/>
            <w:tcBorders>
              <w:top w:val="single" w:sz="4" w:space="0" w:color="auto"/>
              <w:left w:val="single" w:sz="4" w:space="0" w:color="auto"/>
              <w:bottom w:val="nil"/>
              <w:right w:val="single" w:sz="4" w:space="0" w:color="auto"/>
            </w:tcBorders>
          </w:tcPr>
          <w:p w:rsidR="004B1FC7" w:rsidRPr="00577EB1" w:rsidRDefault="004B1FC7" w:rsidP="004B1FC7">
            <w:pPr>
              <w:keepNext/>
              <w:keepLines/>
              <w:spacing w:after="0"/>
              <w:jc w:val="center"/>
              <w:rPr>
                <w:szCs w:val="24"/>
                <w:lang w:val="fr-FR"/>
              </w:rPr>
            </w:pPr>
            <w:r w:rsidRPr="00577EB1">
              <w:rPr>
                <w:b/>
                <w:sz w:val="20"/>
                <w:szCs w:val="24"/>
                <w:lang w:val="fr-FR"/>
              </w:rPr>
              <w:t>Pourcentage de la pauvreté</w:t>
            </w:r>
          </w:p>
        </w:tc>
        <w:tc>
          <w:tcPr>
            <w:tcW w:w="992" w:type="pct"/>
            <w:tcBorders>
              <w:top w:val="single" w:sz="4" w:space="0" w:color="auto"/>
              <w:left w:val="single" w:sz="4" w:space="0" w:color="auto"/>
              <w:bottom w:val="nil"/>
            </w:tcBorders>
          </w:tcPr>
          <w:p w:rsidR="004B1FC7" w:rsidRPr="00577EB1" w:rsidRDefault="004B1FC7" w:rsidP="004B1FC7">
            <w:pPr>
              <w:keepNext/>
              <w:keepLines/>
              <w:spacing w:after="0"/>
              <w:jc w:val="center"/>
              <w:rPr>
                <w:szCs w:val="24"/>
                <w:lang w:val="fr-FR"/>
              </w:rPr>
            </w:pPr>
            <w:r w:rsidRPr="00577EB1">
              <w:rPr>
                <w:b/>
                <w:sz w:val="20"/>
                <w:szCs w:val="24"/>
                <w:lang w:val="fr-FR"/>
              </w:rPr>
              <w:t xml:space="preserve">Écart de </w:t>
            </w:r>
            <w:r w:rsidRPr="00577EB1">
              <w:rPr>
                <w:b/>
                <w:sz w:val="20"/>
                <w:szCs w:val="24"/>
                <w:lang w:val="fr-FR"/>
              </w:rPr>
              <w:br/>
              <w:t>pauvreté</w:t>
            </w:r>
          </w:p>
        </w:tc>
      </w:tr>
      <w:tr w:rsidR="004B1FC7" w:rsidRPr="00577EB1" w:rsidTr="004B1FC7">
        <w:tc>
          <w:tcPr>
            <w:tcW w:w="1865" w:type="pct"/>
            <w:tcBorders>
              <w:top w:val="nil"/>
              <w:bottom w:val="single" w:sz="4" w:space="0" w:color="auto"/>
              <w:right w:val="single" w:sz="4" w:space="0" w:color="auto"/>
            </w:tcBorders>
            <w:noWrap/>
            <w:vAlign w:val="bottom"/>
          </w:tcPr>
          <w:p w:rsidR="004B1FC7" w:rsidRPr="00577EB1" w:rsidRDefault="004B1FC7" w:rsidP="004B1FC7">
            <w:pPr>
              <w:keepNext/>
              <w:keepLines/>
              <w:spacing w:after="0"/>
              <w:jc w:val="center"/>
              <w:rPr>
                <w:b/>
                <w:sz w:val="20"/>
                <w:szCs w:val="24"/>
                <w:lang w:val="fr-FR"/>
              </w:rPr>
            </w:pPr>
          </w:p>
        </w:tc>
        <w:tc>
          <w:tcPr>
            <w:tcW w:w="1031" w:type="pct"/>
            <w:tcBorders>
              <w:top w:val="nil"/>
              <w:left w:val="single" w:sz="4" w:space="0" w:color="auto"/>
              <w:bottom w:val="single" w:sz="4" w:space="0" w:color="auto"/>
              <w:right w:val="single" w:sz="4" w:space="0" w:color="auto"/>
            </w:tcBorders>
            <w:noWrap/>
            <w:vAlign w:val="bottom"/>
          </w:tcPr>
          <w:p w:rsidR="004B1FC7" w:rsidRPr="00577EB1" w:rsidRDefault="004B1FC7" w:rsidP="004B1FC7">
            <w:pPr>
              <w:keepNext/>
              <w:keepLines/>
              <w:spacing w:after="0"/>
              <w:jc w:val="center"/>
              <w:rPr>
                <w:b/>
                <w:sz w:val="20"/>
                <w:szCs w:val="24"/>
                <w:lang w:val="fr-FR"/>
              </w:rPr>
            </w:pPr>
            <w:r w:rsidRPr="00577EB1">
              <w:rPr>
                <w:b/>
                <w:sz w:val="20"/>
                <w:szCs w:val="24"/>
                <w:lang w:val="fr-FR"/>
              </w:rPr>
              <w:t>%</w:t>
            </w:r>
          </w:p>
        </w:tc>
        <w:tc>
          <w:tcPr>
            <w:tcW w:w="1111" w:type="pct"/>
            <w:tcBorders>
              <w:top w:val="nil"/>
              <w:left w:val="single" w:sz="4" w:space="0" w:color="auto"/>
              <w:bottom w:val="single" w:sz="4" w:space="0" w:color="auto"/>
              <w:right w:val="single" w:sz="4" w:space="0" w:color="auto"/>
            </w:tcBorders>
          </w:tcPr>
          <w:p w:rsidR="004B1FC7" w:rsidRPr="00577EB1" w:rsidRDefault="004B1FC7" w:rsidP="004B1FC7">
            <w:pPr>
              <w:keepNext/>
              <w:keepLines/>
              <w:spacing w:after="0"/>
              <w:jc w:val="center"/>
              <w:rPr>
                <w:b/>
                <w:sz w:val="20"/>
                <w:szCs w:val="24"/>
                <w:lang w:val="fr-FR"/>
              </w:rPr>
            </w:pPr>
            <w:r w:rsidRPr="00577EB1">
              <w:rPr>
                <w:b/>
                <w:sz w:val="20"/>
                <w:szCs w:val="24"/>
                <w:lang w:val="fr-FR"/>
              </w:rPr>
              <w:t>%</w:t>
            </w:r>
          </w:p>
        </w:tc>
        <w:tc>
          <w:tcPr>
            <w:tcW w:w="992" w:type="pct"/>
            <w:tcBorders>
              <w:top w:val="nil"/>
              <w:left w:val="single" w:sz="4" w:space="0" w:color="auto"/>
              <w:bottom w:val="single" w:sz="4" w:space="0" w:color="auto"/>
            </w:tcBorders>
          </w:tcPr>
          <w:p w:rsidR="004B1FC7" w:rsidRPr="00577EB1" w:rsidRDefault="004B1FC7" w:rsidP="004B1FC7">
            <w:pPr>
              <w:keepNext/>
              <w:keepLines/>
              <w:spacing w:after="0"/>
              <w:jc w:val="center"/>
              <w:rPr>
                <w:b/>
                <w:sz w:val="20"/>
                <w:szCs w:val="24"/>
                <w:lang w:val="fr-FR"/>
              </w:rPr>
            </w:pPr>
            <w:r w:rsidRPr="00577EB1">
              <w:rPr>
                <w:b/>
                <w:sz w:val="20"/>
                <w:szCs w:val="24"/>
                <w:lang w:val="fr-FR"/>
              </w:rPr>
              <w:t>%</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b/>
                <w:sz w:val="20"/>
                <w:szCs w:val="24"/>
                <w:lang w:val="fr-FR"/>
              </w:rPr>
              <w:t>NATIONALE</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b/>
                <w:sz w:val="20"/>
                <w:szCs w:val="24"/>
                <w:lang w:val="fr-FR"/>
              </w:rPr>
            </w:pPr>
            <w:r w:rsidRPr="00577EB1">
              <w:rPr>
                <w:b/>
                <w:sz w:val="20"/>
                <w:szCs w:val="24"/>
                <w:lang w:val="fr-FR"/>
              </w:rPr>
              <w:t>46,4</w:t>
            </w:r>
          </w:p>
        </w:tc>
        <w:tc>
          <w:tcPr>
            <w:tcW w:w="1111" w:type="pct"/>
            <w:tcBorders>
              <w:left w:val="single" w:sz="4" w:space="0" w:color="auto"/>
              <w:right w:val="single" w:sz="4" w:space="0" w:color="auto"/>
            </w:tcBorders>
          </w:tcPr>
          <w:p w:rsidR="004B1FC7" w:rsidRPr="00577EB1" w:rsidRDefault="004B1FC7" w:rsidP="004B1FC7">
            <w:pPr>
              <w:keepNext/>
              <w:keepLines/>
              <w:spacing w:after="0"/>
              <w:jc w:val="center"/>
              <w:rPr>
                <w:b/>
                <w:sz w:val="20"/>
                <w:szCs w:val="24"/>
                <w:lang w:val="fr-FR"/>
              </w:rPr>
            </w:pPr>
            <w:r w:rsidRPr="00577EB1">
              <w:rPr>
                <w:b/>
                <w:sz w:val="20"/>
                <w:szCs w:val="24"/>
                <w:lang w:val="fr-FR"/>
              </w:rPr>
              <w:t>100</w:t>
            </w:r>
          </w:p>
        </w:tc>
        <w:tc>
          <w:tcPr>
            <w:tcW w:w="992" w:type="pct"/>
            <w:tcBorders>
              <w:left w:val="single" w:sz="4" w:space="0" w:color="auto"/>
            </w:tcBorders>
          </w:tcPr>
          <w:p w:rsidR="004B1FC7" w:rsidRPr="00577EB1" w:rsidRDefault="004B1FC7" w:rsidP="004B1FC7">
            <w:pPr>
              <w:keepNext/>
              <w:keepLines/>
              <w:spacing w:after="0"/>
              <w:jc w:val="center"/>
              <w:rPr>
                <w:b/>
                <w:sz w:val="20"/>
                <w:szCs w:val="24"/>
                <w:lang w:val="fr-FR"/>
              </w:rPr>
            </w:pPr>
            <w:r w:rsidRPr="00577EB1">
              <w:rPr>
                <w:b/>
                <w:sz w:val="20"/>
                <w:szCs w:val="24"/>
                <w:lang w:val="fr-FR"/>
              </w:rPr>
              <w:t>15,5</w:t>
            </w:r>
          </w:p>
        </w:tc>
      </w:tr>
      <w:tr w:rsidR="004B1FC7" w:rsidRPr="00577EB1" w:rsidTr="004B1FC7">
        <w:tc>
          <w:tcPr>
            <w:tcW w:w="1865" w:type="pct"/>
            <w:tcBorders>
              <w:top w:val="single" w:sz="4" w:space="0" w:color="auto"/>
              <w:right w:val="single" w:sz="4" w:space="0" w:color="auto"/>
            </w:tcBorders>
            <w:noWrap/>
            <w:vAlign w:val="bottom"/>
          </w:tcPr>
          <w:p w:rsidR="004B1FC7" w:rsidRPr="00577EB1" w:rsidRDefault="004B1FC7" w:rsidP="004B1FC7">
            <w:pPr>
              <w:keepNext/>
              <w:keepLines/>
              <w:spacing w:after="0"/>
              <w:rPr>
                <w:b/>
                <w:sz w:val="20"/>
                <w:szCs w:val="24"/>
                <w:lang w:val="fr-FR"/>
              </w:rPr>
            </w:pPr>
          </w:p>
        </w:tc>
        <w:tc>
          <w:tcPr>
            <w:tcW w:w="1031" w:type="pct"/>
            <w:tcBorders>
              <w:top w:val="single" w:sz="4" w:space="0" w:color="auto"/>
              <w:left w:val="single" w:sz="4" w:space="0" w:color="auto"/>
              <w:right w:val="single" w:sz="4" w:space="0" w:color="auto"/>
            </w:tcBorders>
            <w:noWrap/>
            <w:vAlign w:val="bottom"/>
          </w:tcPr>
          <w:p w:rsidR="004B1FC7" w:rsidRPr="00577EB1" w:rsidRDefault="004B1FC7" w:rsidP="004B1FC7">
            <w:pPr>
              <w:keepNext/>
              <w:keepLines/>
              <w:spacing w:after="0"/>
              <w:jc w:val="center"/>
              <w:rPr>
                <w:b/>
                <w:sz w:val="20"/>
                <w:szCs w:val="24"/>
                <w:lang w:val="fr-FR"/>
              </w:rPr>
            </w:pPr>
          </w:p>
        </w:tc>
        <w:tc>
          <w:tcPr>
            <w:tcW w:w="1111" w:type="pct"/>
            <w:tcBorders>
              <w:top w:val="single" w:sz="4" w:space="0" w:color="auto"/>
              <w:left w:val="single" w:sz="4" w:space="0" w:color="auto"/>
              <w:right w:val="single" w:sz="4" w:space="0" w:color="auto"/>
            </w:tcBorders>
          </w:tcPr>
          <w:p w:rsidR="004B1FC7" w:rsidRPr="00577EB1" w:rsidRDefault="004B1FC7" w:rsidP="004B1FC7">
            <w:pPr>
              <w:keepNext/>
              <w:keepLines/>
              <w:spacing w:after="0"/>
              <w:jc w:val="center"/>
              <w:rPr>
                <w:b/>
                <w:sz w:val="20"/>
                <w:szCs w:val="24"/>
                <w:lang w:val="fr-FR"/>
              </w:rPr>
            </w:pPr>
          </w:p>
        </w:tc>
        <w:tc>
          <w:tcPr>
            <w:tcW w:w="992" w:type="pct"/>
            <w:tcBorders>
              <w:top w:val="single" w:sz="4" w:space="0" w:color="auto"/>
              <w:left w:val="single" w:sz="4" w:space="0" w:color="auto"/>
            </w:tcBorders>
          </w:tcPr>
          <w:p w:rsidR="004B1FC7" w:rsidRPr="00577EB1" w:rsidRDefault="004B1FC7" w:rsidP="004B1FC7">
            <w:pPr>
              <w:keepNext/>
              <w:keepLines/>
              <w:spacing w:after="0"/>
              <w:jc w:val="center"/>
              <w:rPr>
                <w:b/>
                <w:sz w:val="20"/>
                <w:szCs w:val="24"/>
                <w:lang w:val="fr-FR"/>
              </w:rPr>
            </w:pP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b/>
                <w:sz w:val="20"/>
                <w:szCs w:val="24"/>
                <w:lang w:val="fr-FR"/>
              </w:rPr>
              <w:t>Genre</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11" w:type="pct"/>
            <w:tcBorders>
              <w:left w:val="single" w:sz="4" w:space="0" w:color="auto"/>
              <w:right w:val="single" w:sz="4" w:space="0" w:color="auto"/>
            </w:tcBorders>
          </w:tcPr>
          <w:p w:rsidR="004B1FC7" w:rsidRPr="00577EB1" w:rsidRDefault="004B1FC7" w:rsidP="004B1FC7">
            <w:pPr>
              <w:keepNext/>
              <w:keepLines/>
              <w:spacing w:after="0"/>
              <w:jc w:val="center"/>
              <w:rPr>
                <w:sz w:val="20"/>
                <w:szCs w:val="24"/>
                <w:lang w:val="fr-FR"/>
              </w:rPr>
            </w:pP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Masculin</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46,9</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92,2</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15,8</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Féminin</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36,5</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7,8</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12,7</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b/>
                <w:sz w:val="20"/>
                <w:szCs w:val="24"/>
                <w:lang w:val="fr-FR"/>
              </w:rPr>
            </w:pP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b/>
                <w:sz w:val="20"/>
                <w:szCs w:val="24"/>
                <w:lang w:val="fr-FR"/>
              </w:rPr>
              <w:t>État civil</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Célibataire</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20,8</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1,0</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12,7</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Monogame</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40,4</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49,4</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19,6</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Polygame</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55,1</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44,9</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9,5</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Divorcé/e</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28,7</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0,5</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13,1</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Veuf/ve</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39,9</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3,9</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5,6</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En couple</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19,4</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0,3</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 w:val="20"/>
                <w:szCs w:val="24"/>
                <w:lang w:val="fr-FR"/>
              </w:rPr>
            </w:pP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b/>
                <w:szCs w:val="24"/>
                <w:lang w:val="fr-FR"/>
              </w:rPr>
            </w:pPr>
            <w:r w:rsidRPr="00577EB1">
              <w:rPr>
                <w:b/>
                <w:sz w:val="20"/>
                <w:szCs w:val="24"/>
                <w:lang w:val="fr-FR"/>
              </w:rPr>
              <w:t>Niveau d’études</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Aucun</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51,0</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93,7</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17,2</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Primaire inférieur</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41,1</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2,8</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13,0</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Primaire supérieur</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24,8</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2,7</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7,6</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Secondaire inférieur</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19,4</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0,8</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6,3</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Secondaire supérieur</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3,1</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0,1</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0,9</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 xml:space="preserve">Universitaire </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0,3</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 w:val="20"/>
                <w:szCs w:val="24"/>
                <w:lang w:val="fr-FR"/>
              </w:rPr>
            </w:pP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b/>
                <w:szCs w:val="24"/>
                <w:lang w:val="fr-FR"/>
              </w:rPr>
            </w:pPr>
            <w:r w:rsidRPr="00577EB1">
              <w:rPr>
                <w:b/>
                <w:sz w:val="20"/>
                <w:szCs w:val="24"/>
                <w:lang w:val="fr-FR"/>
              </w:rPr>
              <w:t>Situation de l’emploi</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Salarié/e</w:t>
            </w:r>
            <w:r w:rsidR="0007340F">
              <w:rPr>
                <w:sz w:val="20"/>
                <w:szCs w:val="24"/>
                <w:lang w:val="fr-FR"/>
              </w:rPr>
              <w:t xml:space="preserve"> </w:t>
            </w:r>
            <w:r w:rsidRPr="00577EB1">
              <w:rPr>
                <w:sz w:val="20"/>
                <w:szCs w:val="24"/>
                <w:lang w:val="fr-FR"/>
              </w:rPr>
              <w:t>public</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4,7</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0,2</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1,2</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Salarié/e</w:t>
            </w:r>
            <w:r w:rsidR="0007340F">
              <w:rPr>
                <w:sz w:val="20"/>
                <w:szCs w:val="24"/>
                <w:lang w:val="fr-FR"/>
              </w:rPr>
              <w:t xml:space="preserve"> </w:t>
            </w:r>
            <w:r w:rsidRPr="00577EB1">
              <w:rPr>
                <w:sz w:val="20"/>
                <w:szCs w:val="24"/>
                <w:lang w:val="fr-FR"/>
              </w:rPr>
              <w:t>privé formel</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6,5</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0,1</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1,9</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Salarié/e</w:t>
            </w:r>
            <w:r w:rsidR="0007340F">
              <w:rPr>
                <w:sz w:val="20"/>
                <w:szCs w:val="24"/>
                <w:lang w:val="fr-FR"/>
              </w:rPr>
              <w:t xml:space="preserve"> </w:t>
            </w:r>
            <w:r w:rsidRPr="00577EB1">
              <w:rPr>
                <w:sz w:val="20"/>
                <w:szCs w:val="24"/>
                <w:lang w:val="fr-FR"/>
              </w:rPr>
              <w:t>privé informel</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18,3</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1,0</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4,5</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Culture du coton</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45,5</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19,3</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14,8</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Exploitant/e agricole</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55,6</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71,7</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19,0</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Indépendant/e (« entrepreneurs »)</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21,5</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2,4</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5,9</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Travailleur bénévole</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39,2</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0,7</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14,1</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Inactif/ve</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39,0</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0,8</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13,3</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Sans emploi</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33,0</w:t>
            </w:r>
          </w:p>
        </w:tc>
        <w:tc>
          <w:tcPr>
            <w:tcW w:w="1111" w:type="pct"/>
            <w:tcBorders>
              <w:left w:val="single" w:sz="4" w:space="0" w:color="auto"/>
              <w:right w:val="single" w:sz="4" w:space="0" w:color="auto"/>
            </w:tcBorders>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3,7</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12,2</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 w:val="20"/>
                <w:szCs w:val="24"/>
                <w:lang w:val="fr-FR"/>
              </w:rPr>
            </w:pP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11" w:type="pct"/>
            <w:tcBorders>
              <w:left w:val="single" w:sz="4" w:space="0" w:color="auto"/>
              <w:right w:val="single" w:sz="4" w:space="0" w:color="auto"/>
            </w:tcBorders>
          </w:tcPr>
          <w:p w:rsidR="004B1FC7" w:rsidRPr="00577EB1" w:rsidRDefault="004B1FC7" w:rsidP="004B1FC7">
            <w:pPr>
              <w:keepNext/>
              <w:keepLines/>
              <w:spacing w:after="0"/>
              <w:jc w:val="center"/>
              <w:rPr>
                <w:sz w:val="20"/>
                <w:szCs w:val="24"/>
                <w:lang w:val="fr-FR"/>
              </w:rPr>
            </w:pP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b/>
                <w:szCs w:val="24"/>
                <w:lang w:val="fr-FR"/>
              </w:rPr>
            </w:pPr>
            <w:r w:rsidRPr="00577EB1">
              <w:rPr>
                <w:b/>
                <w:sz w:val="20"/>
                <w:szCs w:val="24"/>
                <w:lang w:val="fr-FR"/>
              </w:rPr>
              <w:t>Taille des ménages</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11" w:type="pct"/>
            <w:tcBorders>
              <w:left w:val="single" w:sz="4" w:space="0" w:color="auto"/>
              <w:right w:val="single" w:sz="4" w:space="0" w:color="auto"/>
            </w:tcBorders>
          </w:tcPr>
          <w:p w:rsidR="004B1FC7" w:rsidRPr="00577EB1" w:rsidRDefault="004B1FC7" w:rsidP="004B1FC7">
            <w:pPr>
              <w:keepNext/>
              <w:keepLines/>
              <w:spacing w:after="0"/>
              <w:jc w:val="center"/>
              <w:rPr>
                <w:sz w:val="20"/>
                <w:szCs w:val="24"/>
                <w:lang w:val="fr-FR"/>
              </w:rPr>
            </w:pP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1</w:t>
            </w:r>
            <w:r w:rsidR="0007340F">
              <w:rPr>
                <w:sz w:val="20"/>
                <w:szCs w:val="24"/>
                <w:lang w:val="fr-FR"/>
              </w:rPr>
              <w:t xml:space="preserve"> </w:t>
            </w:r>
            <w:r w:rsidRPr="00577EB1">
              <w:rPr>
                <w:sz w:val="20"/>
                <w:szCs w:val="24"/>
                <w:lang w:val="fr-FR"/>
              </w:rPr>
              <w:t>2 membres</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10,6</w:t>
            </w:r>
          </w:p>
        </w:tc>
        <w:tc>
          <w:tcPr>
            <w:tcW w:w="1111" w:type="pct"/>
            <w:tcBorders>
              <w:left w:val="single" w:sz="4" w:space="0" w:color="auto"/>
              <w:righ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3,2</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2,3</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3</w:t>
            </w:r>
            <w:r w:rsidR="0007340F">
              <w:rPr>
                <w:sz w:val="20"/>
                <w:szCs w:val="24"/>
                <w:lang w:val="fr-FR"/>
              </w:rPr>
              <w:t xml:space="preserve"> </w:t>
            </w:r>
            <w:r w:rsidRPr="00577EB1">
              <w:rPr>
                <w:sz w:val="20"/>
                <w:szCs w:val="24"/>
                <w:lang w:val="fr-FR"/>
              </w:rPr>
              <w:t>4 membres</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24,5</w:t>
            </w:r>
          </w:p>
        </w:tc>
        <w:tc>
          <w:tcPr>
            <w:tcW w:w="1111" w:type="pct"/>
            <w:tcBorders>
              <w:left w:val="single" w:sz="4" w:space="0" w:color="auto"/>
              <w:righ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14,1</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6,6</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5</w:t>
            </w:r>
            <w:r w:rsidR="0007340F">
              <w:rPr>
                <w:sz w:val="20"/>
                <w:szCs w:val="24"/>
                <w:lang w:val="fr-FR"/>
              </w:rPr>
              <w:t xml:space="preserve"> </w:t>
            </w:r>
            <w:r w:rsidRPr="00577EB1">
              <w:rPr>
                <w:sz w:val="20"/>
                <w:szCs w:val="24"/>
                <w:lang w:val="fr-FR"/>
              </w:rPr>
              <w:t>6 membres</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38,0</w:t>
            </w:r>
          </w:p>
        </w:tc>
        <w:tc>
          <w:tcPr>
            <w:tcW w:w="1111" w:type="pct"/>
            <w:tcBorders>
              <w:left w:val="single" w:sz="4" w:space="0" w:color="auto"/>
              <w:righ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21,4</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11,0</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Cs w:val="24"/>
                <w:lang w:val="fr-FR"/>
              </w:rPr>
            </w:pPr>
            <w:r w:rsidRPr="00577EB1">
              <w:rPr>
                <w:sz w:val="20"/>
                <w:szCs w:val="24"/>
                <w:lang w:val="fr-FR"/>
              </w:rPr>
              <w:t>7 membres ou plus</w:t>
            </w: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r w:rsidRPr="00577EB1">
              <w:rPr>
                <w:sz w:val="20"/>
                <w:szCs w:val="24"/>
                <w:lang w:val="fr-FR"/>
              </w:rPr>
              <w:t>55,5</w:t>
            </w:r>
          </w:p>
        </w:tc>
        <w:tc>
          <w:tcPr>
            <w:tcW w:w="1111" w:type="pct"/>
            <w:tcBorders>
              <w:left w:val="single" w:sz="4" w:space="0" w:color="auto"/>
              <w:righ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61,3</w:t>
            </w: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r w:rsidRPr="00577EB1">
              <w:rPr>
                <w:sz w:val="20"/>
                <w:szCs w:val="24"/>
                <w:lang w:val="fr-FR"/>
              </w:rPr>
              <w:t>19,6</w:t>
            </w:r>
          </w:p>
        </w:tc>
      </w:tr>
      <w:tr w:rsidR="004B1FC7" w:rsidRPr="00577EB1" w:rsidTr="004B1FC7">
        <w:tc>
          <w:tcPr>
            <w:tcW w:w="1865" w:type="pct"/>
            <w:tcBorders>
              <w:right w:val="single" w:sz="4" w:space="0" w:color="auto"/>
            </w:tcBorders>
            <w:noWrap/>
            <w:vAlign w:val="bottom"/>
          </w:tcPr>
          <w:p w:rsidR="004B1FC7" w:rsidRPr="00577EB1" w:rsidRDefault="004B1FC7" w:rsidP="004B1FC7">
            <w:pPr>
              <w:keepNext/>
              <w:keepLines/>
              <w:spacing w:after="0"/>
              <w:rPr>
                <w:sz w:val="20"/>
                <w:szCs w:val="24"/>
                <w:lang w:val="fr-FR"/>
              </w:rPr>
            </w:pPr>
          </w:p>
        </w:tc>
        <w:tc>
          <w:tcPr>
            <w:tcW w:w="1031" w:type="pct"/>
            <w:tcBorders>
              <w:left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11" w:type="pct"/>
            <w:tcBorders>
              <w:left w:val="single" w:sz="4" w:space="0" w:color="auto"/>
              <w:right w:val="single" w:sz="4" w:space="0" w:color="auto"/>
            </w:tcBorders>
          </w:tcPr>
          <w:p w:rsidR="004B1FC7" w:rsidRPr="00577EB1" w:rsidRDefault="004B1FC7" w:rsidP="004B1FC7">
            <w:pPr>
              <w:keepNext/>
              <w:keepLines/>
              <w:spacing w:after="0"/>
              <w:jc w:val="center"/>
              <w:rPr>
                <w:sz w:val="20"/>
                <w:szCs w:val="24"/>
                <w:lang w:val="fr-FR"/>
              </w:rPr>
            </w:pPr>
          </w:p>
        </w:tc>
        <w:tc>
          <w:tcPr>
            <w:tcW w:w="992" w:type="pct"/>
            <w:tcBorders>
              <w:left w:val="single" w:sz="4" w:space="0" w:color="auto"/>
            </w:tcBorders>
          </w:tcPr>
          <w:p w:rsidR="004B1FC7" w:rsidRPr="00577EB1" w:rsidRDefault="004B1FC7" w:rsidP="004B1FC7">
            <w:pPr>
              <w:keepNext/>
              <w:keepLines/>
              <w:spacing w:after="0"/>
              <w:jc w:val="center"/>
              <w:rPr>
                <w:sz w:val="20"/>
                <w:szCs w:val="24"/>
                <w:lang w:val="fr-FR"/>
              </w:rPr>
            </w:pPr>
          </w:p>
        </w:tc>
      </w:tr>
      <w:tr w:rsidR="004B1FC7" w:rsidRPr="00577EB1" w:rsidTr="004B1FC7">
        <w:tc>
          <w:tcPr>
            <w:tcW w:w="1865" w:type="pct"/>
            <w:tcBorders>
              <w:bottom w:val="single" w:sz="4" w:space="0" w:color="auto"/>
              <w:right w:val="single" w:sz="4" w:space="0" w:color="auto"/>
            </w:tcBorders>
            <w:noWrap/>
            <w:vAlign w:val="bottom"/>
          </w:tcPr>
          <w:p w:rsidR="004B1FC7" w:rsidRPr="00577EB1" w:rsidRDefault="004B1FC7" w:rsidP="004B1FC7">
            <w:pPr>
              <w:keepNext/>
              <w:keepLines/>
              <w:spacing w:after="0"/>
              <w:rPr>
                <w:sz w:val="20"/>
                <w:szCs w:val="24"/>
                <w:lang w:val="fr-FR"/>
              </w:rPr>
            </w:pPr>
          </w:p>
        </w:tc>
        <w:tc>
          <w:tcPr>
            <w:tcW w:w="1031" w:type="pct"/>
            <w:tcBorders>
              <w:left w:val="single" w:sz="4" w:space="0" w:color="auto"/>
              <w:bottom w:val="single" w:sz="4" w:space="0" w:color="auto"/>
              <w:right w:val="single" w:sz="4" w:space="0" w:color="auto"/>
            </w:tcBorders>
            <w:noWrap/>
            <w:vAlign w:val="bottom"/>
          </w:tcPr>
          <w:p w:rsidR="004B1FC7" w:rsidRPr="00577EB1" w:rsidRDefault="004B1FC7" w:rsidP="004B1FC7">
            <w:pPr>
              <w:keepNext/>
              <w:keepLines/>
              <w:spacing w:after="0"/>
              <w:jc w:val="center"/>
              <w:rPr>
                <w:sz w:val="20"/>
                <w:szCs w:val="24"/>
                <w:lang w:val="fr-FR"/>
              </w:rPr>
            </w:pPr>
          </w:p>
        </w:tc>
        <w:tc>
          <w:tcPr>
            <w:tcW w:w="1111" w:type="pct"/>
            <w:tcBorders>
              <w:left w:val="single" w:sz="4" w:space="0" w:color="auto"/>
              <w:bottom w:val="single" w:sz="4" w:space="0" w:color="auto"/>
              <w:right w:val="single" w:sz="4" w:space="0" w:color="auto"/>
            </w:tcBorders>
          </w:tcPr>
          <w:p w:rsidR="004B1FC7" w:rsidRPr="00577EB1" w:rsidRDefault="004B1FC7" w:rsidP="004B1FC7">
            <w:pPr>
              <w:keepNext/>
              <w:keepLines/>
              <w:spacing w:after="0"/>
              <w:jc w:val="center"/>
              <w:rPr>
                <w:sz w:val="20"/>
                <w:szCs w:val="24"/>
                <w:lang w:val="fr-FR"/>
              </w:rPr>
            </w:pPr>
          </w:p>
        </w:tc>
        <w:tc>
          <w:tcPr>
            <w:tcW w:w="992" w:type="pct"/>
            <w:tcBorders>
              <w:left w:val="single" w:sz="4" w:space="0" w:color="auto"/>
              <w:bottom w:val="single" w:sz="4" w:space="0" w:color="auto"/>
            </w:tcBorders>
          </w:tcPr>
          <w:p w:rsidR="004B1FC7" w:rsidRPr="00577EB1" w:rsidRDefault="004B1FC7" w:rsidP="004B1FC7">
            <w:pPr>
              <w:keepNext/>
              <w:keepLines/>
              <w:spacing w:after="0"/>
              <w:jc w:val="center"/>
              <w:rPr>
                <w:sz w:val="20"/>
                <w:szCs w:val="24"/>
                <w:lang w:val="fr-FR"/>
              </w:rPr>
            </w:pPr>
          </w:p>
        </w:tc>
      </w:tr>
    </w:tbl>
    <w:p w:rsidR="004B3541" w:rsidRDefault="004B1FC7">
      <w:pPr>
        <w:pStyle w:val="Source"/>
        <w:spacing w:before="120" w:after="480"/>
        <w:rPr>
          <w:i w:val="0"/>
        </w:rPr>
      </w:pPr>
      <w:r w:rsidRPr="00577EB1">
        <w:t>Source</w:t>
      </w:r>
      <w:r w:rsidR="00847527">
        <w:t xml:space="preserve"> : </w:t>
      </w:r>
      <w:r w:rsidR="00EB214A" w:rsidRPr="00EB214A">
        <w:rPr>
          <w:i w:val="0"/>
        </w:rPr>
        <w:t>Nouvé et coll. non publié 2009 fondé sur l’enquête sur les priorités/QUIBB de l’INSD.</w:t>
      </w:r>
    </w:p>
    <w:p w:rsidR="004B1FC7" w:rsidRPr="00577EB1" w:rsidRDefault="004B1FC7" w:rsidP="00A54EB6">
      <w:pPr>
        <w:pStyle w:val="Heading2"/>
      </w:pPr>
      <w:bookmarkStart w:id="48" w:name="_Toc264748728"/>
      <w:r w:rsidRPr="00577EB1">
        <w:t>Ampleur de la pauvreté et coût pour faire sérieusement la différence</w:t>
      </w:r>
      <w:bookmarkEnd w:id="48"/>
      <w:r w:rsidRPr="00577EB1">
        <w:t xml:space="preserve"> </w:t>
      </w:r>
    </w:p>
    <w:p w:rsidR="004B1FC7" w:rsidRPr="00577EB1" w:rsidRDefault="004B1FC7" w:rsidP="00E52A30">
      <w:pPr>
        <w:numPr>
          <w:ilvl w:val="0"/>
          <w:numId w:val="2"/>
        </w:numPr>
        <w:ind w:left="0" w:firstLine="0"/>
        <w:rPr>
          <w:szCs w:val="24"/>
          <w:lang w:val="fr-FR"/>
        </w:rPr>
      </w:pPr>
      <w:r w:rsidRPr="00577EB1">
        <w:rPr>
          <w:b/>
          <w:szCs w:val="24"/>
          <w:lang w:val="fr-FR"/>
        </w:rPr>
        <w:t>Pour évaluer le coût financier de la réduction de la pauvreté à travers des transferts, la première question à se poser est ce que cela couterait, très globalement en chiffres annuels, pour combler l’écart entre les revenus des pauvres et le seuil de la pauvreté.</w:t>
      </w:r>
      <w:r w:rsidRPr="00577EB1">
        <w:rPr>
          <w:szCs w:val="24"/>
          <w:lang w:val="fr-FR"/>
        </w:rPr>
        <w:t xml:space="preserve"> À titre indicatif, dans cette section, le coût nécessaire pour élever les revenus de tous les pauvres jusqu’au niveau du seuil de pauvreté est estimé à partir des données sur le profil de la pauvreté 2003 déjà évoquées dans ce chapitre et fondées sur le rapport d’évaluation de la pauvreté de la Banque mondiale (2005). Les chiffres ci-dessous résultent </w:t>
      </w:r>
      <w:r w:rsidRPr="00577EB1">
        <w:rPr>
          <w:szCs w:val="24"/>
          <w:lang w:val="fr-FR"/>
        </w:rPr>
        <w:lastRenderedPageBreak/>
        <w:t xml:space="preserve">d’une série d’hypothèses très simples, et la marge d’erreur peut être importante. En particulier, les estimations supposent une progression depuis 2003 du seuil de pauvreté fondée sur un IPC moyen, et une croissance démographique de 3,1 % pendant cette période. La profondeur de la pauvreté est fondée sur la profondeur de la pauvreté nationale de 2003 (15,5) comme le montre le Tableau 5 ci-dessus et est supposée constante. Les estimations quantifient aussi le montant total des avantages nécessaires pour combler l’écart de pauvreté. Ces calculs négligent donc des facteurs tels que les coûts administratifs et les éventuelles pertes d’efficacité. Les coûts liés aux problèmes de ciblage sont également exclus. Il ne s’agit donc que d’une première approximation des coûts, avec des transferts en espèces supposés totalement efficaces. </w:t>
      </w:r>
    </w:p>
    <w:p w:rsidR="004B1FC7" w:rsidRPr="00577EB1" w:rsidRDefault="004B1FC7" w:rsidP="00E52A30">
      <w:pPr>
        <w:numPr>
          <w:ilvl w:val="0"/>
          <w:numId w:val="2"/>
        </w:numPr>
        <w:ind w:left="0" w:firstLine="0"/>
        <w:rPr>
          <w:szCs w:val="24"/>
          <w:lang w:val="fr-FR"/>
        </w:rPr>
      </w:pPr>
      <w:r w:rsidRPr="00577EB1">
        <w:rPr>
          <w:b/>
          <w:szCs w:val="24"/>
          <w:lang w:val="fr-FR"/>
        </w:rPr>
        <w:t xml:space="preserve">Un minimum de 2,5 % et de 2,7 % du PIB auraient été nécessaires en 2007 et 2008 respectivement, pour amener tous les pauvres jusqu’au niveau du seuil de pauvreté à travers des transferts en espèces. </w:t>
      </w:r>
      <w:r w:rsidRPr="00577EB1">
        <w:rPr>
          <w:szCs w:val="24"/>
          <w:lang w:val="fr-FR"/>
        </w:rPr>
        <w:t>Ces estimations sont basées sur les seuils et écarts de pauvreté décrits au Tableau 6</w:t>
      </w:r>
      <w:r w:rsidRPr="00577EB1">
        <w:rPr>
          <w:b/>
          <w:szCs w:val="24"/>
          <w:lang w:val="fr-FR"/>
        </w:rPr>
        <w:t>.</w:t>
      </w:r>
      <w:r w:rsidRPr="00577EB1">
        <w:rPr>
          <w:szCs w:val="24"/>
          <w:lang w:val="fr-FR"/>
        </w:rPr>
        <w:t xml:space="preserve"> On estime aussi qu’il aurait fallu un minimum de 1,4 % et de 1,7</w:t>
      </w:r>
      <w:r w:rsidRPr="00577EB1">
        <w:rPr>
          <w:szCs w:val="24"/>
          <w:lang w:val="fr-FR" w:bidi="he-IL"/>
        </w:rPr>
        <w:t> </w:t>
      </w:r>
      <w:r w:rsidRPr="00577EB1">
        <w:rPr>
          <w:szCs w:val="24"/>
          <w:lang w:val="fr-FR"/>
        </w:rPr>
        <w:t>% du PIB en 2007 et 2008 pour amener les pauvres chroniques (les plus pauvres et les plus vulnérables) jusqu’au seuil de pauvreté à l’aide de transferts en espèces (Tableau 6</w:t>
      </w:r>
      <w:r w:rsidRPr="00577EB1">
        <w:rPr>
          <w:b/>
          <w:szCs w:val="24"/>
          <w:lang w:val="fr-FR"/>
        </w:rPr>
        <w:t>)</w:t>
      </w:r>
      <w:r w:rsidRPr="00577EB1">
        <w:rPr>
          <w:szCs w:val="24"/>
          <w:lang w:val="fr-FR"/>
        </w:rPr>
        <w:t xml:space="preserve">. Ces estimations du niveau de pauvreté chronique en 2008 sont calculées en supposant un rapport constant de 49 % en 2007 et 2008 entre les pauvres chroniques et la pauvreté, et une hausse de l’incidence de la pauvreté de 45 % en 2008. Ainsi, le nombre des plus pauvres et des plus vulnérables augmenterait à 22,1 % de la population. Ces estimations sont probablement trop conservatrices étant donné que la profondeur de la pauvreté du groupe des plus pauvres et plus vulnérables a été alignée sur celle des zones rurales, où la pauvreté est plus aiguë (Tableau 6). </w:t>
      </w:r>
    </w:p>
    <w:p w:rsidR="004B1FC7" w:rsidRPr="00837FC9" w:rsidRDefault="00DD0F50" w:rsidP="00425065">
      <w:pPr>
        <w:pStyle w:val="Heading7"/>
      </w:pPr>
      <w:bookmarkStart w:id="49" w:name="_Toc284528580"/>
      <w:bookmarkStart w:id="50" w:name="_Toc284530517"/>
      <w:r w:rsidRPr="00577EB1">
        <w:rPr>
          <w:lang w:val="fr-FR"/>
        </w:rPr>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6</w:t>
      </w:r>
      <w:r w:rsidR="00725419" w:rsidRPr="00577EB1">
        <w:rPr>
          <w:lang w:val="fr-FR"/>
        </w:rPr>
        <w:fldChar w:fldCharType="end"/>
      </w:r>
      <w:r w:rsidR="00837FC9">
        <w:t> :</w:t>
      </w:r>
      <w:r w:rsidR="0007340F" w:rsidRPr="00837FC9">
        <w:t xml:space="preserve"> </w:t>
      </w:r>
      <w:r w:rsidR="004B1FC7" w:rsidRPr="00837FC9">
        <w:t xml:space="preserve">Estimation des montants nécessaires pour amener tous les pauvres, </w:t>
      </w:r>
      <w:r w:rsidR="005738FE">
        <w:t xml:space="preserve">et </w:t>
      </w:r>
      <w:r w:rsidR="004B1FC7" w:rsidRPr="00837FC9">
        <w:t>les plus pauvres et les plus vulnérables jusqu’au seuil de pauvreté par des transferts en espèces (2003, 2005 et 2007)</w:t>
      </w:r>
      <w:bookmarkEnd w:id="49"/>
      <w:bookmarkEnd w:id="50"/>
    </w:p>
    <w:tbl>
      <w:tblPr>
        <w:tblW w:w="8803" w:type="dxa"/>
        <w:tblInd w:w="108" w:type="dxa"/>
        <w:tblLayout w:type="fixed"/>
        <w:tblLook w:val="00A0"/>
      </w:tblPr>
      <w:tblGrid>
        <w:gridCol w:w="4395"/>
        <w:gridCol w:w="425"/>
        <w:gridCol w:w="992"/>
        <w:gridCol w:w="43"/>
        <w:gridCol w:w="1092"/>
        <w:gridCol w:w="990"/>
        <w:gridCol w:w="866"/>
      </w:tblGrid>
      <w:tr w:rsidR="004B1FC7" w:rsidRPr="00577EB1" w:rsidTr="00425065">
        <w:trPr>
          <w:trHeight w:val="20"/>
        </w:trPr>
        <w:tc>
          <w:tcPr>
            <w:tcW w:w="4395" w:type="dxa"/>
            <w:tcBorders>
              <w:top w:val="single" w:sz="4" w:space="0" w:color="auto"/>
              <w:left w:val="nil"/>
              <w:bottom w:val="single" w:sz="4" w:space="0" w:color="auto"/>
              <w:right w:val="nil"/>
            </w:tcBorders>
            <w:noWrap/>
            <w:vAlign w:val="bottom"/>
          </w:tcPr>
          <w:p w:rsidR="004B3541" w:rsidRDefault="004B3541">
            <w:pPr>
              <w:keepNext/>
              <w:keepLines/>
              <w:spacing w:after="0"/>
              <w:jc w:val="right"/>
              <w:rPr>
                <w:rFonts w:cs="Arial"/>
                <w:b/>
                <w:caps/>
                <w:color w:val="000000"/>
                <w:sz w:val="20"/>
                <w:szCs w:val="24"/>
                <w:lang w:val="fr-FR"/>
              </w:rPr>
            </w:pPr>
          </w:p>
        </w:tc>
        <w:tc>
          <w:tcPr>
            <w:tcW w:w="1460" w:type="dxa"/>
            <w:gridSpan w:val="3"/>
            <w:tcBorders>
              <w:top w:val="single" w:sz="4" w:space="0" w:color="auto"/>
              <w:left w:val="nil"/>
              <w:bottom w:val="single" w:sz="4" w:space="0" w:color="auto"/>
              <w:right w:val="nil"/>
            </w:tcBorders>
            <w:noWrap/>
            <w:vAlign w:val="bottom"/>
          </w:tcPr>
          <w:p w:rsidR="004B3541" w:rsidRDefault="004B1FC7">
            <w:pPr>
              <w:keepNext/>
              <w:keepLines/>
              <w:spacing w:after="0"/>
              <w:jc w:val="right"/>
              <w:rPr>
                <w:b/>
                <w:color w:val="000000"/>
                <w:sz w:val="20"/>
                <w:szCs w:val="24"/>
                <w:lang w:val="fr-FR"/>
              </w:rPr>
            </w:pPr>
            <w:r w:rsidRPr="00577EB1">
              <w:rPr>
                <w:b/>
                <w:color w:val="000000"/>
                <w:sz w:val="20"/>
                <w:szCs w:val="24"/>
                <w:lang w:val="fr-FR"/>
              </w:rPr>
              <w:t>2003</w:t>
            </w:r>
          </w:p>
        </w:tc>
        <w:tc>
          <w:tcPr>
            <w:tcW w:w="1092" w:type="dxa"/>
            <w:tcBorders>
              <w:top w:val="single" w:sz="4" w:space="0" w:color="auto"/>
              <w:left w:val="nil"/>
              <w:bottom w:val="single" w:sz="4" w:space="0" w:color="auto"/>
              <w:right w:val="nil"/>
            </w:tcBorders>
            <w:noWrap/>
            <w:vAlign w:val="bottom"/>
          </w:tcPr>
          <w:p w:rsidR="004B3541" w:rsidRDefault="004B1FC7">
            <w:pPr>
              <w:keepNext/>
              <w:keepLines/>
              <w:spacing w:after="0"/>
              <w:jc w:val="right"/>
              <w:rPr>
                <w:b/>
                <w:sz w:val="20"/>
                <w:szCs w:val="24"/>
                <w:lang w:val="fr-FR"/>
              </w:rPr>
            </w:pPr>
            <w:r w:rsidRPr="00577EB1">
              <w:rPr>
                <w:b/>
                <w:sz w:val="20"/>
                <w:szCs w:val="24"/>
                <w:lang w:val="fr-FR"/>
              </w:rPr>
              <w:t>2005</w:t>
            </w:r>
          </w:p>
        </w:tc>
        <w:tc>
          <w:tcPr>
            <w:tcW w:w="990" w:type="dxa"/>
            <w:tcBorders>
              <w:top w:val="single" w:sz="4" w:space="0" w:color="auto"/>
              <w:left w:val="nil"/>
              <w:bottom w:val="single" w:sz="4" w:space="0" w:color="auto"/>
              <w:right w:val="nil"/>
            </w:tcBorders>
            <w:noWrap/>
            <w:vAlign w:val="bottom"/>
          </w:tcPr>
          <w:p w:rsidR="004B3541" w:rsidRDefault="004B1FC7">
            <w:pPr>
              <w:keepNext/>
              <w:keepLines/>
              <w:spacing w:after="0"/>
              <w:jc w:val="right"/>
              <w:rPr>
                <w:b/>
                <w:sz w:val="20"/>
                <w:szCs w:val="24"/>
                <w:lang w:val="fr-FR"/>
              </w:rPr>
            </w:pPr>
            <w:r w:rsidRPr="00577EB1">
              <w:rPr>
                <w:b/>
                <w:sz w:val="20"/>
                <w:szCs w:val="24"/>
                <w:lang w:val="fr-FR"/>
              </w:rPr>
              <w:t>2007</w:t>
            </w:r>
          </w:p>
        </w:tc>
        <w:tc>
          <w:tcPr>
            <w:tcW w:w="866" w:type="dxa"/>
            <w:tcBorders>
              <w:top w:val="single" w:sz="4" w:space="0" w:color="auto"/>
              <w:left w:val="nil"/>
              <w:bottom w:val="single" w:sz="4" w:space="0" w:color="auto"/>
              <w:right w:val="nil"/>
            </w:tcBorders>
            <w:noWrap/>
            <w:vAlign w:val="bottom"/>
          </w:tcPr>
          <w:p w:rsidR="004B3541" w:rsidRDefault="004B1FC7">
            <w:pPr>
              <w:keepNext/>
              <w:keepLines/>
              <w:spacing w:after="0"/>
              <w:jc w:val="right"/>
              <w:rPr>
                <w:b/>
                <w:color w:val="000000"/>
                <w:sz w:val="20"/>
                <w:szCs w:val="24"/>
                <w:lang w:val="fr-FR"/>
              </w:rPr>
            </w:pPr>
            <w:r w:rsidRPr="00577EB1">
              <w:rPr>
                <w:b/>
                <w:color w:val="000000"/>
                <w:sz w:val="20"/>
                <w:szCs w:val="24"/>
                <w:lang w:val="fr-FR"/>
              </w:rPr>
              <w:t>2008</w:t>
            </w:r>
          </w:p>
        </w:tc>
      </w:tr>
      <w:tr w:rsidR="004B1FC7" w:rsidRPr="00577EB1" w:rsidTr="00425065">
        <w:trPr>
          <w:trHeight w:val="20"/>
        </w:trPr>
        <w:tc>
          <w:tcPr>
            <w:tcW w:w="4820" w:type="dxa"/>
            <w:gridSpan w:val="2"/>
            <w:tcBorders>
              <w:top w:val="single" w:sz="4" w:space="0" w:color="auto"/>
              <w:left w:val="nil"/>
              <w:bottom w:val="nil"/>
              <w:right w:val="nil"/>
            </w:tcBorders>
            <w:noWrap/>
            <w:vAlign w:val="bottom"/>
          </w:tcPr>
          <w:p w:rsidR="004B3541" w:rsidRDefault="004B1FC7">
            <w:pPr>
              <w:keepNext/>
              <w:keepLines/>
              <w:spacing w:after="0"/>
              <w:jc w:val="left"/>
              <w:rPr>
                <w:szCs w:val="24"/>
                <w:lang w:val="fr-FR"/>
              </w:rPr>
            </w:pPr>
            <w:r w:rsidRPr="00577EB1">
              <w:rPr>
                <w:color w:val="000000"/>
                <w:sz w:val="20"/>
                <w:szCs w:val="24"/>
                <w:lang w:val="fr-FR"/>
              </w:rPr>
              <w:t xml:space="preserve">PIB (milliards de francs CFA, prix </w:t>
            </w:r>
            <w:r w:rsidR="00425065">
              <w:rPr>
                <w:color w:val="000000"/>
                <w:sz w:val="20"/>
                <w:szCs w:val="24"/>
                <w:lang w:val="fr-FR"/>
              </w:rPr>
              <w:t>courant</w:t>
            </w:r>
            <w:r w:rsidR="00425065" w:rsidRPr="00577EB1">
              <w:rPr>
                <w:color w:val="000000"/>
                <w:sz w:val="20"/>
                <w:szCs w:val="24"/>
                <w:lang w:val="fr-FR"/>
              </w:rPr>
              <w:t>s</w:t>
            </w:r>
            <w:r w:rsidRPr="00577EB1">
              <w:rPr>
                <w:color w:val="000000"/>
                <w:sz w:val="20"/>
                <w:szCs w:val="24"/>
                <w:lang w:val="fr-FR"/>
              </w:rPr>
              <w:t xml:space="preserve">) </w:t>
            </w:r>
            <w:r w:rsidR="00EB214A" w:rsidRPr="00EB214A">
              <w:rPr>
                <w:color w:val="000000"/>
                <w:sz w:val="20"/>
                <w:szCs w:val="24"/>
                <w:vertAlign w:val="superscript"/>
                <w:lang w:val="fr-FR"/>
              </w:rPr>
              <w:t>(1)</w:t>
            </w:r>
          </w:p>
        </w:tc>
        <w:tc>
          <w:tcPr>
            <w:tcW w:w="992" w:type="dxa"/>
            <w:tcBorders>
              <w:top w:val="single" w:sz="4" w:space="0" w:color="auto"/>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2 513,8</w:t>
            </w:r>
          </w:p>
        </w:tc>
        <w:tc>
          <w:tcPr>
            <w:tcW w:w="1135" w:type="dxa"/>
            <w:gridSpan w:val="2"/>
            <w:tcBorders>
              <w:top w:val="single" w:sz="4" w:space="0" w:color="auto"/>
              <w:left w:val="nil"/>
              <w:bottom w:val="nil"/>
              <w:right w:val="nil"/>
            </w:tcBorders>
            <w:noWrap/>
            <w:vAlign w:val="bottom"/>
          </w:tcPr>
          <w:p w:rsidR="004B3541" w:rsidRDefault="004B1FC7">
            <w:pPr>
              <w:keepNext/>
              <w:keepLines/>
              <w:tabs>
                <w:tab w:val="clear" w:pos="709"/>
              </w:tabs>
              <w:spacing w:after="0"/>
              <w:jc w:val="right"/>
              <w:rPr>
                <w:sz w:val="20"/>
                <w:szCs w:val="24"/>
                <w:lang w:val="fr-FR"/>
              </w:rPr>
            </w:pPr>
            <w:r w:rsidRPr="00577EB1">
              <w:rPr>
                <w:sz w:val="20"/>
                <w:szCs w:val="24"/>
                <w:lang w:val="fr-FR"/>
              </w:rPr>
              <w:t>2 862,8</w:t>
            </w:r>
          </w:p>
        </w:tc>
        <w:tc>
          <w:tcPr>
            <w:tcW w:w="990" w:type="dxa"/>
            <w:tcBorders>
              <w:top w:val="single" w:sz="4" w:space="0" w:color="auto"/>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3 239,4</w:t>
            </w:r>
          </w:p>
        </w:tc>
        <w:tc>
          <w:tcPr>
            <w:tcW w:w="866" w:type="dxa"/>
            <w:tcBorders>
              <w:top w:val="single" w:sz="4" w:space="0" w:color="auto"/>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3 647,9</w:t>
            </w:r>
          </w:p>
        </w:tc>
      </w:tr>
      <w:tr w:rsidR="004B1FC7" w:rsidRPr="00577EB1" w:rsidTr="004B1FC7">
        <w:trPr>
          <w:trHeight w:val="20"/>
        </w:trPr>
        <w:tc>
          <w:tcPr>
            <w:tcW w:w="4820" w:type="dxa"/>
            <w:gridSpan w:val="2"/>
            <w:tcBorders>
              <w:top w:val="nil"/>
              <w:left w:val="nil"/>
              <w:bottom w:val="nil"/>
              <w:right w:val="nil"/>
            </w:tcBorders>
            <w:noWrap/>
            <w:vAlign w:val="bottom"/>
          </w:tcPr>
          <w:p w:rsidR="004B3541" w:rsidRDefault="004B1FC7">
            <w:pPr>
              <w:keepNext/>
              <w:keepLines/>
              <w:spacing w:after="0"/>
              <w:jc w:val="left"/>
              <w:rPr>
                <w:szCs w:val="24"/>
                <w:lang w:val="fr-FR"/>
              </w:rPr>
            </w:pPr>
            <w:r w:rsidRPr="00577EB1">
              <w:rPr>
                <w:color w:val="000000"/>
                <w:sz w:val="20"/>
                <w:szCs w:val="24"/>
                <w:lang w:val="fr-FR"/>
              </w:rPr>
              <w:t xml:space="preserve">Population (millions) </w:t>
            </w:r>
            <w:r w:rsidR="00EB214A" w:rsidRPr="00EB214A">
              <w:rPr>
                <w:color w:val="000000"/>
                <w:sz w:val="20"/>
                <w:szCs w:val="24"/>
                <w:vertAlign w:val="superscript"/>
                <w:lang w:val="fr-FR"/>
              </w:rPr>
              <w:t>(2)</w:t>
            </w:r>
          </w:p>
        </w:tc>
        <w:tc>
          <w:tcPr>
            <w:tcW w:w="992"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12,6</w:t>
            </w:r>
          </w:p>
        </w:tc>
        <w:tc>
          <w:tcPr>
            <w:tcW w:w="1135" w:type="dxa"/>
            <w:gridSpan w:val="2"/>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13,4</w:t>
            </w:r>
          </w:p>
        </w:tc>
        <w:tc>
          <w:tcPr>
            <w:tcW w:w="990" w:type="dxa"/>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14,3</w:t>
            </w:r>
          </w:p>
        </w:tc>
        <w:tc>
          <w:tcPr>
            <w:tcW w:w="866"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14,7</w:t>
            </w:r>
          </w:p>
        </w:tc>
      </w:tr>
      <w:tr w:rsidR="004B1FC7" w:rsidRPr="00577EB1" w:rsidTr="004B1FC7">
        <w:trPr>
          <w:trHeight w:val="20"/>
        </w:trPr>
        <w:tc>
          <w:tcPr>
            <w:tcW w:w="4820" w:type="dxa"/>
            <w:gridSpan w:val="2"/>
            <w:tcBorders>
              <w:top w:val="nil"/>
              <w:left w:val="nil"/>
              <w:bottom w:val="nil"/>
              <w:right w:val="nil"/>
            </w:tcBorders>
            <w:noWrap/>
            <w:vAlign w:val="bottom"/>
          </w:tcPr>
          <w:p w:rsidR="004B3541" w:rsidRDefault="004B1FC7">
            <w:pPr>
              <w:keepNext/>
              <w:keepLines/>
              <w:spacing w:after="0"/>
              <w:jc w:val="left"/>
              <w:rPr>
                <w:szCs w:val="24"/>
                <w:lang w:val="fr-FR"/>
              </w:rPr>
            </w:pPr>
            <w:r w:rsidRPr="00577EB1">
              <w:rPr>
                <w:color w:val="000000"/>
                <w:sz w:val="20"/>
                <w:szCs w:val="24"/>
                <w:lang w:val="fr-FR"/>
              </w:rPr>
              <w:t>PIB par habitant (francs CFA)</w:t>
            </w:r>
          </w:p>
        </w:tc>
        <w:tc>
          <w:tcPr>
            <w:tcW w:w="992" w:type="dxa"/>
            <w:tcBorders>
              <w:top w:val="nil"/>
              <w:left w:val="nil"/>
              <w:bottom w:val="nil"/>
              <w:right w:val="nil"/>
            </w:tcBorders>
            <w:noWrap/>
            <w:vAlign w:val="bottom"/>
          </w:tcPr>
          <w:p w:rsidR="004B3541" w:rsidRDefault="0007340F">
            <w:pPr>
              <w:keepNext/>
              <w:keepLines/>
              <w:spacing w:after="0"/>
              <w:jc w:val="right"/>
              <w:rPr>
                <w:color w:val="000000"/>
                <w:sz w:val="20"/>
                <w:szCs w:val="24"/>
                <w:lang w:val="fr-FR"/>
              </w:rPr>
            </w:pPr>
            <w:r>
              <w:rPr>
                <w:color w:val="000000"/>
                <w:sz w:val="20"/>
                <w:szCs w:val="24"/>
                <w:lang w:val="fr-FR"/>
              </w:rPr>
              <w:t xml:space="preserve">   </w:t>
            </w:r>
            <w:r w:rsidR="004B1FC7" w:rsidRPr="00577EB1">
              <w:rPr>
                <w:color w:val="000000"/>
                <w:sz w:val="20"/>
                <w:szCs w:val="24"/>
                <w:lang w:val="fr-FR"/>
              </w:rPr>
              <w:t xml:space="preserve">199,206 </w:t>
            </w:r>
          </w:p>
        </w:tc>
        <w:tc>
          <w:tcPr>
            <w:tcW w:w="1135" w:type="dxa"/>
            <w:gridSpan w:val="2"/>
            <w:tcBorders>
              <w:top w:val="nil"/>
              <w:left w:val="nil"/>
              <w:bottom w:val="nil"/>
              <w:right w:val="nil"/>
            </w:tcBorders>
            <w:noWrap/>
            <w:vAlign w:val="bottom"/>
          </w:tcPr>
          <w:p w:rsidR="004B3541" w:rsidRDefault="0007340F">
            <w:pPr>
              <w:keepNext/>
              <w:keepLines/>
              <w:spacing w:after="0"/>
              <w:jc w:val="right"/>
              <w:rPr>
                <w:sz w:val="20"/>
                <w:szCs w:val="24"/>
                <w:lang w:val="fr-FR"/>
              </w:rPr>
            </w:pPr>
            <w:r>
              <w:rPr>
                <w:sz w:val="20"/>
                <w:szCs w:val="24"/>
                <w:lang w:val="fr-FR"/>
              </w:rPr>
              <w:t xml:space="preserve">  </w:t>
            </w:r>
            <w:r w:rsidR="004B1FC7" w:rsidRPr="00577EB1">
              <w:rPr>
                <w:sz w:val="20"/>
                <w:szCs w:val="24"/>
                <w:lang w:val="fr-FR"/>
              </w:rPr>
              <w:t xml:space="preserve">213,428 </w:t>
            </w:r>
          </w:p>
        </w:tc>
        <w:tc>
          <w:tcPr>
            <w:tcW w:w="990" w:type="dxa"/>
            <w:tcBorders>
              <w:top w:val="nil"/>
              <w:left w:val="nil"/>
              <w:bottom w:val="nil"/>
              <w:right w:val="nil"/>
            </w:tcBorders>
            <w:noWrap/>
            <w:vAlign w:val="bottom"/>
          </w:tcPr>
          <w:p w:rsidR="004B3541" w:rsidRDefault="0007340F">
            <w:pPr>
              <w:keepNext/>
              <w:keepLines/>
              <w:spacing w:after="0"/>
              <w:jc w:val="right"/>
              <w:rPr>
                <w:sz w:val="20"/>
                <w:szCs w:val="24"/>
                <w:lang w:val="fr-FR"/>
              </w:rPr>
            </w:pPr>
            <w:r>
              <w:rPr>
                <w:sz w:val="20"/>
                <w:szCs w:val="24"/>
                <w:lang w:val="fr-FR"/>
              </w:rPr>
              <w:t xml:space="preserve">  </w:t>
            </w:r>
            <w:r w:rsidR="004B1FC7" w:rsidRPr="00577EB1">
              <w:rPr>
                <w:sz w:val="20"/>
                <w:szCs w:val="24"/>
                <w:lang w:val="fr-FR"/>
              </w:rPr>
              <w:t xml:space="preserve">227,200 </w:t>
            </w:r>
          </w:p>
        </w:tc>
        <w:tc>
          <w:tcPr>
            <w:tcW w:w="866" w:type="dxa"/>
            <w:tcBorders>
              <w:top w:val="nil"/>
              <w:left w:val="nil"/>
              <w:bottom w:val="nil"/>
              <w:right w:val="nil"/>
            </w:tcBorders>
            <w:noWrap/>
            <w:vAlign w:val="bottom"/>
          </w:tcPr>
          <w:p w:rsidR="004B3541" w:rsidRDefault="0007340F">
            <w:pPr>
              <w:keepNext/>
              <w:keepLines/>
              <w:spacing w:after="0"/>
              <w:jc w:val="right"/>
              <w:rPr>
                <w:color w:val="000000"/>
                <w:sz w:val="20"/>
                <w:szCs w:val="24"/>
                <w:lang w:val="fr-FR"/>
              </w:rPr>
            </w:pPr>
            <w:r>
              <w:rPr>
                <w:color w:val="000000"/>
                <w:sz w:val="20"/>
                <w:szCs w:val="24"/>
                <w:lang w:val="fr-FR"/>
              </w:rPr>
              <w:t xml:space="preserve">  </w:t>
            </w:r>
            <w:r w:rsidR="004B1FC7" w:rsidRPr="00577EB1">
              <w:rPr>
                <w:color w:val="000000"/>
                <w:sz w:val="20"/>
                <w:szCs w:val="24"/>
                <w:lang w:val="fr-FR"/>
              </w:rPr>
              <w:t xml:space="preserve">248,155 </w:t>
            </w:r>
          </w:p>
        </w:tc>
      </w:tr>
      <w:tr w:rsidR="004B1FC7" w:rsidRPr="00577EB1" w:rsidTr="004B1FC7">
        <w:trPr>
          <w:trHeight w:val="20"/>
        </w:trPr>
        <w:tc>
          <w:tcPr>
            <w:tcW w:w="4820" w:type="dxa"/>
            <w:gridSpan w:val="2"/>
            <w:tcBorders>
              <w:top w:val="nil"/>
              <w:left w:val="nil"/>
              <w:bottom w:val="nil"/>
              <w:right w:val="nil"/>
            </w:tcBorders>
            <w:noWrap/>
            <w:vAlign w:val="bottom"/>
          </w:tcPr>
          <w:p w:rsidR="004B3541" w:rsidRDefault="004B1FC7">
            <w:pPr>
              <w:keepNext/>
              <w:keepLines/>
              <w:spacing w:after="0"/>
              <w:jc w:val="left"/>
              <w:rPr>
                <w:szCs w:val="24"/>
                <w:lang w:val="fr-FR"/>
              </w:rPr>
            </w:pPr>
            <w:r w:rsidRPr="00577EB1">
              <w:rPr>
                <w:color w:val="000000"/>
                <w:sz w:val="20"/>
                <w:szCs w:val="24"/>
                <w:lang w:val="fr-FR"/>
              </w:rPr>
              <w:t>Dollar EU/francs CFA (moyenne annuelle)</w:t>
            </w:r>
          </w:p>
        </w:tc>
        <w:tc>
          <w:tcPr>
            <w:tcW w:w="992" w:type="dxa"/>
            <w:tcBorders>
              <w:top w:val="nil"/>
              <w:left w:val="nil"/>
              <w:bottom w:val="nil"/>
              <w:right w:val="nil"/>
            </w:tcBorders>
            <w:noWrap/>
            <w:vAlign w:val="bottom"/>
          </w:tcPr>
          <w:p w:rsidR="004B3541" w:rsidRDefault="004B3541">
            <w:pPr>
              <w:keepNext/>
              <w:keepLines/>
              <w:spacing w:after="0"/>
              <w:jc w:val="right"/>
              <w:rPr>
                <w:color w:val="000000"/>
                <w:sz w:val="20"/>
                <w:szCs w:val="24"/>
                <w:lang w:val="fr-FR"/>
              </w:rPr>
            </w:pPr>
          </w:p>
        </w:tc>
        <w:tc>
          <w:tcPr>
            <w:tcW w:w="1135" w:type="dxa"/>
            <w:gridSpan w:val="2"/>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519,3</w:t>
            </w:r>
          </w:p>
        </w:tc>
        <w:tc>
          <w:tcPr>
            <w:tcW w:w="990" w:type="dxa"/>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449,9</w:t>
            </w:r>
          </w:p>
        </w:tc>
        <w:tc>
          <w:tcPr>
            <w:tcW w:w="866"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481,5</w:t>
            </w:r>
          </w:p>
        </w:tc>
      </w:tr>
      <w:tr w:rsidR="004B1FC7" w:rsidRPr="00577EB1" w:rsidTr="004B1FC7">
        <w:trPr>
          <w:trHeight w:val="20"/>
        </w:trPr>
        <w:tc>
          <w:tcPr>
            <w:tcW w:w="4820" w:type="dxa"/>
            <w:gridSpan w:val="2"/>
            <w:tcBorders>
              <w:top w:val="nil"/>
              <w:left w:val="nil"/>
              <w:bottom w:val="nil"/>
              <w:right w:val="nil"/>
            </w:tcBorders>
            <w:noWrap/>
            <w:vAlign w:val="bottom"/>
          </w:tcPr>
          <w:p w:rsidR="004B3541" w:rsidRDefault="004B1FC7">
            <w:pPr>
              <w:keepNext/>
              <w:keepLines/>
              <w:spacing w:after="0"/>
              <w:jc w:val="left"/>
              <w:rPr>
                <w:szCs w:val="24"/>
                <w:lang w:val="fr-FR"/>
              </w:rPr>
            </w:pPr>
            <w:r w:rsidRPr="00577EB1">
              <w:rPr>
                <w:color w:val="000000"/>
                <w:sz w:val="20"/>
                <w:szCs w:val="24"/>
                <w:lang w:val="fr-FR"/>
              </w:rPr>
              <w:t>PIB par habitant (dollars EU)</w:t>
            </w:r>
          </w:p>
        </w:tc>
        <w:tc>
          <w:tcPr>
            <w:tcW w:w="992" w:type="dxa"/>
            <w:tcBorders>
              <w:top w:val="nil"/>
              <w:left w:val="nil"/>
              <w:bottom w:val="nil"/>
              <w:right w:val="nil"/>
            </w:tcBorders>
            <w:noWrap/>
            <w:vAlign w:val="bottom"/>
          </w:tcPr>
          <w:p w:rsidR="004B3541" w:rsidRDefault="004B3541">
            <w:pPr>
              <w:keepNext/>
              <w:keepLines/>
              <w:spacing w:after="0"/>
              <w:jc w:val="right"/>
              <w:rPr>
                <w:color w:val="000000"/>
                <w:sz w:val="20"/>
                <w:szCs w:val="24"/>
                <w:lang w:val="fr-FR"/>
              </w:rPr>
            </w:pPr>
          </w:p>
        </w:tc>
        <w:tc>
          <w:tcPr>
            <w:tcW w:w="1135" w:type="dxa"/>
            <w:gridSpan w:val="2"/>
            <w:tcBorders>
              <w:top w:val="nil"/>
              <w:left w:val="nil"/>
              <w:bottom w:val="nil"/>
              <w:right w:val="nil"/>
            </w:tcBorders>
            <w:noWrap/>
            <w:vAlign w:val="bottom"/>
          </w:tcPr>
          <w:p w:rsidR="004B3541" w:rsidRDefault="004B3541">
            <w:pPr>
              <w:keepNext/>
              <w:keepLines/>
              <w:spacing w:after="0"/>
              <w:jc w:val="right"/>
              <w:rPr>
                <w:sz w:val="20"/>
                <w:szCs w:val="24"/>
                <w:lang w:val="fr-FR"/>
              </w:rPr>
            </w:pPr>
          </w:p>
        </w:tc>
        <w:tc>
          <w:tcPr>
            <w:tcW w:w="990" w:type="dxa"/>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505,0</w:t>
            </w:r>
          </w:p>
        </w:tc>
        <w:tc>
          <w:tcPr>
            <w:tcW w:w="866"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515,4</w:t>
            </w:r>
          </w:p>
        </w:tc>
      </w:tr>
      <w:tr w:rsidR="004B1FC7" w:rsidRPr="00577EB1" w:rsidTr="004B1FC7">
        <w:trPr>
          <w:trHeight w:val="20"/>
        </w:trPr>
        <w:tc>
          <w:tcPr>
            <w:tcW w:w="4820" w:type="dxa"/>
            <w:gridSpan w:val="2"/>
            <w:tcBorders>
              <w:top w:val="nil"/>
              <w:left w:val="nil"/>
              <w:bottom w:val="nil"/>
              <w:right w:val="nil"/>
            </w:tcBorders>
            <w:noWrap/>
            <w:vAlign w:val="bottom"/>
          </w:tcPr>
          <w:p w:rsidR="004B3541" w:rsidRDefault="004B1FC7">
            <w:pPr>
              <w:keepNext/>
              <w:keepLines/>
              <w:spacing w:after="0"/>
              <w:jc w:val="left"/>
              <w:rPr>
                <w:szCs w:val="24"/>
                <w:lang w:val="fr-FR"/>
              </w:rPr>
            </w:pPr>
            <w:r w:rsidRPr="00577EB1">
              <w:rPr>
                <w:color w:val="000000"/>
                <w:sz w:val="20"/>
                <w:szCs w:val="24"/>
                <w:lang w:val="fr-FR"/>
              </w:rPr>
              <w:t>IPC moyen</w:t>
            </w:r>
          </w:p>
        </w:tc>
        <w:tc>
          <w:tcPr>
            <w:tcW w:w="992"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2,04</w:t>
            </w:r>
          </w:p>
        </w:tc>
        <w:tc>
          <w:tcPr>
            <w:tcW w:w="1135" w:type="dxa"/>
            <w:gridSpan w:val="2"/>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6,41</w:t>
            </w:r>
          </w:p>
        </w:tc>
        <w:tc>
          <w:tcPr>
            <w:tcW w:w="990" w:type="dxa"/>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-0,25</w:t>
            </w:r>
          </w:p>
        </w:tc>
        <w:tc>
          <w:tcPr>
            <w:tcW w:w="866"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10,67</w:t>
            </w:r>
          </w:p>
        </w:tc>
      </w:tr>
      <w:tr w:rsidR="004B1FC7" w:rsidRPr="00577EB1" w:rsidTr="004B1FC7">
        <w:trPr>
          <w:trHeight w:val="20"/>
        </w:trPr>
        <w:tc>
          <w:tcPr>
            <w:tcW w:w="4820" w:type="dxa"/>
            <w:gridSpan w:val="2"/>
            <w:tcBorders>
              <w:top w:val="nil"/>
              <w:left w:val="nil"/>
              <w:bottom w:val="nil"/>
              <w:right w:val="nil"/>
            </w:tcBorders>
            <w:noWrap/>
            <w:vAlign w:val="bottom"/>
          </w:tcPr>
          <w:p w:rsidR="004B3541" w:rsidRDefault="004B3541">
            <w:pPr>
              <w:keepNext/>
              <w:keepLines/>
              <w:spacing w:after="0"/>
              <w:jc w:val="left"/>
              <w:rPr>
                <w:b/>
                <w:color w:val="000000"/>
                <w:sz w:val="20"/>
                <w:szCs w:val="24"/>
                <w:lang w:val="fr-FR"/>
              </w:rPr>
            </w:pPr>
          </w:p>
          <w:p w:rsidR="004B3541" w:rsidRDefault="00803EBF">
            <w:pPr>
              <w:keepNext/>
              <w:keepLines/>
              <w:spacing w:after="0"/>
              <w:jc w:val="left"/>
              <w:rPr>
                <w:szCs w:val="24"/>
                <w:lang w:val="fr-FR"/>
              </w:rPr>
            </w:pPr>
            <w:r>
              <w:rPr>
                <w:b/>
                <w:color w:val="000000"/>
                <w:sz w:val="20"/>
                <w:szCs w:val="24"/>
                <w:lang w:val="fr-FR"/>
              </w:rPr>
              <w:t>Seuil</w:t>
            </w:r>
            <w:r w:rsidR="004B1FC7" w:rsidRPr="00577EB1">
              <w:rPr>
                <w:b/>
                <w:color w:val="000000"/>
                <w:sz w:val="20"/>
                <w:szCs w:val="24"/>
                <w:lang w:val="fr-FR"/>
              </w:rPr>
              <w:t xml:space="preserve"> de pauvreté, méthode des besoins de base </w:t>
            </w:r>
            <w:r w:rsidR="00EB214A" w:rsidRPr="00EB214A">
              <w:rPr>
                <w:color w:val="000000"/>
                <w:sz w:val="20"/>
                <w:szCs w:val="24"/>
                <w:vertAlign w:val="superscript"/>
                <w:lang w:val="fr-FR"/>
              </w:rPr>
              <w:t>(3)</w:t>
            </w:r>
          </w:p>
        </w:tc>
        <w:tc>
          <w:tcPr>
            <w:tcW w:w="992" w:type="dxa"/>
            <w:tcBorders>
              <w:top w:val="nil"/>
              <w:left w:val="nil"/>
              <w:bottom w:val="nil"/>
              <w:right w:val="nil"/>
            </w:tcBorders>
            <w:noWrap/>
            <w:vAlign w:val="bottom"/>
          </w:tcPr>
          <w:p w:rsidR="004B3541" w:rsidRDefault="0007340F">
            <w:pPr>
              <w:keepNext/>
              <w:keepLines/>
              <w:spacing w:after="0"/>
              <w:jc w:val="right"/>
              <w:rPr>
                <w:color w:val="000000"/>
                <w:sz w:val="20"/>
                <w:szCs w:val="24"/>
                <w:lang w:val="fr-FR"/>
              </w:rPr>
            </w:pPr>
            <w:r>
              <w:rPr>
                <w:color w:val="000000"/>
                <w:sz w:val="20"/>
                <w:szCs w:val="24"/>
                <w:lang w:val="fr-FR"/>
              </w:rPr>
              <w:t xml:space="preserve">   </w:t>
            </w:r>
            <w:r w:rsidR="004B1FC7" w:rsidRPr="00577EB1">
              <w:rPr>
                <w:color w:val="000000"/>
                <w:sz w:val="20"/>
                <w:szCs w:val="24"/>
                <w:lang w:val="fr-FR"/>
              </w:rPr>
              <w:t xml:space="preserve"> 82,672 </w:t>
            </w:r>
          </w:p>
        </w:tc>
        <w:tc>
          <w:tcPr>
            <w:tcW w:w="1135" w:type="dxa"/>
            <w:gridSpan w:val="2"/>
            <w:tcBorders>
              <w:top w:val="nil"/>
              <w:left w:val="nil"/>
              <w:bottom w:val="nil"/>
              <w:right w:val="nil"/>
            </w:tcBorders>
            <w:noWrap/>
            <w:vAlign w:val="bottom"/>
          </w:tcPr>
          <w:p w:rsidR="004B3541" w:rsidRDefault="0007340F">
            <w:pPr>
              <w:keepNext/>
              <w:keepLines/>
              <w:spacing w:after="0"/>
              <w:jc w:val="right"/>
              <w:rPr>
                <w:sz w:val="20"/>
                <w:szCs w:val="24"/>
                <w:lang w:val="fr-FR"/>
              </w:rPr>
            </w:pPr>
            <w:r>
              <w:rPr>
                <w:sz w:val="20"/>
                <w:szCs w:val="24"/>
                <w:lang w:val="fr-FR"/>
              </w:rPr>
              <w:t xml:space="preserve">  </w:t>
            </w:r>
            <w:r w:rsidR="004B1FC7" w:rsidRPr="00577EB1">
              <w:rPr>
                <w:sz w:val="20"/>
                <w:szCs w:val="24"/>
                <w:lang w:val="fr-FR"/>
              </w:rPr>
              <w:t xml:space="preserve"> 88,298 </w:t>
            </w:r>
          </w:p>
        </w:tc>
        <w:tc>
          <w:tcPr>
            <w:tcW w:w="990" w:type="dxa"/>
            <w:tcBorders>
              <w:top w:val="nil"/>
              <w:left w:val="nil"/>
              <w:bottom w:val="nil"/>
              <w:right w:val="nil"/>
            </w:tcBorders>
            <w:noWrap/>
            <w:vAlign w:val="bottom"/>
          </w:tcPr>
          <w:p w:rsidR="004B3541" w:rsidRDefault="0007340F">
            <w:pPr>
              <w:keepNext/>
              <w:keepLines/>
              <w:spacing w:after="0"/>
              <w:jc w:val="right"/>
              <w:rPr>
                <w:sz w:val="20"/>
                <w:szCs w:val="24"/>
                <w:lang w:val="fr-FR"/>
              </w:rPr>
            </w:pPr>
            <w:r>
              <w:rPr>
                <w:sz w:val="20"/>
                <w:szCs w:val="24"/>
                <w:lang w:val="fr-FR"/>
              </w:rPr>
              <w:t xml:space="preserve">  </w:t>
            </w:r>
            <w:r w:rsidR="004B1FC7" w:rsidRPr="00577EB1">
              <w:rPr>
                <w:sz w:val="20"/>
                <w:szCs w:val="24"/>
                <w:lang w:val="fr-FR"/>
              </w:rPr>
              <w:t xml:space="preserve"> 94,308 </w:t>
            </w:r>
          </w:p>
        </w:tc>
        <w:tc>
          <w:tcPr>
            <w:tcW w:w="866" w:type="dxa"/>
            <w:tcBorders>
              <w:top w:val="nil"/>
              <w:left w:val="nil"/>
              <w:bottom w:val="nil"/>
              <w:right w:val="nil"/>
            </w:tcBorders>
            <w:noWrap/>
            <w:vAlign w:val="bottom"/>
          </w:tcPr>
          <w:p w:rsidR="004B3541" w:rsidRDefault="0007340F">
            <w:pPr>
              <w:keepNext/>
              <w:keepLines/>
              <w:spacing w:after="0"/>
              <w:jc w:val="right"/>
              <w:rPr>
                <w:color w:val="000000"/>
                <w:sz w:val="20"/>
                <w:szCs w:val="24"/>
                <w:lang w:val="fr-FR"/>
              </w:rPr>
            </w:pPr>
            <w:r>
              <w:rPr>
                <w:color w:val="000000"/>
                <w:sz w:val="20"/>
                <w:szCs w:val="24"/>
                <w:lang w:val="fr-FR"/>
              </w:rPr>
              <w:t xml:space="preserve">  </w:t>
            </w:r>
            <w:r w:rsidR="004B1FC7" w:rsidRPr="00577EB1">
              <w:rPr>
                <w:color w:val="000000"/>
                <w:sz w:val="20"/>
                <w:szCs w:val="24"/>
                <w:lang w:val="fr-FR"/>
              </w:rPr>
              <w:t xml:space="preserve"> 97,464 </w:t>
            </w:r>
          </w:p>
        </w:tc>
      </w:tr>
      <w:tr w:rsidR="004B1FC7" w:rsidRPr="00577EB1" w:rsidTr="004B1FC7">
        <w:trPr>
          <w:trHeight w:val="20"/>
        </w:trPr>
        <w:tc>
          <w:tcPr>
            <w:tcW w:w="4820" w:type="dxa"/>
            <w:gridSpan w:val="2"/>
            <w:tcBorders>
              <w:top w:val="nil"/>
              <w:left w:val="nil"/>
              <w:bottom w:val="nil"/>
              <w:right w:val="nil"/>
            </w:tcBorders>
            <w:noWrap/>
            <w:vAlign w:val="bottom"/>
          </w:tcPr>
          <w:p w:rsidR="004B3541" w:rsidRDefault="004B1FC7">
            <w:pPr>
              <w:keepNext/>
              <w:keepLines/>
              <w:spacing w:after="0"/>
              <w:jc w:val="left"/>
              <w:rPr>
                <w:szCs w:val="24"/>
                <w:lang w:val="fr-FR"/>
              </w:rPr>
            </w:pPr>
            <w:r w:rsidRPr="00577EB1">
              <w:rPr>
                <w:color w:val="000000"/>
                <w:sz w:val="20"/>
                <w:szCs w:val="24"/>
                <w:lang w:val="fr-FR"/>
              </w:rPr>
              <w:t xml:space="preserve">Incidence de la pauvreté, </w:t>
            </w:r>
            <w:r w:rsidR="00803EBF">
              <w:rPr>
                <w:color w:val="000000"/>
                <w:sz w:val="20"/>
                <w:szCs w:val="24"/>
                <w:lang w:val="fr-FR"/>
              </w:rPr>
              <w:t>basé sur les richesses</w:t>
            </w:r>
            <w:r w:rsidRPr="00577EB1">
              <w:rPr>
                <w:color w:val="000000"/>
                <w:sz w:val="20"/>
                <w:szCs w:val="24"/>
                <w:lang w:val="fr-FR"/>
              </w:rPr>
              <w:t xml:space="preserve">/avoirs </w:t>
            </w:r>
            <w:r w:rsidR="00EB214A" w:rsidRPr="00EB214A">
              <w:rPr>
                <w:color w:val="000000"/>
                <w:sz w:val="20"/>
                <w:szCs w:val="24"/>
                <w:vertAlign w:val="superscript"/>
                <w:lang w:val="fr-FR"/>
              </w:rPr>
              <w:t>(4)</w:t>
            </w:r>
          </w:p>
        </w:tc>
        <w:tc>
          <w:tcPr>
            <w:tcW w:w="992"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46,4 %</w:t>
            </w:r>
          </w:p>
        </w:tc>
        <w:tc>
          <w:tcPr>
            <w:tcW w:w="1135" w:type="dxa"/>
            <w:gridSpan w:val="2"/>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40,4 %</w:t>
            </w:r>
          </w:p>
        </w:tc>
        <w:tc>
          <w:tcPr>
            <w:tcW w:w="990" w:type="dxa"/>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38,5 %</w:t>
            </w:r>
          </w:p>
        </w:tc>
        <w:tc>
          <w:tcPr>
            <w:tcW w:w="866"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45 %</w:t>
            </w:r>
          </w:p>
        </w:tc>
      </w:tr>
      <w:tr w:rsidR="004B1FC7" w:rsidRPr="00577EB1" w:rsidTr="004B1FC7">
        <w:trPr>
          <w:trHeight w:val="20"/>
        </w:trPr>
        <w:tc>
          <w:tcPr>
            <w:tcW w:w="4820" w:type="dxa"/>
            <w:gridSpan w:val="2"/>
            <w:tcBorders>
              <w:top w:val="nil"/>
              <w:left w:val="nil"/>
              <w:bottom w:val="nil"/>
              <w:right w:val="nil"/>
            </w:tcBorders>
            <w:noWrap/>
            <w:vAlign w:val="bottom"/>
          </w:tcPr>
          <w:p w:rsidR="004B3541" w:rsidRDefault="004B1FC7">
            <w:pPr>
              <w:keepNext/>
              <w:keepLines/>
              <w:spacing w:after="0"/>
              <w:jc w:val="left"/>
              <w:rPr>
                <w:szCs w:val="24"/>
                <w:lang w:val="fr-FR"/>
              </w:rPr>
            </w:pPr>
            <w:r w:rsidRPr="00577EB1">
              <w:rPr>
                <w:color w:val="000000"/>
                <w:sz w:val="20"/>
                <w:szCs w:val="24"/>
                <w:lang w:val="fr-FR"/>
              </w:rPr>
              <w:t>Nombre de pauvres (millions)</w:t>
            </w:r>
          </w:p>
        </w:tc>
        <w:tc>
          <w:tcPr>
            <w:tcW w:w="992"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5,9</w:t>
            </w:r>
          </w:p>
        </w:tc>
        <w:tc>
          <w:tcPr>
            <w:tcW w:w="1135" w:type="dxa"/>
            <w:gridSpan w:val="2"/>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5,4</w:t>
            </w:r>
          </w:p>
        </w:tc>
        <w:tc>
          <w:tcPr>
            <w:tcW w:w="990" w:type="dxa"/>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5,5</w:t>
            </w:r>
          </w:p>
        </w:tc>
        <w:tc>
          <w:tcPr>
            <w:tcW w:w="866"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6,6</w:t>
            </w:r>
          </w:p>
        </w:tc>
      </w:tr>
      <w:tr w:rsidR="004B1FC7" w:rsidRPr="00577EB1" w:rsidTr="004B1FC7">
        <w:trPr>
          <w:trHeight w:val="20"/>
        </w:trPr>
        <w:tc>
          <w:tcPr>
            <w:tcW w:w="4820" w:type="dxa"/>
            <w:gridSpan w:val="2"/>
            <w:tcBorders>
              <w:top w:val="nil"/>
              <w:left w:val="nil"/>
              <w:bottom w:val="nil"/>
              <w:right w:val="nil"/>
            </w:tcBorders>
            <w:noWrap/>
            <w:vAlign w:val="bottom"/>
          </w:tcPr>
          <w:p w:rsidR="004B1FC7" w:rsidRPr="00577EB1" w:rsidRDefault="004B1FC7" w:rsidP="003C538C">
            <w:pPr>
              <w:spacing w:after="0"/>
              <w:jc w:val="left"/>
              <w:rPr>
                <w:szCs w:val="24"/>
                <w:lang w:val="fr-FR"/>
              </w:rPr>
            </w:pPr>
            <w:r w:rsidRPr="00577EB1">
              <w:rPr>
                <w:color w:val="000000"/>
                <w:sz w:val="20"/>
                <w:szCs w:val="24"/>
                <w:lang w:val="fr-FR"/>
              </w:rPr>
              <w:t xml:space="preserve">Profondeur de la pauvreté supposée constante (%) </w:t>
            </w:r>
            <w:r w:rsidR="00EB214A" w:rsidRPr="00EB214A">
              <w:rPr>
                <w:color w:val="000000"/>
                <w:sz w:val="20"/>
                <w:szCs w:val="24"/>
                <w:vertAlign w:val="superscript"/>
                <w:lang w:val="fr-FR"/>
              </w:rPr>
              <w:t>(5)</w:t>
            </w:r>
          </w:p>
        </w:tc>
        <w:tc>
          <w:tcPr>
            <w:tcW w:w="992"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0,155</w:t>
            </w:r>
          </w:p>
        </w:tc>
        <w:tc>
          <w:tcPr>
            <w:tcW w:w="1135" w:type="dxa"/>
            <w:gridSpan w:val="2"/>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0,155</w:t>
            </w:r>
          </w:p>
        </w:tc>
        <w:tc>
          <w:tcPr>
            <w:tcW w:w="990" w:type="dxa"/>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0,155</w:t>
            </w:r>
          </w:p>
        </w:tc>
        <w:tc>
          <w:tcPr>
            <w:tcW w:w="866"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0,155</w:t>
            </w:r>
          </w:p>
        </w:tc>
      </w:tr>
      <w:tr w:rsidR="004B1FC7" w:rsidRPr="00577EB1" w:rsidTr="004B1FC7">
        <w:trPr>
          <w:trHeight w:val="20"/>
        </w:trPr>
        <w:tc>
          <w:tcPr>
            <w:tcW w:w="4820" w:type="dxa"/>
            <w:gridSpan w:val="2"/>
            <w:tcBorders>
              <w:top w:val="nil"/>
              <w:left w:val="nil"/>
              <w:bottom w:val="nil"/>
              <w:right w:val="nil"/>
            </w:tcBorders>
            <w:noWrap/>
            <w:vAlign w:val="bottom"/>
          </w:tcPr>
          <w:p w:rsidR="004B3541" w:rsidRDefault="004B1FC7">
            <w:pPr>
              <w:keepNext/>
              <w:keepLines/>
              <w:spacing w:after="0"/>
              <w:jc w:val="left"/>
              <w:rPr>
                <w:szCs w:val="24"/>
                <w:lang w:val="fr-FR"/>
              </w:rPr>
            </w:pPr>
            <w:r w:rsidRPr="00577EB1">
              <w:rPr>
                <w:color w:val="000000"/>
                <w:sz w:val="20"/>
                <w:szCs w:val="24"/>
                <w:lang w:val="fr-FR"/>
              </w:rPr>
              <w:t>Écart de pauvreté (milliards de francs CFA)</w:t>
            </w:r>
          </w:p>
        </w:tc>
        <w:tc>
          <w:tcPr>
            <w:tcW w:w="992" w:type="dxa"/>
            <w:tcBorders>
              <w:top w:val="nil"/>
              <w:left w:val="nil"/>
              <w:bottom w:val="nil"/>
              <w:right w:val="nil"/>
            </w:tcBorders>
            <w:noWrap/>
            <w:vAlign w:val="bottom"/>
          </w:tcPr>
          <w:p w:rsidR="004B3541" w:rsidRDefault="0007340F">
            <w:pPr>
              <w:keepNext/>
              <w:keepLines/>
              <w:spacing w:after="0"/>
              <w:jc w:val="right"/>
              <w:rPr>
                <w:color w:val="000000"/>
                <w:sz w:val="20"/>
                <w:szCs w:val="24"/>
                <w:lang w:val="fr-FR"/>
              </w:rPr>
            </w:pPr>
            <w:r>
              <w:rPr>
                <w:color w:val="000000"/>
                <w:sz w:val="20"/>
                <w:szCs w:val="24"/>
                <w:lang w:val="fr-FR"/>
              </w:rPr>
              <w:t xml:space="preserve">      </w:t>
            </w:r>
            <w:r w:rsidR="004B1FC7" w:rsidRPr="00577EB1">
              <w:rPr>
                <w:color w:val="000000"/>
                <w:sz w:val="20"/>
                <w:szCs w:val="24"/>
                <w:lang w:val="fr-FR"/>
              </w:rPr>
              <w:t xml:space="preserve">75 </w:t>
            </w:r>
          </w:p>
        </w:tc>
        <w:tc>
          <w:tcPr>
            <w:tcW w:w="1135" w:type="dxa"/>
            <w:gridSpan w:val="2"/>
            <w:tcBorders>
              <w:top w:val="nil"/>
              <w:left w:val="nil"/>
              <w:bottom w:val="nil"/>
              <w:right w:val="nil"/>
            </w:tcBorders>
            <w:noWrap/>
            <w:vAlign w:val="bottom"/>
          </w:tcPr>
          <w:p w:rsidR="004B3541" w:rsidRDefault="0007340F">
            <w:pPr>
              <w:keepNext/>
              <w:keepLines/>
              <w:spacing w:after="0"/>
              <w:jc w:val="right"/>
              <w:rPr>
                <w:sz w:val="20"/>
                <w:szCs w:val="24"/>
                <w:lang w:val="fr-FR"/>
              </w:rPr>
            </w:pPr>
            <w:r>
              <w:rPr>
                <w:sz w:val="20"/>
                <w:szCs w:val="24"/>
                <w:lang w:val="fr-FR"/>
              </w:rPr>
              <w:t xml:space="preserve">     </w:t>
            </w:r>
            <w:r w:rsidR="004B1FC7" w:rsidRPr="00577EB1">
              <w:rPr>
                <w:sz w:val="20"/>
                <w:szCs w:val="24"/>
                <w:lang w:val="fr-FR"/>
              </w:rPr>
              <w:t xml:space="preserve">74 </w:t>
            </w:r>
          </w:p>
        </w:tc>
        <w:tc>
          <w:tcPr>
            <w:tcW w:w="990" w:type="dxa"/>
            <w:tcBorders>
              <w:top w:val="nil"/>
              <w:left w:val="nil"/>
              <w:bottom w:val="nil"/>
              <w:right w:val="nil"/>
            </w:tcBorders>
            <w:noWrap/>
            <w:vAlign w:val="bottom"/>
          </w:tcPr>
          <w:p w:rsidR="004B3541" w:rsidRDefault="0007340F">
            <w:pPr>
              <w:keepNext/>
              <w:keepLines/>
              <w:spacing w:after="0"/>
              <w:jc w:val="right"/>
              <w:rPr>
                <w:sz w:val="20"/>
                <w:szCs w:val="24"/>
                <w:lang w:val="fr-FR"/>
              </w:rPr>
            </w:pPr>
            <w:r>
              <w:rPr>
                <w:sz w:val="20"/>
                <w:szCs w:val="24"/>
                <w:lang w:val="fr-FR"/>
              </w:rPr>
              <w:t xml:space="preserve">     </w:t>
            </w:r>
            <w:r w:rsidR="004B1FC7" w:rsidRPr="00577EB1">
              <w:rPr>
                <w:sz w:val="20"/>
                <w:szCs w:val="24"/>
                <w:lang w:val="fr-FR"/>
              </w:rPr>
              <w:t xml:space="preserve">80 </w:t>
            </w:r>
          </w:p>
        </w:tc>
        <w:tc>
          <w:tcPr>
            <w:tcW w:w="866" w:type="dxa"/>
            <w:tcBorders>
              <w:top w:val="nil"/>
              <w:left w:val="nil"/>
              <w:bottom w:val="nil"/>
              <w:right w:val="nil"/>
            </w:tcBorders>
            <w:noWrap/>
            <w:vAlign w:val="bottom"/>
          </w:tcPr>
          <w:p w:rsidR="004B3541" w:rsidRDefault="0007340F">
            <w:pPr>
              <w:keepNext/>
              <w:keepLines/>
              <w:spacing w:after="0"/>
              <w:jc w:val="right"/>
              <w:rPr>
                <w:color w:val="000000"/>
                <w:sz w:val="20"/>
                <w:szCs w:val="24"/>
                <w:lang w:val="fr-FR"/>
              </w:rPr>
            </w:pPr>
            <w:r>
              <w:rPr>
                <w:color w:val="000000"/>
                <w:sz w:val="20"/>
                <w:szCs w:val="24"/>
                <w:lang w:val="fr-FR"/>
              </w:rPr>
              <w:t xml:space="preserve">    </w:t>
            </w:r>
            <w:r w:rsidR="004B1FC7" w:rsidRPr="00577EB1">
              <w:rPr>
                <w:color w:val="000000"/>
                <w:sz w:val="20"/>
                <w:szCs w:val="24"/>
                <w:lang w:val="fr-FR"/>
              </w:rPr>
              <w:t xml:space="preserve"> 100 </w:t>
            </w:r>
          </w:p>
        </w:tc>
      </w:tr>
      <w:tr w:rsidR="004B1FC7" w:rsidRPr="00577EB1" w:rsidTr="00425065">
        <w:trPr>
          <w:trHeight w:val="20"/>
        </w:trPr>
        <w:tc>
          <w:tcPr>
            <w:tcW w:w="4820" w:type="dxa"/>
            <w:gridSpan w:val="2"/>
            <w:tcBorders>
              <w:top w:val="nil"/>
              <w:left w:val="nil"/>
              <w:bottom w:val="nil"/>
              <w:right w:val="nil"/>
            </w:tcBorders>
            <w:shd w:val="clear" w:color="auto" w:fill="auto"/>
            <w:noWrap/>
            <w:vAlign w:val="bottom"/>
          </w:tcPr>
          <w:p w:rsidR="004B3541" w:rsidRDefault="004B1FC7">
            <w:pPr>
              <w:keepNext/>
              <w:keepLines/>
              <w:spacing w:after="0"/>
              <w:jc w:val="left"/>
              <w:rPr>
                <w:szCs w:val="24"/>
                <w:lang w:val="fr-FR"/>
              </w:rPr>
            </w:pPr>
            <w:r w:rsidRPr="00425065">
              <w:rPr>
                <w:b/>
                <w:color w:val="000000"/>
                <w:sz w:val="20"/>
                <w:szCs w:val="24"/>
                <w:lang w:val="fr-FR"/>
              </w:rPr>
              <w:t>Écart de pauvreté en % du PIB</w:t>
            </w:r>
          </w:p>
        </w:tc>
        <w:tc>
          <w:tcPr>
            <w:tcW w:w="992" w:type="dxa"/>
            <w:tcBorders>
              <w:top w:val="nil"/>
              <w:left w:val="nil"/>
              <w:bottom w:val="nil"/>
              <w:right w:val="nil"/>
            </w:tcBorders>
            <w:shd w:val="clear" w:color="auto" w:fill="auto"/>
            <w:noWrap/>
            <w:vAlign w:val="bottom"/>
          </w:tcPr>
          <w:p w:rsidR="004B3541" w:rsidRDefault="004B1FC7">
            <w:pPr>
              <w:keepNext/>
              <w:keepLines/>
              <w:spacing w:after="0"/>
              <w:jc w:val="right"/>
              <w:rPr>
                <w:b/>
                <w:color w:val="000000"/>
                <w:sz w:val="20"/>
                <w:szCs w:val="24"/>
                <w:lang w:val="fr-FR"/>
              </w:rPr>
            </w:pPr>
            <w:r w:rsidRPr="00425065">
              <w:rPr>
                <w:b/>
                <w:color w:val="000000"/>
                <w:sz w:val="20"/>
                <w:szCs w:val="24"/>
                <w:lang w:val="fr-FR"/>
              </w:rPr>
              <w:t>3,0 %</w:t>
            </w:r>
          </w:p>
        </w:tc>
        <w:tc>
          <w:tcPr>
            <w:tcW w:w="1135" w:type="dxa"/>
            <w:gridSpan w:val="2"/>
            <w:tcBorders>
              <w:top w:val="nil"/>
              <w:left w:val="nil"/>
              <w:bottom w:val="nil"/>
              <w:right w:val="nil"/>
            </w:tcBorders>
            <w:shd w:val="clear" w:color="auto" w:fill="auto"/>
            <w:noWrap/>
            <w:vAlign w:val="bottom"/>
          </w:tcPr>
          <w:p w:rsidR="004B3541" w:rsidRDefault="004B1FC7">
            <w:pPr>
              <w:keepNext/>
              <w:keepLines/>
              <w:spacing w:after="0"/>
              <w:jc w:val="right"/>
              <w:rPr>
                <w:b/>
                <w:sz w:val="20"/>
                <w:szCs w:val="24"/>
                <w:lang w:val="fr-FR"/>
              </w:rPr>
            </w:pPr>
            <w:r w:rsidRPr="00425065">
              <w:rPr>
                <w:b/>
                <w:sz w:val="20"/>
                <w:szCs w:val="24"/>
                <w:lang w:val="fr-FR"/>
              </w:rPr>
              <w:t>2,6 %</w:t>
            </w:r>
          </w:p>
        </w:tc>
        <w:tc>
          <w:tcPr>
            <w:tcW w:w="990" w:type="dxa"/>
            <w:tcBorders>
              <w:top w:val="nil"/>
              <w:left w:val="nil"/>
              <w:bottom w:val="nil"/>
              <w:right w:val="nil"/>
            </w:tcBorders>
            <w:shd w:val="clear" w:color="auto" w:fill="auto"/>
            <w:noWrap/>
            <w:vAlign w:val="bottom"/>
          </w:tcPr>
          <w:p w:rsidR="004B3541" w:rsidRDefault="004B1FC7">
            <w:pPr>
              <w:keepNext/>
              <w:keepLines/>
              <w:spacing w:after="0"/>
              <w:jc w:val="right"/>
              <w:rPr>
                <w:b/>
                <w:sz w:val="20"/>
                <w:szCs w:val="24"/>
                <w:lang w:val="fr-FR"/>
              </w:rPr>
            </w:pPr>
            <w:r w:rsidRPr="00425065">
              <w:rPr>
                <w:b/>
                <w:sz w:val="20"/>
                <w:szCs w:val="24"/>
                <w:lang w:val="fr-FR"/>
              </w:rPr>
              <w:t>2,5 %</w:t>
            </w:r>
          </w:p>
        </w:tc>
        <w:tc>
          <w:tcPr>
            <w:tcW w:w="866" w:type="dxa"/>
            <w:tcBorders>
              <w:top w:val="nil"/>
              <w:left w:val="nil"/>
              <w:bottom w:val="nil"/>
              <w:right w:val="nil"/>
            </w:tcBorders>
            <w:shd w:val="clear" w:color="auto" w:fill="auto"/>
            <w:noWrap/>
            <w:vAlign w:val="bottom"/>
          </w:tcPr>
          <w:p w:rsidR="004B3541" w:rsidRDefault="004B1FC7">
            <w:pPr>
              <w:keepNext/>
              <w:keepLines/>
              <w:spacing w:after="0"/>
              <w:jc w:val="right"/>
              <w:rPr>
                <w:b/>
                <w:color w:val="000000"/>
                <w:sz w:val="20"/>
                <w:szCs w:val="24"/>
                <w:lang w:val="fr-FR"/>
              </w:rPr>
            </w:pPr>
            <w:r w:rsidRPr="00425065">
              <w:rPr>
                <w:b/>
                <w:color w:val="000000"/>
                <w:sz w:val="20"/>
                <w:szCs w:val="24"/>
                <w:lang w:val="fr-FR"/>
              </w:rPr>
              <w:t>2,7 %</w:t>
            </w:r>
          </w:p>
        </w:tc>
      </w:tr>
      <w:tr w:rsidR="004B1FC7" w:rsidRPr="00577EB1" w:rsidTr="004B1FC7">
        <w:trPr>
          <w:trHeight w:val="20"/>
        </w:trPr>
        <w:tc>
          <w:tcPr>
            <w:tcW w:w="4820" w:type="dxa"/>
            <w:gridSpan w:val="2"/>
            <w:tcBorders>
              <w:top w:val="nil"/>
              <w:left w:val="nil"/>
              <w:bottom w:val="nil"/>
              <w:right w:val="nil"/>
            </w:tcBorders>
            <w:noWrap/>
            <w:vAlign w:val="bottom"/>
          </w:tcPr>
          <w:p w:rsidR="004B3541" w:rsidRDefault="00803EBF">
            <w:pPr>
              <w:keepNext/>
              <w:keepLines/>
              <w:spacing w:after="0"/>
              <w:jc w:val="left"/>
              <w:rPr>
                <w:szCs w:val="24"/>
                <w:lang w:val="fr-FR"/>
              </w:rPr>
            </w:pPr>
            <w:r>
              <w:rPr>
                <w:color w:val="000000"/>
                <w:sz w:val="20"/>
                <w:szCs w:val="24"/>
                <w:lang w:val="fr-FR"/>
              </w:rPr>
              <w:t xml:space="preserve">Proportion de </w:t>
            </w:r>
            <w:r w:rsidR="004B1FC7" w:rsidRPr="00577EB1">
              <w:rPr>
                <w:color w:val="000000"/>
                <w:sz w:val="20"/>
                <w:szCs w:val="24"/>
                <w:lang w:val="fr-FR"/>
              </w:rPr>
              <w:t xml:space="preserve">pauvres et vulnérables (% de la population) </w:t>
            </w:r>
            <w:r w:rsidR="00EB214A" w:rsidRPr="00EB214A">
              <w:rPr>
                <w:color w:val="000000"/>
                <w:sz w:val="20"/>
                <w:szCs w:val="24"/>
                <w:vertAlign w:val="superscript"/>
                <w:lang w:val="fr-FR"/>
              </w:rPr>
              <w:t>(6)</w:t>
            </w:r>
          </w:p>
        </w:tc>
        <w:tc>
          <w:tcPr>
            <w:tcW w:w="992"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25,4 %</w:t>
            </w:r>
          </w:p>
        </w:tc>
        <w:tc>
          <w:tcPr>
            <w:tcW w:w="1135" w:type="dxa"/>
            <w:gridSpan w:val="2"/>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31,1 %</w:t>
            </w:r>
          </w:p>
        </w:tc>
        <w:tc>
          <w:tcPr>
            <w:tcW w:w="990" w:type="dxa"/>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18,8 %</w:t>
            </w:r>
          </w:p>
        </w:tc>
        <w:tc>
          <w:tcPr>
            <w:tcW w:w="866"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22,1 %</w:t>
            </w:r>
          </w:p>
        </w:tc>
      </w:tr>
      <w:tr w:rsidR="004B1FC7" w:rsidRPr="00577EB1" w:rsidTr="004B1FC7">
        <w:trPr>
          <w:trHeight w:val="20"/>
        </w:trPr>
        <w:tc>
          <w:tcPr>
            <w:tcW w:w="4820" w:type="dxa"/>
            <w:gridSpan w:val="2"/>
            <w:tcBorders>
              <w:top w:val="nil"/>
              <w:left w:val="nil"/>
              <w:bottom w:val="nil"/>
              <w:right w:val="nil"/>
            </w:tcBorders>
            <w:noWrap/>
            <w:vAlign w:val="bottom"/>
          </w:tcPr>
          <w:p w:rsidR="004B3541" w:rsidRDefault="004B1FC7">
            <w:pPr>
              <w:keepNext/>
              <w:keepLines/>
              <w:spacing w:after="0"/>
              <w:jc w:val="left"/>
              <w:rPr>
                <w:szCs w:val="24"/>
                <w:lang w:val="fr-FR"/>
              </w:rPr>
            </w:pPr>
            <w:r w:rsidRPr="00577EB1">
              <w:rPr>
                <w:color w:val="000000"/>
                <w:sz w:val="20"/>
                <w:szCs w:val="24"/>
                <w:lang w:val="fr-FR"/>
              </w:rPr>
              <w:t xml:space="preserve">Nombre de pauvres et vulnérables (millions) </w:t>
            </w:r>
          </w:p>
        </w:tc>
        <w:tc>
          <w:tcPr>
            <w:tcW w:w="992"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3,21</w:t>
            </w:r>
          </w:p>
        </w:tc>
        <w:tc>
          <w:tcPr>
            <w:tcW w:w="1135" w:type="dxa"/>
            <w:gridSpan w:val="2"/>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4,17</w:t>
            </w:r>
          </w:p>
        </w:tc>
        <w:tc>
          <w:tcPr>
            <w:tcW w:w="990" w:type="dxa"/>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2,68</w:t>
            </w:r>
          </w:p>
        </w:tc>
        <w:tc>
          <w:tcPr>
            <w:tcW w:w="866"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3,24</w:t>
            </w:r>
          </w:p>
        </w:tc>
      </w:tr>
      <w:tr w:rsidR="004B1FC7" w:rsidRPr="00577EB1" w:rsidTr="003C538C">
        <w:trPr>
          <w:trHeight w:val="20"/>
        </w:trPr>
        <w:tc>
          <w:tcPr>
            <w:tcW w:w="4820" w:type="dxa"/>
            <w:gridSpan w:val="2"/>
            <w:tcBorders>
              <w:top w:val="nil"/>
              <w:left w:val="nil"/>
              <w:bottom w:val="nil"/>
              <w:right w:val="nil"/>
            </w:tcBorders>
            <w:noWrap/>
            <w:vAlign w:val="bottom"/>
          </w:tcPr>
          <w:p w:rsidR="004B1FC7" w:rsidRPr="00577EB1" w:rsidRDefault="004B1FC7" w:rsidP="003C538C">
            <w:pPr>
              <w:spacing w:after="0"/>
              <w:jc w:val="left"/>
              <w:rPr>
                <w:szCs w:val="24"/>
                <w:lang w:val="fr-FR"/>
              </w:rPr>
            </w:pPr>
            <w:r w:rsidRPr="00577EB1">
              <w:rPr>
                <w:color w:val="000000"/>
                <w:sz w:val="20"/>
                <w:szCs w:val="24"/>
                <w:lang w:val="fr-FR"/>
              </w:rPr>
              <w:t xml:space="preserve">Profondeur de la pauvreté </w:t>
            </w:r>
            <w:r w:rsidR="00EB214A" w:rsidRPr="00EB214A">
              <w:rPr>
                <w:color w:val="000000"/>
                <w:sz w:val="20"/>
                <w:szCs w:val="24"/>
                <w:vertAlign w:val="superscript"/>
                <w:lang w:val="fr-FR"/>
              </w:rPr>
              <w:t>(7)</w:t>
            </w:r>
          </w:p>
        </w:tc>
        <w:tc>
          <w:tcPr>
            <w:tcW w:w="992"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0,18</w:t>
            </w:r>
          </w:p>
        </w:tc>
        <w:tc>
          <w:tcPr>
            <w:tcW w:w="1135" w:type="dxa"/>
            <w:gridSpan w:val="2"/>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0,18</w:t>
            </w:r>
          </w:p>
        </w:tc>
        <w:tc>
          <w:tcPr>
            <w:tcW w:w="990" w:type="dxa"/>
            <w:tcBorders>
              <w:top w:val="nil"/>
              <w:left w:val="nil"/>
              <w:bottom w:val="nil"/>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0,18</w:t>
            </w:r>
          </w:p>
        </w:tc>
        <w:tc>
          <w:tcPr>
            <w:tcW w:w="866" w:type="dxa"/>
            <w:tcBorders>
              <w:top w:val="nil"/>
              <w:left w:val="nil"/>
              <w:bottom w:val="nil"/>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0,18</w:t>
            </w:r>
          </w:p>
        </w:tc>
      </w:tr>
      <w:tr w:rsidR="004B1FC7" w:rsidRPr="00577EB1" w:rsidTr="00425065">
        <w:trPr>
          <w:trHeight w:val="20"/>
        </w:trPr>
        <w:tc>
          <w:tcPr>
            <w:tcW w:w="4820" w:type="dxa"/>
            <w:gridSpan w:val="2"/>
            <w:tcBorders>
              <w:top w:val="nil"/>
              <w:left w:val="nil"/>
              <w:bottom w:val="single" w:sz="4" w:space="0" w:color="auto"/>
              <w:right w:val="nil"/>
            </w:tcBorders>
            <w:noWrap/>
            <w:vAlign w:val="bottom"/>
          </w:tcPr>
          <w:p w:rsidR="004B3541" w:rsidRDefault="004B1FC7">
            <w:pPr>
              <w:keepNext/>
              <w:keepLines/>
              <w:spacing w:after="0"/>
              <w:jc w:val="left"/>
              <w:rPr>
                <w:szCs w:val="24"/>
                <w:lang w:val="fr-FR"/>
              </w:rPr>
            </w:pPr>
            <w:r w:rsidRPr="00577EB1">
              <w:rPr>
                <w:color w:val="000000"/>
                <w:sz w:val="20"/>
                <w:szCs w:val="24"/>
                <w:lang w:val="fr-FR"/>
              </w:rPr>
              <w:t>Écart de la pauvreté</w:t>
            </w:r>
          </w:p>
        </w:tc>
        <w:tc>
          <w:tcPr>
            <w:tcW w:w="992" w:type="dxa"/>
            <w:tcBorders>
              <w:top w:val="nil"/>
              <w:left w:val="nil"/>
              <w:bottom w:val="single" w:sz="4" w:space="0" w:color="auto"/>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47,7</w:t>
            </w:r>
          </w:p>
        </w:tc>
        <w:tc>
          <w:tcPr>
            <w:tcW w:w="1135" w:type="dxa"/>
            <w:gridSpan w:val="2"/>
            <w:tcBorders>
              <w:top w:val="nil"/>
              <w:left w:val="nil"/>
              <w:bottom w:val="single" w:sz="4" w:space="0" w:color="auto"/>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66,3</w:t>
            </w:r>
          </w:p>
        </w:tc>
        <w:tc>
          <w:tcPr>
            <w:tcW w:w="990" w:type="dxa"/>
            <w:tcBorders>
              <w:top w:val="nil"/>
              <w:left w:val="nil"/>
              <w:bottom w:val="single" w:sz="4" w:space="0" w:color="auto"/>
              <w:right w:val="nil"/>
            </w:tcBorders>
            <w:noWrap/>
            <w:vAlign w:val="bottom"/>
          </w:tcPr>
          <w:p w:rsidR="004B3541" w:rsidRDefault="004B1FC7">
            <w:pPr>
              <w:keepNext/>
              <w:keepLines/>
              <w:spacing w:after="0"/>
              <w:jc w:val="right"/>
              <w:rPr>
                <w:sz w:val="20"/>
                <w:szCs w:val="24"/>
                <w:lang w:val="fr-FR"/>
              </w:rPr>
            </w:pPr>
            <w:r w:rsidRPr="00577EB1">
              <w:rPr>
                <w:sz w:val="20"/>
                <w:szCs w:val="24"/>
                <w:lang w:val="fr-FR"/>
              </w:rPr>
              <w:t>45,5</w:t>
            </w:r>
          </w:p>
        </w:tc>
        <w:tc>
          <w:tcPr>
            <w:tcW w:w="866" w:type="dxa"/>
            <w:tcBorders>
              <w:top w:val="nil"/>
              <w:left w:val="nil"/>
              <w:bottom w:val="single" w:sz="4" w:space="0" w:color="auto"/>
              <w:right w:val="nil"/>
            </w:tcBorders>
            <w:noWrap/>
            <w:vAlign w:val="bottom"/>
          </w:tcPr>
          <w:p w:rsidR="004B3541" w:rsidRDefault="004B1FC7">
            <w:pPr>
              <w:keepNext/>
              <w:keepLines/>
              <w:spacing w:after="0"/>
              <w:jc w:val="right"/>
              <w:rPr>
                <w:color w:val="000000"/>
                <w:sz w:val="20"/>
                <w:szCs w:val="24"/>
                <w:lang w:val="fr-FR"/>
              </w:rPr>
            </w:pPr>
            <w:r w:rsidRPr="00577EB1">
              <w:rPr>
                <w:color w:val="000000"/>
                <w:sz w:val="20"/>
                <w:szCs w:val="24"/>
                <w:lang w:val="fr-FR"/>
              </w:rPr>
              <w:t>56,9</w:t>
            </w:r>
          </w:p>
        </w:tc>
      </w:tr>
    </w:tbl>
    <w:p w:rsidR="004B3541" w:rsidRDefault="004B1FC7">
      <w:pPr>
        <w:keepNext/>
        <w:keepLines/>
        <w:tabs>
          <w:tab w:val="clear" w:pos="709"/>
        </w:tabs>
        <w:spacing w:after="0"/>
        <w:jc w:val="left"/>
        <w:rPr>
          <w:sz w:val="20"/>
          <w:szCs w:val="24"/>
          <w:lang w:val="fr-FR"/>
        </w:rPr>
      </w:pPr>
      <w:r w:rsidRPr="00577EB1">
        <w:rPr>
          <w:sz w:val="20"/>
          <w:szCs w:val="24"/>
          <w:vertAlign w:val="superscript"/>
          <w:lang w:val="fr-FR"/>
        </w:rPr>
        <w:t>(</w:t>
      </w:r>
      <w:r w:rsidRPr="00577EB1">
        <w:rPr>
          <w:sz w:val="18"/>
          <w:szCs w:val="24"/>
          <w:vertAlign w:val="superscript"/>
          <w:lang w:val="fr-FR"/>
        </w:rPr>
        <w:t>1)</w:t>
      </w:r>
      <w:r w:rsidRPr="00577EB1">
        <w:rPr>
          <w:sz w:val="18"/>
          <w:szCs w:val="24"/>
          <w:lang w:val="fr-FR"/>
        </w:rPr>
        <w:t xml:space="preserve"> FMI</w:t>
      </w:r>
      <w:r w:rsidR="0007340F">
        <w:rPr>
          <w:sz w:val="18"/>
          <w:szCs w:val="24"/>
          <w:lang w:val="fr-FR"/>
        </w:rPr>
        <w:t xml:space="preserve"> </w:t>
      </w:r>
      <w:r w:rsidRPr="00577EB1">
        <w:rPr>
          <w:sz w:val="18"/>
          <w:szCs w:val="24"/>
          <w:vertAlign w:val="superscript"/>
          <w:lang w:val="fr-FR"/>
        </w:rPr>
        <w:t>(2)</w:t>
      </w:r>
      <w:r w:rsidRPr="00577EB1">
        <w:rPr>
          <w:sz w:val="18"/>
          <w:szCs w:val="24"/>
          <w:lang w:val="fr-FR"/>
        </w:rPr>
        <w:t xml:space="preserve"> CEM, BM</w:t>
      </w:r>
      <w:r w:rsidR="0007340F">
        <w:rPr>
          <w:sz w:val="18"/>
          <w:szCs w:val="24"/>
          <w:lang w:val="fr-FR"/>
        </w:rPr>
        <w:t xml:space="preserve"> </w:t>
      </w:r>
      <w:r w:rsidRPr="00577EB1">
        <w:rPr>
          <w:sz w:val="18"/>
          <w:szCs w:val="24"/>
          <w:vertAlign w:val="superscript"/>
          <w:lang w:val="fr-FR"/>
        </w:rPr>
        <w:t>(3)</w:t>
      </w:r>
      <w:r w:rsidRPr="00577EB1">
        <w:rPr>
          <w:sz w:val="18"/>
          <w:szCs w:val="24"/>
          <w:lang w:val="fr-FR"/>
        </w:rPr>
        <w:t xml:space="preserve"> 2003</w:t>
      </w:r>
      <w:r w:rsidR="0007340F">
        <w:rPr>
          <w:sz w:val="18"/>
          <w:szCs w:val="24"/>
          <w:lang w:val="fr-FR"/>
        </w:rPr>
        <w:t xml:space="preserve"> </w:t>
      </w:r>
      <w:r w:rsidRPr="00577EB1">
        <w:rPr>
          <w:sz w:val="18"/>
          <w:szCs w:val="24"/>
          <w:lang w:val="fr-FR"/>
        </w:rPr>
        <w:t>ZP BM, p. 16 (graphique)</w:t>
      </w:r>
      <w:r w:rsidR="0007340F">
        <w:rPr>
          <w:sz w:val="18"/>
          <w:szCs w:val="24"/>
          <w:lang w:val="fr-FR"/>
        </w:rPr>
        <w:t xml:space="preserve"> </w:t>
      </w:r>
      <w:r w:rsidRPr="00577EB1">
        <w:rPr>
          <w:sz w:val="18"/>
          <w:szCs w:val="24"/>
          <w:lang w:val="fr-FR"/>
        </w:rPr>
        <w:t>indexation depuis 2003 fondée sur l’IPC moyen 2003-2009</w:t>
      </w:r>
      <w:r w:rsidR="0007340F">
        <w:rPr>
          <w:sz w:val="18"/>
          <w:szCs w:val="24"/>
          <w:lang w:val="fr-FR"/>
        </w:rPr>
        <w:t xml:space="preserve"> </w:t>
      </w:r>
      <w:r w:rsidRPr="00577EB1">
        <w:rPr>
          <w:sz w:val="18"/>
          <w:szCs w:val="24"/>
          <w:vertAlign w:val="superscript"/>
          <w:lang w:val="fr-FR"/>
        </w:rPr>
        <w:t xml:space="preserve">(4) </w:t>
      </w:r>
      <w:r w:rsidRPr="00577EB1">
        <w:rPr>
          <w:sz w:val="18"/>
          <w:szCs w:val="24"/>
          <w:lang w:val="fr-FR"/>
        </w:rPr>
        <w:t>2003-2007</w:t>
      </w:r>
      <w:r w:rsidR="0007340F">
        <w:rPr>
          <w:sz w:val="18"/>
          <w:szCs w:val="24"/>
          <w:lang w:val="fr-FR"/>
        </w:rPr>
        <w:t xml:space="preserve"> </w:t>
      </w:r>
      <w:r w:rsidRPr="00577EB1">
        <w:rPr>
          <w:sz w:val="18"/>
          <w:szCs w:val="24"/>
          <w:lang w:val="fr-FR"/>
        </w:rPr>
        <w:t>QUIBB</w:t>
      </w:r>
      <w:r w:rsidR="0007340F">
        <w:rPr>
          <w:sz w:val="18"/>
          <w:szCs w:val="24"/>
          <w:lang w:val="fr-FR"/>
        </w:rPr>
        <w:t xml:space="preserve"> </w:t>
      </w:r>
      <w:r w:rsidRPr="00577EB1">
        <w:rPr>
          <w:sz w:val="18"/>
          <w:szCs w:val="24"/>
          <w:lang w:val="fr-FR"/>
        </w:rPr>
        <w:t>2008</w:t>
      </w:r>
      <w:r w:rsidRPr="00577EB1">
        <w:rPr>
          <w:sz w:val="18"/>
          <w:szCs w:val="24"/>
          <w:lang w:val="fr-FR" w:bidi="he-IL"/>
        </w:rPr>
        <w:t>ֺ</w:t>
      </w:r>
      <w:r w:rsidR="0007340F">
        <w:rPr>
          <w:sz w:val="18"/>
          <w:szCs w:val="24"/>
          <w:lang w:val="fr-FR"/>
        </w:rPr>
        <w:t xml:space="preserve"> </w:t>
      </w:r>
      <w:r w:rsidRPr="00577EB1">
        <w:rPr>
          <w:sz w:val="18"/>
          <w:szCs w:val="24"/>
          <w:lang w:val="fr-FR"/>
        </w:rPr>
        <w:t>fondé sur la SAP mais incertitudes méthodologiques</w:t>
      </w:r>
      <w:r w:rsidR="0007340F">
        <w:rPr>
          <w:sz w:val="18"/>
          <w:szCs w:val="24"/>
          <w:lang w:val="fr-FR"/>
        </w:rPr>
        <w:t xml:space="preserve"> </w:t>
      </w:r>
      <w:r w:rsidRPr="00577EB1">
        <w:rPr>
          <w:sz w:val="18"/>
          <w:szCs w:val="24"/>
          <w:vertAlign w:val="superscript"/>
          <w:lang w:val="fr-FR"/>
        </w:rPr>
        <w:t>(5)</w:t>
      </w:r>
      <w:r w:rsidRPr="00577EB1">
        <w:rPr>
          <w:sz w:val="18"/>
          <w:szCs w:val="24"/>
          <w:lang w:val="fr-FR"/>
        </w:rPr>
        <w:t xml:space="preserve"> INSD, 2003, supposé constant</w:t>
      </w:r>
      <w:r w:rsidR="0007340F">
        <w:rPr>
          <w:sz w:val="18"/>
          <w:szCs w:val="24"/>
          <w:lang w:val="fr-FR"/>
        </w:rPr>
        <w:t xml:space="preserve"> </w:t>
      </w:r>
      <w:r w:rsidRPr="00577EB1">
        <w:rPr>
          <w:sz w:val="18"/>
          <w:szCs w:val="24"/>
          <w:vertAlign w:val="superscript"/>
          <w:lang w:val="fr-FR"/>
        </w:rPr>
        <w:t>(6)</w:t>
      </w:r>
      <w:r w:rsidRPr="00577EB1">
        <w:rPr>
          <w:sz w:val="18"/>
          <w:szCs w:val="24"/>
          <w:lang w:val="fr-FR"/>
        </w:rPr>
        <w:t xml:space="preserve"> 2003-2007</w:t>
      </w:r>
      <w:r w:rsidR="0007340F">
        <w:rPr>
          <w:sz w:val="18"/>
          <w:szCs w:val="24"/>
          <w:lang w:val="fr-FR"/>
        </w:rPr>
        <w:t xml:space="preserve"> </w:t>
      </w:r>
      <w:r w:rsidRPr="00577EB1">
        <w:rPr>
          <w:sz w:val="18"/>
          <w:szCs w:val="24"/>
          <w:lang w:val="fr-FR"/>
        </w:rPr>
        <w:t>Nouvé 2009 (non publié), fondé sur le QUIBB</w:t>
      </w:r>
      <w:r w:rsidR="0007340F">
        <w:rPr>
          <w:sz w:val="18"/>
          <w:szCs w:val="24"/>
          <w:lang w:val="fr-FR"/>
        </w:rPr>
        <w:t xml:space="preserve"> </w:t>
      </w:r>
      <w:r w:rsidRPr="00577EB1">
        <w:rPr>
          <w:sz w:val="18"/>
          <w:szCs w:val="24"/>
          <w:lang w:val="fr-FR"/>
        </w:rPr>
        <w:t>2008</w:t>
      </w:r>
      <w:r w:rsidR="0007340F">
        <w:rPr>
          <w:sz w:val="18"/>
          <w:szCs w:val="24"/>
          <w:lang w:val="fr-FR"/>
        </w:rPr>
        <w:t xml:space="preserve"> </w:t>
      </w:r>
      <w:r w:rsidRPr="00577EB1">
        <w:rPr>
          <w:sz w:val="18"/>
          <w:szCs w:val="24"/>
          <w:lang w:val="fr-FR"/>
        </w:rPr>
        <w:t>rapport très pauvres/pauvres supposé constant 2007 ;</w:t>
      </w:r>
      <w:r w:rsidRPr="00577EB1">
        <w:rPr>
          <w:sz w:val="18"/>
          <w:szCs w:val="24"/>
          <w:vertAlign w:val="superscript"/>
          <w:lang w:val="fr-FR"/>
        </w:rPr>
        <w:t>(7)</w:t>
      </w:r>
      <w:r w:rsidRPr="00577EB1">
        <w:rPr>
          <w:sz w:val="18"/>
          <w:szCs w:val="24"/>
          <w:lang w:val="fr-FR"/>
        </w:rPr>
        <w:t xml:space="preserve"> Estimation du personnel de la Banque, fondée sur la profondeur de la pauvreté rurale 2003 (INSD).</w:t>
      </w:r>
    </w:p>
    <w:p w:rsidR="004B3541" w:rsidRDefault="004B1FC7">
      <w:pPr>
        <w:pStyle w:val="Source"/>
        <w:keepNext w:val="0"/>
        <w:spacing w:before="120" w:after="480"/>
      </w:pPr>
      <w:r w:rsidRPr="00577EB1">
        <w:t>Source</w:t>
      </w:r>
      <w:r w:rsidR="00425065">
        <w:t xml:space="preserve"> : </w:t>
      </w:r>
      <w:r w:rsidR="00EB214A" w:rsidRPr="00EB214A">
        <w:rPr>
          <w:i w:val="0"/>
        </w:rPr>
        <w:t>Auteurs</w:t>
      </w:r>
      <w:r w:rsidRPr="00577EB1">
        <w:t xml:space="preserve">. </w:t>
      </w:r>
    </w:p>
    <w:p w:rsidR="00DD02E6" w:rsidRPr="00577EB1" w:rsidRDefault="004B1FC7" w:rsidP="00E52A30">
      <w:pPr>
        <w:numPr>
          <w:ilvl w:val="0"/>
          <w:numId w:val="2"/>
        </w:numPr>
        <w:ind w:left="0" w:firstLine="0"/>
        <w:rPr>
          <w:lang w:val="fr-FR"/>
        </w:rPr>
      </w:pPr>
      <w:r w:rsidRPr="00577EB1">
        <w:rPr>
          <w:b/>
          <w:szCs w:val="24"/>
          <w:lang w:val="fr-FR"/>
        </w:rPr>
        <w:lastRenderedPageBreak/>
        <w:t xml:space="preserve">Bien qu’approximatives, ces estimations devraient être considérées comme un minimum. </w:t>
      </w:r>
      <w:r w:rsidRPr="00577EB1">
        <w:rPr>
          <w:szCs w:val="24"/>
          <w:lang w:val="fr-FR"/>
        </w:rPr>
        <w:t xml:space="preserve">Rapportés au budget existant, ces coûts représenteraient des engagements financiers significatifs pour l’État. Par exemple, le coût minimum de l’élimination complète de l'écart de pauvreté en 2007, estimé à 2,7 % du PIB, équivalait </w:t>
      </w:r>
      <w:r w:rsidRPr="00577EB1">
        <w:rPr>
          <w:i/>
          <w:szCs w:val="24"/>
          <w:lang w:val="fr-FR"/>
        </w:rPr>
        <w:t xml:space="preserve">grosso modo </w:t>
      </w:r>
      <w:r w:rsidRPr="00577EB1">
        <w:rPr>
          <w:szCs w:val="24"/>
          <w:lang w:val="fr-FR"/>
        </w:rPr>
        <w:t>à moins de 10 % du budget total de 2007, à moins de la moitié de la masse salariale publique de 2007 (6 % du PIB), ou à un peu plus que la dépense totale de santé (2,3 % du PIB) pour la même année</w:t>
      </w:r>
      <w:r w:rsidR="00B37F1D" w:rsidRPr="00577EB1">
        <w:rPr>
          <w:lang w:val="fr-FR"/>
        </w:rPr>
        <w:t>.</w:t>
      </w:r>
    </w:p>
    <w:p w:rsidR="00A54EB6" w:rsidRPr="00577EB1" w:rsidRDefault="00A54EB6" w:rsidP="00A54EB6">
      <w:pPr>
        <w:pStyle w:val="Heading1"/>
      </w:pPr>
      <w:bookmarkStart w:id="51" w:name="_Toc264748729"/>
      <w:bookmarkStart w:id="52" w:name="_Toc262169630"/>
      <w:bookmarkEnd w:id="20"/>
      <w:r w:rsidRPr="00577EB1">
        <w:lastRenderedPageBreak/>
        <w:t>CHAPITRE III</w:t>
      </w:r>
      <w:r w:rsidR="002015E5">
        <w:t> :</w:t>
      </w:r>
      <w:r w:rsidR="0007340F">
        <w:t xml:space="preserve"> </w:t>
      </w:r>
      <w:r w:rsidR="0050199E" w:rsidRPr="00577EB1">
        <w:t>POLITIQUE ET INSTITUTIONS ÉTATIQUES EN MATIÈRE DE FILETS SOCIAUX</w:t>
      </w:r>
      <w:bookmarkEnd w:id="51"/>
      <w:r w:rsidRPr="00577EB1">
        <w:t xml:space="preserve"> </w:t>
      </w:r>
      <w:bookmarkEnd w:id="52"/>
    </w:p>
    <w:p w:rsidR="00A54EB6" w:rsidRPr="008C3350" w:rsidRDefault="00A54EB6" w:rsidP="00A54EB6">
      <w:pPr>
        <w:rPr>
          <w:b/>
          <w:i/>
          <w:lang w:val="fr-FR"/>
        </w:rPr>
      </w:pPr>
      <w:r w:rsidRPr="008C3350">
        <w:rPr>
          <w:rStyle w:val="longtext"/>
          <w:b/>
          <w:i/>
          <w:shd w:val="clear" w:color="auto" w:fill="FFFFFF"/>
          <w:lang w:val="fr-FR"/>
        </w:rPr>
        <w:t>Le Burkina Faso n’a pas adopté de politique nationale consolidée de protection sociale, susceptible de fournir un cadre aux filets sociaux. Les programmes de filets sociaux jouent néanmoins un rôle important dans les stratégies de développement du capital humain et de réponses aux crises du Burkina Faso. Les filets sociaux sont considérés comme des investissements socioéconomiques nécessaires dans la vision à long terme que le pays se fait de la société. Pourtant, leur potentiel de réduction de la pauvreté et de la vulnérabilité par la redistribution, la promotion et la transformation des revenus, est souvent peu reconnu dans les stratégies à moyen terme. Dans l’ensemble, le système de filets sociaux existant a un impact limité sur les plus pauvres et les plus vulnérables. Cette situation s’explique essentiellement par leur c</w:t>
      </w:r>
      <w:r w:rsidRPr="008C3350">
        <w:rPr>
          <w:rStyle w:val="longtext"/>
          <w:b/>
          <w:i/>
          <w:lang w:val="fr-FR"/>
        </w:rPr>
        <w:t xml:space="preserve">ouverture limitée par la faiblesse des allocations financières et le ciblage rendu inefficace par le manque de capacités de mise en œuvre, en particulier les difficultés à toucher les plus pauvres et à évaluer le rapport coût-efficacité. Jusqu’à récemment, le domaine se caractérisait par un manque de leadership et la faiblesse des mécanismes de coordination intersectorielle. Cependant, </w:t>
      </w:r>
      <w:r w:rsidRPr="008C3350">
        <w:rPr>
          <w:rStyle w:val="longtext"/>
          <w:b/>
          <w:i/>
          <w:shd w:val="clear" w:color="auto" w:fill="FFFFFF"/>
          <w:lang w:val="fr-FR"/>
        </w:rPr>
        <w:t xml:space="preserve">dans un contexte marqué par des crises à répétition, la protection sociale et sa composante de filets sociaux sont en train de gagner en importance et le gouvernement a entrepris diverses actions visant à élaborer une politique efficace de protection sociale. Ainsi, la mise en place récente du Comité interministériel de la protection sociale et la perspective d’intégration d’une composante multisectorielle de protection sociale dans la prochaine </w:t>
      </w:r>
      <w:r w:rsidRPr="008C3350">
        <w:rPr>
          <w:b/>
          <w:i/>
          <w:szCs w:val="20"/>
          <w:lang w:val="fr-FR"/>
        </w:rPr>
        <w:t>Stratégie de croissance accélérée et de développement durable</w:t>
      </w:r>
      <w:r w:rsidRPr="008C3350">
        <w:rPr>
          <w:rStyle w:val="longtext"/>
          <w:b/>
          <w:i/>
          <w:shd w:val="clear" w:color="auto" w:fill="FFFFFF"/>
          <w:lang w:val="fr-FR"/>
        </w:rPr>
        <w:t xml:space="preserve"> (SCADD) offre une opportunité de voir la protection sociale et les filets sociaux jouer un rôle plus important et plus efficace dans les stratégies de réduction de la pauvreté</w:t>
      </w:r>
      <w:r w:rsidRPr="008C3350">
        <w:rPr>
          <w:rStyle w:val="longtext"/>
          <w:b/>
          <w:i/>
          <w:lang w:val="fr-FR"/>
        </w:rPr>
        <w:t xml:space="preserve">. Si on exclut la subvention générale des produits alimentaires et pétroliers, la dépense totale en faveur des programmes de filets sociaux </w:t>
      </w:r>
      <w:r w:rsidRPr="008C3350">
        <w:rPr>
          <w:rStyle w:val="longtext"/>
          <w:b/>
          <w:i/>
          <w:shd w:val="clear" w:color="auto" w:fill="FFFFFF"/>
          <w:lang w:val="fr-FR"/>
        </w:rPr>
        <w:t>représentait en moyenne</w:t>
      </w:r>
      <w:r w:rsidRPr="008C3350">
        <w:rPr>
          <w:rStyle w:val="longtext"/>
          <w:b/>
          <w:i/>
          <w:lang w:val="fr-FR"/>
        </w:rPr>
        <w:t xml:space="preserve"> </w:t>
      </w:r>
      <w:r w:rsidRPr="008C3350">
        <w:rPr>
          <w:rStyle w:val="longtext"/>
          <w:b/>
          <w:i/>
          <w:shd w:val="clear" w:color="auto" w:fill="FFFFFF"/>
          <w:lang w:val="fr-FR"/>
        </w:rPr>
        <w:t xml:space="preserve">0,4 % du PIB </w:t>
      </w:r>
      <w:r w:rsidRPr="008C3350">
        <w:rPr>
          <w:rStyle w:val="longtext"/>
          <w:b/>
          <w:i/>
          <w:lang w:val="fr-FR"/>
        </w:rPr>
        <w:t>entre 2005 et 2009</w:t>
      </w:r>
      <w:r w:rsidRPr="008C3350">
        <w:rPr>
          <w:rStyle w:val="longtext"/>
          <w:b/>
          <w:i/>
          <w:shd w:val="clear" w:color="auto" w:fill="FFFFFF"/>
          <w:lang w:val="fr-FR"/>
        </w:rPr>
        <w:t xml:space="preserve">. </w:t>
      </w:r>
      <w:r w:rsidRPr="008C3350">
        <w:rPr>
          <w:rStyle w:val="longtext"/>
          <w:b/>
          <w:i/>
          <w:lang w:val="fr-FR"/>
        </w:rPr>
        <w:t xml:space="preserve">Grâce à ’un plus grand engagement de l’État et des bailleurs de fonds, les dépenses consacrées aux programmes de filets sociaux ont enregistré une hausse constante, passant de 0,3 % du PIB en 2005 à environ 0,9 % en 2009. Cette augmentation s’explique en grande partie par les dépenses effectuées dans la cadre des programmes alimentaires. </w:t>
      </w:r>
      <w:r w:rsidRPr="008C3350">
        <w:rPr>
          <w:rStyle w:val="longtext"/>
          <w:b/>
          <w:i/>
          <w:shd w:val="clear" w:color="auto" w:fill="FFFFFF"/>
          <w:lang w:val="fr-FR"/>
        </w:rPr>
        <w:t xml:space="preserve">Depuis 2006, le financement des programmes de filets sociaux dépend de plus en plus des bailleurs de fonds. Cependant, les bailleurs de fonds se concentrent principalement sur les programmes de nutrition, tandis que les fonds publics sont essentiellement destinés à la subvention universelle des produits alimentaires et du carburant. </w:t>
      </w:r>
    </w:p>
    <w:p w:rsidR="00A54EB6" w:rsidRPr="00577EB1" w:rsidRDefault="00A54EB6" w:rsidP="00E52A30">
      <w:pPr>
        <w:numPr>
          <w:ilvl w:val="0"/>
          <w:numId w:val="2"/>
        </w:numPr>
        <w:ind w:left="0" w:firstLine="0"/>
        <w:rPr>
          <w:rStyle w:val="longtext"/>
          <w:lang w:val="fr-FR"/>
        </w:rPr>
      </w:pPr>
      <w:r w:rsidRPr="00577EB1">
        <w:rPr>
          <w:rStyle w:val="longtext"/>
          <w:shd w:val="clear" w:color="auto" w:fill="FFFFFF"/>
          <w:lang w:val="fr-FR"/>
        </w:rPr>
        <w:t xml:space="preserve">Après le diagnostic de la pauvreté, de la vulnérabilité et des risques présenté au Chapitre II, le présent chapitre se demande si l’actuel système de filets sociaux constitue une réponse appropriée à la pauvreté et à la vulnérabilité. La première section passe en revue les objectifs de la stratégie de développement du Burkina Faso, examine leurs interactions et leurs complémentarités avec d’autres réponses politiques de l’État à la pauvreté et à la vulnérabilité. La deuxième section porte sur le </w:t>
      </w:r>
      <w:r w:rsidRPr="00577EB1">
        <w:rPr>
          <w:rStyle w:val="longtext"/>
          <w:lang w:val="fr-FR"/>
        </w:rPr>
        <w:t xml:space="preserve">dispositif institutionnel des filets sociaux, tandis que la section suivante ’s’intéresse au financement du système, avec une estimation des dépenses totales et une réflexion sur les sources de financement. </w:t>
      </w:r>
    </w:p>
    <w:p w:rsidR="004B3541" w:rsidRDefault="00A54EB6">
      <w:pPr>
        <w:pStyle w:val="Heading2"/>
        <w:numPr>
          <w:ilvl w:val="1"/>
          <w:numId w:val="38"/>
        </w:numPr>
      </w:pPr>
      <w:bookmarkStart w:id="53" w:name="_Toc261967409"/>
      <w:bookmarkStart w:id="54" w:name="_Toc262169631"/>
      <w:bookmarkStart w:id="55" w:name="_Toc264748730"/>
      <w:r w:rsidRPr="00577EB1">
        <w:lastRenderedPageBreak/>
        <w:t xml:space="preserve">Rôle stratégique accordé aux filets sociaux au sein de la politique de développement </w:t>
      </w:r>
      <w:bookmarkEnd w:id="53"/>
      <w:bookmarkEnd w:id="54"/>
      <w:r w:rsidRPr="00577EB1">
        <w:t>élargie</w:t>
      </w:r>
      <w:bookmarkEnd w:id="55"/>
      <w:r w:rsidRPr="00577EB1">
        <w:t xml:space="preserve"> </w:t>
      </w:r>
    </w:p>
    <w:p w:rsidR="00A54EB6" w:rsidRPr="00577EB1" w:rsidRDefault="00A54EB6" w:rsidP="00A54EB6">
      <w:pPr>
        <w:pStyle w:val="Style3"/>
        <w:rPr>
          <w:lang w:val="fr-FR"/>
        </w:rPr>
      </w:pPr>
      <w:r w:rsidRPr="00577EB1">
        <w:rPr>
          <w:lang w:val="fr-FR"/>
        </w:rPr>
        <w:t xml:space="preserve">Les filets sociaux au sein de la stratégie à moyen terme de réduction de la pauvreté et de la vision à long terme de développement du Burkina </w:t>
      </w:r>
    </w:p>
    <w:p w:rsidR="00A54EB6" w:rsidRPr="00577EB1" w:rsidRDefault="00A54EB6" w:rsidP="00E52A30">
      <w:pPr>
        <w:numPr>
          <w:ilvl w:val="0"/>
          <w:numId w:val="2"/>
        </w:numPr>
        <w:ind w:left="0" w:firstLine="0"/>
        <w:rPr>
          <w:rStyle w:val="longtext"/>
          <w:szCs w:val="24"/>
          <w:lang w:val="fr-FR"/>
        </w:rPr>
      </w:pPr>
      <w:r w:rsidRPr="00577EB1">
        <w:rPr>
          <w:b/>
          <w:lang w:val="fr-FR"/>
        </w:rPr>
        <w:t xml:space="preserve">Le dernier Document de stratégie pour la réduction de la pauvreté (DSRP) intègre la protection sociale en tant qu’aspiration dans le second pilier « Promotion de l’accès des pauvres aux services sociaux de base et à la protection sociale » </w:t>
      </w:r>
      <w:r w:rsidRPr="00577EB1">
        <w:rPr>
          <w:szCs w:val="24"/>
          <w:lang w:val="fr-FR"/>
        </w:rPr>
        <w:t xml:space="preserve">[MEDEV 2004]. </w:t>
      </w:r>
      <w:r w:rsidRPr="00577EB1">
        <w:rPr>
          <w:rStyle w:val="longtext"/>
          <w:shd w:val="clear" w:color="auto" w:fill="FFFFFF"/>
          <w:lang w:val="fr-FR"/>
        </w:rPr>
        <w:t>En 2000, le Burkina Faso était le premier pays de la sous-région à adopter et à mettre en œuvre un DSRP, avec un fort accent sur l’éducation et la santé</w:t>
      </w:r>
      <w:r w:rsidRPr="00577EB1">
        <w:rPr>
          <w:rStyle w:val="FootnoteReference"/>
          <w:lang w:val="fr-FR"/>
        </w:rPr>
        <w:footnoteReference w:id="7"/>
      </w:r>
      <w:r w:rsidRPr="00577EB1">
        <w:rPr>
          <w:rStyle w:val="longtext"/>
          <w:shd w:val="clear" w:color="auto" w:fill="FFFFFF"/>
          <w:lang w:val="fr-FR"/>
        </w:rPr>
        <w:t>. L’actuel DRSP (le deuxième), élaboré en 2003, avec 13 DSRP régionaux, a élargi les secteurs sociaux couverts et intégré, spécifiquement, la protection sociale dans son deuxième pilier</w:t>
      </w:r>
      <w:r w:rsidRPr="00577EB1">
        <w:rPr>
          <w:rStyle w:val="FootnoteReference"/>
          <w:lang w:val="fr-FR"/>
        </w:rPr>
        <w:footnoteReference w:id="8"/>
      </w:r>
      <w:r w:rsidRPr="00577EB1">
        <w:rPr>
          <w:rStyle w:val="longtext"/>
          <w:shd w:val="clear" w:color="auto" w:fill="FFFFFF"/>
          <w:lang w:val="fr-FR"/>
        </w:rPr>
        <w:t xml:space="preserve">. </w:t>
      </w:r>
      <w:r w:rsidRPr="00577EB1">
        <w:rPr>
          <w:rStyle w:val="longtext"/>
          <w:lang w:val="fr-FR"/>
        </w:rPr>
        <w:t>Celui-ci vise à assurer l’accès des pauvres aux services sociaux de base et à la protection sociale par le renforcement du capital humain (éducation, santé, nutrition, VIH/SIDA, eau potable, assainissement, etc.) et un meilleur accès des pauvres à l‘éducation, aux services de santé</w:t>
      </w:r>
      <w:r w:rsidRPr="00577EB1">
        <w:rPr>
          <w:rStyle w:val="longtext"/>
          <w:shd w:val="clear" w:color="auto" w:fill="FFFFFF"/>
          <w:lang w:val="fr-FR"/>
        </w:rPr>
        <w:t xml:space="preserve">, aux programmes de nutrition, à la lutte contre le VIH/SIDA, à l‘eau potable, au logement et à la protection sociale. </w:t>
      </w:r>
      <w:r w:rsidRPr="00577EB1">
        <w:rPr>
          <w:rStyle w:val="longtext"/>
          <w:lang w:val="fr-FR"/>
        </w:rPr>
        <w:t>En outre, la solidarité nationale apparaît au cœur de la vision à long terme de la société, élaborée par le pays en 2005</w:t>
      </w:r>
      <w:r w:rsidRPr="00577EB1">
        <w:rPr>
          <w:rStyle w:val="FootnoteReference"/>
          <w:lang w:val="fr-FR"/>
        </w:rPr>
        <w:footnoteReference w:id="9"/>
      </w:r>
      <w:r w:rsidRPr="00577EB1">
        <w:rPr>
          <w:rStyle w:val="longtext"/>
          <w:lang w:val="fr-FR"/>
        </w:rPr>
        <w:t xml:space="preserve">. Au-delà des avantages sociaux et politiques, la solidarité et l’extension des filets sociaux devraient offrir aux citoyens les plus pauvres les moyens de contribuer à la production et à la consommation, et les filets sociaux sont identifiés en tant qu’investissements sociaux et économiques. </w:t>
      </w:r>
    </w:p>
    <w:p w:rsidR="00A54EB6" w:rsidRPr="00577EB1" w:rsidRDefault="00A54EB6" w:rsidP="00E52A30">
      <w:pPr>
        <w:numPr>
          <w:ilvl w:val="0"/>
          <w:numId w:val="2"/>
        </w:numPr>
        <w:ind w:left="0" w:firstLine="0"/>
        <w:rPr>
          <w:rStyle w:val="longtext"/>
          <w:szCs w:val="24"/>
          <w:lang w:val="fr-FR"/>
        </w:rPr>
      </w:pPr>
      <w:r w:rsidRPr="00577EB1">
        <w:rPr>
          <w:b/>
          <w:lang w:val="fr-FR"/>
        </w:rPr>
        <w:t>Cependant, les filets sociaux ne sont pas explicitement considérés comme un élément clé de la stratégie de réduction de la pauvreté, qui reste axée sur les interventions liées à l’offre.</w:t>
      </w:r>
      <w:r w:rsidRPr="00577EB1">
        <w:rPr>
          <w:lang w:val="fr-FR"/>
        </w:rPr>
        <w:t xml:space="preserve"> </w:t>
      </w:r>
      <w:r w:rsidRPr="00577EB1">
        <w:rPr>
          <w:rStyle w:val="longtext"/>
          <w:lang w:val="fr-FR"/>
        </w:rPr>
        <w:t>Quatre domaines d‘action stratégiques ont été identifiés dans le DSRP pour promouvoir la protection sociale: i) le renforcement des mesures de lutte contre toute forme d‘exclusion sociale</w:t>
      </w:r>
      <w:r w:rsidR="0007340F">
        <w:rPr>
          <w:rStyle w:val="longtext"/>
          <w:lang w:val="fr-FR"/>
        </w:rPr>
        <w:t xml:space="preserve"> </w:t>
      </w:r>
      <w:r w:rsidRPr="00577EB1">
        <w:rPr>
          <w:rStyle w:val="longtext"/>
          <w:lang w:val="fr-FR"/>
        </w:rPr>
        <w:t>ii) des mesures visant à promouvoir la solidarité</w:t>
      </w:r>
      <w:r w:rsidR="0007340F">
        <w:rPr>
          <w:rStyle w:val="longtext"/>
          <w:lang w:val="fr-FR"/>
        </w:rPr>
        <w:t xml:space="preserve"> </w:t>
      </w:r>
      <w:r w:rsidRPr="00577EB1">
        <w:rPr>
          <w:rStyle w:val="longtext"/>
          <w:lang w:val="fr-FR"/>
        </w:rPr>
        <w:t>iii) l’augmentation des revenus des plus pauvres</w:t>
      </w:r>
      <w:r w:rsidR="0007340F">
        <w:rPr>
          <w:rStyle w:val="longtext"/>
          <w:lang w:val="fr-FR"/>
        </w:rPr>
        <w:t xml:space="preserve"> </w:t>
      </w:r>
      <w:r w:rsidRPr="00577EB1">
        <w:rPr>
          <w:rStyle w:val="longtext"/>
          <w:lang w:val="fr-FR"/>
        </w:rPr>
        <w:t>et iv) la promotion des micro-assurances de santé pour les groupes les plus pauvres et les indigents [MEDEV 2004]. Dans ce contexte, les mesures se sont essentiellement concentrées sur la prestation de services d’assistance sociale aux groupes vulnérables, la promotion des droits et l’adoption de nouvelles législations, la création d‘activités génératrices de revenus, et des régimes d‘assurance sociale contributifs</w:t>
      </w:r>
      <w:r w:rsidRPr="00577EB1">
        <w:rPr>
          <w:rStyle w:val="longtext"/>
          <w:shd w:val="clear" w:color="auto" w:fill="FFFFFF"/>
          <w:lang w:val="fr-FR"/>
        </w:rPr>
        <w:t xml:space="preserve"> (exemple</w:t>
      </w:r>
      <w:r w:rsidR="0007340F">
        <w:rPr>
          <w:rStyle w:val="longtext"/>
          <w:shd w:val="clear" w:color="auto" w:fill="FFFFFF"/>
          <w:lang w:val="fr-FR"/>
        </w:rPr>
        <w:t xml:space="preserve"> </w:t>
      </w:r>
      <w:r w:rsidRPr="00577EB1">
        <w:rPr>
          <w:rStyle w:val="longtext"/>
          <w:shd w:val="clear" w:color="auto" w:fill="FFFFFF"/>
          <w:lang w:val="fr-FR"/>
        </w:rPr>
        <w:t xml:space="preserve">mutuelles de santé). </w:t>
      </w:r>
      <w:r w:rsidRPr="00577EB1">
        <w:rPr>
          <w:rStyle w:val="longtext"/>
          <w:lang w:val="fr-FR"/>
        </w:rPr>
        <w:t>Ainsi, dans le cadre de cette stratégie, l’utilisation des transferts directs non contributifs à des individus ou des ménages est ponctuellement limitée à un petit nombre de groupes vulnérables (exemples</w:t>
      </w:r>
      <w:r w:rsidR="0007340F">
        <w:rPr>
          <w:rStyle w:val="longtext"/>
          <w:lang w:val="fr-FR"/>
        </w:rPr>
        <w:t xml:space="preserve"> </w:t>
      </w:r>
      <w:r w:rsidRPr="00577EB1">
        <w:rPr>
          <w:rStyle w:val="longtext"/>
          <w:lang w:val="fr-FR"/>
        </w:rPr>
        <w:t xml:space="preserve">élèves vulnérables, enfants affectés par le VIH, handicapés). </w:t>
      </w:r>
    </w:p>
    <w:p w:rsidR="00A54EB6" w:rsidRPr="00577EB1" w:rsidRDefault="00A54EB6" w:rsidP="00E52A30">
      <w:pPr>
        <w:numPr>
          <w:ilvl w:val="0"/>
          <w:numId w:val="2"/>
        </w:numPr>
        <w:ind w:left="0" w:firstLine="0"/>
        <w:rPr>
          <w:rStyle w:val="longtext"/>
          <w:szCs w:val="24"/>
          <w:lang w:val="fr-FR"/>
        </w:rPr>
      </w:pPr>
      <w:r w:rsidRPr="00577EB1">
        <w:rPr>
          <w:b/>
          <w:szCs w:val="24"/>
          <w:lang w:val="fr-FR"/>
        </w:rPr>
        <w:t>Les médiocres performances des DSRP précédents et les crises récentes ont accru le besoin d’une protection sociale plus large, et de programmes de filets sociaux en particulier.</w:t>
      </w:r>
      <w:r w:rsidRPr="00577EB1">
        <w:rPr>
          <w:szCs w:val="24"/>
          <w:lang w:val="fr-FR"/>
        </w:rPr>
        <w:t xml:space="preserve"> </w:t>
      </w:r>
      <w:r w:rsidRPr="00577EB1">
        <w:rPr>
          <w:rStyle w:val="longtext"/>
          <w:shd w:val="clear" w:color="auto" w:fill="FFFFFF"/>
          <w:lang w:val="fr-FR"/>
        </w:rPr>
        <w:t xml:space="preserve">Le DSRP est en cours de révision et devrait être remplacé en 2010 par la </w:t>
      </w:r>
      <w:r w:rsidRPr="00577EB1">
        <w:rPr>
          <w:rStyle w:val="longtext"/>
          <w:shd w:val="clear" w:color="auto" w:fill="FFFFFF"/>
          <w:lang w:val="fr-FR"/>
        </w:rPr>
        <w:lastRenderedPageBreak/>
        <w:t xml:space="preserve">Stratégie de croissance accélérée et de développement durable (SCADD). </w:t>
      </w:r>
      <w:r w:rsidRPr="00577EB1">
        <w:rPr>
          <w:rStyle w:val="longtext"/>
          <w:lang w:val="fr-FR"/>
        </w:rPr>
        <w:t>En février 2010, cinq piliers ont été identifiés pour guider l’élaboration de la stratégie quinquennale envisagée. Il s’agit de</w:t>
      </w:r>
      <w:r w:rsidR="0007340F">
        <w:rPr>
          <w:rStyle w:val="longtext"/>
          <w:lang w:val="fr-FR"/>
        </w:rPr>
        <w:t xml:space="preserve"> </w:t>
      </w:r>
      <w:r w:rsidRPr="00577EB1">
        <w:rPr>
          <w:rStyle w:val="longtext"/>
          <w:lang w:val="fr-FR"/>
        </w:rPr>
        <w:t>l’accélération de la croissance économique</w:t>
      </w:r>
      <w:r w:rsidR="0007340F">
        <w:rPr>
          <w:rStyle w:val="longtext"/>
          <w:lang w:val="fr-FR"/>
        </w:rPr>
        <w:t xml:space="preserve"> </w:t>
      </w:r>
      <w:r w:rsidRPr="00577EB1">
        <w:rPr>
          <w:rStyle w:val="longtext"/>
          <w:lang w:val="fr-FR"/>
        </w:rPr>
        <w:t>la réduction de la pauvreté</w:t>
      </w:r>
      <w:r w:rsidR="0007340F">
        <w:rPr>
          <w:rStyle w:val="longtext"/>
          <w:lang w:val="fr-FR"/>
        </w:rPr>
        <w:t xml:space="preserve"> </w:t>
      </w:r>
      <w:r w:rsidRPr="00577EB1">
        <w:rPr>
          <w:rStyle w:val="longtext"/>
          <w:lang w:val="fr-FR"/>
        </w:rPr>
        <w:t>la gestion de la croissance démographique</w:t>
      </w:r>
      <w:r w:rsidR="0007340F">
        <w:rPr>
          <w:rStyle w:val="longtext"/>
          <w:lang w:val="fr-FR"/>
        </w:rPr>
        <w:t xml:space="preserve"> </w:t>
      </w:r>
      <w:r w:rsidRPr="00577EB1">
        <w:rPr>
          <w:rStyle w:val="longtext"/>
          <w:lang w:val="fr-FR"/>
        </w:rPr>
        <w:t>la préservation de l’environnement</w:t>
      </w:r>
      <w:r w:rsidR="0007340F">
        <w:rPr>
          <w:rStyle w:val="longtext"/>
          <w:lang w:val="fr-FR"/>
        </w:rPr>
        <w:t xml:space="preserve"> </w:t>
      </w:r>
      <w:r w:rsidRPr="00577EB1">
        <w:rPr>
          <w:rStyle w:val="longtext"/>
          <w:lang w:val="fr-FR"/>
        </w:rPr>
        <w:t xml:space="preserve">et la réduction des inégalités entre hommes et femmes [GovBF 2010]. </w:t>
      </w:r>
      <w:r w:rsidRPr="00577EB1">
        <w:rPr>
          <w:rStyle w:val="longtext"/>
          <w:shd w:val="clear" w:color="auto" w:fill="FFFFFF"/>
          <w:lang w:val="fr-FR"/>
        </w:rPr>
        <w:t>L’extension des filets sociaux</w:t>
      </w:r>
      <w:r w:rsidR="0007340F">
        <w:rPr>
          <w:rStyle w:val="longtext"/>
          <w:shd w:val="clear" w:color="auto" w:fill="FFFFFF"/>
          <w:lang w:val="fr-FR"/>
        </w:rPr>
        <w:t xml:space="preserve"> </w:t>
      </w:r>
      <w:r w:rsidRPr="00577EB1">
        <w:rPr>
          <w:rStyle w:val="longtext"/>
          <w:shd w:val="clear" w:color="auto" w:fill="FFFFFF"/>
          <w:lang w:val="fr-FR"/>
        </w:rPr>
        <w:t>ainsi que l’amélioration de l’accès aux services de base, la scolarisation universelle, l’accès à l’emploi, etc.</w:t>
      </w:r>
      <w:r w:rsidR="0007340F">
        <w:rPr>
          <w:rStyle w:val="longtext"/>
          <w:shd w:val="clear" w:color="auto" w:fill="FFFFFF"/>
          <w:lang w:val="fr-FR"/>
        </w:rPr>
        <w:t xml:space="preserve"> </w:t>
      </w:r>
      <w:r w:rsidRPr="00577EB1">
        <w:rPr>
          <w:rStyle w:val="longtext"/>
          <w:shd w:val="clear" w:color="auto" w:fill="FFFFFF"/>
          <w:lang w:val="fr-FR"/>
        </w:rPr>
        <w:t xml:space="preserve">constitue une action prioritaire explicitement identifiée dans le deuxième pilier de la prochaine SCADD. </w:t>
      </w:r>
      <w:r w:rsidRPr="00577EB1">
        <w:rPr>
          <w:rStyle w:val="longtext"/>
          <w:lang w:val="fr-FR"/>
        </w:rPr>
        <w:t xml:space="preserve">En avril 2010, le ministère de l’Économie et des Finances (MEF) a organisé un forum technique national sur la protection sociale avec le but déclaré de tracer les grandes lignes d’une vision nationale et consolidée de la protection sociale, incluant la composante des filets sociaux, et d’éclairer directement l’élaboration de la SCADD. </w:t>
      </w:r>
    </w:p>
    <w:p w:rsidR="00A54EB6" w:rsidRPr="00577EB1" w:rsidRDefault="00A54EB6" w:rsidP="00A54EB6">
      <w:pPr>
        <w:pStyle w:val="Style3"/>
        <w:rPr>
          <w:lang w:val="fr-FR"/>
        </w:rPr>
      </w:pPr>
      <w:r w:rsidRPr="00577EB1">
        <w:rPr>
          <w:lang w:val="fr-FR"/>
        </w:rPr>
        <w:t>Filets sociaux et approche du Burkina en matière de protection sociale</w:t>
      </w:r>
    </w:p>
    <w:p w:rsidR="00A54EB6" w:rsidRPr="00577EB1" w:rsidRDefault="00A54EB6" w:rsidP="00E52A30">
      <w:pPr>
        <w:numPr>
          <w:ilvl w:val="0"/>
          <w:numId w:val="2"/>
        </w:numPr>
        <w:ind w:left="0" w:firstLine="0"/>
        <w:rPr>
          <w:szCs w:val="24"/>
          <w:lang w:val="fr-FR"/>
        </w:rPr>
      </w:pPr>
      <w:r w:rsidRPr="00577EB1">
        <w:rPr>
          <w:b/>
          <w:szCs w:val="24"/>
          <w:lang w:val="fr-FR"/>
        </w:rPr>
        <w:t xml:space="preserve">Le Burkina n’a pas de politique de protection sociale consolidée adoptée par le Gouvernement. </w:t>
      </w:r>
      <w:r w:rsidRPr="00577EB1">
        <w:rPr>
          <w:szCs w:val="24"/>
          <w:lang w:val="fr-FR"/>
        </w:rPr>
        <w:t xml:space="preserve">En 2006, le ministère du Travail et de la Sécurité sociale (MTSS) a piloté un processus interministériel en vue de l’élaboration d’une politique nationale de protection sociale (Encadré 1). Ce document présente une approche multisectorielle intéressante dans laquelle la protection sociale est plus perçue comme un investissement que comme une aide. Conscient de l’énormité des besoins de protection sociale par rapport à la limitation des ressources, le document propose un certain nombre d’initiatives visant à s’assurer que les groupes les plus vulnérables sont les véritables bénéficiaires, tout en recherchant le meilleur rapport coût-efficacité du programme dans l’élaboration du système [MTSS 2007]. Les </w:t>
      </w:r>
      <w:r w:rsidRPr="00577EB1">
        <w:rPr>
          <w:rStyle w:val="longtext"/>
          <w:lang w:val="fr-FR"/>
        </w:rPr>
        <w:t xml:space="preserve">programmes de filets sociaux sont au cœur de la politique proposée. </w:t>
      </w:r>
      <w:r w:rsidRPr="00577EB1">
        <w:rPr>
          <w:rStyle w:val="longtext"/>
          <w:shd w:val="clear" w:color="auto" w:fill="FFFFFF"/>
          <w:lang w:val="fr-FR"/>
        </w:rPr>
        <w:t>Bien que ce document ait été finalisé en janvier 2007, il n’a jamais été adopté et le gouvernement a demandé à chaque ministère d’élaborer sa propre stratégie ministérielle, amenant ainsi le MASSN à développer sa politique nationale d’action sociale.</w:t>
      </w:r>
    </w:p>
    <w:p w:rsidR="00A54EB6" w:rsidRPr="00577EB1" w:rsidRDefault="00A54EB6" w:rsidP="00E52A30">
      <w:pPr>
        <w:numPr>
          <w:ilvl w:val="0"/>
          <w:numId w:val="2"/>
        </w:numPr>
        <w:ind w:left="0" w:firstLine="0"/>
        <w:rPr>
          <w:rStyle w:val="longtext"/>
          <w:lang w:val="fr-FR"/>
        </w:rPr>
      </w:pPr>
      <w:r w:rsidRPr="00577EB1">
        <w:rPr>
          <w:b/>
          <w:bCs/>
          <w:lang w:val="fr-FR"/>
        </w:rPr>
        <w:t xml:space="preserve">Les </w:t>
      </w:r>
      <w:r w:rsidRPr="00577EB1">
        <w:rPr>
          <w:rStyle w:val="longtext"/>
          <w:b/>
          <w:lang w:val="fr-FR"/>
        </w:rPr>
        <w:t xml:space="preserve">filets de sécurité sociale n’apparaissent pas comme un élément stratégique clé dans la </w:t>
      </w:r>
      <w:r w:rsidRPr="00577EB1">
        <w:rPr>
          <w:rStyle w:val="longtext"/>
          <w:b/>
          <w:shd w:val="clear" w:color="auto" w:fill="FFFFFF"/>
          <w:lang w:val="fr-FR"/>
        </w:rPr>
        <w:t>Politique nationale d’action sociale</w:t>
      </w:r>
      <w:r w:rsidRPr="00577EB1">
        <w:rPr>
          <w:rStyle w:val="longtext"/>
          <w:lang w:val="fr-FR"/>
        </w:rPr>
        <w:t xml:space="preserve">. </w:t>
      </w:r>
      <w:r w:rsidRPr="00577EB1">
        <w:rPr>
          <w:rStyle w:val="longtext"/>
          <w:shd w:val="clear" w:color="auto" w:fill="FFFFFF"/>
          <w:lang w:val="fr-FR"/>
        </w:rPr>
        <w:t>Cette politique ministérielle (Politique nationale d’action sociale ou PNAS) élaborée en 2007 par le MASSN, conformément au deuxième pilier du DSRP, vise à assurer la protection et la promotion de groupes sociaux spécifiques, et à créer des conditions favorables au renforcement de la solidarité au sein de la population</w:t>
      </w:r>
      <w:r w:rsidRPr="00577EB1">
        <w:rPr>
          <w:rStyle w:val="longtext"/>
          <w:lang w:val="fr-FR"/>
        </w:rPr>
        <w:t xml:space="preserve">. Elle </w:t>
      </w:r>
      <w:r w:rsidRPr="00577EB1">
        <w:rPr>
          <w:rStyle w:val="longtext"/>
          <w:shd w:val="clear" w:color="auto" w:fill="FFFFFF"/>
          <w:lang w:val="fr-FR"/>
        </w:rPr>
        <w:t>s’articule autour de cinq composantes</w:t>
      </w:r>
      <w:r w:rsidR="0007340F">
        <w:rPr>
          <w:rStyle w:val="longtext"/>
          <w:shd w:val="clear" w:color="auto" w:fill="FFFFFF"/>
          <w:lang w:val="fr-FR"/>
        </w:rPr>
        <w:t xml:space="preserve"> </w:t>
      </w:r>
      <w:r w:rsidRPr="00577EB1">
        <w:rPr>
          <w:rStyle w:val="longtext"/>
          <w:shd w:val="clear" w:color="auto" w:fill="FFFFFF"/>
          <w:lang w:val="fr-FR"/>
        </w:rPr>
        <w:t>l’amélioration des conditions de vie des ménages</w:t>
      </w:r>
      <w:r w:rsidR="0007340F">
        <w:rPr>
          <w:rStyle w:val="longtext"/>
          <w:shd w:val="clear" w:color="auto" w:fill="FFFFFF"/>
          <w:lang w:val="fr-FR"/>
        </w:rPr>
        <w:t xml:space="preserve"> </w:t>
      </w:r>
      <w:r w:rsidRPr="00577EB1">
        <w:rPr>
          <w:rStyle w:val="longtext"/>
          <w:shd w:val="clear" w:color="auto" w:fill="FFFFFF"/>
          <w:lang w:val="fr-FR"/>
        </w:rPr>
        <w:t>la promotion d’une culture de solidarité nationale</w:t>
      </w:r>
      <w:r w:rsidRPr="00577EB1">
        <w:rPr>
          <w:rStyle w:val="FootnoteReference"/>
          <w:szCs w:val="20"/>
          <w:lang w:val="fr-FR"/>
        </w:rPr>
        <w:footnoteReference w:id="10"/>
      </w:r>
      <w:r w:rsidRPr="00577EB1">
        <w:rPr>
          <w:rStyle w:val="longtext"/>
          <w:shd w:val="clear" w:color="auto" w:fill="FFFFFF"/>
          <w:lang w:val="fr-FR"/>
        </w:rPr>
        <w:t>, la protection et la promotion de groupes spécifiques</w:t>
      </w:r>
      <w:r w:rsidR="0007340F">
        <w:rPr>
          <w:rStyle w:val="longtext"/>
          <w:shd w:val="clear" w:color="auto" w:fill="FFFFFF"/>
          <w:lang w:val="fr-FR"/>
        </w:rPr>
        <w:t xml:space="preserve"> </w:t>
      </w:r>
      <w:r w:rsidRPr="00577EB1">
        <w:rPr>
          <w:rStyle w:val="longtext"/>
          <w:shd w:val="clear" w:color="auto" w:fill="FFFFFF"/>
          <w:lang w:val="fr-FR"/>
        </w:rPr>
        <w:t>la contribution à la lutte contre le VIH/SIDA</w:t>
      </w:r>
      <w:r w:rsidR="0007340F">
        <w:rPr>
          <w:rStyle w:val="longtext"/>
          <w:shd w:val="clear" w:color="auto" w:fill="FFFFFF"/>
          <w:lang w:val="fr-FR"/>
        </w:rPr>
        <w:t xml:space="preserve"> </w:t>
      </w:r>
      <w:r w:rsidRPr="00577EB1">
        <w:rPr>
          <w:rStyle w:val="longtext"/>
          <w:shd w:val="clear" w:color="auto" w:fill="FFFFFF"/>
          <w:lang w:val="fr-FR"/>
        </w:rPr>
        <w:t xml:space="preserve">et le renforcement des capacités institutionnelles [MASSN 2007]. Les activités proposées, qui se limitent au mandat du MASSN, mettent l’accent sur l’éducation et la sensibilisation, la prestation de services d’assistance sociale (au profit des personnes handicapées et enfants vulnérables, par exemple), la protection juridique et l’appui aux activités génératrices de revenus. Les filets sociaux ne bénéficient donc que de peu </w:t>
      </w:r>
      <w:r w:rsidRPr="00577EB1">
        <w:rPr>
          <w:rStyle w:val="longtext"/>
          <w:lang w:val="fr-FR"/>
        </w:rPr>
        <w:t xml:space="preserve">d’attention. </w:t>
      </w:r>
      <w:r w:rsidRPr="00577EB1">
        <w:rPr>
          <w:rStyle w:val="longtext"/>
          <w:shd w:val="clear" w:color="auto" w:fill="FFFFFF"/>
          <w:lang w:val="fr-FR"/>
        </w:rPr>
        <w:t xml:space="preserve">La politique ne prend pas en compte la fourniture d’un appui financier aux orphelins et autres enfants vulnérables (OEV), aux personnes affectées par une catastrophe, ou dans le cadre des actions de solidarité. Rien n’est non plus précisé sur l’institutionnalisation de différentes </w:t>
      </w:r>
      <w:r w:rsidRPr="00577EB1">
        <w:rPr>
          <w:rStyle w:val="longtext"/>
          <w:shd w:val="clear" w:color="auto" w:fill="FFFFFF"/>
          <w:lang w:val="fr-FR"/>
        </w:rPr>
        <w:lastRenderedPageBreak/>
        <w:t>formes de transferts sociaux réguliers et prévisibles aux personnes ou ménages</w:t>
      </w:r>
      <w:r w:rsidRPr="00577EB1">
        <w:rPr>
          <w:rStyle w:val="FootnoteReference"/>
          <w:lang w:val="fr-FR"/>
        </w:rPr>
        <w:footnoteReference w:id="11"/>
      </w:r>
      <w:r w:rsidRPr="00577EB1">
        <w:rPr>
          <w:lang w:val="fr-FR"/>
        </w:rPr>
        <w:t xml:space="preserve"> </w:t>
      </w:r>
      <w:r w:rsidRPr="00577EB1">
        <w:rPr>
          <w:rStyle w:val="longtext"/>
          <w:shd w:val="clear" w:color="auto" w:fill="FFFFFF"/>
          <w:lang w:val="fr-FR"/>
        </w:rPr>
        <w:t>pauvres ou vulnérables.</w:t>
      </w:r>
    </w:p>
    <w:p w:rsidR="00A54EB6" w:rsidRPr="00577EB1" w:rsidRDefault="00A54EB6" w:rsidP="00E52A30">
      <w:pPr>
        <w:numPr>
          <w:ilvl w:val="0"/>
          <w:numId w:val="2"/>
        </w:numPr>
        <w:ind w:left="0" w:firstLine="0"/>
        <w:rPr>
          <w:lang w:val="fr-FR"/>
        </w:rPr>
      </w:pPr>
      <w:r w:rsidRPr="00577EB1">
        <w:rPr>
          <w:rStyle w:val="longtext"/>
          <w:b/>
          <w:shd w:val="clear" w:color="auto" w:fill="FFFFFF"/>
          <w:lang w:val="fr-FR"/>
        </w:rPr>
        <w:t>Le gouvernement a pris récemment différentes initiatives en faveur du développement d’une stratégie nationale de protection sociale, et la perspective de l’intégration d’une composante de protection sociale dans la prochaine SCADD offre une opportunité de promouvoir de nouveau l’approche multisectorielle nécessaire à la protection sociale et aux filets sociaux</w:t>
      </w:r>
      <w:r w:rsidRPr="00577EB1">
        <w:rPr>
          <w:rStyle w:val="longtext"/>
          <w:shd w:val="clear" w:color="auto" w:fill="FFFFFF"/>
          <w:lang w:val="fr-FR"/>
        </w:rPr>
        <w:t xml:space="preserve">. Comme indiqué dans la prochaine section, la protection sociale est en train de prendre de l’ampleur, et les acteurs nationaux et internationaux essaient d’obtenir un consensus national entre les différents ministères et organismes. Des efforts sont en cours </w:t>
      </w:r>
      <w:r w:rsidRPr="00577EB1">
        <w:rPr>
          <w:rStyle w:val="longtext"/>
          <w:lang w:val="fr-FR"/>
        </w:rPr>
        <w:t>pour promouvoir une stratégie intégrée de protection sociale qui comprendra également un système efficace de filets sociaux.</w:t>
      </w:r>
      <w:r w:rsidRPr="00577EB1">
        <w:rPr>
          <w:lang w:val="fr-FR"/>
        </w:rPr>
        <w:t xml:space="preserve"> </w:t>
      </w:r>
    </w:p>
    <w:p w:rsidR="004B3541" w:rsidRPr="004B3541" w:rsidRDefault="00613457" w:rsidP="004F743C">
      <w:pPr>
        <w:pStyle w:val="Heading9"/>
      </w:pPr>
      <w:bookmarkStart w:id="56" w:name="_Toc262170073"/>
      <w:r w:rsidRPr="00613457">
        <w:lastRenderedPageBreak/>
        <w:t xml:space="preserve"> </w:t>
      </w:r>
      <w:bookmarkStart w:id="57" w:name="_Toc284613561"/>
      <w:r w:rsidRPr="005738FE">
        <w:t xml:space="preserve">Encadré </w:t>
      </w:r>
      <w:r w:rsidR="00725419">
        <w:fldChar w:fldCharType="begin"/>
      </w:r>
      <w:r w:rsidRPr="005738FE">
        <w:instrText xml:space="preserve"> SEQ Encadré \* ARABIC </w:instrText>
      </w:r>
      <w:r w:rsidR="00725419">
        <w:fldChar w:fldCharType="separate"/>
      </w:r>
      <w:r w:rsidR="00EF56B2">
        <w:rPr>
          <w:noProof/>
        </w:rPr>
        <w:t>1</w:t>
      </w:r>
      <w:r w:rsidR="00725419">
        <w:fldChar w:fldCharType="end"/>
      </w:r>
      <w:r w:rsidR="00EB214A" w:rsidRPr="00EB214A">
        <w:t xml:space="preserve"> : Grandes lignes de la politique nationale de protection sociale élaborée sous la direction du MTSS (non adopté)</w:t>
      </w:r>
      <w:bookmarkEnd w:id="56"/>
      <w:bookmarkEnd w:id="57"/>
    </w:p>
    <w:tbl>
      <w:tblPr>
        <w:tblW w:w="5000" w:type="pct"/>
        <w:tblBorders>
          <w:top w:val="single" w:sz="4" w:space="0" w:color="auto"/>
          <w:left w:val="single" w:sz="4" w:space="0" w:color="auto"/>
          <w:bottom w:val="single" w:sz="4" w:space="0" w:color="auto"/>
          <w:right w:val="single" w:sz="4" w:space="0" w:color="auto"/>
        </w:tblBorders>
        <w:tblCellMar>
          <w:top w:w="113" w:type="dxa"/>
          <w:left w:w="113" w:type="dxa"/>
          <w:bottom w:w="113" w:type="dxa"/>
          <w:right w:w="113" w:type="dxa"/>
        </w:tblCellMar>
        <w:tblLook w:val="01E0"/>
      </w:tblPr>
      <w:tblGrid>
        <w:gridCol w:w="9015"/>
      </w:tblGrid>
      <w:tr w:rsidR="00A54EB6" w:rsidRPr="000A70E6" w:rsidTr="0050199E">
        <w:trPr>
          <w:trHeight w:val="303"/>
        </w:trPr>
        <w:tc>
          <w:tcPr>
            <w:tcW w:w="5000" w:type="pct"/>
            <w:tcBorders>
              <w:top w:val="single" w:sz="4" w:space="0" w:color="auto"/>
              <w:bottom w:val="single" w:sz="4" w:space="0" w:color="auto"/>
            </w:tcBorders>
          </w:tcPr>
          <w:p w:rsidR="00A54EB6" w:rsidRPr="00577EB1" w:rsidRDefault="00A54EB6" w:rsidP="005738FE">
            <w:pPr>
              <w:pStyle w:val="MainParawithChapter"/>
              <w:keepNext/>
              <w:keepLines/>
              <w:tabs>
                <w:tab w:val="clear" w:pos="709"/>
                <w:tab w:val="left" w:pos="313"/>
              </w:tabs>
              <w:spacing w:before="0" w:after="0"/>
              <w:ind w:left="0" w:firstLine="0"/>
              <w:rPr>
                <w:sz w:val="20"/>
                <w:lang w:val="fr-FR"/>
              </w:rPr>
            </w:pPr>
            <w:r w:rsidRPr="00577EB1">
              <w:rPr>
                <w:b/>
                <w:sz w:val="20"/>
                <w:lang w:val="fr-FR"/>
              </w:rPr>
              <w:t>Objectif général</w:t>
            </w:r>
            <w:r w:rsidR="0007340F">
              <w:rPr>
                <w:b/>
                <w:sz w:val="20"/>
                <w:lang w:val="fr-FR"/>
              </w:rPr>
              <w:t xml:space="preserve"> </w:t>
            </w:r>
            <w:r w:rsidRPr="00577EB1">
              <w:rPr>
                <w:rStyle w:val="longtext"/>
                <w:sz w:val="20"/>
                <w:szCs w:val="20"/>
                <w:shd w:val="clear" w:color="auto" w:fill="FFFFFF"/>
                <w:lang w:val="fr-FR"/>
              </w:rPr>
              <w:t>Atténuer l’impact des chocs menaçant directement la vie des groupes les plus vulnérables de la population</w:t>
            </w:r>
            <w:r w:rsidRPr="00577EB1">
              <w:rPr>
                <w:sz w:val="20"/>
                <w:lang w:val="fr-FR"/>
              </w:rPr>
              <w:t>.</w:t>
            </w:r>
          </w:p>
          <w:p w:rsidR="00A54EB6" w:rsidRPr="00577EB1" w:rsidRDefault="00A54EB6" w:rsidP="005738FE">
            <w:pPr>
              <w:pStyle w:val="MainParawithChapter"/>
              <w:keepNext/>
              <w:keepLines/>
              <w:tabs>
                <w:tab w:val="clear" w:pos="709"/>
                <w:tab w:val="left" w:pos="313"/>
              </w:tabs>
              <w:spacing w:before="60" w:after="0"/>
              <w:ind w:left="0" w:firstLine="0"/>
              <w:rPr>
                <w:sz w:val="20"/>
                <w:lang w:val="fr-FR"/>
              </w:rPr>
            </w:pPr>
            <w:r w:rsidRPr="00577EB1">
              <w:rPr>
                <w:b/>
                <w:sz w:val="20"/>
                <w:lang w:val="fr-FR"/>
              </w:rPr>
              <w:t>Objectifs spécifiques </w:t>
            </w:r>
            <w:r w:rsidRPr="00577EB1">
              <w:rPr>
                <w:sz w:val="20"/>
                <w:lang w:val="fr-FR"/>
              </w:rPr>
              <w:t>:</w:t>
            </w:r>
          </w:p>
          <w:p w:rsidR="00A54EB6" w:rsidRPr="00577EB1" w:rsidRDefault="00A54EB6" w:rsidP="005738FE">
            <w:pPr>
              <w:pStyle w:val="MainParawithChapter"/>
              <w:keepNext/>
              <w:keepLines/>
              <w:numPr>
                <w:ilvl w:val="0"/>
                <w:numId w:val="8"/>
              </w:numPr>
              <w:tabs>
                <w:tab w:val="clear" w:pos="709"/>
                <w:tab w:val="left" w:pos="313"/>
              </w:tabs>
              <w:spacing w:before="0" w:after="0"/>
              <w:ind w:left="312" w:hanging="312"/>
              <w:rPr>
                <w:sz w:val="20"/>
                <w:lang w:val="fr-FR"/>
              </w:rPr>
            </w:pPr>
            <w:r w:rsidRPr="00577EB1">
              <w:rPr>
                <w:rStyle w:val="longtext"/>
                <w:sz w:val="20"/>
                <w:szCs w:val="20"/>
                <w:shd w:val="clear" w:color="auto" w:fill="FFFFFF"/>
                <w:lang w:val="fr-FR"/>
              </w:rPr>
              <w:t>Assurer l’accès des groupes les plus démunis ou vulnérables aux services sociaux de base (essentiellement la santé et l’éducation) et à des revenus temporaires en cas de chocs menaçant la survie du ménage</w:t>
            </w:r>
            <w:r w:rsidR="0007340F">
              <w:rPr>
                <w:rStyle w:val="longtext"/>
                <w:sz w:val="20"/>
                <w:szCs w:val="20"/>
                <w:shd w:val="clear" w:color="auto" w:fill="FFFFFF"/>
                <w:lang w:val="fr-FR"/>
              </w:rPr>
              <w:t xml:space="preserve"> </w:t>
            </w:r>
            <w:r w:rsidRPr="00577EB1">
              <w:rPr>
                <w:sz w:val="20"/>
                <w:lang w:val="fr-FR"/>
              </w:rPr>
              <w:t>et</w:t>
            </w:r>
          </w:p>
          <w:p w:rsidR="00A54EB6" w:rsidRPr="00577EB1" w:rsidRDefault="00A54EB6" w:rsidP="005738FE">
            <w:pPr>
              <w:pStyle w:val="MainParawithChapter"/>
              <w:keepNext/>
              <w:keepLines/>
              <w:numPr>
                <w:ilvl w:val="0"/>
                <w:numId w:val="8"/>
              </w:numPr>
              <w:tabs>
                <w:tab w:val="clear" w:pos="709"/>
                <w:tab w:val="left" w:pos="313"/>
              </w:tabs>
              <w:spacing w:before="0" w:after="0"/>
              <w:ind w:left="312" w:hanging="312"/>
              <w:rPr>
                <w:sz w:val="20"/>
                <w:lang w:val="fr-FR"/>
              </w:rPr>
            </w:pPr>
            <w:r w:rsidRPr="00577EB1">
              <w:rPr>
                <w:rStyle w:val="longtext"/>
                <w:sz w:val="20"/>
                <w:szCs w:val="20"/>
                <w:shd w:val="clear" w:color="auto" w:fill="FFFFFF"/>
                <w:lang w:val="fr-FR"/>
              </w:rPr>
              <w:t xml:space="preserve">Créer un environnement favorable au développement de la protection sociale par le biais de mécanismes de marché pour ceux qui peuvent y contribuer. </w:t>
            </w:r>
          </w:p>
          <w:p w:rsidR="00A54EB6" w:rsidRPr="00577EB1" w:rsidRDefault="00A54EB6" w:rsidP="005738FE">
            <w:pPr>
              <w:pStyle w:val="MainParawithChapter"/>
              <w:keepNext/>
              <w:keepLines/>
              <w:tabs>
                <w:tab w:val="clear" w:pos="709"/>
                <w:tab w:val="left" w:pos="313"/>
              </w:tabs>
              <w:spacing w:before="60" w:after="0"/>
              <w:ind w:left="0" w:firstLine="0"/>
              <w:rPr>
                <w:sz w:val="20"/>
                <w:lang w:val="fr-FR"/>
              </w:rPr>
            </w:pPr>
            <w:r w:rsidRPr="00577EB1">
              <w:rPr>
                <w:b/>
                <w:sz w:val="20"/>
                <w:lang w:val="fr-FR"/>
              </w:rPr>
              <w:t>Principes directeurs</w:t>
            </w:r>
            <w:r w:rsidR="0007340F">
              <w:rPr>
                <w:b/>
                <w:sz w:val="20"/>
                <w:lang w:val="fr-FR"/>
              </w:rPr>
              <w:t xml:space="preserve"> </w:t>
            </w:r>
            <w:r w:rsidRPr="00577EB1">
              <w:rPr>
                <w:rStyle w:val="longtext"/>
                <w:sz w:val="20"/>
                <w:szCs w:val="20"/>
                <w:shd w:val="clear" w:color="auto" w:fill="FFFFFF"/>
                <w:lang w:val="fr-FR"/>
              </w:rPr>
              <w:t>Solidarité nationale</w:t>
            </w:r>
            <w:r w:rsidR="0007340F">
              <w:rPr>
                <w:rStyle w:val="longtext"/>
                <w:sz w:val="20"/>
                <w:szCs w:val="20"/>
                <w:shd w:val="clear" w:color="auto" w:fill="FFFFFF"/>
                <w:lang w:val="fr-FR"/>
              </w:rPr>
              <w:t xml:space="preserve"> </w:t>
            </w:r>
            <w:r w:rsidRPr="00577EB1">
              <w:rPr>
                <w:rStyle w:val="longtext"/>
                <w:sz w:val="20"/>
                <w:szCs w:val="20"/>
                <w:shd w:val="clear" w:color="auto" w:fill="FFFFFF"/>
                <w:lang w:val="fr-FR"/>
              </w:rPr>
              <w:t>équité et égalité de traitement</w:t>
            </w:r>
            <w:r w:rsidR="0007340F">
              <w:rPr>
                <w:rStyle w:val="longtext"/>
                <w:sz w:val="20"/>
                <w:szCs w:val="20"/>
                <w:shd w:val="clear" w:color="auto" w:fill="FFFFFF"/>
                <w:lang w:val="fr-FR"/>
              </w:rPr>
              <w:t xml:space="preserve"> </w:t>
            </w:r>
            <w:r w:rsidRPr="00577EB1">
              <w:rPr>
                <w:rStyle w:val="longtext"/>
                <w:sz w:val="20"/>
                <w:szCs w:val="20"/>
                <w:shd w:val="clear" w:color="auto" w:fill="FFFFFF"/>
                <w:lang w:val="fr-FR"/>
              </w:rPr>
              <w:t>diversification des instruments et des acteurs</w:t>
            </w:r>
            <w:r w:rsidR="0007340F">
              <w:rPr>
                <w:rStyle w:val="longtext"/>
                <w:sz w:val="20"/>
                <w:szCs w:val="20"/>
                <w:shd w:val="clear" w:color="auto" w:fill="FFFFFF"/>
                <w:lang w:val="fr-FR"/>
              </w:rPr>
              <w:t xml:space="preserve"> </w:t>
            </w:r>
            <w:r w:rsidRPr="00577EB1">
              <w:rPr>
                <w:rStyle w:val="longtext"/>
                <w:sz w:val="20"/>
                <w:szCs w:val="20"/>
                <w:shd w:val="clear" w:color="auto" w:fill="FFFFFF"/>
                <w:lang w:val="fr-FR"/>
              </w:rPr>
              <w:t>responsabilité globale de l’État</w:t>
            </w:r>
            <w:r w:rsidR="0007340F">
              <w:rPr>
                <w:rStyle w:val="longtext"/>
                <w:sz w:val="20"/>
                <w:szCs w:val="20"/>
                <w:shd w:val="clear" w:color="auto" w:fill="FFFFFF"/>
                <w:lang w:val="fr-FR"/>
              </w:rPr>
              <w:t xml:space="preserve"> </w:t>
            </w:r>
            <w:r w:rsidRPr="00577EB1">
              <w:rPr>
                <w:rStyle w:val="longtext"/>
                <w:sz w:val="20"/>
                <w:szCs w:val="20"/>
                <w:shd w:val="clear" w:color="auto" w:fill="FFFFFF"/>
                <w:lang w:val="fr-FR"/>
              </w:rPr>
              <w:t>et gestion démocratique.</w:t>
            </w:r>
          </w:p>
          <w:p w:rsidR="00A54EB6" w:rsidRPr="00577EB1" w:rsidRDefault="00A54EB6" w:rsidP="005738FE">
            <w:pPr>
              <w:pStyle w:val="MainParawithChapter"/>
              <w:keepNext/>
              <w:keepLines/>
              <w:tabs>
                <w:tab w:val="clear" w:pos="709"/>
                <w:tab w:val="left" w:pos="313"/>
              </w:tabs>
              <w:spacing w:before="60" w:after="0"/>
              <w:ind w:left="0" w:firstLine="0"/>
              <w:rPr>
                <w:sz w:val="20"/>
                <w:lang w:val="fr-FR"/>
              </w:rPr>
            </w:pPr>
            <w:r w:rsidRPr="00577EB1">
              <w:rPr>
                <w:b/>
                <w:sz w:val="20"/>
                <w:lang w:val="fr-FR"/>
              </w:rPr>
              <w:t>Piliers</w:t>
            </w:r>
            <w:r w:rsidRPr="00577EB1">
              <w:rPr>
                <w:sz w:val="20"/>
                <w:lang w:val="fr-FR"/>
              </w:rPr>
              <w:t>:</w:t>
            </w:r>
          </w:p>
          <w:p w:rsidR="00A54EB6" w:rsidRPr="00577EB1" w:rsidRDefault="00A54EB6" w:rsidP="005738FE">
            <w:pPr>
              <w:pStyle w:val="MainParawithChapter"/>
              <w:keepNext/>
              <w:keepLines/>
              <w:numPr>
                <w:ilvl w:val="0"/>
                <w:numId w:val="7"/>
              </w:numPr>
              <w:tabs>
                <w:tab w:val="clear" w:pos="709"/>
                <w:tab w:val="left" w:pos="313"/>
              </w:tabs>
              <w:spacing w:before="0" w:after="0"/>
              <w:ind w:left="312" w:hanging="312"/>
              <w:rPr>
                <w:sz w:val="20"/>
                <w:lang w:val="fr-FR"/>
              </w:rPr>
            </w:pPr>
            <w:r w:rsidRPr="00577EB1">
              <w:rPr>
                <w:rStyle w:val="longtext"/>
                <w:sz w:val="20"/>
                <w:szCs w:val="20"/>
                <w:shd w:val="clear" w:color="auto" w:fill="FFFFFF"/>
                <w:lang w:val="fr-FR"/>
              </w:rPr>
              <w:t>Assurer l’accès des populations indigentes et des groupes particulièrement vulnérables aux services sociaux de base</w:t>
            </w:r>
            <w:r w:rsidR="0007340F">
              <w:rPr>
                <w:rStyle w:val="longtext"/>
                <w:sz w:val="20"/>
                <w:szCs w:val="20"/>
                <w:shd w:val="clear" w:color="auto" w:fill="FFFFFF"/>
                <w:lang w:val="fr-FR"/>
              </w:rPr>
              <w:t xml:space="preserve"> </w:t>
            </w:r>
          </w:p>
          <w:p w:rsidR="00A54EB6" w:rsidRPr="00577EB1" w:rsidRDefault="00A54EB6" w:rsidP="005738FE">
            <w:pPr>
              <w:pStyle w:val="MainParawithChapter"/>
              <w:keepNext/>
              <w:keepLines/>
              <w:numPr>
                <w:ilvl w:val="0"/>
                <w:numId w:val="7"/>
              </w:numPr>
              <w:tabs>
                <w:tab w:val="clear" w:pos="709"/>
                <w:tab w:val="left" w:pos="313"/>
              </w:tabs>
              <w:spacing w:before="0" w:after="0"/>
              <w:ind w:left="312" w:hanging="312"/>
              <w:rPr>
                <w:rStyle w:val="longtext"/>
                <w:sz w:val="20"/>
                <w:lang w:val="fr-FR"/>
              </w:rPr>
            </w:pPr>
            <w:r w:rsidRPr="00577EB1">
              <w:rPr>
                <w:rStyle w:val="longtext"/>
                <w:sz w:val="20"/>
                <w:szCs w:val="20"/>
                <w:shd w:val="clear" w:color="auto" w:fill="FFFFFF"/>
                <w:lang w:val="fr-FR"/>
              </w:rPr>
              <w:t>Assurer une couverture sociale adéquate pour les acteurs du secteur informel</w:t>
            </w:r>
            <w:r w:rsidR="0007340F">
              <w:rPr>
                <w:rStyle w:val="longtext"/>
                <w:sz w:val="20"/>
                <w:szCs w:val="20"/>
                <w:shd w:val="clear" w:color="auto" w:fill="FFFFFF"/>
                <w:lang w:val="fr-FR"/>
              </w:rPr>
              <w:t xml:space="preserve"> </w:t>
            </w:r>
            <w:r w:rsidRPr="00577EB1">
              <w:rPr>
                <w:rStyle w:val="longtext"/>
                <w:sz w:val="20"/>
                <w:szCs w:val="20"/>
                <w:shd w:val="clear" w:color="auto" w:fill="FFFFFF"/>
                <w:lang w:val="fr-FR"/>
              </w:rPr>
              <w:t>et</w:t>
            </w:r>
          </w:p>
          <w:p w:rsidR="00A54EB6" w:rsidRPr="00577EB1" w:rsidRDefault="00A54EB6" w:rsidP="005738FE">
            <w:pPr>
              <w:pStyle w:val="MainParawithChapter"/>
              <w:keepNext/>
              <w:keepLines/>
              <w:numPr>
                <w:ilvl w:val="0"/>
                <w:numId w:val="7"/>
              </w:numPr>
              <w:tabs>
                <w:tab w:val="clear" w:pos="709"/>
                <w:tab w:val="left" w:pos="313"/>
              </w:tabs>
              <w:spacing w:before="0" w:after="0"/>
              <w:ind w:left="312" w:hanging="312"/>
              <w:rPr>
                <w:sz w:val="20"/>
                <w:lang w:val="fr-FR"/>
              </w:rPr>
            </w:pPr>
            <w:r w:rsidRPr="00577EB1">
              <w:rPr>
                <w:rStyle w:val="longtext"/>
                <w:sz w:val="20"/>
                <w:szCs w:val="20"/>
                <w:shd w:val="clear" w:color="auto" w:fill="FFFFFF"/>
                <w:lang w:val="fr-FR"/>
              </w:rPr>
              <w:t>Réformer la sécurité sociale institutionnelle et renforcer sa légitimité</w:t>
            </w:r>
            <w:r w:rsidRPr="00577EB1">
              <w:rPr>
                <w:sz w:val="20"/>
                <w:lang w:val="fr-FR"/>
              </w:rPr>
              <w:t>.</w:t>
            </w:r>
          </w:p>
          <w:p w:rsidR="00A54EB6" w:rsidRPr="00577EB1" w:rsidRDefault="00A54EB6" w:rsidP="005738FE">
            <w:pPr>
              <w:pStyle w:val="MainParawithChapter"/>
              <w:keepNext/>
              <w:keepLines/>
              <w:tabs>
                <w:tab w:val="clear" w:pos="709"/>
                <w:tab w:val="left" w:pos="313"/>
              </w:tabs>
              <w:spacing w:before="60" w:after="0"/>
              <w:ind w:left="0" w:firstLine="0"/>
              <w:rPr>
                <w:b/>
                <w:sz w:val="20"/>
                <w:lang w:val="fr-FR"/>
              </w:rPr>
            </w:pPr>
            <w:r w:rsidRPr="00577EB1">
              <w:rPr>
                <w:b/>
                <w:sz w:val="20"/>
                <w:lang w:val="fr-FR"/>
              </w:rPr>
              <w:t>Activités proposées (pour la période de transition 2006-2008) :</w:t>
            </w:r>
          </w:p>
          <w:p w:rsidR="00A54EB6" w:rsidRPr="00577EB1" w:rsidRDefault="00A54EB6" w:rsidP="005738FE">
            <w:pPr>
              <w:pStyle w:val="MainParawithChapter"/>
              <w:keepNext/>
              <w:keepLines/>
              <w:numPr>
                <w:ilvl w:val="0"/>
                <w:numId w:val="8"/>
              </w:numPr>
              <w:tabs>
                <w:tab w:val="clear" w:pos="709"/>
                <w:tab w:val="left" w:pos="313"/>
              </w:tabs>
              <w:spacing w:before="60" w:after="0"/>
              <w:ind w:left="313" w:hanging="313"/>
              <w:rPr>
                <w:sz w:val="20"/>
                <w:lang w:val="fr-FR"/>
              </w:rPr>
            </w:pPr>
            <w:r w:rsidRPr="00577EB1">
              <w:rPr>
                <w:rStyle w:val="longtext"/>
                <w:sz w:val="20"/>
                <w:szCs w:val="20"/>
                <w:shd w:val="clear" w:color="auto" w:fill="FFFFFF"/>
                <w:lang w:val="fr-FR"/>
              </w:rPr>
              <w:t>Poursuite des programmes existants et évaluation de leur rapport coût-efficacité :</w:t>
            </w:r>
          </w:p>
          <w:p w:rsidR="00A54EB6" w:rsidRPr="00577EB1" w:rsidRDefault="00A54EB6" w:rsidP="005738FE">
            <w:pPr>
              <w:pStyle w:val="MainParawithChapter"/>
              <w:keepNext/>
              <w:keepLines/>
              <w:numPr>
                <w:ilvl w:val="0"/>
                <w:numId w:val="6"/>
              </w:numPr>
              <w:tabs>
                <w:tab w:val="clear" w:pos="709"/>
                <w:tab w:val="left" w:pos="720"/>
              </w:tabs>
              <w:spacing w:before="0" w:after="0"/>
              <w:ind w:hanging="408"/>
              <w:rPr>
                <w:sz w:val="20"/>
                <w:lang w:val="fr-FR"/>
              </w:rPr>
            </w:pPr>
            <w:r w:rsidRPr="00577EB1">
              <w:rPr>
                <w:rStyle w:val="longtext"/>
                <w:sz w:val="20"/>
                <w:szCs w:val="20"/>
                <w:shd w:val="clear" w:color="auto" w:fill="FFFFFF"/>
                <w:lang w:val="fr-FR"/>
              </w:rPr>
              <w:t>Santé</w:t>
            </w:r>
            <w:r w:rsidR="0007340F">
              <w:rPr>
                <w:rStyle w:val="longtext"/>
                <w:sz w:val="20"/>
                <w:szCs w:val="20"/>
                <w:shd w:val="clear" w:color="auto" w:fill="FFFFFF"/>
                <w:lang w:val="fr-FR"/>
              </w:rPr>
              <w:t xml:space="preserve"> </w:t>
            </w:r>
            <w:r w:rsidRPr="00577EB1">
              <w:rPr>
                <w:rStyle w:val="longtext"/>
                <w:sz w:val="20"/>
                <w:szCs w:val="20"/>
                <w:shd w:val="clear" w:color="auto" w:fill="FFFFFF"/>
                <w:lang w:val="fr-FR"/>
              </w:rPr>
              <w:t>programmes de lutte contre le paludisme et le VIH/SIDA</w:t>
            </w:r>
            <w:r w:rsidR="0007340F">
              <w:rPr>
                <w:rStyle w:val="longtext"/>
                <w:sz w:val="20"/>
                <w:szCs w:val="20"/>
                <w:shd w:val="clear" w:color="auto" w:fill="FFFFFF"/>
                <w:lang w:val="fr-FR"/>
              </w:rPr>
              <w:t xml:space="preserve"> </w:t>
            </w:r>
            <w:r w:rsidRPr="00577EB1">
              <w:rPr>
                <w:rStyle w:val="longtext"/>
                <w:sz w:val="20"/>
                <w:szCs w:val="20"/>
                <w:shd w:val="clear" w:color="auto" w:fill="FFFFFF"/>
                <w:lang w:val="fr-FR"/>
              </w:rPr>
              <w:t>subvention des soins obstétricaux </w:t>
            </w:r>
            <w:r w:rsidRPr="00577EB1">
              <w:rPr>
                <w:sz w:val="20"/>
                <w:lang w:val="fr-FR"/>
              </w:rPr>
              <w:t>;</w:t>
            </w:r>
          </w:p>
          <w:p w:rsidR="00A54EB6" w:rsidRPr="00577EB1" w:rsidRDefault="00A54EB6" w:rsidP="005738FE">
            <w:pPr>
              <w:pStyle w:val="MainParawithChapter"/>
              <w:keepNext/>
              <w:keepLines/>
              <w:numPr>
                <w:ilvl w:val="0"/>
                <w:numId w:val="6"/>
              </w:numPr>
              <w:tabs>
                <w:tab w:val="clear" w:pos="709"/>
                <w:tab w:val="left" w:pos="720"/>
              </w:tabs>
              <w:spacing w:before="0" w:after="0"/>
              <w:ind w:hanging="408"/>
              <w:rPr>
                <w:sz w:val="20"/>
                <w:lang w:val="fr-FR"/>
              </w:rPr>
            </w:pPr>
            <w:r w:rsidRPr="00577EB1">
              <w:rPr>
                <w:sz w:val="20"/>
                <w:lang w:val="fr-FR"/>
              </w:rPr>
              <w:t>Éducation</w:t>
            </w:r>
            <w:r w:rsidR="0007340F">
              <w:rPr>
                <w:sz w:val="20"/>
                <w:lang w:val="fr-FR"/>
              </w:rPr>
              <w:t xml:space="preserve"> </w:t>
            </w:r>
            <w:r w:rsidRPr="00577EB1">
              <w:rPr>
                <w:sz w:val="20"/>
                <w:lang w:val="fr-FR"/>
              </w:rPr>
              <w:t xml:space="preserve">cantine scolaire, </w:t>
            </w:r>
            <w:r w:rsidRPr="00577EB1">
              <w:rPr>
                <w:rStyle w:val="longtext"/>
                <w:sz w:val="20"/>
                <w:szCs w:val="20"/>
                <w:shd w:val="clear" w:color="auto" w:fill="FFFFFF"/>
                <w:lang w:val="fr-FR"/>
              </w:rPr>
              <w:t>approvisionnement en eau, écoles communautaires, fourniture de matériel scolaire, suppression des contributions des parents d’élèves dans les zones démunies, et programmes éducatifs soutenus par le MASSN (au profit des enfants de la rue, des enfants ayant des difficultés d’apprentissage, et de l’enseignement préscolaire) </w:t>
            </w:r>
            <w:r w:rsidRPr="00577EB1">
              <w:rPr>
                <w:sz w:val="20"/>
                <w:lang w:val="fr-FR"/>
              </w:rPr>
              <w:t>;</w:t>
            </w:r>
          </w:p>
          <w:p w:rsidR="00A54EB6" w:rsidRPr="00577EB1" w:rsidRDefault="00A54EB6" w:rsidP="005738FE">
            <w:pPr>
              <w:pStyle w:val="MainParawithChapter"/>
              <w:keepNext/>
              <w:keepLines/>
              <w:numPr>
                <w:ilvl w:val="0"/>
                <w:numId w:val="6"/>
              </w:numPr>
              <w:tabs>
                <w:tab w:val="clear" w:pos="709"/>
                <w:tab w:val="left" w:pos="720"/>
              </w:tabs>
              <w:spacing w:before="0" w:after="0"/>
              <w:ind w:hanging="408"/>
              <w:rPr>
                <w:sz w:val="20"/>
                <w:lang w:val="fr-FR"/>
              </w:rPr>
            </w:pPr>
            <w:r w:rsidRPr="00577EB1">
              <w:rPr>
                <w:rStyle w:val="longtext"/>
                <w:sz w:val="20"/>
                <w:szCs w:val="20"/>
                <w:shd w:val="clear" w:color="auto" w:fill="FFFFFF"/>
                <w:lang w:val="fr-FR"/>
              </w:rPr>
              <w:t>Génération de revenus et création d’emplois</w:t>
            </w:r>
            <w:r w:rsidR="0007340F">
              <w:rPr>
                <w:rStyle w:val="longtext"/>
                <w:sz w:val="20"/>
                <w:szCs w:val="20"/>
                <w:shd w:val="clear" w:color="auto" w:fill="FFFFFF"/>
                <w:lang w:val="fr-FR"/>
              </w:rPr>
              <w:t xml:space="preserve"> </w:t>
            </w:r>
            <w:r w:rsidRPr="00577EB1">
              <w:rPr>
                <w:rStyle w:val="longtext"/>
                <w:sz w:val="20"/>
                <w:szCs w:val="20"/>
                <w:shd w:val="clear" w:color="auto" w:fill="FFFFFF"/>
                <w:lang w:val="fr-FR"/>
              </w:rPr>
              <w:t>amélioration de l’efficacité des programmes</w:t>
            </w:r>
            <w:r w:rsidRPr="00577EB1">
              <w:rPr>
                <w:sz w:val="20"/>
                <w:lang w:val="fr-FR"/>
              </w:rPr>
              <w:t>;</w:t>
            </w:r>
          </w:p>
          <w:p w:rsidR="00A54EB6" w:rsidRPr="00577EB1" w:rsidRDefault="00A54EB6" w:rsidP="005738FE">
            <w:pPr>
              <w:pStyle w:val="MainParawithChapter"/>
              <w:keepNext/>
              <w:keepLines/>
              <w:numPr>
                <w:ilvl w:val="0"/>
                <w:numId w:val="6"/>
              </w:numPr>
              <w:tabs>
                <w:tab w:val="clear" w:pos="709"/>
                <w:tab w:val="left" w:pos="720"/>
              </w:tabs>
              <w:spacing w:before="0" w:after="0"/>
              <w:ind w:hanging="408"/>
              <w:rPr>
                <w:sz w:val="20"/>
                <w:lang w:val="fr-FR"/>
              </w:rPr>
            </w:pPr>
            <w:r w:rsidRPr="00577EB1">
              <w:rPr>
                <w:rStyle w:val="longtext"/>
                <w:sz w:val="20"/>
                <w:szCs w:val="20"/>
                <w:lang w:val="fr-FR"/>
              </w:rPr>
              <w:t>Sécurité alimentaire</w:t>
            </w:r>
            <w:r w:rsidR="0007340F">
              <w:rPr>
                <w:rStyle w:val="longtext"/>
                <w:sz w:val="20"/>
                <w:szCs w:val="20"/>
                <w:lang w:val="fr-FR"/>
              </w:rPr>
              <w:t xml:space="preserve"> </w:t>
            </w:r>
            <w:r w:rsidRPr="00577EB1">
              <w:rPr>
                <w:rStyle w:val="longtext"/>
                <w:sz w:val="20"/>
                <w:szCs w:val="20"/>
                <w:lang w:val="fr-FR"/>
              </w:rPr>
              <w:t>stock national de sécurité alimentaire</w:t>
            </w:r>
            <w:r w:rsidR="0007340F">
              <w:rPr>
                <w:rStyle w:val="longtext"/>
                <w:sz w:val="20"/>
                <w:szCs w:val="20"/>
                <w:lang w:val="fr-FR"/>
              </w:rPr>
              <w:t xml:space="preserve"> </w:t>
            </w:r>
            <w:r w:rsidRPr="00577EB1">
              <w:rPr>
                <w:sz w:val="20"/>
                <w:lang w:val="fr-FR"/>
              </w:rPr>
              <w:t>et</w:t>
            </w:r>
          </w:p>
          <w:p w:rsidR="00A54EB6" w:rsidRPr="00577EB1" w:rsidRDefault="00A54EB6" w:rsidP="005738FE">
            <w:pPr>
              <w:pStyle w:val="MainParawithChapter"/>
              <w:keepNext/>
              <w:keepLines/>
              <w:numPr>
                <w:ilvl w:val="0"/>
                <w:numId w:val="6"/>
              </w:numPr>
              <w:tabs>
                <w:tab w:val="clear" w:pos="709"/>
                <w:tab w:val="left" w:pos="720"/>
              </w:tabs>
              <w:spacing w:before="0" w:after="0"/>
              <w:ind w:hanging="408"/>
              <w:rPr>
                <w:sz w:val="20"/>
                <w:lang w:val="fr-FR"/>
              </w:rPr>
            </w:pPr>
            <w:r w:rsidRPr="00577EB1">
              <w:rPr>
                <w:sz w:val="20"/>
                <w:lang w:val="fr-FR"/>
              </w:rPr>
              <w:t>Gestion des risques et assistance aux victimes de catastrophes naturelles</w:t>
            </w:r>
            <w:r w:rsidR="0007340F">
              <w:rPr>
                <w:sz w:val="20"/>
                <w:lang w:val="fr-FR"/>
              </w:rPr>
              <w:t xml:space="preserve"> </w:t>
            </w:r>
            <w:r w:rsidRPr="00577EB1">
              <w:rPr>
                <w:sz w:val="20"/>
                <w:lang w:val="fr-FR"/>
              </w:rPr>
              <w:t>programme de lutte contre les invasions acridiennes.</w:t>
            </w:r>
          </w:p>
          <w:p w:rsidR="00A54EB6" w:rsidRPr="00577EB1" w:rsidRDefault="00A54EB6" w:rsidP="005738FE">
            <w:pPr>
              <w:pStyle w:val="MainParawithChapter"/>
              <w:keepNext/>
              <w:keepLines/>
              <w:numPr>
                <w:ilvl w:val="0"/>
                <w:numId w:val="8"/>
              </w:numPr>
              <w:tabs>
                <w:tab w:val="clear" w:pos="709"/>
                <w:tab w:val="left" w:pos="313"/>
              </w:tabs>
              <w:spacing w:before="60" w:after="0"/>
              <w:ind w:left="313" w:hanging="313"/>
              <w:rPr>
                <w:rStyle w:val="longtext"/>
                <w:sz w:val="20"/>
                <w:lang w:val="fr-FR"/>
              </w:rPr>
            </w:pPr>
            <w:r w:rsidRPr="00577EB1">
              <w:rPr>
                <w:rStyle w:val="longtext"/>
                <w:sz w:val="20"/>
                <w:szCs w:val="20"/>
                <w:shd w:val="clear" w:color="auto" w:fill="FFFFFF"/>
                <w:lang w:val="fr-FR"/>
              </w:rPr>
              <w:t>Études de faisabilité et projets pilotes pour les tester</w:t>
            </w:r>
            <w:r w:rsidR="0007340F">
              <w:rPr>
                <w:rStyle w:val="longtext"/>
                <w:sz w:val="20"/>
                <w:szCs w:val="20"/>
                <w:shd w:val="clear" w:color="auto" w:fill="FFFFFF"/>
                <w:lang w:val="fr-FR"/>
              </w:rPr>
              <w:t xml:space="preserve"> </w:t>
            </w:r>
          </w:p>
          <w:p w:rsidR="00A54EB6" w:rsidRPr="00577EB1" w:rsidRDefault="00A54EB6" w:rsidP="005738FE">
            <w:pPr>
              <w:pStyle w:val="MainParawithChapter"/>
              <w:keepNext/>
              <w:keepLines/>
              <w:numPr>
                <w:ilvl w:val="0"/>
                <w:numId w:val="6"/>
              </w:numPr>
              <w:tabs>
                <w:tab w:val="clear" w:pos="709"/>
                <w:tab w:val="left" w:pos="313"/>
              </w:tabs>
              <w:spacing w:before="0" w:after="0"/>
              <w:ind w:hanging="408"/>
              <w:rPr>
                <w:sz w:val="20"/>
                <w:lang w:val="fr-FR"/>
              </w:rPr>
            </w:pPr>
            <w:r w:rsidRPr="00577EB1">
              <w:rPr>
                <w:rStyle w:val="longtext"/>
                <w:sz w:val="20"/>
                <w:szCs w:val="20"/>
                <w:shd w:val="clear" w:color="auto" w:fill="FFFFFF"/>
                <w:lang w:val="fr-FR"/>
              </w:rPr>
              <w:t>Subventions des services de santé pour les franges les plus démunies de la population (sous la supervision du ministère de la Santé)</w:t>
            </w:r>
            <w:r w:rsidR="0007340F">
              <w:rPr>
                <w:rStyle w:val="longtext"/>
                <w:sz w:val="20"/>
                <w:szCs w:val="20"/>
                <w:shd w:val="clear" w:color="auto" w:fill="FFFFFF"/>
                <w:lang w:val="fr-FR"/>
              </w:rPr>
              <w:t xml:space="preserve"> </w:t>
            </w:r>
          </w:p>
          <w:p w:rsidR="00A54EB6" w:rsidRPr="00577EB1" w:rsidRDefault="00A54EB6" w:rsidP="005738FE">
            <w:pPr>
              <w:pStyle w:val="MainParawithChapter"/>
              <w:keepNext/>
              <w:keepLines/>
              <w:numPr>
                <w:ilvl w:val="0"/>
                <w:numId w:val="6"/>
              </w:numPr>
              <w:tabs>
                <w:tab w:val="clear" w:pos="709"/>
                <w:tab w:val="left" w:pos="720"/>
              </w:tabs>
              <w:spacing w:before="0" w:after="0"/>
              <w:ind w:hanging="408"/>
              <w:rPr>
                <w:sz w:val="20"/>
                <w:lang w:val="fr-FR"/>
              </w:rPr>
            </w:pPr>
            <w:r w:rsidRPr="00577EB1">
              <w:rPr>
                <w:sz w:val="20"/>
                <w:lang w:val="fr-FR"/>
              </w:rPr>
              <w:t>Paquet nutritionnel minimum pour les enfants de moins de 5 ans (sous la supervision du ministère de la Santé) ;</w:t>
            </w:r>
          </w:p>
          <w:p w:rsidR="00A54EB6" w:rsidRPr="00577EB1" w:rsidRDefault="00A54EB6" w:rsidP="005738FE">
            <w:pPr>
              <w:pStyle w:val="MainParawithChapter"/>
              <w:keepNext/>
              <w:keepLines/>
              <w:numPr>
                <w:ilvl w:val="0"/>
                <w:numId w:val="6"/>
              </w:numPr>
              <w:tabs>
                <w:tab w:val="clear" w:pos="709"/>
                <w:tab w:val="left" w:pos="720"/>
              </w:tabs>
              <w:spacing w:before="0" w:after="0"/>
              <w:ind w:hanging="408"/>
              <w:rPr>
                <w:sz w:val="20"/>
                <w:lang w:val="fr-FR"/>
              </w:rPr>
            </w:pPr>
            <w:r w:rsidRPr="00577EB1">
              <w:rPr>
                <w:rStyle w:val="longtext"/>
                <w:sz w:val="20"/>
                <w:szCs w:val="20"/>
                <w:shd w:val="clear" w:color="auto" w:fill="FFFFFF"/>
                <w:lang w:val="fr-FR"/>
              </w:rPr>
              <w:t>Transfert monétaires conditionnels pour améliorer l’assiduité scolaire (sous la supervision du MEBA)</w:t>
            </w:r>
            <w:r w:rsidR="0007340F">
              <w:rPr>
                <w:rStyle w:val="longtext"/>
                <w:sz w:val="20"/>
                <w:szCs w:val="20"/>
                <w:shd w:val="clear" w:color="auto" w:fill="FFFFFF"/>
                <w:lang w:val="fr-FR"/>
              </w:rPr>
              <w:t xml:space="preserve"> </w:t>
            </w:r>
            <w:r w:rsidRPr="00577EB1">
              <w:rPr>
                <w:rStyle w:val="longtext"/>
                <w:sz w:val="20"/>
                <w:szCs w:val="20"/>
                <w:shd w:val="clear" w:color="auto" w:fill="FFFFFF"/>
                <w:lang w:val="fr-FR"/>
              </w:rPr>
              <w:t xml:space="preserve">et </w:t>
            </w:r>
          </w:p>
          <w:p w:rsidR="00A54EB6" w:rsidRPr="00577EB1" w:rsidRDefault="00A54EB6" w:rsidP="005738FE">
            <w:pPr>
              <w:pStyle w:val="MainParawithChapter"/>
              <w:keepNext/>
              <w:keepLines/>
              <w:numPr>
                <w:ilvl w:val="0"/>
                <w:numId w:val="6"/>
              </w:numPr>
              <w:tabs>
                <w:tab w:val="clear" w:pos="709"/>
                <w:tab w:val="left" w:pos="720"/>
              </w:tabs>
              <w:spacing w:before="0" w:after="0"/>
              <w:ind w:hanging="408"/>
              <w:rPr>
                <w:sz w:val="20"/>
                <w:lang w:val="fr-FR"/>
              </w:rPr>
            </w:pPr>
            <w:r w:rsidRPr="00577EB1">
              <w:rPr>
                <w:sz w:val="20"/>
                <w:lang w:val="fr-FR"/>
              </w:rPr>
              <w:t>Travaux publics à haute intensité de main d’œuvre pour répondre aux situations de grande vulnérabilité (sous la supervision du MJE),</w:t>
            </w:r>
          </w:p>
          <w:p w:rsidR="00A54EB6" w:rsidRPr="00577EB1" w:rsidRDefault="00A54EB6" w:rsidP="005738FE">
            <w:pPr>
              <w:pStyle w:val="MainParawithChapter"/>
              <w:keepNext/>
              <w:keepLines/>
              <w:numPr>
                <w:ilvl w:val="0"/>
                <w:numId w:val="8"/>
              </w:numPr>
              <w:tabs>
                <w:tab w:val="clear" w:pos="709"/>
                <w:tab w:val="left" w:pos="313"/>
              </w:tabs>
              <w:spacing w:before="60" w:after="0"/>
              <w:ind w:left="313" w:hanging="313"/>
              <w:rPr>
                <w:sz w:val="20"/>
                <w:lang w:val="fr-FR"/>
              </w:rPr>
            </w:pPr>
            <w:r w:rsidRPr="00577EB1">
              <w:rPr>
                <w:sz w:val="20"/>
                <w:lang w:val="fr-FR"/>
              </w:rPr>
              <w:t>Programme proposé par le MASSN pour aider les orphelins et enfants vulnérables (OEV).</w:t>
            </w:r>
          </w:p>
          <w:p w:rsidR="00A54EB6" w:rsidRPr="00577EB1" w:rsidRDefault="00A54EB6" w:rsidP="005738FE">
            <w:pPr>
              <w:pStyle w:val="MainParawithChapter"/>
              <w:keepNext/>
              <w:keepLines/>
              <w:numPr>
                <w:ilvl w:val="0"/>
                <w:numId w:val="8"/>
              </w:numPr>
              <w:tabs>
                <w:tab w:val="clear" w:pos="709"/>
                <w:tab w:val="left" w:pos="313"/>
              </w:tabs>
              <w:spacing w:before="60" w:after="0"/>
              <w:ind w:left="313" w:hanging="313"/>
              <w:rPr>
                <w:sz w:val="20"/>
                <w:lang w:val="fr-FR"/>
              </w:rPr>
            </w:pPr>
            <w:r w:rsidRPr="00577EB1">
              <w:rPr>
                <w:sz w:val="20"/>
                <w:lang w:val="fr-FR"/>
              </w:rPr>
              <w:t>Activités transversales visant à améliorer les programmes existants :</w:t>
            </w:r>
          </w:p>
          <w:p w:rsidR="00A54EB6" w:rsidRPr="00577EB1" w:rsidRDefault="00A54EB6" w:rsidP="005738FE">
            <w:pPr>
              <w:pStyle w:val="MainParawithChapter"/>
              <w:keepNext/>
              <w:keepLines/>
              <w:numPr>
                <w:ilvl w:val="0"/>
                <w:numId w:val="6"/>
              </w:numPr>
              <w:tabs>
                <w:tab w:val="clear" w:pos="709"/>
                <w:tab w:val="left" w:pos="720"/>
              </w:tabs>
              <w:spacing w:before="0" w:after="0"/>
              <w:ind w:hanging="408"/>
              <w:rPr>
                <w:sz w:val="20"/>
                <w:lang w:val="fr-FR"/>
              </w:rPr>
            </w:pPr>
            <w:r w:rsidRPr="00577EB1">
              <w:rPr>
                <w:rStyle w:val="longtext"/>
                <w:sz w:val="20"/>
                <w:szCs w:val="20"/>
                <w:shd w:val="clear" w:color="auto" w:fill="FFFFFF"/>
                <w:lang w:val="fr-FR"/>
              </w:rPr>
              <w:t>Définition et identification des indigents (sous la supervision du MASSN);</w:t>
            </w:r>
          </w:p>
          <w:p w:rsidR="00A54EB6" w:rsidRPr="00577EB1" w:rsidRDefault="00A54EB6" w:rsidP="005738FE">
            <w:pPr>
              <w:pStyle w:val="MainParawithChapter"/>
              <w:keepNext/>
              <w:keepLines/>
              <w:numPr>
                <w:ilvl w:val="0"/>
                <w:numId w:val="6"/>
              </w:numPr>
              <w:tabs>
                <w:tab w:val="clear" w:pos="709"/>
                <w:tab w:val="left" w:pos="720"/>
              </w:tabs>
              <w:spacing w:before="0" w:after="0"/>
              <w:ind w:hanging="408"/>
              <w:rPr>
                <w:sz w:val="20"/>
                <w:lang w:val="fr-FR"/>
              </w:rPr>
            </w:pPr>
            <w:r w:rsidRPr="00577EB1">
              <w:rPr>
                <w:rStyle w:val="longtext"/>
                <w:sz w:val="20"/>
                <w:szCs w:val="20"/>
                <w:shd w:val="clear" w:color="auto" w:fill="FFFFFF"/>
                <w:lang w:val="fr-FR"/>
              </w:rPr>
              <w:t xml:space="preserve">Examen du secteur des mutuelles d’assurances (sous la supervision du MTSS); </w:t>
            </w:r>
          </w:p>
          <w:p w:rsidR="00A54EB6" w:rsidRPr="00577EB1" w:rsidRDefault="00A54EB6" w:rsidP="005738FE">
            <w:pPr>
              <w:pStyle w:val="MainParawithChapter"/>
              <w:keepNext/>
              <w:keepLines/>
              <w:numPr>
                <w:ilvl w:val="0"/>
                <w:numId w:val="6"/>
              </w:numPr>
              <w:tabs>
                <w:tab w:val="clear" w:pos="709"/>
                <w:tab w:val="left" w:pos="720"/>
              </w:tabs>
              <w:spacing w:before="0" w:after="0"/>
              <w:ind w:hanging="408"/>
              <w:rPr>
                <w:sz w:val="20"/>
                <w:lang w:val="fr-FR"/>
              </w:rPr>
            </w:pPr>
            <w:r w:rsidRPr="00577EB1">
              <w:rPr>
                <w:rStyle w:val="longtext"/>
                <w:sz w:val="20"/>
                <w:szCs w:val="20"/>
                <w:shd w:val="clear" w:color="auto" w:fill="FFFFFF"/>
                <w:lang w:val="fr-FR"/>
              </w:rPr>
              <w:t>Préparation d’une réforme du système officiel de sécurité sociale (sous la supervision du MTSS)</w:t>
            </w:r>
            <w:r w:rsidR="0007340F">
              <w:rPr>
                <w:rStyle w:val="longtext"/>
                <w:sz w:val="20"/>
                <w:szCs w:val="20"/>
                <w:shd w:val="clear" w:color="auto" w:fill="FFFFFF"/>
                <w:lang w:val="fr-FR"/>
              </w:rPr>
              <w:t xml:space="preserve"> </w:t>
            </w:r>
            <w:r w:rsidRPr="00577EB1">
              <w:rPr>
                <w:rStyle w:val="longtext"/>
                <w:sz w:val="20"/>
                <w:szCs w:val="20"/>
                <w:shd w:val="clear" w:color="auto" w:fill="FFFFFF"/>
                <w:lang w:val="fr-FR"/>
              </w:rPr>
              <w:t xml:space="preserve">et </w:t>
            </w:r>
          </w:p>
          <w:p w:rsidR="00A54EB6" w:rsidRPr="00577EB1" w:rsidRDefault="00A54EB6" w:rsidP="005738FE">
            <w:pPr>
              <w:pStyle w:val="MainParawithChapter"/>
              <w:keepNext/>
              <w:keepLines/>
              <w:numPr>
                <w:ilvl w:val="0"/>
                <w:numId w:val="6"/>
              </w:numPr>
              <w:tabs>
                <w:tab w:val="clear" w:pos="709"/>
                <w:tab w:val="left" w:pos="720"/>
              </w:tabs>
              <w:spacing w:before="0" w:after="0"/>
              <w:ind w:hanging="408"/>
              <w:rPr>
                <w:sz w:val="20"/>
                <w:lang w:val="fr-FR"/>
              </w:rPr>
            </w:pPr>
            <w:r w:rsidRPr="00577EB1">
              <w:rPr>
                <w:rStyle w:val="longtext"/>
                <w:sz w:val="20"/>
                <w:szCs w:val="20"/>
                <w:lang w:val="fr-FR"/>
              </w:rPr>
              <w:t xml:space="preserve">Évaluation des programmes existants (sous la supervision du MEDEV). </w:t>
            </w:r>
          </w:p>
          <w:p w:rsidR="00A54EB6" w:rsidRPr="00577EB1" w:rsidRDefault="00A54EB6" w:rsidP="005738FE">
            <w:pPr>
              <w:pStyle w:val="MainParawithChapter"/>
              <w:keepNext/>
              <w:keepLines/>
              <w:tabs>
                <w:tab w:val="clear" w:pos="709"/>
                <w:tab w:val="left" w:pos="313"/>
              </w:tabs>
              <w:spacing w:before="60" w:after="0"/>
              <w:ind w:left="0" w:firstLine="0"/>
              <w:rPr>
                <w:sz w:val="20"/>
                <w:lang w:val="fr-FR"/>
              </w:rPr>
            </w:pPr>
            <w:r w:rsidRPr="00577EB1">
              <w:rPr>
                <w:b/>
                <w:sz w:val="20"/>
                <w:lang w:val="fr-FR"/>
              </w:rPr>
              <w:t>Estimation du budget annuel</w:t>
            </w:r>
            <w:r w:rsidR="0007340F">
              <w:rPr>
                <w:b/>
                <w:sz w:val="20"/>
                <w:lang w:val="fr-FR"/>
              </w:rPr>
              <w:t xml:space="preserve"> </w:t>
            </w:r>
            <w:r w:rsidRPr="00577EB1">
              <w:rPr>
                <w:b/>
                <w:sz w:val="20"/>
                <w:lang w:val="fr-FR"/>
              </w:rPr>
              <w:t>39,9 milliards de francs CFA (</w:t>
            </w:r>
            <w:r w:rsidRPr="00577EB1">
              <w:rPr>
                <w:sz w:val="20"/>
                <w:lang w:val="fr-FR"/>
              </w:rPr>
              <w:t xml:space="preserve">soit 1,1% du PIB) </w:t>
            </w:r>
          </w:p>
          <w:p w:rsidR="00A54EB6" w:rsidRPr="00577EB1" w:rsidRDefault="00A54EB6" w:rsidP="005738FE">
            <w:pPr>
              <w:pStyle w:val="MainParawithChapter"/>
              <w:keepNext/>
              <w:keepLines/>
              <w:tabs>
                <w:tab w:val="clear" w:pos="709"/>
                <w:tab w:val="left" w:pos="313"/>
              </w:tabs>
              <w:spacing w:before="60" w:after="0"/>
              <w:ind w:left="0" w:firstLine="0"/>
              <w:rPr>
                <w:sz w:val="20"/>
                <w:lang w:val="fr-FR"/>
              </w:rPr>
            </w:pPr>
            <w:r w:rsidRPr="00577EB1">
              <w:rPr>
                <w:b/>
                <w:sz w:val="20"/>
                <w:lang w:val="fr-FR"/>
              </w:rPr>
              <w:t>Dispositif institutionnel</w:t>
            </w:r>
            <w:r w:rsidR="0007340F">
              <w:rPr>
                <w:b/>
                <w:sz w:val="20"/>
                <w:lang w:val="fr-FR"/>
              </w:rPr>
              <w:t xml:space="preserve"> </w:t>
            </w:r>
            <w:r w:rsidRPr="00577EB1">
              <w:rPr>
                <w:sz w:val="20"/>
                <w:lang w:val="fr-FR"/>
              </w:rPr>
              <w:t>Le Comité de pilotage et de suivi de la protection sociale (présidé par le représentant du Premier ministre</w:t>
            </w:r>
            <w:r w:rsidR="0007340F">
              <w:rPr>
                <w:sz w:val="20"/>
                <w:lang w:val="fr-FR"/>
              </w:rPr>
              <w:t xml:space="preserve"> </w:t>
            </w:r>
            <w:r w:rsidRPr="00577EB1">
              <w:rPr>
                <w:sz w:val="20"/>
                <w:lang w:val="fr-FR"/>
              </w:rPr>
              <w:t>Membres</w:t>
            </w:r>
            <w:r w:rsidR="0007340F">
              <w:rPr>
                <w:sz w:val="20"/>
                <w:lang w:val="fr-FR"/>
              </w:rPr>
              <w:t xml:space="preserve"> </w:t>
            </w:r>
            <w:r w:rsidRPr="00577EB1">
              <w:rPr>
                <w:sz w:val="20"/>
                <w:lang w:val="fr-FR"/>
              </w:rPr>
              <w:t>représentants des ministères et organisations compétentes</w:t>
            </w:r>
            <w:r w:rsidR="0007340F">
              <w:rPr>
                <w:sz w:val="20"/>
                <w:lang w:val="fr-FR"/>
              </w:rPr>
              <w:t xml:space="preserve"> </w:t>
            </w:r>
            <w:r w:rsidRPr="00577EB1">
              <w:rPr>
                <w:sz w:val="20"/>
                <w:lang w:val="fr-FR"/>
              </w:rPr>
              <w:t>Secrétariat permanent (hébergé par le MEDEV)</w:t>
            </w:r>
            <w:r w:rsidR="0007340F">
              <w:rPr>
                <w:sz w:val="20"/>
                <w:lang w:val="fr-FR"/>
              </w:rPr>
              <w:t xml:space="preserve"> </w:t>
            </w:r>
            <w:r w:rsidRPr="00577EB1">
              <w:rPr>
                <w:sz w:val="20"/>
                <w:lang w:val="fr-FR"/>
              </w:rPr>
              <w:t xml:space="preserve">mise en œuvre par les agences respectives, à travers une approche contractuelle chaque fois que possible. </w:t>
            </w:r>
          </w:p>
        </w:tc>
      </w:tr>
    </w:tbl>
    <w:p w:rsidR="004B3541" w:rsidRDefault="00A54EB6">
      <w:pPr>
        <w:pStyle w:val="Source"/>
        <w:keepNext w:val="0"/>
        <w:spacing w:before="120" w:after="480"/>
        <w:rPr>
          <w:i w:val="0"/>
          <w:sz w:val="22"/>
          <w:szCs w:val="20"/>
        </w:rPr>
      </w:pPr>
      <w:r w:rsidRPr="00577EB1">
        <w:t xml:space="preserve">Source: </w:t>
      </w:r>
      <w:r w:rsidR="00EB214A" w:rsidRPr="00EB214A">
        <w:rPr>
          <w:i w:val="0"/>
        </w:rPr>
        <w:t>MTSS, 2007.</w:t>
      </w:r>
    </w:p>
    <w:p w:rsidR="00A54EB6" w:rsidRPr="00577EB1" w:rsidRDefault="00A54EB6" w:rsidP="00A54EB6">
      <w:pPr>
        <w:pStyle w:val="Style3"/>
        <w:rPr>
          <w:lang w:val="fr-FR"/>
        </w:rPr>
      </w:pPr>
      <w:r w:rsidRPr="00577EB1">
        <w:rPr>
          <w:lang w:val="fr-FR"/>
        </w:rPr>
        <w:t xml:space="preserve">Filets sociaux dans les politiques sociales sectorielles du Burkina </w:t>
      </w:r>
    </w:p>
    <w:p w:rsidR="00A54EB6" w:rsidRPr="00577EB1" w:rsidRDefault="00A54EB6" w:rsidP="00E52A30">
      <w:pPr>
        <w:numPr>
          <w:ilvl w:val="0"/>
          <w:numId w:val="2"/>
        </w:numPr>
        <w:ind w:left="0" w:firstLine="0"/>
        <w:rPr>
          <w:rStyle w:val="longtext"/>
          <w:lang w:val="fr-FR"/>
        </w:rPr>
      </w:pPr>
      <w:r w:rsidRPr="00577EB1">
        <w:rPr>
          <w:rStyle w:val="longtext"/>
          <w:shd w:val="clear" w:color="auto" w:fill="FFFFFF"/>
          <w:lang w:val="fr-FR"/>
        </w:rPr>
        <w:t xml:space="preserve">Malgré l’absence d’une stratégie nationale de protection sociale et la non prise en compte des filets sociaux dans la politique nationale d’action sociale, les programmes de </w:t>
      </w:r>
      <w:r w:rsidRPr="00577EB1">
        <w:rPr>
          <w:rStyle w:val="longtext"/>
          <w:shd w:val="clear" w:color="auto" w:fill="FFFFFF"/>
          <w:lang w:val="fr-FR"/>
        </w:rPr>
        <w:lastRenderedPageBreak/>
        <w:t>filets sociaux apparaissent dans de nombreuses stratégies sectorielles</w:t>
      </w:r>
      <w:r w:rsidR="0007340F">
        <w:rPr>
          <w:rStyle w:val="longtext"/>
          <w:shd w:val="clear" w:color="auto" w:fill="FFFFFF"/>
          <w:lang w:val="fr-FR"/>
        </w:rPr>
        <w:t xml:space="preserve"> </w:t>
      </w:r>
      <w:r w:rsidRPr="00577EB1">
        <w:rPr>
          <w:rStyle w:val="longtext"/>
          <w:shd w:val="clear" w:color="auto" w:fill="FFFFFF"/>
          <w:lang w:val="fr-FR"/>
        </w:rPr>
        <w:t xml:space="preserve">santé, éducation, sécurité alimentaire et emploi. </w:t>
      </w:r>
    </w:p>
    <w:p w:rsidR="00A54EB6" w:rsidRPr="00577EB1" w:rsidRDefault="00A54EB6" w:rsidP="00A54EB6">
      <w:pPr>
        <w:pStyle w:val="Style4"/>
        <w:rPr>
          <w:lang w:val="fr-FR"/>
        </w:rPr>
      </w:pPr>
      <w:r w:rsidRPr="00577EB1">
        <w:rPr>
          <w:lang w:val="fr-FR"/>
        </w:rPr>
        <w:t>Politique de santé</w:t>
      </w:r>
    </w:p>
    <w:p w:rsidR="00A54EB6" w:rsidRPr="00577EB1" w:rsidRDefault="00A54EB6" w:rsidP="00E52A30">
      <w:pPr>
        <w:numPr>
          <w:ilvl w:val="0"/>
          <w:numId w:val="2"/>
        </w:numPr>
        <w:ind w:left="0" w:firstLine="0"/>
        <w:rPr>
          <w:rStyle w:val="longtext"/>
          <w:lang w:val="fr-FR"/>
        </w:rPr>
      </w:pPr>
      <w:r w:rsidRPr="00577EB1">
        <w:rPr>
          <w:rStyle w:val="longtext"/>
          <w:b/>
          <w:shd w:val="clear" w:color="auto" w:fill="FFFFFF"/>
          <w:lang w:val="fr-FR"/>
        </w:rPr>
        <w:t xml:space="preserve">Des interventions liées à la demande, telles que l’exemption des frais, sont incluses dans la stratégie pour assurer un accès efficace aux services de santé et agir en synergie avec les efforts visant à améliorer la qualité et la disponibilité des services de santé. </w:t>
      </w:r>
      <w:r w:rsidRPr="00577EB1">
        <w:rPr>
          <w:rStyle w:val="longtext"/>
          <w:shd w:val="clear" w:color="auto" w:fill="FFFFFF"/>
          <w:lang w:val="fr-FR"/>
        </w:rPr>
        <w:t>Le Plan national de développement sanitaire (PNDS, 2001-2010) comprend des activités spécifiques visant à</w:t>
      </w:r>
      <w:r w:rsidR="0007340F">
        <w:rPr>
          <w:rStyle w:val="longtext"/>
          <w:shd w:val="clear" w:color="auto" w:fill="FFFFFF"/>
          <w:lang w:val="fr-FR"/>
        </w:rPr>
        <w:t xml:space="preserve"> </w:t>
      </w:r>
      <w:r w:rsidRPr="00577EB1">
        <w:rPr>
          <w:rStyle w:val="longtext"/>
          <w:shd w:val="clear" w:color="auto" w:fill="FFFFFF"/>
          <w:lang w:val="fr-FR"/>
        </w:rPr>
        <w:t>i) promouvoir les soins préventifs et curatifs pour les groupes vulnérables définis comme les enfants, les femmes, les jeunes, les personnes âgées, et les personnes séropositives (en vertu des objectifs spécifiques 3 et 4)</w:t>
      </w:r>
      <w:r w:rsidR="0007340F">
        <w:rPr>
          <w:rStyle w:val="longtext"/>
          <w:shd w:val="clear" w:color="auto" w:fill="FFFFFF"/>
          <w:lang w:val="fr-FR"/>
        </w:rPr>
        <w:t xml:space="preserve"> </w:t>
      </w:r>
      <w:r w:rsidRPr="00577EB1">
        <w:rPr>
          <w:rStyle w:val="longtext"/>
          <w:shd w:val="clear" w:color="auto" w:fill="FFFFFF"/>
          <w:lang w:val="fr-FR"/>
        </w:rPr>
        <w:t xml:space="preserve">et ii) assurer l’accès des pauvres aux soins médicaux (en vertu de l’objectif spécifique 6) [ministère de la Santé, 2000]. </w:t>
      </w:r>
    </w:p>
    <w:p w:rsidR="00A54EB6" w:rsidRPr="00577EB1" w:rsidRDefault="00A54EB6" w:rsidP="00E52A30">
      <w:pPr>
        <w:numPr>
          <w:ilvl w:val="0"/>
          <w:numId w:val="2"/>
        </w:numPr>
        <w:ind w:left="0" w:firstLine="0"/>
        <w:rPr>
          <w:lang w:val="fr-FR"/>
        </w:rPr>
      </w:pPr>
      <w:r w:rsidRPr="00577EB1">
        <w:rPr>
          <w:rStyle w:val="longtext"/>
          <w:b/>
          <w:lang w:val="fr-FR"/>
        </w:rPr>
        <w:t>Un certain nombre de services et médicaments sont proposés à des prix subventionnés pour tous.</w:t>
      </w:r>
      <w:r w:rsidRPr="00577EB1">
        <w:rPr>
          <w:rStyle w:val="longtext"/>
          <w:lang w:val="fr-FR"/>
        </w:rPr>
        <w:t xml:space="preserve"> Le paiement direct des services de santé par les usagers existe au Burkina Faso depuis les années 1980. Il a été renforcé avec la mise en œuvre de l’Initiative de Bamako (adoptée en 1987), qui est entrée en vigueur au Burkina Faso en 1993. </w:t>
      </w:r>
      <w:r w:rsidRPr="00577EB1">
        <w:rPr>
          <w:rStyle w:val="longtext"/>
          <w:shd w:val="clear" w:color="auto" w:fill="FFFFFF"/>
          <w:lang w:val="fr-FR"/>
        </w:rPr>
        <w:t xml:space="preserve">Dans les années qui ont suivi, un certain nombre de mesures ont été prises pour supprimer ou subventionner les frais supportés par les usagers, en particulier les femmes et les jeunes enfants, comme stratégie de réduction des taux de mortalité maternelle et néonatale et de promotion de l’accès des pauvres aux services de santé. Le gouvernement, a, notamment, adopté en 2006 une politique de subvention reposant sur le principe de la prise en charge de 80 % des frais d’accouchement, des soins obstétricaux et néonataux d’urgence par l’État, et ce, jusqu’à concurrence de 100 % pour les femmes défavorisées (indigentes). Un budget total de 30 milliards de francs CFA a été alloué à cette fin pour la période 2006-2015, dont 5 milliards pour les subventions supplémentaires destinées aux personnes indigentes. Les </w:t>
      </w:r>
      <w:r w:rsidRPr="00577EB1">
        <w:rPr>
          <w:rStyle w:val="longtext"/>
          <w:lang w:val="fr-FR"/>
        </w:rPr>
        <w:t>subventions générales de santé ne sont pas considérées comme des filets sociaux parce qu’elles ne sont pas spécifiquement destinées aux plus pauvres et aux plus vulnérables, seules les subventions supplémentaires en faveur des indigents entrent dans le cadre des programmes de filets sociaux.</w:t>
      </w:r>
      <w:r w:rsidRPr="00577EB1">
        <w:rPr>
          <w:lang w:val="fr-FR"/>
        </w:rPr>
        <w:t xml:space="preserve"> </w:t>
      </w:r>
    </w:p>
    <w:p w:rsidR="00A54EB6" w:rsidRPr="00577EB1" w:rsidRDefault="00A54EB6" w:rsidP="00E52A30">
      <w:pPr>
        <w:numPr>
          <w:ilvl w:val="0"/>
          <w:numId w:val="2"/>
        </w:numPr>
        <w:ind w:left="0" w:firstLine="0"/>
        <w:rPr>
          <w:rStyle w:val="longtext"/>
          <w:lang w:val="fr-FR"/>
        </w:rPr>
      </w:pPr>
      <w:r w:rsidRPr="00577EB1">
        <w:rPr>
          <w:rStyle w:val="longtext"/>
          <w:b/>
          <w:lang w:val="fr-FR"/>
        </w:rPr>
        <w:t>Des mécanismes sont envisagés pour offrir des subventions supplémentaires aux indigents.</w:t>
      </w:r>
      <w:r w:rsidRPr="00577EB1">
        <w:rPr>
          <w:rStyle w:val="longtext"/>
          <w:lang w:val="fr-FR"/>
        </w:rPr>
        <w:t xml:space="preserve"> </w:t>
      </w:r>
      <w:r w:rsidRPr="00577EB1">
        <w:rPr>
          <w:rStyle w:val="longtext"/>
          <w:shd w:val="clear" w:color="auto" w:fill="FFFFFF"/>
          <w:lang w:val="fr-FR"/>
        </w:rPr>
        <w:t xml:space="preserve">Les personnes indigentes ont droit à la gratuité des soins de santé, en vertu des dispositions du Kiti </w:t>
      </w:r>
      <w:r w:rsidRPr="00577EB1">
        <w:rPr>
          <w:lang w:val="fr-FR"/>
        </w:rPr>
        <w:t xml:space="preserve">n°An-VIII-0202/FP/SAN-AS du </w:t>
      </w:r>
      <w:r w:rsidRPr="00577EB1">
        <w:rPr>
          <w:rStyle w:val="longtext"/>
          <w:shd w:val="clear" w:color="auto" w:fill="FFFFFF"/>
          <w:lang w:val="fr-FR"/>
        </w:rPr>
        <w:t xml:space="preserve">8 février 1991 relatif à la base de tarification générale. Cependant, les mécanismes nationaux restent à clarifier pour rendre ce droit effectif. </w:t>
      </w:r>
      <w:r w:rsidRPr="00577EB1">
        <w:rPr>
          <w:rStyle w:val="longtext"/>
          <w:lang w:val="fr-FR"/>
        </w:rPr>
        <w:t xml:space="preserve">Il existe quelques initiatives isolées, mais il subsiste aussi de sérieux défis, notamment </w:t>
      </w:r>
      <w:r w:rsidRPr="00577EB1">
        <w:rPr>
          <w:rStyle w:val="longtext"/>
          <w:shd w:val="clear" w:color="auto" w:fill="FFFFFF"/>
          <w:lang w:val="fr-FR"/>
        </w:rPr>
        <w:t>en ce qui concerne l’identification des indigents (critères et mécanismes) et le financement de ces subventions supplémentaires.</w:t>
      </w:r>
    </w:p>
    <w:p w:rsidR="00A54EB6" w:rsidRPr="00577EB1" w:rsidRDefault="00A54EB6" w:rsidP="00E52A30">
      <w:pPr>
        <w:numPr>
          <w:ilvl w:val="0"/>
          <w:numId w:val="2"/>
        </w:numPr>
        <w:ind w:left="0" w:firstLine="0"/>
        <w:rPr>
          <w:lang w:val="fr-FR"/>
        </w:rPr>
      </w:pPr>
      <w:r w:rsidRPr="00577EB1">
        <w:rPr>
          <w:rStyle w:val="longtext"/>
          <w:b/>
          <w:shd w:val="clear" w:color="auto" w:fill="FFFFFF"/>
          <w:lang w:val="fr-FR"/>
        </w:rPr>
        <w:t>Le régime national d’assurance maladie envisagé prend également en compte des exemptions de frais pour les personnes indigentes</w:t>
      </w:r>
      <w:r w:rsidRPr="00577EB1">
        <w:rPr>
          <w:rStyle w:val="longtext"/>
          <w:shd w:val="clear" w:color="auto" w:fill="FFFFFF"/>
          <w:lang w:val="fr-FR"/>
        </w:rPr>
        <w:t xml:space="preserve"> (Figure 7). Cependant, </w:t>
      </w:r>
      <w:r w:rsidRPr="00577EB1">
        <w:rPr>
          <w:rStyle w:val="longtext"/>
          <w:lang w:val="fr-FR"/>
        </w:rPr>
        <w:t>les décideurs politiques sont confrontés aux mêmes défis clés</w:t>
      </w:r>
      <w:r w:rsidR="0007340F">
        <w:rPr>
          <w:rStyle w:val="longtext"/>
          <w:lang w:val="fr-FR"/>
        </w:rPr>
        <w:t xml:space="preserve"> </w:t>
      </w:r>
      <w:r w:rsidRPr="00577EB1">
        <w:rPr>
          <w:rStyle w:val="longtext"/>
          <w:lang w:val="fr-FR"/>
        </w:rPr>
        <w:t>Comment identifier les indigents</w:t>
      </w:r>
      <w:r w:rsidR="0007340F">
        <w:rPr>
          <w:rStyle w:val="longtext"/>
          <w:lang w:val="fr-FR"/>
        </w:rPr>
        <w:t xml:space="preserve"> </w:t>
      </w:r>
      <w:r w:rsidRPr="00577EB1">
        <w:rPr>
          <w:rStyle w:val="longtext"/>
          <w:lang w:val="fr-FR"/>
        </w:rPr>
        <w:t>Comment financer le système</w:t>
      </w:r>
      <w:r w:rsidR="0007340F">
        <w:rPr>
          <w:rStyle w:val="longtext"/>
          <w:lang w:val="fr-FR"/>
        </w:rPr>
        <w:t xml:space="preserve"> </w:t>
      </w:r>
      <w:r w:rsidRPr="00577EB1">
        <w:rPr>
          <w:rStyle w:val="longtext"/>
          <w:lang w:val="fr-FR"/>
        </w:rPr>
        <w:t>Comment le mettre en œuvre</w:t>
      </w:r>
      <w:r w:rsidR="0007340F">
        <w:rPr>
          <w:rStyle w:val="longtext"/>
          <w:lang w:val="fr-FR"/>
        </w:rPr>
        <w:t xml:space="preserve"> </w:t>
      </w:r>
    </w:p>
    <w:p w:rsidR="00A54EB6" w:rsidRPr="00577EB1" w:rsidRDefault="00EE4747" w:rsidP="005D3651">
      <w:pPr>
        <w:pStyle w:val="Heading8"/>
      </w:pPr>
      <w:bookmarkStart w:id="58" w:name="_Ref135726795"/>
      <w:bookmarkStart w:id="59" w:name="_Toc269722136"/>
      <w:r w:rsidRPr="00577EB1">
        <w:lastRenderedPageBreak/>
        <w:t xml:space="preserve">Figure </w:t>
      </w:r>
      <w:r w:rsidR="00725419">
        <w:fldChar w:fldCharType="begin"/>
      </w:r>
      <w:r>
        <w:instrText xml:space="preserve"> SEQ Figure \* ARABIC </w:instrText>
      </w:r>
      <w:r w:rsidR="00725419">
        <w:fldChar w:fldCharType="separate"/>
      </w:r>
      <w:r w:rsidR="00EF56B2">
        <w:rPr>
          <w:noProof/>
        </w:rPr>
        <w:t>7</w:t>
      </w:r>
      <w:r w:rsidR="00725419">
        <w:fldChar w:fldCharType="end"/>
      </w:r>
      <w:r>
        <w:t xml:space="preserve"> </w:t>
      </w:r>
      <w:bookmarkEnd w:id="58"/>
      <w:r w:rsidR="0023017C">
        <w:t>:</w:t>
      </w:r>
      <w:r w:rsidR="0007340F">
        <w:t xml:space="preserve"> </w:t>
      </w:r>
      <w:r w:rsidR="00A54EB6" w:rsidRPr="00577EB1">
        <w:t>Dispositif institutionnel du projet de régime national d’assurance maladie</w:t>
      </w:r>
      <w:bookmarkEnd w:id="59"/>
      <w:r w:rsidR="00A54EB6" w:rsidRPr="00577EB1">
        <w:t xml:space="preserve"> </w:t>
      </w:r>
    </w:p>
    <w:p w:rsidR="00A54EB6" w:rsidRPr="00577EB1" w:rsidRDefault="00A54EB6" w:rsidP="00A54EB6">
      <w:pPr>
        <w:keepNext/>
        <w:keepLines/>
        <w:pBdr>
          <w:top w:val="single" w:sz="4" w:space="1" w:color="auto"/>
          <w:left w:val="single" w:sz="4" w:space="4" w:color="auto"/>
          <w:bottom w:val="single" w:sz="4" w:space="1" w:color="auto"/>
          <w:right w:val="single" w:sz="4" w:space="4" w:color="auto"/>
        </w:pBdr>
        <w:spacing w:after="0"/>
        <w:jc w:val="center"/>
        <w:rPr>
          <w:lang w:val="fr-FR"/>
        </w:rPr>
      </w:pPr>
      <w:r w:rsidRPr="00577EB1">
        <w:rPr>
          <w:noProof/>
        </w:rPr>
        <w:drawing>
          <wp:inline distT="0" distB="0" distL="0" distR="0">
            <wp:extent cx="5200015" cy="3425825"/>
            <wp:effectExtent l="19050" t="0" r="0" b="0"/>
            <wp:docPr id="32"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25" cstate="print"/>
                    <a:srcRect t="-1115" r="-2170" b="-174"/>
                    <a:stretch>
                      <a:fillRect/>
                    </a:stretch>
                  </pic:blipFill>
                  <pic:spPr bwMode="auto">
                    <a:xfrm>
                      <a:off x="0" y="0"/>
                      <a:ext cx="5200015" cy="3425825"/>
                    </a:xfrm>
                    <a:prstGeom prst="rect">
                      <a:avLst/>
                    </a:prstGeom>
                    <a:noFill/>
                    <a:ln w="9525">
                      <a:noFill/>
                      <a:miter lim="800000"/>
                      <a:headEnd/>
                      <a:tailEnd/>
                    </a:ln>
                  </pic:spPr>
                </pic:pic>
              </a:graphicData>
            </a:graphic>
          </wp:inline>
        </w:drawing>
      </w:r>
    </w:p>
    <w:p w:rsidR="00A54EB6" w:rsidRPr="00577EB1" w:rsidRDefault="00A54EB6" w:rsidP="00A54EB6">
      <w:pPr>
        <w:keepNext/>
        <w:keepLines/>
        <w:pBdr>
          <w:top w:val="single" w:sz="4" w:space="1" w:color="auto"/>
          <w:left w:val="single" w:sz="4" w:space="4" w:color="auto"/>
          <w:bottom w:val="single" w:sz="4" w:space="1" w:color="auto"/>
          <w:right w:val="single" w:sz="4" w:space="4" w:color="auto"/>
        </w:pBdr>
        <w:tabs>
          <w:tab w:val="clear" w:pos="709"/>
          <w:tab w:val="left" w:pos="851"/>
        </w:tabs>
        <w:spacing w:after="0"/>
        <w:ind w:firstLine="142"/>
        <w:rPr>
          <w:sz w:val="16"/>
          <w:lang w:val="fr-FR"/>
        </w:rPr>
      </w:pPr>
      <w:r w:rsidRPr="00577EB1">
        <w:rPr>
          <w:sz w:val="16"/>
          <w:lang w:val="fr-FR"/>
        </w:rPr>
        <w:t>Légende :</w:t>
      </w:r>
      <w:r w:rsidRPr="00577EB1">
        <w:rPr>
          <w:sz w:val="16"/>
          <w:lang w:val="fr-FR"/>
        </w:rPr>
        <w:tab/>
        <w:t>CNAM</w:t>
      </w:r>
      <w:r w:rsidR="0007340F">
        <w:rPr>
          <w:sz w:val="16"/>
          <w:lang w:val="fr-FR"/>
        </w:rPr>
        <w:t xml:space="preserve"> </w:t>
      </w:r>
      <w:r w:rsidRPr="00577EB1">
        <w:rPr>
          <w:sz w:val="16"/>
          <w:lang w:val="fr-FR"/>
        </w:rPr>
        <w:t>Caisse nationale d’assurance maladie</w:t>
      </w:r>
    </w:p>
    <w:p w:rsidR="00A54EB6" w:rsidRPr="00577EB1" w:rsidRDefault="00A54EB6" w:rsidP="00A54EB6">
      <w:pPr>
        <w:keepNext/>
        <w:keepLines/>
        <w:pBdr>
          <w:top w:val="single" w:sz="4" w:space="1" w:color="auto"/>
          <w:left w:val="single" w:sz="4" w:space="4" w:color="auto"/>
          <w:bottom w:val="single" w:sz="4" w:space="1" w:color="auto"/>
          <w:right w:val="single" w:sz="4" w:space="4" w:color="auto"/>
        </w:pBdr>
        <w:tabs>
          <w:tab w:val="clear" w:pos="709"/>
          <w:tab w:val="left" w:pos="851"/>
        </w:tabs>
        <w:spacing w:after="0"/>
        <w:rPr>
          <w:sz w:val="16"/>
          <w:lang w:val="fr-FR"/>
        </w:rPr>
      </w:pPr>
      <w:r w:rsidRPr="00577EB1">
        <w:rPr>
          <w:sz w:val="16"/>
          <w:lang w:val="fr-FR"/>
        </w:rPr>
        <w:tab/>
        <w:t>CRAM</w:t>
      </w:r>
      <w:r w:rsidR="0007340F">
        <w:rPr>
          <w:sz w:val="16"/>
          <w:lang w:val="fr-FR"/>
        </w:rPr>
        <w:t xml:space="preserve"> </w:t>
      </w:r>
      <w:r w:rsidRPr="00577EB1">
        <w:rPr>
          <w:sz w:val="16"/>
          <w:lang w:val="fr-FR"/>
        </w:rPr>
        <w:t>Caisse régionale d’assurance maladie</w:t>
      </w:r>
    </w:p>
    <w:p w:rsidR="00A54EB6" w:rsidRPr="00577EB1" w:rsidRDefault="00A54EB6" w:rsidP="00A54EB6">
      <w:pPr>
        <w:keepNext/>
        <w:keepLines/>
        <w:pBdr>
          <w:top w:val="single" w:sz="4" w:space="1" w:color="auto"/>
          <w:left w:val="single" w:sz="4" w:space="4" w:color="auto"/>
          <w:bottom w:val="single" w:sz="4" w:space="1" w:color="auto"/>
          <w:right w:val="single" w:sz="4" w:space="4" w:color="auto"/>
        </w:pBdr>
        <w:tabs>
          <w:tab w:val="clear" w:pos="709"/>
          <w:tab w:val="left" w:pos="851"/>
        </w:tabs>
        <w:spacing w:after="0"/>
        <w:rPr>
          <w:sz w:val="16"/>
          <w:lang w:val="fr-FR"/>
        </w:rPr>
      </w:pPr>
      <w:r w:rsidRPr="00577EB1">
        <w:rPr>
          <w:sz w:val="16"/>
          <w:lang w:val="fr-FR"/>
        </w:rPr>
        <w:tab/>
        <w:t>AMO</w:t>
      </w:r>
      <w:r w:rsidR="0007340F">
        <w:rPr>
          <w:sz w:val="16"/>
          <w:lang w:val="fr-FR"/>
        </w:rPr>
        <w:t xml:space="preserve"> </w:t>
      </w:r>
      <w:r w:rsidRPr="00577EB1">
        <w:rPr>
          <w:sz w:val="16"/>
          <w:lang w:val="fr-FR"/>
        </w:rPr>
        <w:t>Assurance maladie obligatoire</w:t>
      </w:r>
    </w:p>
    <w:p w:rsidR="00A54EB6" w:rsidRPr="00577EB1" w:rsidRDefault="00A54EB6" w:rsidP="00A54EB6">
      <w:pPr>
        <w:keepNext/>
        <w:keepLines/>
        <w:pBdr>
          <w:top w:val="single" w:sz="4" w:space="1" w:color="auto"/>
          <w:left w:val="single" w:sz="4" w:space="4" w:color="auto"/>
          <w:bottom w:val="single" w:sz="4" w:space="1" w:color="auto"/>
          <w:right w:val="single" w:sz="4" w:space="4" w:color="auto"/>
        </w:pBdr>
        <w:tabs>
          <w:tab w:val="clear" w:pos="709"/>
          <w:tab w:val="left" w:pos="851"/>
        </w:tabs>
        <w:spacing w:after="0"/>
        <w:rPr>
          <w:sz w:val="16"/>
          <w:lang w:val="fr-FR"/>
        </w:rPr>
      </w:pPr>
      <w:r w:rsidRPr="00577EB1">
        <w:rPr>
          <w:sz w:val="16"/>
          <w:lang w:val="fr-FR"/>
        </w:rPr>
        <w:tab/>
        <w:t>AMV</w:t>
      </w:r>
      <w:r w:rsidR="0007340F">
        <w:rPr>
          <w:sz w:val="16"/>
          <w:lang w:val="fr-FR"/>
        </w:rPr>
        <w:t xml:space="preserve"> </w:t>
      </w:r>
      <w:r w:rsidRPr="00577EB1">
        <w:rPr>
          <w:sz w:val="16"/>
          <w:lang w:val="fr-FR"/>
        </w:rPr>
        <w:t>Assurance maladie volontaire</w:t>
      </w:r>
    </w:p>
    <w:p w:rsidR="00A54EB6" w:rsidRPr="00577EB1" w:rsidRDefault="00A54EB6" w:rsidP="00A54EB6">
      <w:pPr>
        <w:keepNext/>
        <w:keepLines/>
        <w:pBdr>
          <w:top w:val="single" w:sz="4" w:space="1" w:color="auto"/>
          <w:left w:val="single" w:sz="4" w:space="4" w:color="auto"/>
          <w:bottom w:val="single" w:sz="4" w:space="1" w:color="auto"/>
          <w:right w:val="single" w:sz="4" w:space="4" w:color="auto"/>
        </w:pBdr>
        <w:tabs>
          <w:tab w:val="clear" w:pos="709"/>
          <w:tab w:val="left" w:pos="851"/>
        </w:tabs>
        <w:spacing w:after="0"/>
        <w:rPr>
          <w:sz w:val="16"/>
          <w:lang w:val="fr-FR"/>
        </w:rPr>
      </w:pPr>
      <w:r w:rsidRPr="00577EB1">
        <w:rPr>
          <w:sz w:val="16"/>
          <w:lang w:val="fr-FR"/>
        </w:rPr>
        <w:tab/>
        <w:t>SI</w:t>
      </w:r>
      <w:r w:rsidR="0007340F">
        <w:rPr>
          <w:sz w:val="16"/>
          <w:lang w:val="fr-FR"/>
        </w:rPr>
        <w:t xml:space="preserve"> </w:t>
      </w:r>
      <w:r w:rsidRPr="00577EB1">
        <w:rPr>
          <w:sz w:val="16"/>
          <w:lang w:val="fr-FR"/>
        </w:rPr>
        <w:t>Système d’information</w:t>
      </w:r>
    </w:p>
    <w:p w:rsidR="004B3541" w:rsidRDefault="00A54EB6">
      <w:pPr>
        <w:pStyle w:val="Source"/>
        <w:spacing w:before="120" w:after="480"/>
        <w:rPr>
          <w:szCs w:val="20"/>
        </w:rPr>
      </w:pPr>
      <w:r w:rsidRPr="00577EB1">
        <w:t xml:space="preserve">Source: </w:t>
      </w:r>
      <w:r w:rsidR="00EB214A" w:rsidRPr="00EB214A">
        <w:rPr>
          <w:i w:val="0"/>
        </w:rPr>
        <w:t>Secrétariat permanent du Comité de pilotage de l’assurance maladie</w:t>
      </w:r>
      <w:r w:rsidR="005738FE">
        <w:rPr>
          <w:i w:val="0"/>
        </w:rPr>
        <w:t>.</w:t>
      </w:r>
    </w:p>
    <w:p w:rsidR="00A54EB6" w:rsidRPr="00577EB1" w:rsidRDefault="00A54EB6" w:rsidP="00A54EB6">
      <w:pPr>
        <w:pStyle w:val="Style4"/>
        <w:rPr>
          <w:lang w:val="fr-FR"/>
        </w:rPr>
      </w:pPr>
      <w:r w:rsidRPr="00577EB1">
        <w:rPr>
          <w:lang w:val="fr-FR"/>
        </w:rPr>
        <w:t xml:space="preserve">Politique en matière d’éducation </w:t>
      </w:r>
    </w:p>
    <w:p w:rsidR="00A54EB6" w:rsidRPr="00577EB1" w:rsidRDefault="00A54EB6" w:rsidP="00E52A30">
      <w:pPr>
        <w:numPr>
          <w:ilvl w:val="0"/>
          <w:numId w:val="2"/>
        </w:numPr>
        <w:ind w:left="0" w:firstLine="0"/>
        <w:rPr>
          <w:rStyle w:val="longtext"/>
          <w:szCs w:val="20"/>
          <w:lang w:val="fr-FR"/>
        </w:rPr>
      </w:pPr>
      <w:r w:rsidRPr="00577EB1">
        <w:rPr>
          <w:rStyle w:val="longtext"/>
          <w:b/>
          <w:shd w:val="clear" w:color="auto" w:fill="FFFFFF"/>
          <w:lang w:val="fr-FR"/>
        </w:rPr>
        <w:t>Les mesures liées à la demande, telles que des exemptions de frais de scolarité, sont au cœur de l’initiative Éducation pour tous, et les enfants de 6 à 16 ans ont droit à la gratuité de l’enseignement</w:t>
      </w:r>
      <w:r w:rsidRPr="00577EB1">
        <w:rPr>
          <w:rStyle w:val="longtext"/>
          <w:shd w:val="clear" w:color="auto" w:fill="FFFFFF"/>
          <w:lang w:val="fr-FR"/>
        </w:rPr>
        <w:t xml:space="preserve">, en vertu de la Loi de réforme de l’éducation adoptée en 1996. Au nombre des </w:t>
      </w:r>
      <w:r w:rsidRPr="00577EB1">
        <w:rPr>
          <w:rStyle w:val="longtext"/>
          <w:lang w:val="fr-FR"/>
        </w:rPr>
        <w:t>mesures concrètes visant à assurer la gratuité de l’enseignement figurent la suppression des frais dans les écoles publiques et la distribution gratuite du matériel scolaire de base dans les écoles publiques et privées. Ces mesures ont été prises dans toutes les provinces en 2007-2008, pour un budget annuel total de 6,5 milliards de francs CFA (financé par l’État et le CAST). Par ailleurs, l’État prend en charge la cotisation de l’APE</w:t>
      </w:r>
      <w:r w:rsidRPr="00577EB1">
        <w:rPr>
          <w:rStyle w:val="FootnoteReference"/>
          <w:szCs w:val="20"/>
          <w:lang w:val="fr-FR"/>
        </w:rPr>
        <w:footnoteReference w:id="12"/>
      </w:r>
      <w:r w:rsidRPr="00577EB1">
        <w:rPr>
          <w:rStyle w:val="longtext"/>
          <w:lang w:val="fr-FR"/>
        </w:rPr>
        <w:t xml:space="preserve"> pour toutes les filles inscrites en première année primaire dans les établissements publics, avec une moyenne annuelle de 192 700 fillettes bénéficiant de l’exemption des frais de 1 000 francs CFA, soit un total de 190 millions de francs CFA par an (grâce essentiellement à l’appui du CAST). </w:t>
      </w:r>
      <w:r w:rsidRPr="00577EB1">
        <w:rPr>
          <w:rStyle w:val="longtext"/>
          <w:shd w:val="clear" w:color="auto" w:fill="FFFFFF"/>
          <w:lang w:val="fr-FR"/>
        </w:rPr>
        <w:t>Cette politique s’est traduite par une hausse significative du taux de scolarisation avec</w:t>
      </w:r>
      <w:r w:rsidR="0007340F">
        <w:rPr>
          <w:rStyle w:val="longtext"/>
          <w:shd w:val="clear" w:color="auto" w:fill="FFFFFF"/>
          <w:lang w:val="fr-FR"/>
        </w:rPr>
        <w:t xml:space="preserve"> </w:t>
      </w:r>
      <w:r w:rsidRPr="00577EB1">
        <w:rPr>
          <w:rStyle w:val="longtext"/>
          <w:shd w:val="clear" w:color="auto" w:fill="FFFFFF"/>
          <w:lang w:val="fr-FR"/>
        </w:rPr>
        <w:t>i) une augmentation du taux de scolarisation global de 47 % en 2002-2003 à 71 % en 2008-2009</w:t>
      </w:r>
      <w:r w:rsidR="0007340F">
        <w:rPr>
          <w:rStyle w:val="longtext"/>
          <w:shd w:val="clear" w:color="auto" w:fill="FFFFFF"/>
          <w:lang w:val="fr-FR"/>
        </w:rPr>
        <w:t xml:space="preserve"> </w:t>
      </w:r>
      <w:r w:rsidRPr="00577EB1">
        <w:rPr>
          <w:rStyle w:val="longtext"/>
          <w:shd w:val="clear" w:color="auto" w:fill="FFFFFF"/>
          <w:lang w:val="fr-FR"/>
        </w:rPr>
        <w:t>ii) une progression du taux de scolarisation des filles de 47,7 % en 2002-2003 à 72,4 % en 2009-2010</w:t>
      </w:r>
      <w:r w:rsidR="0007340F">
        <w:rPr>
          <w:rStyle w:val="longtext"/>
          <w:shd w:val="clear" w:color="auto" w:fill="FFFFFF"/>
          <w:lang w:val="fr-FR"/>
        </w:rPr>
        <w:t xml:space="preserve"> </w:t>
      </w:r>
      <w:r w:rsidRPr="00577EB1">
        <w:rPr>
          <w:rStyle w:val="longtext"/>
          <w:shd w:val="clear" w:color="auto" w:fill="FFFFFF"/>
          <w:lang w:val="fr-FR"/>
        </w:rPr>
        <w:t xml:space="preserve">et iii) une amélioration de la parité filles-garçons qui est passée de 0,72 en 2002-2003 à 0,86 en 2009-2010. Dans l’ensemble, </w:t>
      </w:r>
      <w:r w:rsidRPr="00577EB1">
        <w:rPr>
          <w:rStyle w:val="longtext"/>
          <w:lang w:val="fr-FR"/>
        </w:rPr>
        <w:t>les mesures visant à assurer la gratuité de l’enseignement primaire pour tous ont joué un grand rôle dans l’amélioration de l’accès à l’éducation</w:t>
      </w:r>
    </w:p>
    <w:p w:rsidR="00A54EB6" w:rsidRPr="00577EB1" w:rsidRDefault="00A54EB6" w:rsidP="00E52A30">
      <w:pPr>
        <w:numPr>
          <w:ilvl w:val="0"/>
          <w:numId w:val="2"/>
        </w:numPr>
        <w:ind w:left="0" w:firstLine="0"/>
        <w:rPr>
          <w:rStyle w:val="longtext"/>
          <w:szCs w:val="20"/>
          <w:lang w:val="fr-FR"/>
        </w:rPr>
      </w:pPr>
      <w:r w:rsidRPr="00577EB1">
        <w:rPr>
          <w:rStyle w:val="longtext"/>
          <w:b/>
          <w:shd w:val="clear" w:color="auto" w:fill="FFFFFF"/>
          <w:lang w:val="fr-FR"/>
        </w:rPr>
        <w:lastRenderedPageBreak/>
        <w:t xml:space="preserve">Un certain nombre de programmes de filets sociaux complètent ces mesures universelles et interventions liées à l’offre pour encore accroître le taux de scolarisation, l’assiduité scolaire et les taux d’achèvement, et réduire les disparités </w:t>
      </w:r>
      <w:r w:rsidRPr="00577EB1">
        <w:rPr>
          <w:rStyle w:val="longtext"/>
          <w:shd w:val="clear" w:color="auto" w:fill="FFFFFF"/>
          <w:lang w:val="fr-FR"/>
        </w:rPr>
        <w:t xml:space="preserve">[MEBA, 2000]. Il s’agit notamment des cantines scolaires dans les écoles primaires et secondaires, des programmes de bourses d’études, et d’un programme pilote de transfert monétaire (conditionnel). </w:t>
      </w:r>
      <w:r w:rsidRPr="00577EB1">
        <w:rPr>
          <w:rStyle w:val="longtext"/>
          <w:lang w:val="fr-FR"/>
        </w:rPr>
        <w:t xml:space="preserve">Ces programmes seront discutés plus avant dans le Chapitre IV. </w:t>
      </w:r>
    </w:p>
    <w:p w:rsidR="00A54EB6" w:rsidRPr="00577EB1" w:rsidRDefault="00A54EB6" w:rsidP="00A54EB6">
      <w:pPr>
        <w:pStyle w:val="Style4"/>
        <w:rPr>
          <w:lang w:val="fr-FR"/>
        </w:rPr>
      </w:pPr>
      <w:r w:rsidRPr="00577EB1">
        <w:rPr>
          <w:lang w:val="fr-FR"/>
        </w:rPr>
        <w:t xml:space="preserve">Politique de sécurité alimentaire </w:t>
      </w:r>
    </w:p>
    <w:p w:rsidR="00A54EB6" w:rsidRPr="00577EB1" w:rsidRDefault="00A54EB6" w:rsidP="00E52A30">
      <w:pPr>
        <w:numPr>
          <w:ilvl w:val="0"/>
          <w:numId w:val="2"/>
        </w:numPr>
        <w:ind w:left="0" w:firstLine="0"/>
        <w:rPr>
          <w:szCs w:val="20"/>
          <w:lang w:val="fr-FR"/>
        </w:rPr>
      </w:pPr>
      <w:r w:rsidRPr="00577EB1">
        <w:rPr>
          <w:rStyle w:val="longtext"/>
          <w:b/>
          <w:shd w:val="clear" w:color="auto" w:fill="FFFFFF"/>
          <w:lang w:val="fr-FR"/>
        </w:rPr>
        <w:t>Certains programmes de filets sociaux figurent explicitement dans la Stratégie nationale de sécurité alimentaire.</w:t>
      </w:r>
      <w:r w:rsidRPr="00577EB1">
        <w:rPr>
          <w:rStyle w:val="longtext"/>
          <w:shd w:val="clear" w:color="auto" w:fill="FFFFFF"/>
          <w:lang w:val="fr-FR"/>
        </w:rPr>
        <w:t xml:space="preserve"> </w:t>
      </w:r>
      <w:r w:rsidRPr="00577EB1">
        <w:rPr>
          <w:rStyle w:val="longtext"/>
          <w:lang w:val="fr-FR"/>
        </w:rPr>
        <w:t xml:space="preserve">Cette Stratégie nationale de sécurité alimentaire (SNSA), élaborée par le ministère de l’Agriculture en 2001 et révisée en 2003, comprend la fourniture de programmes de nutrition et l’accès aux soins de santé pour les femmes enceintes et allaitantes ainsi que les enfants de moins de 5 ans atteints de malnutrition (dans le cadre de son objectif 3 « Amélioration durable des conditions économiques et nutritionnelles des populations pauvres et des groupes vulnérables »). La distribution de vivres à travers des mécanismes décentralisés et les stocks nationaux de sécurité alimentaire sont au cœur de la stratégie de protection des populations affectées par des catastrophes naturelles (dans le cadre de l’objectif 4 « Renforcement du dispositif de prévention et de gestion des crises conjoncturelles, en cohérence avec la construction de la sécurité alimentaire structurelle »). </w:t>
      </w:r>
    </w:p>
    <w:p w:rsidR="00A54EB6" w:rsidRPr="00577EB1" w:rsidRDefault="00A54EB6" w:rsidP="00A54EB6">
      <w:pPr>
        <w:pStyle w:val="Style4"/>
        <w:rPr>
          <w:lang w:val="fr-FR"/>
        </w:rPr>
      </w:pPr>
      <w:r w:rsidRPr="00577EB1">
        <w:rPr>
          <w:lang w:val="fr-FR"/>
        </w:rPr>
        <w:t>Politique de l’emploi</w:t>
      </w:r>
    </w:p>
    <w:p w:rsidR="00A54EB6" w:rsidRPr="00577EB1" w:rsidRDefault="00A54EB6" w:rsidP="00E52A30">
      <w:pPr>
        <w:numPr>
          <w:ilvl w:val="0"/>
          <w:numId w:val="2"/>
        </w:numPr>
        <w:ind w:left="0" w:firstLine="0"/>
        <w:rPr>
          <w:rStyle w:val="longtext"/>
          <w:szCs w:val="20"/>
          <w:lang w:val="fr-FR"/>
        </w:rPr>
      </w:pPr>
      <w:r w:rsidRPr="00577EB1">
        <w:rPr>
          <w:rStyle w:val="longtext"/>
          <w:b/>
          <w:shd w:val="clear" w:color="auto" w:fill="FFFFFF"/>
          <w:lang w:val="fr-FR"/>
        </w:rPr>
        <w:t xml:space="preserve">La promotion d’une utilisation (large et systématique) des approches à haute intensité de main d’œuvre est une ambition clairement définie dans la politique nationale de l’emploi adoptée en 2008. </w:t>
      </w:r>
      <w:r w:rsidRPr="00577EB1">
        <w:rPr>
          <w:rStyle w:val="longtext"/>
          <w:shd w:val="clear" w:color="auto" w:fill="FFFFFF"/>
          <w:lang w:val="fr-FR"/>
        </w:rPr>
        <w:t xml:space="preserve">Cette politique vise à renforcer les mesures ciblées destinées à promouvoir l’emploi. </w:t>
      </w:r>
      <w:r w:rsidRPr="00577EB1">
        <w:rPr>
          <w:rStyle w:val="longtext"/>
          <w:lang w:val="fr-FR"/>
        </w:rPr>
        <w:t xml:space="preserve">Le Programme d’investissement public propose un large éventail d’infrastructures pouvant être réalisées et/ou entretenus au moyen d’approches à haute intensité de main-d’œuvre. Mais, même si la politique vise la création d’opportunités d’emploi grâce à cette approche, rien n’indique si les programmes seront conçus de manière à faciliter la participation des plus pauvres et des plus vulnérables à ces activités professionnelles temporaires. </w:t>
      </w:r>
    </w:p>
    <w:p w:rsidR="00A54EB6" w:rsidRPr="00577EB1" w:rsidRDefault="00A54EB6" w:rsidP="00A54EB6">
      <w:pPr>
        <w:pStyle w:val="Style3"/>
        <w:rPr>
          <w:szCs w:val="22"/>
          <w:lang w:val="fr-FR"/>
        </w:rPr>
      </w:pPr>
      <w:r w:rsidRPr="00577EB1">
        <w:rPr>
          <w:lang w:val="fr-FR"/>
        </w:rPr>
        <w:t xml:space="preserve">Filets sociaux dans les réponses aux crises du Burkina </w:t>
      </w:r>
    </w:p>
    <w:p w:rsidR="00A54EB6" w:rsidRPr="00577EB1" w:rsidRDefault="00A54EB6" w:rsidP="00E52A30">
      <w:pPr>
        <w:numPr>
          <w:ilvl w:val="0"/>
          <w:numId w:val="2"/>
        </w:numPr>
        <w:ind w:left="0" w:firstLine="0"/>
        <w:rPr>
          <w:rStyle w:val="longtext"/>
          <w:szCs w:val="24"/>
          <w:lang w:val="fr-FR"/>
        </w:rPr>
      </w:pPr>
      <w:r w:rsidRPr="00577EB1">
        <w:rPr>
          <w:rStyle w:val="longtext"/>
          <w:b/>
          <w:lang w:val="fr-FR"/>
        </w:rPr>
        <w:t>Les transferts directs aux individus et aux ménages sont au cœur des stratégies de réponses aux crises du Burkina</w:t>
      </w:r>
      <w:r w:rsidRPr="00577EB1">
        <w:rPr>
          <w:rStyle w:val="longtext"/>
          <w:lang w:val="fr-FR"/>
        </w:rPr>
        <w:t xml:space="preserve">. Le plan d’urgence en matière de sécurité alimentaire et de nutrition, adopté par le gouvernement en 2008 en réponse à la flambée des cours mondiaux des produits alimentaires et pétroliers, comprend dans l’ensemble les mêmes types de programmes, y compris les interventions nutritionnelles à court terme. Le </w:t>
      </w:r>
      <w:r w:rsidRPr="00577EB1">
        <w:rPr>
          <w:rStyle w:val="longtext"/>
          <w:shd w:val="clear" w:color="auto" w:fill="FFFFFF"/>
          <w:lang w:val="fr-FR"/>
        </w:rPr>
        <w:t xml:space="preserve">plan d’urgence du pays comprend, entre autres, des distributions de vivres aux ménages affectés par les catastrophes, des programmes nutritionnels destinés aux enfants et femmes atteints de malnutrition, des programmes de cantines scolaires pour les élèves déplacés ainsi que des soins de santé en faveur de la mère et de l’enfant. </w:t>
      </w:r>
    </w:p>
    <w:p w:rsidR="00A54EB6" w:rsidRPr="00577EB1" w:rsidRDefault="00A54EB6" w:rsidP="00E52A30">
      <w:pPr>
        <w:numPr>
          <w:ilvl w:val="0"/>
          <w:numId w:val="2"/>
        </w:numPr>
        <w:ind w:left="0" w:firstLine="0"/>
        <w:rPr>
          <w:rStyle w:val="longtext"/>
          <w:lang w:val="fr-FR"/>
        </w:rPr>
      </w:pPr>
      <w:r w:rsidRPr="00577EB1">
        <w:rPr>
          <w:rStyle w:val="longtext"/>
          <w:b/>
          <w:lang w:val="fr-FR"/>
        </w:rPr>
        <w:t>Cependant, le plan d’action 2009-2010, élaboré pour atténuer les effets de la crise financière et économique constitue, en fait, le premier document stratégique à mettre un accent particulier sur les filets sociaux</w:t>
      </w:r>
      <w:r w:rsidRPr="00577EB1">
        <w:rPr>
          <w:rStyle w:val="longtext"/>
          <w:lang w:val="fr-FR"/>
        </w:rPr>
        <w:t xml:space="preserve">. </w:t>
      </w:r>
      <w:r w:rsidRPr="00577EB1">
        <w:rPr>
          <w:rStyle w:val="longtext"/>
          <w:shd w:val="clear" w:color="auto" w:fill="FFFFFF"/>
          <w:lang w:val="fr-FR"/>
        </w:rPr>
        <w:t>Le quatrième pilier de ce plan d’action de crise (« Renforcement des programmes de protection sociale ») a trois composantes</w:t>
      </w:r>
      <w:r w:rsidR="0007340F">
        <w:rPr>
          <w:rStyle w:val="longtext"/>
          <w:shd w:val="clear" w:color="auto" w:fill="FFFFFF"/>
          <w:lang w:val="fr-FR"/>
        </w:rPr>
        <w:t xml:space="preserve"> </w:t>
      </w:r>
      <w:r w:rsidRPr="00577EB1">
        <w:rPr>
          <w:rStyle w:val="longtext"/>
          <w:shd w:val="clear" w:color="auto" w:fill="FFFFFF"/>
          <w:lang w:val="fr-FR"/>
        </w:rPr>
        <w:t xml:space="preserve">i) mise en œuvre de filets sociaux et de mécanismes novateurs de réduction </w:t>
      </w:r>
      <w:r w:rsidRPr="00577EB1">
        <w:rPr>
          <w:rStyle w:val="longtext"/>
          <w:shd w:val="clear" w:color="auto" w:fill="FFFFFF"/>
          <w:lang w:val="fr-FR"/>
        </w:rPr>
        <w:lastRenderedPageBreak/>
        <w:t>des charges des ménages</w:t>
      </w:r>
      <w:r w:rsidR="0007340F">
        <w:rPr>
          <w:rStyle w:val="longtext"/>
          <w:shd w:val="clear" w:color="auto" w:fill="FFFFFF"/>
          <w:lang w:val="fr-FR"/>
        </w:rPr>
        <w:t xml:space="preserve"> </w:t>
      </w:r>
      <w:r w:rsidRPr="00577EB1">
        <w:rPr>
          <w:rStyle w:val="longtext"/>
          <w:shd w:val="clear" w:color="auto" w:fill="FFFFFF"/>
          <w:lang w:val="fr-FR"/>
        </w:rPr>
        <w:t>ii) supervision d’une structure de tarification</w:t>
      </w:r>
      <w:r w:rsidR="0007340F">
        <w:rPr>
          <w:rStyle w:val="longtext"/>
          <w:shd w:val="clear" w:color="auto" w:fill="FFFFFF"/>
          <w:lang w:val="fr-FR"/>
        </w:rPr>
        <w:t xml:space="preserve"> </w:t>
      </w:r>
      <w:r w:rsidRPr="00577EB1">
        <w:rPr>
          <w:rStyle w:val="longtext"/>
          <w:shd w:val="clear" w:color="auto" w:fill="FFFFFF"/>
          <w:lang w:val="fr-FR"/>
        </w:rPr>
        <w:t xml:space="preserve">et iii) mise en œuvre d’un programme spécial pour l’emploi et les travaux à haute intensité de main d’œuvre [MEF 2009b]. De manière plus spécifique, </w:t>
      </w:r>
      <w:r w:rsidRPr="00577EB1">
        <w:rPr>
          <w:rStyle w:val="longtext"/>
          <w:lang w:val="fr-FR"/>
        </w:rPr>
        <w:t xml:space="preserve">les activités proposées au titre de la composante « Filets sociaux » du plan d’action de crise comprennent à la fois des activités existantes (SNS et cantines scolaires et des nouvelles (consultations prénatales gratuites) (Tableau 7). </w:t>
      </w:r>
      <w:r w:rsidRPr="00577EB1">
        <w:rPr>
          <w:rStyle w:val="longtext"/>
          <w:shd w:val="clear" w:color="auto" w:fill="FFFFFF"/>
          <w:lang w:val="fr-FR"/>
        </w:rPr>
        <w:t xml:space="preserve">Néanmoins, comme dans le DSRP et la Politique nationale d’action sociale, le terme « protection sociale » est utilisé dans un sens très restreint, et le Programme de protection sociale des groupes vulnérables fait essentiellement référence aux services d’assistance sociale plutôt qu’à un éventail plus large </w:t>
      </w:r>
      <w:r w:rsidRPr="00577EB1">
        <w:rPr>
          <w:rStyle w:val="longtext"/>
          <w:lang w:val="fr-FR"/>
        </w:rPr>
        <w:t xml:space="preserve">d’assurance sociale, de filets sociaux, de politiques et règlementations, et de services d’assistance sociale (Tableau 8). Il convient de noter que cet ensemble de mesures a été voté avec le budget complémentaire de 2009 devant être décaissé avant la fin février 2010. Rien n’indique que les ressources ont été mises à disposition en 2010. </w:t>
      </w:r>
    </w:p>
    <w:p w:rsidR="00E45848" w:rsidRPr="00577EB1" w:rsidRDefault="00A54EB6" w:rsidP="00E45848">
      <w:pPr>
        <w:pStyle w:val="Heading7"/>
        <w:spacing w:after="0"/>
        <w:rPr>
          <w:bCs/>
          <w:iCs/>
          <w:color w:val="000000"/>
          <w:lang w:val="fr-FR" w:eastAsia="fr-FR"/>
        </w:rPr>
      </w:pPr>
      <w:bookmarkStart w:id="60" w:name="_Ref135723770"/>
      <w:bookmarkStart w:id="61" w:name="_Toc284528581"/>
      <w:bookmarkStart w:id="62" w:name="_Toc284530518"/>
      <w:bookmarkStart w:id="63" w:name="_Toc262170038"/>
      <w:r w:rsidRPr="00577EB1">
        <w:rPr>
          <w:lang w:val="fr-FR"/>
        </w:rPr>
        <w:lastRenderedPageBreak/>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7</w:t>
      </w:r>
      <w:r w:rsidR="00725419" w:rsidRPr="00577EB1">
        <w:rPr>
          <w:lang w:val="fr-FR"/>
        </w:rPr>
        <w:fldChar w:fldCharType="end"/>
      </w:r>
      <w:bookmarkEnd w:id="60"/>
      <w:r w:rsidR="00837FC9">
        <w:rPr>
          <w:lang w:val="fr-FR"/>
        </w:rPr>
        <w:t> :</w:t>
      </w:r>
      <w:r w:rsidR="0007340F">
        <w:rPr>
          <w:lang w:val="fr-FR"/>
        </w:rPr>
        <w:t xml:space="preserve"> </w:t>
      </w:r>
      <w:r w:rsidRPr="00577EB1">
        <w:rPr>
          <w:lang w:val="fr-FR"/>
        </w:rPr>
        <w:t xml:space="preserve">Composante « Filets sociaux » du plan d’action de crise </w:t>
      </w:r>
      <w:r w:rsidRPr="00577EB1">
        <w:rPr>
          <w:bCs/>
          <w:iCs/>
          <w:color w:val="000000"/>
          <w:lang w:val="fr-FR" w:eastAsia="fr-FR"/>
        </w:rPr>
        <w:t>2009-2010</w:t>
      </w:r>
      <w:bookmarkEnd w:id="61"/>
      <w:bookmarkEnd w:id="62"/>
      <w:r w:rsidRPr="00577EB1">
        <w:rPr>
          <w:bCs/>
          <w:iCs/>
          <w:color w:val="000000"/>
          <w:lang w:val="fr-FR" w:eastAsia="fr-FR"/>
        </w:rPr>
        <w:t xml:space="preserve"> </w:t>
      </w:r>
    </w:p>
    <w:p w:rsidR="004B3541" w:rsidRDefault="00EB214A">
      <w:pPr>
        <w:pStyle w:val="Source"/>
        <w:jc w:val="center"/>
        <w:rPr>
          <w:rFonts w:ascii="Arial" w:hAnsi="Arial" w:cs="Arial"/>
          <w:b/>
          <w:i w:val="0"/>
          <w:sz w:val="24"/>
        </w:rPr>
      </w:pPr>
      <w:r w:rsidRPr="00EB214A">
        <w:rPr>
          <w:b/>
          <w:i w:val="0"/>
          <w:lang w:eastAsia="fr-FR"/>
        </w:rPr>
        <w:t>(en millions de francs CFA)</w:t>
      </w:r>
      <w:bookmarkEnd w:id="63"/>
    </w:p>
    <w:tbl>
      <w:tblPr>
        <w:tblW w:w="5000" w:type="pct"/>
        <w:tblCellMar>
          <w:left w:w="70" w:type="dxa"/>
          <w:right w:w="70" w:type="dxa"/>
        </w:tblCellMar>
        <w:tblLook w:val="00A0"/>
      </w:tblPr>
      <w:tblGrid>
        <w:gridCol w:w="4751"/>
        <w:gridCol w:w="1392"/>
        <w:gridCol w:w="1394"/>
        <w:gridCol w:w="1392"/>
      </w:tblGrid>
      <w:tr w:rsidR="00A54EB6" w:rsidRPr="00577EB1" w:rsidTr="0050199E">
        <w:trPr>
          <w:trHeight w:val="213"/>
        </w:trPr>
        <w:tc>
          <w:tcPr>
            <w:tcW w:w="2308" w:type="pct"/>
            <w:tcBorders>
              <w:top w:val="single" w:sz="4" w:space="0" w:color="auto"/>
            </w:tcBorders>
            <w:noWrap/>
            <w:vAlign w:val="center"/>
          </w:tcPr>
          <w:p w:rsidR="00A54EB6" w:rsidRPr="00577EB1" w:rsidRDefault="00A54EB6" w:rsidP="0050199E">
            <w:pPr>
              <w:keepNext/>
              <w:keepLines/>
              <w:spacing w:after="0"/>
              <w:jc w:val="left"/>
              <w:rPr>
                <w:bCs/>
                <w:iCs/>
                <w:color w:val="000000"/>
                <w:sz w:val="20"/>
                <w:szCs w:val="20"/>
                <w:lang w:val="fr-FR" w:eastAsia="fr-FR"/>
              </w:rPr>
            </w:pPr>
            <w:r w:rsidRPr="00577EB1">
              <w:rPr>
                <w:bCs/>
                <w:iCs/>
                <w:color w:val="000000"/>
                <w:sz w:val="20"/>
                <w:szCs w:val="20"/>
                <w:lang w:val="fr-FR" w:eastAsia="fr-FR"/>
              </w:rPr>
              <w:t>Activité</w:t>
            </w:r>
          </w:p>
        </w:tc>
        <w:tc>
          <w:tcPr>
            <w:tcW w:w="897" w:type="pct"/>
            <w:tcBorders>
              <w:top w:val="single" w:sz="4" w:space="0" w:color="auto"/>
            </w:tcBorders>
            <w:vAlign w:val="center"/>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2009</w:t>
            </w:r>
          </w:p>
        </w:tc>
        <w:tc>
          <w:tcPr>
            <w:tcW w:w="898" w:type="pct"/>
            <w:tcBorders>
              <w:top w:val="single" w:sz="4" w:space="0" w:color="auto"/>
            </w:tcBorders>
            <w:vAlign w:val="center"/>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2010</w:t>
            </w:r>
          </w:p>
        </w:tc>
        <w:tc>
          <w:tcPr>
            <w:tcW w:w="898" w:type="pct"/>
            <w:tcBorders>
              <w:top w:val="single" w:sz="4" w:space="0" w:color="auto"/>
            </w:tcBorders>
            <w:vAlign w:val="center"/>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2010</w:t>
            </w:r>
          </w:p>
        </w:tc>
      </w:tr>
      <w:tr w:rsidR="00A54EB6" w:rsidRPr="00577EB1" w:rsidTr="0050199E">
        <w:trPr>
          <w:trHeight w:val="345"/>
        </w:trPr>
        <w:tc>
          <w:tcPr>
            <w:tcW w:w="2308" w:type="pct"/>
            <w:tcBorders>
              <w:bottom w:val="single" w:sz="4" w:space="0" w:color="auto"/>
            </w:tcBorders>
            <w:noWrap/>
            <w:vAlign w:val="center"/>
          </w:tcPr>
          <w:p w:rsidR="00A54EB6" w:rsidRPr="00577EB1" w:rsidRDefault="00A54EB6" w:rsidP="0050199E">
            <w:pPr>
              <w:keepNext/>
              <w:keepLines/>
              <w:spacing w:after="0"/>
              <w:jc w:val="right"/>
              <w:rPr>
                <w:bCs/>
                <w:iCs/>
                <w:color w:val="000000"/>
                <w:sz w:val="20"/>
                <w:szCs w:val="20"/>
                <w:lang w:val="fr-FR" w:eastAsia="fr-FR"/>
              </w:rPr>
            </w:pPr>
          </w:p>
        </w:tc>
        <w:tc>
          <w:tcPr>
            <w:tcW w:w="897" w:type="pct"/>
            <w:tcBorders>
              <w:bottom w:val="single" w:sz="4" w:space="0" w:color="auto"/>
            </w:tcBorders>
            <w:vAlign w:val="center"/>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 xml:space="preserve">Budget supplémentaire requis </w:t>
            </w:r>
          </w:p>
        </w:tc>
        <w:tc>
          <w:tcPr>
            <w:tcW w:w="898" w:type="pct"/>
            <w:tcBorders>
              <w:bottom w:val="single" w:sz="4" w:space="0" w:color="auto"/>
            </w:tcBorders>
            <w:vAlign w:val="center"/>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Budget supplémentaire requis</w:t>
            </w:r>
          </w:p>
        </w:tc>
        <w:tc>
          <w:tcPr>
            <w:tcW w:w="898" w:type="pct"/>
            <w:tcBorders>
              <w:bottom w:val="single" w:sz="4" w:space="0" w:color="auto"/>
            </w:tcBorders>
            <w:vAlign w:val="center"/>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Financement sécurisé en décembre 2009</w:t>
            </w:r>
          </w:p>
        </w:tc>
      </w:tr>
      <w:tr w:rsidR="00A54EB6" w:rsidRPr="00577EB1" w:rsidTr="0050199E">
        <w:trPr>
          <w:trHeight w:val="476"/>
        </w:trPr>
        <w:tc>
          <w:tcPr>
            <w:tcW w:w="2308" w:type="pct"/>
            <w:tcBorders>
              <w:top w:val="single" w:sz="4" w:space="0" w:color="auto"/>
            </w:tcBorders>
            <w:noWrap/>
          </w:tcPr>
          <w:p w:rsidR="00A54EB6" w:rsidRPr="00577EB1" w:rsidRDefault="00A54EB6" w:rsidP="0050199E">
            <w:pPr>
              <w:keepNext/>
              <w:keepLines/>
              <w:spacing w:before="120" w:after="0"/>
              <w:jc w:val="left"/>
              <w:rPr>
                <w:bCs/>
                <w:i/>
                <w:iCs/>
                <w:color w:val="000000"/>
                <w:sz w:val="20"/>
                <w:szCs w:val="20"/>
                <w:lang w:val="fr-FR" w:eastAsia="fr-FR"/>
              </w:rPr>
            </w:pPr>
            <w:r w:rsidRPr="00577EB1">
              <w:rPr>
                <w:rStyle w:val="longtext"/>
                <w:i/>
                <w:sz w:val="20"/>
                <w:szCs w:val="20"/>
                <w:shd w:val="clear" w:color="auto" w:fill="FFFFFF"/>
                <w:lang w:val="fr-FR"/>
              </w:rPr>
              <w:t>Programme 1: Sécurité alimentaire et nutritionnelle</w:t>
            </w:r>
          </w:p>
        </w:tc>
        <w:tc>
          <w:tcPr>
            <w:tcW w:w="897" w:type="pct"/>
            <w:tcBorders>
              <w:top w:val="single" w:sz="4" w:space="0" w:color="auto"/>
            </w:tcBorders>
          </w:tcPr>
          <w:p w:rsidR="00A54EB6" w:rsidRPr="00577EB1" w:rsidRDefault="00A54EB6" w:rsidP="0050199E">
            <w:pPr>
              <w:keepNext/>
              <w:keepLines/>
              <w:spacing w:before="120" w:after="0"/>
              <w:jc w:val="right"/>
              <w:rPr>
                <w:bCs/>
                <w:iCs/>
                <w:color w:val="000000"/>
                <w:sz w:val="20"/>
                <w:szCs w:val="20"/>
                <w:lang w:val="fr-FR" w:eastAsia="fr-FR"/>
              </w:rPr>
            </w:pPr>
            <w:r w:rsidRPr="00577EB1">
              <w:rPr>
                <w:bCs/>
                <w:iCs/>
                <w:color w:val="000000"/>
                <w:sz w:val="20"/>
                <w:szCs w:val="20"/>
                <w:lang w:val="fr-FR" w:eastAsia="fr-FR"/>
              </w:rPr>
              <w:t>8 446,8</w:t>
            </w:r>
          </w:p>
        </w:tc>
        <w:tc>
          <w:tcPr>
            <w:tcW w:w="898" w:type="pct"/>
            <w:tcBorders>
              <w:top w:val="single" w:sz="4" w:space="0" w:color="auto"/>
            </w:tcBorders>
          </w:tcPr>
          <w:p w:rsidR="00A54EB6" w:rsidRPr="00577EB1" w:rsidRDefault="00A54EB6" w:rsidP="0050199E">
            <w:pPr>
              <w:keepNext/>
              <w:keepLines/>
              <w:spacing w:before="120" w:after="0"/>
              <w:jc w:val="right"/>
              <w:rPr>
                <w:bCs/>
                <w:iCs/>
                <w:color w:val="000000"/>
                <w:sz w:val="20"/>
                <w:szCs w:val="20"/>
                <w:lang w:val="fr-FR" w:eastAsia="fr-FR"/>
              </w:rPr>
            </w:pPr>
            <w:r w:rsidRPr="00577EB1">
              <w:rPr>
                <w:bCs/>
                <w:iCs/>
                <w:color w:val="000000"/>
                <w:sz w:val="20"/>
                <w:szCs w:val="20"/>
                <w:lang w:val="fr-FR" w:eastAsia="fr-FR"/>
              </w:rPr>
              <w:t>31.466,2</w:t>
            </w:r>
          </w:p>
        </w:tc>
        <w:tc>
          <w:tcPr>
            <w:tcW w:w="898" w:type="pct"/>
            <w:tcBorders>
              <w:top w:val="single" w:sz="4" w:space="0" w:color="auto"/>
            </w:tcBorders>
          </w:tcPr>
          <w:p w:rsidR="00A54EB6" w:rsidRPr="00577EB1" w:rsidRDefault="00A54EB6" w:rsidP="0050199E">
            <w:pPr>
              <w:keepNext/>
              <w:keepLines/>
              <w:spacing w:before="120" w:after="0"/>
              <w:jc w:val="right"/>
              <w:rPr>
                <w:bCs/>
                <w:iCs/>
                <w:color w:val="000000"/>
                <w:sz w:val="20"/>
                <w:szCs w:val="20"/>
                <w:lang w:val="fr-FR" w:eastAsia="fr-FR"/>
              </w:rPr>
            </w:pPr>
            <w:r w:rsidRPr="00577EB1">
              <w:rPr>
                <w:bCs/>
                <w:iCs/>
                <w:color w:val="000000"/>
                <w:sz w:val="20"/>
                <w:szCs w:val="20"/>
                <w:lang w:val="fr-FR" w:eastAsia="fr-FR"/>
              </w:rPr>
              <w:t>175,2</w:t>
            </w:r>
          </w:p>
        </w:tc>
      </w:tr>
      <w:tr w:rsidR="00A54EB6" w:rsidRPr="00577EB1" w:rsidTr="0050199E">
        <w:trPr>
          <w:trHeight w:val="476"/>
        </w:trPr>
        <w:tc>
          <w:tcPr>
            <w:tcW w:w="2308" w:type="pct"/>
          </w:tcPr>
          <w:p w:rsidR="00A54EB6" w:rsidRPr="00577EB1" w:rsidRDefault="00A54EB6" w:rsidP="0050199E">
            <w:pPr>
              <w:keepNext/>
              <w:keepLines/>
              <w:spacing w:after="0"/>
              <w:ind w:left="214"/>
              <w:jc w:val="left"/>
              <w:rPr>
                <w:bCs/>
                <w:iCs/>
                <w:color w:val="000000"/>
                <w:sz w:val="20"/>
                <w:szCs w:val="20"/>
                <w:lang w:val="fr-FR" w:eastAsia="fr-FR"/>
              </w:rPr>
            </w:pPr>
            <w:r w:rsidRPr="00577EB1">
              <w:rPr>
                <w:bCs/>
                <w:iCs/>
                <w:color w:val="000000"/>
                <w:sz w:val="20"/>
                <w:szCs w:val="20"/>
                <w:lang w:val="fr-FR" w:eastAsia="fr-FR"/>
              </w:rPr>
              <w:t xml:space="preserve">Distribution de vivres et construction de lieux de stockage des denrées </w:t>
            </w:r>
          </w:p>
        </w:tc>
        <w:tc>
          <w:tcPr>
            <w:tcW w:w="897" w:type="pct"/>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8 446,8</w:t>
            </w:r>
          </w:p>
        </w:tc>
        <w:tc>
          <w:tcPr>
            <w:tcW w:w="898" w:type="pct"/>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30 050,9</w:t>
            </w:r>
          </w:p>
        </w:tc>
        <w:tc>
          <w:tcPr>
            <w:tcW w:w="898" w:type="pct"/>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175,2</w:t>
            </w:r>
          </w:p>
        </w:tc>
      </w:tr>
      <w:tr w:rsidR="00A54EB6" w:rsidRPr="00577EB1" w:rsidTr="0050199E">
        <w:trPr>
          <w:trHeight w:val="268"/>
        </w:trPr>
        <w:tc>
          <w:tcPr>
            <w:tcW w:w="2308" w:type="pct"/>
          </w:tcPr>
          <w:p w:rsidR="00A54EB6" w:rsidRPr="00577EB1" w:rsidRDefault="00A54EB6" w:rsidP="0050199E">
            <w:pPr>
              <w:keepNext/>
              <w:keepLines/>
              <w:spacing w:after="0"/>
              <w:ind w:left="214"/>
              <w:jc w:val="left"/>
              <w:rPr>
                <w:bCs/>
                <w:iCs/>
                <w:color w:val="000000"/>
                <w:sz w:val="20"/>
                <w:szCs w:val="20"/>
                <w:lang w:val="fr-FR" w:eastAsia="fr-FR"/>
              </w:rPr>
            </w:pPr>
            <w:r w:rsidRPr="00577EB1">
              <w:rPr>
                <w:bCs/>
                <w:iCs/>
                <w:color w:val="000000"/>
                <w:sz w:val="20"/>
                <w:szCs w:val="20"/>
                <w:lang w:val="fr-FR" w:eastAsia="fr-FR"/>
              </w:rPr>
              <w:t>Programme de lutte contre la malnutrition maternelle et infantile</w:t>
            </w:r>
          </w:p>
        </w:tc>
        <w:tc>
          <w:tcPr>
            <w:tcW w:w="897" w:type="pct"/>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w:t>
            </w:r>
          </w:p>
        </w:tc>
        <w:tc>
          <w:tcPr>
            <w:tcW w:w="898" w:type="pct"/>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1 415,2</w:t>
            </w:r>
          </w:p>
        </w:tc>
        <w:tc>
          <w:tcPr>
            <w:tcW w:w="898" w:type="pct"/>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w:t>
            </w:r>
          </w:p>
        </w:tc>
      </w:tr>
      <w:tr w:rsidR="00A54EB6" w:rsidRPr="00577EB1" w:rsidTr="0050199E">
        <w:trPr>
          <w:trHeight w:val="326"/>
        </w:trPr>
        <w:tc>
          <w:tcPr>
            <w:tcW w:w="2308" w:type="pct"/>
            <w:noWrap/>
          </w:tcPr>
          <w:p w:rsidR="00A54EB6" w:rsidRPr="00577EB1" w:rsidRDefault="00A54EB6" w:rsidP="0050199E">
            <w:pPr>
              <w:keepNext/>
              <w:keepLines/>
              <w:spacing w:after="0"/>
              <w:jc w:val="left"/>
              <w:rPr>
                <w:bCs/>
                <w:i/>
                <w:iCs/>
                <w:color w:val="000000"/>
                <w:sz w:val="20"/>
                <w:szCs w:val="20"/>
                <w:lang w:val="fr-FR" w:eastAsia="fr-FR"/>
              </w:rPr>
            </w:pPr>
            <w:r w:rsidRPr="00577EB1">
              <w:rPr>
                <w:bCs/>
                <w:i/>
                <w:iCs/>
                <w:color w:val="000000"/>
                <w:sz w:val="20"/>
                <w:szCs w:val="20"/>
                <w:lang w:val="fr-FR" w:eastAsia="fr-FR"/>
              </w:rPr>
              <w:t>Programme 2: Éducation</w:t>
            </w:r>
          </w:p>
        </w:tc>
        <w:tc>
          <w:tcPr>
            <w:tcW w:w="897" w:type="pct"/>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12 582</w:t>
            </w:r>
          </w:p>
        </w:tc>
        <w:tc>
          <w:tcPr>
            <w:tcW w:w="898" w:type="pct"/>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12 582</w:t>
            </w:r>
          </w:p>
        </w:tc>
        <w:tc>
          <w:tcPr>
            <w:tcW w:w="898" w:type="pct"/>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4 348,2</w:t>
            </w:r>
          </w:p>
        </w:tc>
      </w:tr>
      <w:tr w:rsidR="00A54EB6" w:rsidRPr="00577EB1" w:rsidTr="0050199E">
        <w:trPr>
          <w:trHeight w:val="476"/>
        </w:trPr>
        <w:tc>
          <w:tcPr>
            <w:tcW w:w="2308" w:type="pct"/>
          </w:tcPr>
          <w:p w:rsidR="00A54EB6" w:rsidRPr="00577EB1" w:rsidRDefault="00A54EB6" w:rsidP="0050199E">
            <w:pPr>
              <w:keepNext/>
              <w:keepLines/>
              <w:spacing w:after="0"/>
              <w:ind w:left="214" w:right="-70"/>
              <w:jc w:val="left"/>
              <w:rPr>
                <w:iCs/>
                <w:color w:val="000000"/>
                <w:sz w:val="20"/>
                <w:szCs w:val="20"/>
                <w:lang w:val="fr-FR" w:eastAsia="fr-FR"/>
              </w:rPr>
            </w:pPr>
            <w:r w:rsidRPr="00577EB1">
              <w:rPr>
                <w:iCs/>
                <w:color w:val="000000"/>
                <w:sz w:val="20"/>
                <w:szCs w:val="20"/>
                <w:lang w:val="fr-FR" w:eastAsia="fr-FR"/>
              </w:rPr>
              <w:t>Subventions pour les filles nouvellement inscrites à l’école primaire</w:t>
            </w:r>
          </w:p>
        </w:tc>
        <w:tc>
          <w:tcPr>
            <w:tcW w:w="897"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260</w:t>
            </w:r>
          </w:p>
        </w:tc>
        <w:tc>
          <w:tcPr>
            <w:tcW w:w="898"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260</w:t>
            </w:r>
          </w:p>
        </w:tc>
        <w:tc>
          <w:tcPr>
            <w:tcW w:w="898"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w:t>
            </w:r>
          </w:p>
        </w:tc>
      </w:tr>
      <w:tr w:rsidR="00A54EB6" w:rsidRPr="00577EB1" w:rsidTr="0050199E">
        <w:trPr>
          <w:trHeight w:val="366"/>
        </w:trPr>
        <w:tc>
          <w:tcPr>
            <w:tcW w:w="2308" w:type="pct"/>
          </w:tcPr>
          <w:p w:rsidR="00A54EB6" w:rsidRPr="00577EB1" w:rsidRDefault="00A54EB6" w:rsidP="0050199E">
            <w:pPr>
              <w:keepNext/>
              <w:keepLines/>
              <w:spacing w:after="0"/>
              <w:ind w:left="214"/>
              <w:jc w:val="left"/>
              <w:rPr>
                <w:iCs/>
                <w:color w:val="000000"/>
                <w:sz w:val="20"/>
                <w:szCs w:val="20"/>
                <w:lang w:val="fr-FR" w:eastAsia="fr-FR"/>
              </w:rPr>
            </w:pPr>
            <w:r w:rsidRPr="00577EB1">
              <w:rPr>
                <w:iCs/>
                <w:color w:val="000000"/>
                <w:sz w:val="20"/>
                <w:szCs w:val="20"/>
                <w:lang w:val="fr-FR" w:eastAsia="fr-FR"/>
              </w:rPr>
              <w:t>Programme de cantines scolaires du MEBA</w:t>
            </w:r>
          </w:p>
        </w:tc>
        <w:tc>
          <w:tcPr>
            <w:tcW w:w="897"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12 322</w:t>
            </w:r>
          </w:p>
        </w:tc>
        <w:tc>
          <w:tcPr>
            <w:tcW w:w="898"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12 322</w:t>
            </w:r>
          </w:p>
        </w:tc>
        <w:tc>
          <w:tcPr>
            <w:tcW w:w="898" w:type="pct"/>
          </w:tcPr>
          <w:p w:rsidR="00A54EB6" w:rsidRPr="00577EB1" w:rsidRDefault="00A54EB6" w:rsidP="0050199E">
            <w:pPr>
              <w:keepNext/>
              <w:keepLines/>
              <w:spacing w:after="0"/>
              <w:jc w:val="right"/>
              <w:rPr>
                <w:iCs/>
                <w:sz w:val="20"/>
                <w:szCs w:val="20"/>
                <w:lang w:val="fr-FR" w:eastAsia="fr-FR"/>
              </w:rPr>
            </w:pPr>
            <w:r w:rsidRPr="00577EB1">
              <w:rPr>
                <w:iCs/>
                <w:sz w:val="20"/>
                <w:szCs w:val="20"/>
                <w:lang w:val="fr-FR" w:eastAsia="fr-FR"/>
              </w:rPr>
              <w:t>4 348,2</w:t>
            </w:r>
          </w:p>
        </w:tc>
      </w:tr>
      <w:tr w:rsidR="00A54EB6" w:rsidRPr="00577EB1" w:rsidTr="0050199E">
        <w:trPr>
          <w:trHeight w:val="286"/>
        </w:trPr>
        <w:tc>
          <w:tcPr>
            <w:tcW w:w="2308" w:type="pct"/>
            <w:noWrap/>
          </w:tcPr>
          <w:p w:rsidR="00A54EB6" w:rsidRPr="00577EB1" w:rsidRDefault="00A54EB6" w:rsidP="0050199E">
            <w:pPr>
              <w:keepNext/>
              <w:keepLines/>
              <w:spacing w:after="0"/>
              <w:jc w:val="left"/>
              <w:rPr>
                <w:bCs/>
                <w:i/>
                <w:iCs/>
                <w:color w:val="000000"/>
                <w:sz w:val="20"/>
                <w:szCs w:val="20"/>
                <w:lang w:val="fr-FR" w:eastAsia="fr-FR"/>
              </w:rPr>
            </w:pPr>
            <w:r w:rsidRPr="00577EB1">
              <w:rPr>
                <w:bCs/>
                <w:i/>
                <w:iCs/>
                <w:color w:val="000000"/>
                <w:sz w:val="20"/>
                <w:szCs w:val="20"/>
                <w:lang w:val="fr-FR" w:eastAsia="fr-FR"/>
              </w:rPr>
              <w:t>Programme 3: Santé</w:t>
            </w:r>
          </w:p>
        </w:tc>
        <w:tc>
          <w:tcPr>
            <w:tcW w:w="897" w:type="pct"/>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2 000</w:t>
            </w:r>
          </w:p>
        </w:tc>
        <w:tc>
          <w:tcPr>
            <w:tcW w:w="898" w:type="pct"/>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26 602,3</w:t>
            </w:r>
          </w:p>
        </w:tc>
        <w:tc>
          <w:tcPr>
            <w:tcW w:w="898" w:type="pct"/>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19 477,9</w:t>
            </w:r>
          </w:p>
        </w:tc>
      </w:tr>
      <w:tr w:rsidR="00A54EB6" w:rsidRPr="00577EB1" w:rsidTr="0050199E">
        <w:trPr>
          <w:trHeight w:val="290"/>
        </w:trPr>
        <w:tc>
          <w:tcPr>
            <w:tcW w:w="2308" w:type="pct"/>
          </w:tcPr>
          <w:p w:rsidR="00A54EB6" w:rsidRPr="00577EB1" w:rsidRDefault="00A54EB6" w:rsidP="0050199E">
            <w:pPr>
              <w:keepNext/>
              <w:keepLines/>
              <w:spacing w:after="0"/>
              <w:ind w:left="214"/>
              <w:jc w:val="left"/>
              <w:rPr>
                <w:iCs/>
                <w:color w:val="000000"/>
                <w:sz w:val="20"/>
                <w:szCs w:val="20"/>
                <w:lang w:val="fr-FR" w:eastAsia="fr-FR"/>
              </w:rPr>
            </w:pPr>
            <w:r w:rsidRPr="00577EB1">
              <w:rPr>
                <w:rStyle w:val="longtext"/>
                <w:sz w:val="20"/>
                <w:szCs w:val="20"/>
                <w:lang w:val="fr-FR"/>
              </w:rPr>
              <w:t>Programme de subvention des soins obstétricaux et néonataux</w:t>
            </w:r>
          </w:p>
        </w:tc>
        <w:tc>
          <w:tcPr>
            <w:tcW w:w="897"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1 702,0</w:t>
            </w:r>
          </w:p>
        </w:tc>
        <w:tc>
          <w:tcPr>
            <w:tcW w:w="898"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1 162,4</w:t>
            </w:r>
          </w:p>
        </w:tc>
        <w:tc>
          <w:tcPr>
            <w:tcW w:w="898" w:type="pct"/>
          </w:tcPr>
          <w:p w:rsidR="00A54EB6" w:rsidRPr="00577EB1" w:rsidRDefault="00A54EB6" w:rsidP="0050199E">
            <w:pPr>
              <w:keepNext/>
              <w:keepLines/>
              <w:spacing w:after="0"/>
              <w:jc w:val="right"/>
              <w:rPr>
                <w:iCs/>
                <w:sz w:val="20"/>
                <w:szCs w:val="20"/>
                <w:lang w:val="fr-FR" w:eastAsia="fr-FR"/>
              </w:rPr>
            </w:pPr>
            <w:r w:rsidRPr="00577EB1">
              <w:rPr>
                <w:iCs/>
                <w:sz w:val="20"/>
                <w:szCs w:val="20"/>
                <w:lang w:val="fr-FR" w:eastAsia="fr-FR"/>
              </w:rPr>
              <w:t>2 500</w:t>
            </w:r>
          </w:p>
        </w:tc>
      </w:tr>
      <w:tr w:rsidR="00A54EB6" w:rsidRPr="00577EB1" w:rsidTr="0050199E">
        <w:trPr>
          <w:trHeight w:val="280"/>
        </w:trPr>
        <w:tc>
          <w:tcPr>
            <w:tcW w:w="2308" w:type="pct"/>
          </w:tcPr>
          <w:p w:rsidR="00A54EB6" w:rsidRPr="00577EB1" w:rsidRDefault="00A54EB6" w:rsidP="0050199E">
            <w:pPr>
              <w:keepNext/>
              <w:keepLines/>
              <w:spacing w:after="0"/>
              <w:ind w:left="214"/>
              <w:jc w:val="left"/>
              <w:rPr>
                <w:iCs/>
                <w:color w:val="000000"/>
                <w:sz w:val="20"/>
                <w:szCs w:val="20"/>
                <w:lang w:val="fr-FR" w:eastAsia="fr-FR"/>
              </w:rPr>
            </w:pPr>
            <w:r w:rsidRPr="00577EB1">
              <w:rPr>
                <w:iCs/>
                <w:color w:val="000000"/>
                <w:sz w:val="20"/>
                <w:szCs w:val="20"/>
                <w:lang w:val="fr-FR" w:eastAsia="fr-FR"/>
              </w:rPr>
              <w:t>Programme de lutte contre la tuberculose</w:t>
            </w:r>
          </w:p>
        </w:tc>
        <w:tc>
          <w:tcPr>
            <w:tcW w:w="897"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w:t>
            </w:r>
          </w:p>
        </w:tc>
        <w:tc>
          <w:tcPr>
            <w:tcW w:w="898"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3 521,8</w:t>
            </w:r>
          </w:p>
        </w:tc>
        <w:tc>
          <w:tcPr>
            <w:tcW w:w="898" w:type="pct"/>
          </w:tcPr>
          <w:p w:rsidR="00A54EB6" w:rsidRPr="00577EB1" w:rsidRDefault="00A54EB6" w:rsidP="0050199E">
            <w:pPr>
              <w:keepNext/>
              <w:keepLines/>
              <w:spacing w:after="0"/>
              <w:jc w:val="right"/>
              <w:rPr>
                <w:iCs/>
                <w:sz w:val="20"/>
                <w:szCs w:val="20"/>
                <w:lang w:val="fr-FR" w:eastAsia="fr-FR"/>
              </w:rPr>
            </w:pPr>
            <w:r w:rsidRPr="00577EB1">
              <w:rPr>
                <w:iCs/>
                <w:sz w:val="20"/>
                <w:szCs w:val="20"/>
                <w:lang w:val="fr-FR" w:eastAsia="fr-FR"/>
              </w:rPr>
              <w:t>50</w:t>
            </w:r>
          </w:p>
        </w:tc>
      </w:tr>
      <w:tr w:rsidR="00A54EB6" w:rsidRPr="00577EB1" w:rsidTr="0050199E">
        <w:trPr>
          <w:trHeight w:val="318"/>
        </w:trPr>
        <w:tc>
          <w:tcPr>
            <w:tcW w:w="2308" w:type="pct"/>
          </w:tcPr>
          <w:p w:rsidR="00A54EB6" w:rsidRPr="00577EB1" w:rsidRDefault="00A54EB6" w:rsidP="0050199E">
            <w:pPr>
              <w:keepNext/>
              <w:keepLines/>
              <w:spacing w:after="0"/>
              <w:ind w:left="214"/>
              <w:jc w:val="left"/>
              <w:rPr>
                <w:iCs/>
                <w:color w:val="000000"/>
                <w:sz w:val="20"/>
                <w:szCs w:val="20"/>
                <w:lang w:val="fr-FR" w:eastAsia="fr-FR"/>
              </w:rPr>
            </w:pPr>
            <w:r w:rsidRPr="00577EB1">
              <w:rPr>
                <w:iCs/>
                <w:color w:val="000000"/>
                <w:sz w:val="20"/>
                <w:szCs w:val="20"/>
                <w:lang w:val="fr-FR" w:eastAsia="fr-FR"/>
              </w:rPr>
              <w:t xml:space="preserve">Programme de lutte contre le paludisme </w:t>
            </w:r>
          </w:p>
        </w:tc>
        <w:tc>
          <w:tcPr>
            <w:tcW w:w="897"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w:t>
            </w:r>
          </w:p>
        </w:tc>
        <w:tc>
          <w:tcPr>
            <w:tcW w:w="898"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8 636,7</w:t>
            </w:r>
          </w:p>
        </w:tc>
        <w:tc>
          <w:tcPr>
            <w:tcW w:w="898" w:type="pct"/>
          </w:tcPr>
          <w:p w:rsidR="00A54EB6" w:rsidRPr="00577EB1" w:rsidRDefault="00A54EB6" w:rsidP="0050199E">
            <w:pPr>
              <w:keepNext/>
              <w:keepLines/>
              <w:spacing w:after="0"/>
              <w:jc w:val="right"/>
              <w:rPr>
                <w:iCs/>
                <w:sz w:val="20"/>
                <w:szCs w:val="20"/>
                <w:lang w:val="fr-FR" w:eastAsia="fr-FR"/>
              </w:rPr>
            </w:pPr>
            <w:r w:rsidRPr="00577EB1">
              <w:rPr>
                <w:iCs/>
                <w:sz w:val="20"/>
                <w:szCs w:val="20"/>
                <w:lang w:val="fr-FR" w:eastAsia="fr-FR"/>
              </w:rPr>
              <w:t>55</w:t>
            </w:r>
          </w:p>
        </w:tc>
      </w:tr>
      <w:tr w:rsidR="00A54EB6" w:rsidRPr="00577EB1" w:rsidTr="0050199E">
        <w:trPr>
          <w:trHeight w:val="280"/>
        </w:trPr>
        <w:tc>
          <w:tcPr>
            <w:tcW w:w="2308" w:type="pct"/>
          </w:tcPr>
          <w:p w:rsidR="00A54EB6" w:rsidRPr="00577EB1" w:rsidRDefault="00A54EB6" w:rsidP="0050199E">
            <w:pPr>
              <w:keepNext/>
              <w:keepLines/>
              <w:spacing w:after="0"/>
              <w:ind w:left="214"/>
              <w:jc w:val="left"/>
              <w:rPr>
                <w:iCs/>
                <w:color w:val="000000"/>
                <w:sz w:val="20"/>
                <w:szCs w:val="20"/>
                <w:lang w:val="fr-FR" w:eastAsia="fr-FR"/>
              </w:rPr>
            </w:pPr>
            <w:r w:rsidRPr="00577EB1">
              <w:rPr>
                <w:iCs/>
                <w:color w:val="000000"/>
                <w:sz w:val="20"/>
                <w:szCs w:val="20"/>
                <w:lang w:val="fr-FR" w:eastAsia="fr-FR"/>
              </w:rPr>
              <w:t>Programme élargi de vaccination</w:t>
            </w:r>
          </w:p>
        </w:tc>
        <w:tc>
          <w:tcPr>
            <w:tcW w:w="897"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w:t>
            </w:r>
          </w:p>
        </w:tc>
        <w:tc>
          <w:tcPr>
            <w:tcW w:w="898"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6 901,5</w:t>
            </w:r>
          </w:p>
        </w:tc>
        <w:tc>
          <w:tcPr>
            <w:tcW w:w="898" w:type="pct"/>
          </w:tcPr>
          <w:p w:rsidR="00A54EB6" w:rsidRPr="00577EB1" w:rsidRDefault="00A54EB6" w:rsidP="0050199E">
            <w:pPr>
              <w:keepNext/>
              <w:keepLines/>
              <w:spacing w:after="0"/>
              <w:jc w:val="right"/>
              <w:rPr>
                <w:iCs/>
                <w:sz w:val="20"/>
                <w:szCs w:val="20"/>
                <w:lang w:val="fr-FR" w:eastAsia="fr-FR"/>
              </w:rPr>
            </w:pPr>
            <w:r w:rsidRPr="00577EB1">
              <w:rPr>
                <w:iCs/>
                <w:sz w:val="20"/>
                <w:szCs w:val="20"/>
                <w:lang w:val="fr-FR" w:eastAsia="fr-FR"/>
              </w:rPr>
              <w:t>1 847,3</w:t>
            </w:r>
          </w:p>
        </w:tc>
      </w:tr>
      <w:tr w:rsidR="00A54EB6" w:rsidRPr="00577EB1" w:rsidTr="0050199E">
        <w:trPr>
          <w:trHeight w:val="360"/>
        </w:trPr>
        <w:tc>
          <w:tcPr>
            <w:tcW w:w="2308" w:type="pct"/>
          </w:tcPr>
          <w:p w:rsidR="00A54EB6" w:rsidRPr="00577EB1" w:rsidRDefault="00A54EB6" w:rsidP="0050199E">
            <w:pPr>
              <w:keepNext/>
              <w:keepLines/>
              <w:spacing w:after="0"/>
              <w:ind w:left="214"/>
              <w:jc w:val="left"/>
              <w:rPr>
                <w:iCs/>
                <w:color w:val="000000"/>
                <w:sz w:val="20"/>
                <w:szCs w:val="20"/>
                <w:lang w:val="fr-FR" w:eastAsia="fr-FR"/>
              </w:rPr>
            </w:pPr>
            <w:r w:rsidRPr="00577EB1">
              <w:rPr>
                <w:iCs/>
                <w:color w:val="000000"/>
                <w:sz w:val="20"/>
                <w:szCs w:val="20"/>
                <w:lang w:val="fr-FR" w:eastAsia="fr-FR"/>
              </w:rPr>
              <w:t>Gratuité des consultations prénatales préventives</w:t>
            </w:r>
          </w:p>
        </w:tc>
        <w:tc>
          <w:tcPr>
            <w:tcW w:w="897"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w:t>
            </w:r>
          </w:p>
        </w:tc>
        <w:tc>
          <w:tcPr>
            <w:tcW w:w="898"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400</w:t>
            </w:r>
          </w:p>
        </w:tc>
        <w:tc>
          <w:tcPr>
            <w:tcW w:w="898" w:type="pct"/>
          </w:tcPr>
          <w:p w:rsidR="00A54EB6" w:rsidRPr="00577EB1" w:rsidRDefault="00A54EB6" w:rsidP="0050199E">
            <w:pPr>
              <w:keepNext/>
              <w:keepLines/>
              <w:spacing w:after="0"/>
              <w:jc w:val="right"/>
              <w:rPr>
                <w:iCs/>
                <w:sz w:val="20"/>
                <w:szCs w:val="20"/>
                <w:lang w:val="fr-FR" w:eastAsia="fr-FR"/>
              </w:rPr>
            </w:pPr>
            <w:r w:rsidRPr="00577EB1">
              <w:rPr>
                <w:iCs/>
                <w:sz w:val="20"/>
                <w:szCs w:val="20"/>
                <w:lang w:val="fr-FR" w:eastAsia="fr-FR"/>
              </w:rPr>
              <w:t>469,1</w:t>
            </w:r>
          </w:p>
        </w:tc>
      </w:tr>
      <w:tr w:rsidR="00A54EB6" w:rsidRPr="00577EB1" w:rsidTr="0050199E">
        <w:trPr>
          <w:trHeight w:val="569"/>
        </w:trPr>
        <w:tc>
          <w:tcPr>
            <w:tcW w:w="2308" w:type="pct"/>
          </w:tcPr>
          <w:p w:rsidR="00A54EB6" w:rsidRPr="00577EB1" w:rsidRDefault="00A54EB6" w:rsidP="0050199E">
            <w:pPr>
              <w:keepNext/>
              <w:keepLines/>
              <w:spacing w:after="0"/>
              <w:ind w:left="214"/>
              <w:jc w:val="left"/>
              <w:rPr>
                <w:iCs/>
                <w:color w:val="000000"/>
                <w:sz w:val="20"/>
                <w:szCs w:val="20"/>
                <w:lang w:val="fr-FR" w:eastAsia="fr-FR"/>
              </w:rPr>
            </w:pPr>
            <w:r w:rsidRPr="00577EB1">
              <w:rPr>
                <w:iCs/>
                <w:color w:val="000000"/>
                <w:sz w:val="20"/>
                <w:szCs w:val="20"/>
                <w:lang w:val="fr-FR" w:eastAsia="fr-FR"/>
              </w:rPr>
              <w:t xml:space="preserve">Programme de réduction de la morbidité liée à la filariose lymphatique </w:t>
            </w:r>
          </w:p>
        </w:tc>
        <w:tc>
          <w:tcPr>
            <w:tcW w:w="897"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w:t>
            </w:r>
          </w:p>
        </w:tc>
        <w:tc>
          <w:tcPr>
            <w:tcW w:w="898"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690 2</w:t>
            </w:r>
          </w:p>
        </w:tc>
        <w:tc>
          <w:tcPr>
            <w:tcW w:w="898" w:type="pct"/>
          </w:tcPr>
          <w:p w:rsidR="00A54EB6" w:rsidRPr="00577EB1" w:rsidRDefault="00A54EB6" w:rsidP="0050199E">
            <w:pPr>
              <w:keepNext/>
              <w:keepLines/>
              <w:spacing w:after="0"/>
              <w:jc w:val="right"/>
              <w:rPr>
                <w:iCs/>
                <w:sz w:val="20"/>
                <w:szCs w:val="20"/>
                <w:lang w:val="fr-FR" w:eastAsia="fr-FR"/>
              </w:rPr>
            </w:pPr>
            <w:r w:rsidRPr="00577EB1">
              <w:rPr>
                <w:iCs/>
                <w:sz w:val="20"/>
                <w:szCs w:val="20"/>
                <w:lang w:val="fr-FR" w:eastAsia="fr-FR"/>
              </w:rPr>
              <w:t>200</w:t>
            </w:r>
          </w:p>
        </w:tc>
      </w:tr>
      <w:tr w:rsidR="00A54EB6" w:rsidRPr="00577EB1" w:rsidTr="0050199E">
        <w:trPr>
          <w:trHeight w:val="340"/>
        </w:trPr>
        <w:tc>
          <w:tcPr>
            <w:tcW w:w="2308" w:type="pct"/>
          </w:tcPr>
          <w:p w:rsidR="00A54EB6" w:rsidRPr="00577EB1" w:rsidRDefault="00A54EB6" w:rsidP="0050199E">
            <w:pPr>
              <w:keepNext/>
              <w:keepLines/>
              <w:spacing w:after="0"/>
              <w:ind w:left="214"/>
              <w:jc w:val="left"/>
              <w:rPr>
                <w:iCs/>
                <w:color w:val="000000"/>
                <w:sz w:val="20"/>
                <w:szCs w:val="20"/>
                <w:lang w:val="fr-FR" w:eastAsia="fr-FR"/>
              </w:rPr>
            </w:pPr>
            <w:r w:rsidRPr="00577EB1">
              <w:rPr>
                <w:iCs/>
                <w:color w:val="000000"/>
                <w:sz w:val="20"/>
                <w:szCs w:val="20"/>
                <w:lang w:val="fr-FR" w:eastAsia="fr-FR"/>
              </w:rPr>
              <w:t xml:space="preserve">ARV pour les personnes vivant avec le VIH </w:t>
            </w:r>
          </w:p>
        </w:tc>
        <w:tc>
          <w:tcPr>
            <w:tcW w:w="897"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w:t>
            </w:r>
          </w:p>
        </w:tc>
        <w:tc>
          <w:tcPr>
            <w:tcW w:w="898"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3 517</w:t>
            </w:r>
          </w:p>
        </w:tc>
        <w:tc>
          <w:tcPr>
            <w:tcW w:w="898"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13 378,9</w:t>
            </w:r>
          </w:p>
        </w:tc>
      </w:tr>
      <w:tr w:rsidR="00A54EB6" w:rsidRPr="00577EB1" w:rsidTr="0050199E">
        <w:trPr>
          <w:trHeight w:val="416"/>
        </w:trPr>
        <w:tc>
          <w:tcPr>
            <w:tcW w:w="2308" w:type="pct"/>
          </w:tcPr>
          <w:p w:rsidR="00A54EB6" w:rsidRPr="00577EB1" w:rsidRDefault="00A54EB6" w:rsidP="0050199E">
            <w:pPr>
              <w:keepNext/>
              <w:keepLines/>
              <w:spacing w:after="0"/>
              <w:ind w:left="214"/>
              <w:jc w:val="left"/>
              <w:rPr>
                <w:iCs/>
                <w:color w:val="000000"/>
                <w:sz w:val="20"/>
                <w:szCs w:val="20"/>
                <w:lang w:val="fr-FR" w:eastAsia="fr-FR"/>
              </w:rPr>
            </w:pPr>
            <w:r w:rsidRPr="00577EB1">
              <w:rPr>
                <w:iCs/>
                <w:color w:val="000000"/>
                <w:sz w:val="20"/>
                <w:szCs w:val="20"/>
                <w:lang w:val="fr-FR" w:eastAsia="fr-FR"/>
              </w:rPr>
              <w:t>Autres (interventions liées à l’offre)</w:t>
            </w:r>
          </w:p>
        </w:tc>
        <w:tc>
          <w:tcPr>
            <w:tcW w:w="897"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298</w:t>
            </w:r>
          </w:p>
        </w:tc>
        <w:tc>
          <w:tcPr>
            <w:tcW w:w="898"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5 289,7</w:t>
            </w:r>
          </w:p>
        </w:tc>
        <w:tc>
          <w:tcPr>
            <w:tcW w:w="898" w:type="pct"/>
          </w:tcPr>
          <w:p w:rsidR="00A54EB6" w:rsidRPr="00577EB1" w:rsidRDefault="00A54EB6" w:rsidP="0050199E">
            <w:pPr>
              <w:keepNext/>
              <w:keepLines/>
              <w:spacing w:after="0"/>
              <w:jc w:val="right"/>
              <w:rPr>
                <w:iCs/>
                <w:color w:val="000000"/>
                <w:sz w:val="20"/>
                <w:szCs w:val="20"/>
                <w:lang w:val="fr-FR" w:eastAsia="fr-FR"/>
              </w:rPr>
            </w:pPr>
            <w:r w:rsidRPr="00577EB1">
              <w:rPr>
                <w:iCs/>
                <w:color w:val="000000"/>
                <w:sz w:val="20"/>
                <w:szCs w:val="20"/>
                <w:lang w:val="fr-FR" w:eastAsia="fr-FR"/>
              </w:rPr>
              <w:t>977,6</w:t>
            </w:r>
          </w:p>
        </w:tc>
      </w:tr>
      <w:tr w:rsidR="00A54EB6" w:rsidRPr="00577EB1" w:rsidTr="0050199E">
        <w:trPr>
          <w:trHeight w:val="280"/>
        </w:trPr>
        <w:tc>
          <w:tcPr>
            <w:tcW w:w="2308" w:type="pct"/>
            <w:noWrap/>
          </w:tcPr>
          <w:p w:rsidR="00A54EB6" w:rsidRPr="00577EB1" w:rsidRDefault="00A54EB6" w:rsidP="0050199E">
            <w:pPr>
              <w:keepNext/>
              <w:keepLines/>
              <w:spacing w:after="0"/>
              <w:jc w:val="left"/>
              <w:rPr>
                <w:bCs/>
                <w:i/>
                <w:iCs/>
                <w:color w:val="000000"/>
                <w:sz w:val="20"/>
                <w:szCs w:val="20"/>
                <w:lang w:val="fr-FR" w:eastAsia="fr-FR"/>
              </w:rPr>
            </w:pPr>
            <w:r w:rsidRPr="00577EB1">
              <w:rPr>
                <w:bCs/>
                <w:i/>
                <w:iCs/>
                <w:color w:val="000000"/>
                <w:sz w:val="20"/>
                <w:szCs w:val="20"/>
                <w:lang w:val="fr-FR" w:eastAsia="fr-FR"/>
              </w:rPr>
              <w:t>Programme 4</w:t>
            </w:r>
            <w:r w:rsidR="0007340F">
              <w:rPr>
                <w:bCs/>
                <w:i/>
                <w:iCs/>
                <w:color w:val="000000"/>
                <w:sz w:val="20"/>
                <w:szCs w:val="20"/>
                <w:lang w:val="fr-FR" w:eastAsia="fr-FR"/>
              </w:rPr>
              <w:t xml:space="preserve"> </w:t>
            </w:r>
            <w:r w:rsidRPr="00577EB1">
              <w:rPr>
                <w:bCs/>
                <w:i/>
                <w:iCs/>
                <w:color w:val="000000"/>
                <w:sz w:val="20"/>
                <w:szCs w:val="20"/>
                <w:lang w:val="fr-FR" w:eastAsia="fr-FR"/>
              </w:rPr>
              <w:t xml:space="preserve">Protection sociale des groupes vulnérables </w:t>
            </w:r>
          </w:p>
        </w:tc>
        <w:tc>
          <w:tcPr>
            <w:tcW w:w="897" w:type="pct"/>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865</w:t>
            </w:r>
          </w:p>
        </w:tc>
        <w:tc>
          <w:tcPr>
            <w:tcW w:w="898" w:type="pct"/>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2 702,6</w:t>
            </w:r>
          </w:p>
        </w:tc>
        <w:tc>
          <w:tcPr>
            <w:tcW w:w="898" w:type="pct"/>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1 038,1</w:t>
            </w:r>
          </w:p>
        </w:tc>
      </w:tr>
      <w:tr w:rsidR="00A54EB6" w:rsidRPr="00577EB1" w:rsidTr="0050199E">
        <w:trPr>
          <w:trHeight w:val="330"/>
        </w:trPr>
        <w:tc>
          <w:tcPr>
            <w:tcW w:w="2308" w:type="pct"/>
            <w:tcBorders>
              <w:bottom w:val="single" w:sz="4" w:space="0" w:color="auto"/>
            </w:tcBorders>
            <w:noWrap/>
            <w:vAlign w:val="center"/>
          </w:tcPr>
          <w:p w:rsidR="00A54EB6" w:rsidRPr="00577EB1" w:rsidRDefault="00A54EB6" w:rsidP="0050199E">
            <w:pPr>
              <w:keepNext/>
              <w:keepLines/>
              <w:spacing w:before="120" w:after="120"/>
              <w:jc w:val="left"/>
              <w:rPr>
                <w:bCs/>
                <w:iCs/>
                <w:color w:val="000000"/>
                <w:sz w:val="20"/>
                <w:szCs w:val="20"/>
                <w:lang w:val="fr-FR" w:eastAsia="fr-FR"/>
              </w:rPr>
            </w:pPr>
            <w:r w:rsidRPr="00577EB1">
              <w:rPr>
                <w:bCs/>
                <w:iCs/>
                <w:color w:val="000000"/>
                <w:sz w:val="20"/>
                <w:szCs w:val="20"/>
                <w:lang w:val="fr-FR" w:eastAsia="fr-FR"/>
              </w:rPr>
              <w:t>Total</w:t>
            </w:r>
          </w:p>
        </w:tc>
        <w:tc>
          <w:tcPr>
            <w:tcW w:w="897" w:type="pct"/>
            <w:tcBorders>
              <w:bottom w:val="single" w:sz="4" w:space="0" w:color="auto"/>
            </w:tcBorders>
            <w:vAlign w:val="center"/>
          </w:tcPr>
          <w:p w:rsidR="00A54EB6" w:rsidRPr="00577EB1" w:rsidRDefault="00A54EB6" w:rsidP="0050199E">
            <w:pPr>
              <w:keepNext/>
              <w:keepLines/>
              <w:spacing w:before="120" w:after="120"/>
              <w:jc w:val="right"/>
              <w:rPr>
                <w:bCs/>
                <w:iCs/>
                <w:color w:val="000000"/>
                <w:sz w:val="20"/>
                <w:szCs w:val="20"/>
                <w:lang w:val="fr-FR" w:eastAsia="fr-FR"/>
              </w:rPr>
            </w:pPr>
            <w:r w:rsidRPr="00577EB1">
              <w:rPr>
                <w:bCs/>
                <w:iCs/>
                <w:color w:val="000000"/>
                <w:sz w:val="20"/>
                <w:szCs w:val="20"/>
                <w:lang w:val="fr-FR" w:eastAsia="fr-FR"/>
              </w:rPr>
              <w:t>23 893,9</w:t>
            </w:r>
          </w:p>
        </w:tc>
        <w:tc>
          <w:tcPr>
            <w:tcW w:w="898" w:type="pct"/>
            <w:tcBorders>
              <w:bottom w:val="single" w:sz="4" w:space="0" w:color="auto"/>
            </w:tcBorders>
            <w:vAlign w:val="center"/>
          </w:tcPr>
          <w:p w:rsidR="00A54EB6" w:rsidRPr="00577EB1" w:rsidRDefault="00A54EB6" w:rsidP="0050199E">
            <w:pPr>
              <w:keepNext/>
              <w:keepLines/>
              <w:spacing w:before="120" w:after="120"/>
              <w:jc w:val="right"/>
              <w:rPr>
                <w:bCs/>
                <w:iCs/>
                <w:color w:val="000000"/>
                <w:sz w:val="20"/>
                <w:szCs w:val="20"/>
                <w:lang w:val="fr-FR" w:eastAsia="fr-FR"/>
              </w:rPr>
            </w:pPr>
            <w:r w:rsidRPr="00577EB1">
              <w:rPr>
                <w:bCs/>
                <w:iCs/>
                <w:color w:val="000000"/>
                <w:sz w:val="20"/>
                <w:szCs w:val="20"/>
                <w:lang w:val="fr-FR" w:eastAsia="fr-FR"/>
              </w:rPr>
              <w:t>73 353,3</w:t>
            </w:r>
          </w:p>
        </w:tc>
        <w:tc>
          <w:tcPr>
            <w:tcW w:w="898" w:type="pct"/>
            <w:tcBorders>
              <w:bottom w:val="single" w:sz="4" w:space="0" w:color="auto"/>
            </w:tcBorders>
            <w:vAlign w:val="center"/>
          </w:tcPr>
          <w:p w:rsidR="00A54EB6" w:rsidRPr="00577EB1" w:rsidRDefault="00A54EB6" w:rsidP="0050199E">
            <w:pPr>
              <w:keepNext/>
              <w:keepLines/>
              <w:spacing w:before="120" w:after="120"/>
              <w:jc w:val="right"/>
              <w:rPr>
                <w:bCs/>
                <w:iCs/>
                <w:color w:val="000000"/>
                <w:sz w:val="20"/>
                <w:szCs w:val="20"/>
                <w:lang w:val="fr-FR" w:eastAsia="fr-FR"/>
              </w:rPr>
            </w:pPr>
            <w:r w:rsidRPr="00577EB1">
              <w:rPr>
                <w:bCs/>
                <w:iCs/>
                <w:color w:val="000000"/>
                <w:sz w:val="20"/>
                <w:szCs w:val="20"/>
                <w:lang w:val="fr-FR" w:eastAsia="fr-FR"/>
              </w:rPr>
              <w:t>25 039,5</w:t>
            </w:r>
          </w:p>
        </w:tc>
      </w:tr>
    </w:tbl>
    <w:p w:rsidR="004B3541" w:rsidRDefault="00A54EB6">
      <w:pPr>
        <w:pStyle w:val="Source"/>
        <w:spacing w:before="120" w:after="480"/>
        <w:rPr>
          <w:i w:val="0"/>
        </w:rPr>
      </w:pPr>
      <w:r w:rsidRPr="00577EB1">
        <w:t xml:space="preserve">Source: </w:t>
      </w:r>
      <w:r w:rsidR="00EB214A" w:rsidRPr="00EB214A">
        <w:rPr>
          <w:i w:val="0"/>
        </w:rPr>
        <w:t>MEF, 2009b.</w:t>
      </w:r>
    </w:p>
    <w:p w:rsidR="00A54EB6" w:rsidRPr="00577EB1" w:rsidRDefault="00A54EB6" w:rsidP="005D3651">
      <w:pPr>
        <w:pStyle w:val="Heading7"/>
        <w:rPr>
          <w:rFonts w:ascii="Arial" w:hAnsi="Arial" w:cs="Arial"/>
          <w:sz w:val="24"/>
          <w:lang w:val="fr-FR"/>
        </w:rPr>
      </w:pPr>
      <w:bookmarkStart w:id="64" w:name="_Ref135726859"/>
      <w:bookmarkStart w:id="65" w:name="_Toc284528582"/>
      <w:bookmarkStart w:id="66" w:name="_Toc284530519"/>
      <w:bookmarkStart w:id="67" w:name="_Toc262170039"/>
      <w:r w:rsidRPr="00577EB1">
        <w:rPr>
          <w:lang w:val="fr-FR"/>
        </w:rPr>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8</w:t>
      </w:r>
      <w:r w:rsidR="00725419" w:rsidRPr="00577EB1">
        <w:rPr>
          <w:lang w:val="fr-FR"/>
        </w:rPr>
        <w:fldChar w:fldCharType="end"/>
      </w:r>
      <w:bookmarkEnd w:id="64"/>
      <w:r w:rsidR="00837FC9">
        <w:rPr>
          <w:lang w:val="fr-FR"/>
        </w:rPr>
        <w:t> :</w:t>
      </w:r>
      <w:r w:rsidR="0007340F">
        <w:rPr>
          <w:lang w:val="fr-FR"/>
        </w:rPr>
        <w:t xml:space="preserve"> </w:t>
      </w:r>
      <w:r w:rsidRPr="00577EB1">
        <w:rPr>
          <w:lang w:val="fr-FR"/>
        </w:rPr>
        <w:t>Composante « Protection sociale des groupes vulnérables » du plan d’action de crise 2009</w:t>
      </w:r>
      <w:bookmarkEnd w:id="65"/>
      <w:bookmarkEnd w:id="66"/>
      <w:r w:rsidRPr="00577EB1">
        <w:rPr>
          <w:lang w:val="fr-FR"/>
        </w:rPr>
        <w:t xml:space="preserve"> </w:t>
      </w:r>
      <w:bookmarkEnd w:id="67"/>
    </w:p>
    <w:tbl>
      <w:tblPr>
        <w:tblW w:w="5000" w:type="pct"/>
        <w:tblCellMar>
          <w:left w:w="70" w:type="dxa"/>
          <w:right w:w="70" w:type="dxa"/>
        </w:tblCellMar>
        <w:tblLook w:val="00A0"/>
      </w:tblPr>
      <w:tblGrid>
        <w:gridCol w:w="6336"/>
        <w:gridCol w:w="2593"/>
      </w:tblGrid>
      <w:tr w:rsidR="00A54EB6" w:rsidRPr="000A70E6" w:rsidTr="0050199E">
        <w:trPr>
          <w:trHeight w:val="358"/>
        </w:trPr>
        <w:tc>
          <w:tcPr>
            <w:tcW w:w="2923" w:type="pct"/>
            <w:tcBorders>
              <w:top w:val="single" w:sz="4" w:space="0" w:color="auto"/>
              <w:bottom w:val="single" w:sz="4" w:space="0" w:color="auto"/>
            </w:tcBorders>
            <w:noWrap/>
            <w:vAlign w:val="center"/>
          </w:tcPr>
          <w:p w:rsidR="00A54EB6" w:rsidRPr="00577EB1" w:rsidRDefault="00A54EB6" w:rsidP="0050199E">
            <w:pPr>
              <w:keepNext/>
              <w:keepLines/>
              <w:spacing w:after="0"/>
              <w:jc w:val="left"/>
              <w:rPr>
                <w:bCs/>
                <w:iCs/>
                <w:color w:val="000000"/>
                <w:sz w:val="20"/>
                <w:szCs w:val="20"/>
                <w:lang w:val="fr-FR" w:eastAsia="fr-FR"/>
              </w:rPr>
            </w:pPr>
            <w:r w:rsidRPr="00577EB1">
              <w:rPr>
                <w:bCs/>
                <w:iCs/>
                <w:color w:val="000000"/>
                <w:sz w:val="20"/>
                <w:szCs w:val="20"/>
                <w:lang w:val="fr-FR" w:eastAsia="fr-FR"/>
              </w:rPr>
              <w:t>Activités du Programme 4 « Protection sociale des groupes vulnérables »</w:t>
            </w:r>
          </w:p>
        </w:tc>
        <w:tc>
          <w:tcPr>
            <w:tcW w:w="2077" w:type="pct"/>
            <w:tcBorders>
              <w:top w:val="single" w:sz="4" w:space="0" w:color="auto"/>
              <w:bottom w:val="single" w:sz="4" w:space="0" w:color="auto"/>
            </w:tcBorders>
            <w:vAlign w:val="center"/>
          </w:tcPr>
          <w:p w:rsidR="00A54EB6" w:rsidRPr="00577EB1" w:rsidRDefault="00A54EB6" w:rsidP="0050199E">
            <w:pPr>
              <w:keepNext/>
              <w:keepLines/>
              <w:spacing w:after="0"/>
              <w:jc w:val="right"/>
              <w:rPr>
                <w:bCs/>
                <w:iCs/>
                <w:color w:val="000000"/>
                <w:sz w:val="20"/>
                <w:szCs w:val="20"/>
                <w:lang w:val="fr-FR" w:eastAsia="fr-FR"/>
              </w:rPr>
            </w:pPr>
            <w:r w:rsidRPr="00577EB1">
              <w:rPr>
                <w:bCs/>
                <w:iCs/>
                <w:color w:val="000000"/>
                <w:sz w:val="20"/>
                <w:szCs w:val="20"/>
                <w:lang w:val="fr-FR" w:eastAsia="fr-FR"/>
              </w:rPr>
              <w:t>Part du budget du programme allouée (%)</w:t>
            </w:r>
          </w:p>
        </w:tc>
      </w:tr>
      <w:tr w:rsidR="00A54EB6" w:rsidRPr="00577EB1" w:rsidTr="0050199E">
        <w:trPr>
          <w:trHeight w:val="280"/>
        </w:trPr>
        <w:tc>
          <w:tcPr>
            <w:tcW w:w="2923" w:type="pct"/>
            <w:tcBorders>
              <w:top w:val="single" w:sz="4" w:space="0" w:color="auto"/>
            </w:tcBorders>
            <w:noWrap/>
          </w:tcPr>
          <w:p w:rsidR="00A54EB6" w:rsidRPr="00577EB1" w:rsidRDefault="00A23A26" w:rsidP="0050199E">
            <w:pPr>
              <w:keepNext/>
              <w:keepLines/>
              <w:spacing w:before="120" w:after="0"/>
              <w:ind w:left="214"/>
              <w:jc w:val="left"/>
              <w:rPr>
                <w:bCs/>
                <w:iCs/>
                <w:color w:val="000000"/>
                <w:sz w:val="20"/>
                <w:szCs w:val="20"/>
                <w:lang w:val="fr-FR" w:eastAsia="fr-FR"/>
              </w:rPr>
            </w:pPr>
            <w:r>
              <w:rPr>
                <w:sz w:val="20"/>
                <w:szCs w:val="20"/>
                <w:lang w:val="fr-FR"/>
              </w:rPr>
              <w:t>Soutien</w:t>
            </w:r>
            <w:r w:rsidR="00A54EB6" w:rsidRPr="00577EB1">
              <w:rPr>
                <w:sz w:val="20"/>
                <w:szCs w:val="20"/>
                <w:lang w:val="fr-FR"/>
              </w:rPr>
              <w:t xml:space="preserve"> en vivres et kits aux écoles du préscolaire </w:t>
            </w:r>
          </w:p>
        </w:tc>
        <w:tc>
          <w:tcPr>
            <w:tcW w:w="2077" w:type="pct"/>
            <w:tcBorders>
              <w:top w:val="single" w:sz="4" w:space="0" w:color="auto"/>
            </w:tcBorders>
          </w:tcPr>
          <w:p w:rsidR="00A54EB6" w:rsidRPr="00577EB1" w:rsidRDefault="00A54EB6" w:rsidP="0050199E">
            <w:pPr>
              <w:keepNext/>
              <w:keepLines/>
              <w:spacing w:before="120" w:after="0"/>
              <w:ind w:right="355"/>
              <w:jc w:val="right"/>
              <w:rPr>
                <w:bCs/>
                <w:iCs/>
                <w:color w:val="000000"/>
                <w:sz w:val="20"/>
                <w:szCs w:val="20"/>
                <w:lang w:val="fr-FR" w:eastAsia="fr-FR"/>
              </w:rPr>
            </w:pPr>
            <w:r w:rsidRPr="00577EB1">
              <w:rPr>
                <w:bCs/>
                <w:iCs/>
                <w:color w:val="000000"/>
                <w:sz w:val="20"/>
                <w:szCs w:val="20"/>
                <w:lang w:val="fr-FR" w:eastAsia="fr-FR"/>
              </w:rPr>
              <w:t>31</w:t>
            </w:r>
          </w:p>
        </w:tc>
      </w:tr>
      <w:tr w:rsidR="00A54EB6" w:rsidRPr="00577EB1" w:rsidTr="0050199E">
        <w:trPr>
          <w:trHeight w:val="280"/>
        </w:trPr>
        <w:tc>
          <w:tcPr>
            <w:tcW w:w="2923" w:type="pct"/>
            <w:noWrap/>
          </w:tcPr>
          <w:p w:rsidR="00A54EB6" w:rsidRPr="00577EB1" w:rsidRDefault="00A54EB6" w:rsidP="0050199E">
            <w:pPr>
              <w:keepNext/>
              <w:keepLines/>
              <w:spacing w:after="0"/>
              <w:ind w:left="214"/>
              <w:jc w:val="left"/>
              <w:rPr>
                <w:bCs/>
                <w:iCs/>
                <w:color w:val="000000"/>
                <w:sz w:val="20"/>
                <w:szCs w:val="20"/>
                <w:lang w:val="fr-FR" w:eastAsia="fr-FR"/>
              </w:rPr>
            </w:pPr>
            <w:r w:rsidRPr="00577EB1">
              <w:rPr>
                <w:sz w:val="20"/>
                <w:szCs w:val="20"/>
                <w:lang w:val="fr-FR"/>
              </w:rPr>
              <w:t>Matériel pour les personnes handicapées</w:t>
            </w:r>
          </w:p>
        </w:tc>
        <w:tc>
          <w:tcPr>
            <w:tcW w:w="2077" w:type="pct"/>
          </w:tcPr>
          <w:p w:rsidR="00A54EB6" w:rsidRPr="00577EB1" w:rsidRDefault="00A54EB6" w:rsidP="0050199E">
            <w:pPr>
              <w:keepNext/>
              <w:keepLines/>
              <w:spacing w:after="0"/>
              <w:ind w:right="355"/>
              <w:jc w:val="right"/>
              <w:rPr>
                <w:bCs/>
                <w:iCs/>
                <w:color w:val="000000"/>
                <w:sz w:val="20"/>
                <w:szCs w:val="20"/>
                <w:lang w:val="fr-FR" w:eastAsia="fr-FR"/>
              </w:rPr>
            </w:pPr>
            <w:r w:rsidRPr="00577EB1">
              <w:rPr>
                <w:bCs/>
                <w:iCs/>
                <w:color w:val="000000"/>
                <w:sz w:val="20"/>
                <w:szCs w:val="20"/>
                <w:lang w:val="fr-FR" w:eastAsia="fr-FR"/>
              </w:rPr>
              <w:t>26</w:t>
            </w:r>
          </w:p>
        </w:tc>
      </w:tr>
      <w:tr w:rsidR="00A54EB6" w:rsidRPr="00577EB1" w:rsidTr="0050199E">
        <w:trPr>
          <w:trHeight w:val="280"/>
        </w:trPr>
        <w:tc>
          <w:tcPr>
            <w:tcW w:w="2923" w:type="pct"/>
            <w:noWrap/>
          </w:tcPr>
          <w:p w:rsidR="00A54EB6" w:rsidRPr="00577EB1" w:rsidRDefault="00A54EB6" w:rsidP="0050199E">
            <w:pPr>
              <w:keepNext/>
              <w:keepLines/>
              <w:spacing w:after="0"/>
              <w:ind w:left="214"/>
              <w:jc w:val="left"/>
              <w:rPr>
                <w:bCs/>
                <w:iCs/>
                <w:color w:val="000000"/>
                <w:sz w:val="20"/>
                <w:szCs w:val="20"/>
                <w:lang w:val="fr-FR" w:eastAsia="fr-FR"/>
              </w:rPr>
            </w:pPr>
            <w:r w:rsidRPr="00577EB1">
              <w:rPr>
                <w:sz w:val="20"/>
                <w:szCs w:val="20"/>
                <w:lang w:val="fr-FR"/>
              </w:rPr>
              <w:t xml:space="preserve">Activités génératrices de revenus dans des centres de formation spécialisés </w:t>
            </w:r>
          </w:p>
        </w:tc>
        <w:tc>
          <w:tcPr>
            <w:tcW w:w="2077" w:type="pct"/>
          </w:tcPr>
          <w:p w:rsidR="00A54EB6" w:rsidRPr="00577EB1" w:rsidRDefault="00A54EB6" w:rsidP="0050199E">
            <w:pPr>
              <w:keepNext/>
              <w:keepLines/>
              <w:spacing w:after="0"/>
              <w:ind w:right="355"/>
              <w:jc w:val="right"/>
              <w:rPr>
                <w:bCs/>
                <w:iCs/>
                <w:color w:val="000000"/>
                <w:sz w:val="20"/>
                <w:szCs w:val="20"/>
                <w:lang w:val="fr-FR" w:eastAsia="fr-FR"/>
              </w:rPr>
            </w:pPr>
            <w:r w:rsidRPr="00577EB1">
              <w:rPr>
                <w:bCs/>
                <w:iCs/>
                <w:color w:val="000000"/>
                <w:sz w:val="20"/>
                <w:szCs w:val="20"/>
                <w:lang w:val="fr-FR" w:eastAsia="fr-FR"/>
              </w:rPr>
              <w:t>18</w:t>
            </w:r>
          </w:p>
        </w:tc>
      </w:tr>
      <w:tr w:rsidR="00A54EB6" w:rsidRPr="00577EB1" w:rsidTr="0050199E">
        <w:trPr>
          <w:trHeight w:val="280"/>
        </w:trPr>
        <w:tc>
          <w:tcPr>
            <w:tcW w:w="2923" w:type="pct"/>
            <w:noWrap/>
          </w:tcPr>
          <w:p w:rsidR="00A54EB6" w:rsidRPr="00577EB1" w:rsidRDefault="00A54EB6" w:rsidP="0050199E">
            <w:pPr>
              <w:keepNext/>
              <w:keepLines/>
              <w:spacing w:after="0"/>
              <w:ind w:left="214"/>
              <w:jc w:val="left"/>
              <w:rPr>
                <w:bCs/>
                <w:iCs/>
                <w:color w:val="000000"/>
                <w:sz w:val="20"/>
                <w:szCs w:val="20"/>
                <w:lang w:val="fr-FR" w:eastAsia="fr-FR"/>
              </w:rPr>
            </w:pPr>
            <w:r w:rsidRPr="00577EB1">
              <w:rPr>
                <w:sz w:val="20"/>
                <w:szCs w:val="20"/>
                <w:lang w:val="fr-FR"/>
              </w:rPr>
              <w:t>Frais de scolarité, kits scolaires et vélos à 1 500 OEV</w:t>
            </w:r>
          </w:p>
        </w:tc>
        <w:tc>
          <w:tcPr>
            <w:tcW w:w="2077" w:type="pct"/>
          </w:tcPr>
          <w:p w:rsidR="00A54EB6" w:rsidRPr="00577EB1" w:rsidRDefault="00A54EB6" w:rsidP="0050199E">
            <w:pPr>
              <w:keepNext/>
              <w:keepLines/>
              <w:spacing w:after="0"/>
              <w:ind w:right="355"/>
              <w:jc w:val="right"/>
              <w:rPr>
                <w:bCs/>
                <w:iCs/>
                <w:color w:val="000000"/>
                <w:sz w:val="20"/>
                <w:szCs w:val="20"/>
                <w:lang w:val="fr-FR" w:eastAsia="fr-FR"/>
              </w:rPr>
            </w:pPr>
            <w:r w:rsidRPr="00577EB1">
              <w:rPr>
                <w:bCs/>
                <w:iCs/>
                <w:color w:val="000000"/>
                <w:sz w:val="20"/>
                <w:szCs w:val="20"/>
                <w:lang w:val="fr-FR" w:eastAsia="fr-FR"/>
              </w:rPr>
              <w:t>18</w:t>
            </w:r>
          </w:p>
        </w:tc>
      </w:tr>
      <w:tr w:rsidR="00A54EB6" w:rsidRPr="00577EB1" w:rsidTr="0050199E">
        <w:trPr>
          <w:trHeight w:val="280"/>
        </w:trPr>
        <w:tc>
          <w:tcPr>
            <w:tcW w:w="2923" w:type="pct"/>
            <w:noWrap/>
          </w:tcPr>
          <w:p w:rsidR="00A54EB6" w:rsidRPr="00577EB1" w:rsidRDefault="00A54EB6" w:rsidP="0050199E">
            <w:pPr>
              <w:keepNext/>
              <w:keepLines/>
              <w:spacing w:after="0"/>
              <w:ind w:left="214"/>
              <w:jc w:val="left"/>
              <w:rPr>
                <w:bCs/>
                <w:iCs/>
                <w:color w:val="000000"/>
                <w:sz w:val="20"/>
                <w:szCs w:val="20"/>
                <w:lang w:val="fr-FR" w:eastAsia="fr-FR"/>
              </w:rPr>
            </w:pPr>
            <w:r w:rsidRPr="00577EB1">
              <w:rPr>
                <w:sz w:val="20"/>
                <w:szCs w:val="20"/>
                <w:lang w:val="fr-FR"/>
              </w:rPr>
              <w:t xml:space="preserve">Aide alimentaire aux orphelinats </w:t>
            </w:r>
          </w:p>
        </w:tc>
        <w:tc>
          <w:tcPr>
            <w:tcW w:w="2077" w:type="pct"/>
          </w:tcPr>
          <w:p w:rsidR="00A54EB6" w:rsidRPr="00577EB1" w:rsidRDefault="00A54EB6" w:rsidP="0050199E">
            <w:pPr>
              <w:keepNext/>
              <w:keepLines/>
              <w:spacing w:after="0"/>
              <w:ind w:right="355"/>
              <w:jc w:val="right"/>
              <w:rPr>
                <w:bCs/>
                <w:iCs/>
                <w:color w:val="000000"/>
                <w:sz w:val="20"/>
                <w:szCs w:val="20"/>
                <w:lang w:val="fr-FR" w:eastAsia="fr-FR"/>
              </w:rPr>
            </w:pPr>
            <w:r w:rsidRPr="00577EB1">
              <w:rPr>
                <w:bCs/>
                <w:iCs/>
                <w:color w:val="000000"/>
                <w:sz w:val="20"/>
                <w:szCs w:val="20"/>
                <w:lang w:val="fr-FR" w:eastAsia="fr-FR"/>
              </w:rPr>
              <w:t>4</w:t>
            </w:r>
          </w:p>
        </w:tc>
      </w:tr>
      <w:tr w:rsidR="00A54EB6" w:rsidRPr="00577EB1" w:rsidTr="0050199E">
        <w:trPr>
          <w:trHeight w:val="280"/>
        </w:trPr>
        <w:tc>
          <w:tcPr>
            <w:tcW w:w="2923" w:type="pct"/>
            <w:noWrap/>
          </w:tcPr>
          <w:p w:rsidR="00A54EB6" w:rsidRPr="00577EB1" w:rsidRDefault="00A54EB6" w:rsidP="0050199E">
            <w:pPr>
              <w:keepNext/>
              <w:keepLines/>
              <w:spacing w:after="0"/>
              <w:ind w:left="214"/>
              <w:jc w:val="left"/>
              <w:rPr>
                <w:bCs/>
                <w:iCs/>
                <w:color w:val="000000"/>
                <w:sz w:val="20"/>
                <w:szCs w:val="20"/>
                <w:lang w:val="fr-FR" w:eastAsia="fr-FR"/>
              </w:rPr>
            </w:pPr>
            <w:r w:rsidRPr="00577EB1">
              <w:rPr>
                <w:sz w:val="20"/>
                <w:szCs w:val="20"/>
                <w:lang w:val="fr-FR"/>
              </w:rPr>
              <w:t xml:space="preserve">Aide alimentaire aux </w:t>
            </w:r>
            <w:r w:rsidRPr="00577EB1">
              <w:rPr>
                <w:i/>
                <w:sz w:val="20"/>
                <w:szCs w:val="20"/>
                <w:lang w:val="fr-FR"/>
              </w:rPr>
              <w:t>cours de solidarité</w:t>
            </w:r>
          </w:p>
        </w:tc>
        <w:tc>
          <w:tcPr>
            <w:tcW w:w="2077" w:type="pct"/>
          </w:tcPr>
          <w:p w:rsidR="00A54EB6" w:rsidRPr="00577EB1" w:rsidRDefault="00A54EB6" w:rsidP="0050199E">
            <w:pPr>
              <w:keepNext/>
              <w:keepLines/>
              <w:spacing w:after="0"/>
              <w:ind w:right="355"/>
              <w:jc w:val="right"/>
              <w:rPr>
                <w:bCs/>
                <w:iCs/>
                <w:color w:val="000000"/>
                <w:sz w:val="20"/>
                <w:szCs w:val="20"/>
                <w:lang w:val="fr-FR" w:eastAsia="fr-FR"/>
              </w:rPr>
            </w:pPr>
            <w:r w:rsidRPr="00577EB1">
              <w:rPr>
                <w:bCs/>
                <w:iCs/>
                <w:color w:val="000000"/>
                <w:sz w:val="20"/>
                <w:szCs w:val="20"/>
                <w:lang w:val="fr-FR" w:eastAsia="fr-FR"/>
              </w:rPr>
              <w:t>1</w:t>
            </w:r>
          </w:p>
        </w:tc>
      </w:tr>
      <w:tr w:rsidR="00A54EB6" w:rsidRPr="00577EB1" w:rsidTr="0050199E">
        <w:trPr>
          <w:trHeight w:val="280"/>
        </w:trPr>
        <w:tc>
          <w:tcPr>
            <w:tcW w:w="2923" w:type="pct"/>
            <w:noWrap/>
          </w:tcPr>
          <w:p w:rsidR="00A54EB6" w:rsidRPr="00577EB1" w:rsidRDefault="00A54EB6" w:rsidP="0050199E">
            <w:pPr>
              <w:keepNext/>
              <w:keepLines/>
              <w:spacing w:after="0"/>
              <w:ind w:left="214"/>
              <w:jc w:val="left"/>
              <w:rPr>
                <w:sz w:val="20"/>
                <w:szCs w:val="20"/>
                <w:lang w:val="fr-FR"/>
              </w:rPr>
            </w:pPr>
            <w:r w:rsidRPr="00577EB1">
              <w:rPr>
                <w:sz w:val="20"/>
                <w:szCs w:val="20"/>
                <w:lang w:val="fr-FR"/>
              </w:rPr>
              <w:t xml:space="preserve">Coûts administratifs </w:t>
            </w:r>
          </w:p>
        </w:tc>
        <w:tc>
          <w:tcPr>
            <w:tcW w:w="2077" w:type="pct"/>
          </w:tcPr>
          <w:p w:rsidR="00A54EB6" w:rsidRPr="00577EB1" w:rsidRDefault="00A54EB6" w:rsidP="0050199E">
            <w:pPr>
              <w:keepNext/>
              <w:keepLines/>
              <w:spacing w:after="0"/>
              <w:ind w:right="355"/>
              <w:jc w:val="right"/>
              <w:rPr>
                <w:bCs/>
                <w:iCs/>
                <w:color w:val="000000"/>
                <w:sz w:val="20"/>
                <w:szCs w:val="20"/>
                <w:lang w:val="fr-FR" w:eastAsia="fr-FR"/>
              </w:rPr>
            </w:pPr>
            <w:r w:rsidRPr="00577EB1">
              <w:rPr>
                <w:bCs/>
                <w:iCs/>
                <w:color w:val="000000"/>
                <w:sz w:val="20"/>
                <w:szCs w:val="20"/>
                <w:lang w:val="fr-FR" w:eastAsia="fr-FR"/>
              </w:rPr>
              <w:t>2</w:t>
            </w:r>
          </w:p>
        </w:tc>
      </w:tr>
      <w:tr w:rsidR="00A54EB6" w:rsidRPr="00577EB1" w:rsidTr="0050199E">
        <w:trPr>
          <w:trHeight w:val="330"/>
        </w:trPr>
        <w:tc>
          <w:tcPr>
            <w:tcW w:w="2923" w:type="pct"/>
            <w:tcBorders>
              <w:bottom w:val="single" w:sz="4" w:space="0" w:color="auto"/>
            </w:tcBorders>
            <w:noWrap/>
            <w:vAlign w:val="center"/>
          </w:tcPr>
          <w:p w:rsidR="00A54EB6" w:rsidRPr="00577EB1" w:rsidRDefault="00A54EB6" w:rsidP="0050199E">
            <w:pPr>
              <w:keepNext/>
              <w:keepLines/>
              <w:spacing w:after="120"/>
              <w:jc w:val="left"/>
              <w:rPr>
                <w:bCs/>
                <w:iCs/>
                <w:color w:val="000000"/>
                <w:sz w:val="20"/>
                <w:szCs w:val="20"/>
                <w:lang w:val="fr-FR" w:eastAsia="fr-FR"/>
              </w:rPr>
            </w:pPr>
            <w:r w:rsidRPr="00577EB1">
              <w:rPr>
                <w:bCs/>
                <w:iCs/>
                <w:color w:val="000000"/>
                <w:sz w:val="20"/>
                <w:szCs w:val="20"/>
                <w:lang w:val="fr-FR" w:eastAsia="fr-FR"/>
              </w:rPr>
              <w:t>Total</w:t>
            </w:r>
          </w:p>
        </w:tc>
        <w:tc>
          <w:tcPr>
            <w:tcW w:w="2077" w:type="pct"/>
            <w:tcBorders>
              <w:bottom w:val="single" w:sz="4" w:space="0" w:color="auto"/>
            </w:tcBorders>
            <w:vAlign w:val="center"/>
          </w:tcPr>
          <w:p w:rsidR="00A54EB6" w:rsidRPr="00577EB1" w:rsidRDefault="00A54EB6" w:rsidP="0050199E">
            <w:pPr>
              <w:keepNext/>
              <w:keepLines/>
              <w:spacing w:after="120"/>
              <w:ind w:right="355"/>
              <w:jc w:val="right"/>
              <w:rPr>
                <w:bCs/>
                <w:iCs/>
                <w:color w:val="000000"/>
                <w:sz w:val="20"/>
                <w:szCs w:val="20"/>
                <w:lang w:val="fr-FR" w:eastAsia="fr-FR"/>
              </w:rPr>
            </w:pPr>
            <w:r w:rsidRPr="00577EB1">
              <w:rPr>
                <w:bCs/>
                <w:iCs/>
                <w:color w:val="000000"/>
                <w:sz w:val="20"/>
                <w:szCs w:val="20"/>
                <w:lang w:val="fr-FR" w:eastAsia="fr-FR"/>
              </w:rPr>
              <w:t>100</w:t>
            </w:r>
          </w:p>
        </w:tc>
      </w:tr>
    </w:tbl>
    <w:p w:rsidR="00A54EB6" w:rsidRPr="00577EB1" w:rsidRDefault="00A54EB6" w:rsidP="00A54EB6">
      <w:pPr>
        <w:keepNext/>
        <w:keepLines/>
        <w:spacing w:after="0"/>
        <w:rPr>
          <w:sz w:val="20"/>
          <w:lang w:val="fr-FR"/>
        </w:rPr>
      </w:pPr>
      <w:r w:rsidRPr="00577EB1">
        <w:rPr>
          <w:sz w:val="20"/>
          <w:lang w:val="fr-FR"/>
        </w:rPr>
        <w:t>NB</w:t>
      </w:r>
      <w:r w:rsidR="0007340F">
        <w:rPr>
          <w:sz w:val="20"/>
          <w:lang w:val="fr-FR"/>
        </w:rPr>
        <w:t xml:space="preserve"> </w:t>
      </w:r>
      <w:r w:rsidRPr="00577EB1">
        <w:rPr>
          <w:rStyle w:val="longtext"/>
          <w:sz w:val="20"/>
          <w:szCs w:val="20"/>
          <w:shd w:val="clear" w:color="auto" w:fill="FFFFFF"/>
          <w:lang w:val="fr-FR"/>
        </w:rPr>
        <w:t>Le programme 2010 de protection sociale des groupes vulnérables comprend les mêmes activités, y compris l’aide alimentaire aux orphelins et enfants vulnérables et aux malades indigents dans les hôpitaux</w:t>
      </w:r>
      <w:r w:rsidRPr="00577EB1">
        <w:rPr>
          <w:rStyle w:val="longtext"/>
          <w:shd w:val="clear" w:color="auto" w:fill="FFFFFF"/>
          <w:lang w:val="fr-FR"/>
        </w:rPr>
        <w:t xml:space="preserve">. </w:t>
      </w:r>
    </w:p>
    <w:p w:rsidR="004B3541" w:rsidRDefault="00A54EB6">
      <w:pPr>
        <w:pStyle w:val="Source"/>
        <w:spacing w:before="120" w:after="480"/>
        <w:rPr>
          <w:i w:val="0"/>
        </w:rPr>
      </w:pPr>
      <w:r w:rsidRPr="00577EB1">
        <w:t xml:space="preserve">Source: </w:t>
      </w:r>
      <w:r w:rsidR="00EB214A" w:rsidRPr="00EB214A">
        <w:rPr>
          <w:i w:val="0"/>
        </w:rPr>
        <w:t>MEF, 2009b ; Auteurs.</w:t>
      </w:r>
    </w:p>
    <w:p w:rsidR="00A54EB6" w:rsidRPr="00577EB1" w:rsidRDefault="00A54EB6" w:rsidP="00E52A30">
      <w:pPr>
        <w:numPr>
          <w:ilvl w:val="0"/>
          <w:numId w:val="2"/>
        </w:numPr>
        <w:tabs>
          <w:tab w:val="clear" w:pos="709"/>
        </w:tabs>
        <w:ind w:left="0" w:firstLine="0"/>
        <w:rPr>
          <w:rStyle w:val="longtext"/>
          <w:lang w:val="fr-FR"/>
        </w:rPr>
      </w:pPr>
      <w:r w:rsidRPr="00577EB1">
        <w:rPr>
          <w:rStyle w:val="longtext"/>
          <w:b/>
          <w:shd w:val="clear" w:color="auto" w:fill="FFFFFF"/>
          <w:lang w:val="fr-FR"/>
        </w:rPr>
        <w:lastRenderedPageBreak/>
        <w:t>Dans l’ensemble, l’analyse des politiques et stratégies existantes révèle le peu d’importance accordé aux filets sociaux dans les politiques de développement par les décideurs politiques burkinabés, et que des études supplémentaires sont nécessaires pour définir un plan d’action complet</w:t>
      </w:r>
      <w:r w:rsidRPr="00577EB1">
        <w:rPr>
          <w:rStyle w:val="longtext"/>
          <w:shd w:val="clear" w:color="auto" w:fill="FFFFFF"/>
          <w:lang w:val="fr-FR"/>
        </w:rPr>
        <w:t xml:space="preserve">. </w:t>
      </w:r>
      <w:r w:rsidRPr="00577EB1">
        <w:rPr>
          <w:rStyle w:val="longtext"/>
          <w:lang w:val="fr-FR"/>
        </w:rPr>
        <w:t xml:space="preserve">Parmi les quatre rôles que peuvent jouer les filets sociaux dans la politique de développement, le plus reconnu au Burkina Faso est probablement celui qu’ils ont dans le développement du capital humain, comme en témoignent les politiques de santé, nutritionnelles et d’éducation du pays. Le rôle de protection que peuvent jouer les filets sociaux dans l’atténuation des impacts négatifs des chocs semble aussi largement reconnu, comme le montrent les plans de réponse aux crises du Burkina. Néanmoins, d’autres études s’imposent pour définir et adopter un plan d’action concret pour les filets sociaux. Celui-ci devra présenter des </w:t>
      </w:r>
      <w:r w:rsidRPr="00577EB1">
        <w:rPr>
          <w:rStyle w:val="longtext"/>
          <w:shd w:val="clear" w:color="auto" w:fill="FFFFFF"/>
          <w:lang w:val="fr-FR"/>
        </w:rPr>
        <w:t xml:space="preserve">objectifs fixés dans le temps avec les allocations de ressources humaines et financières correspondant à chaque tâche et l’identification des institutions responsables de la mise en œuvre. </w:t>
      </w:r>
    </w:p>
    <w:p w:rsidR="00A54EB6" w:rsidRPr="00577EB1" w:rsidRDefault="00A54EB6" w:rsidP="00E52A30">
      <w:pPr>
        <w:numPr>
          <w:ilvl w:val="0"/>
          <w:numId w:val="2"/>
        </w:numPr>
        <w:tabs>
          <w:tab w:val="clear" w:pos="709"/>
        </w:tabs>
        <w:ind w:left="0" w:firstLine="0"/>
        <w:rPr>
          <w:lang w:val="fr-FR"/>
        </w:rPr>
      </w:pPr>
      <w:r w:rsidRPr="00577EB1">
        <w:rPr>
          <w:rStyle w:val="longtext"/>
          <w:b/>
          <w:shd w:val="clear" w:color="auto" w:fill="FFFFFF"/>
          <w:lang w:val="fr-FR"/>
        </w:rPr>
        <w:t>En outre, cette analyse stratégique montre également que les filets sociaux n’ont pas été utilisés au maximum de leur potentiel.</w:t>
      </w:r>
      <w:r w:rsidRPr="00577EB1">
        <w:rPr>
          <w:rStyle w:val="longtext"/>
          <w:shd w:val="clear" w:color="auto" w:fill="FFFFFF"/>
          <w:lang w:val="fr-FR"/>
        </w:rPr>
        <w:t xml:space="preserve"> </w:t>
      </w:r>
      <w:r w:rsidRPr="00577EB1">
        <w:rPr>
          <w:rStyle w:val="longtext"/>
          <w:lang w:val="fr-FR"/>
        </w:rPr>
        <w:t xml:space="preserve">Au stade actuel, les filets sociaux ont eu une portée limitée, avec un faible niveau de transferts. L’approche visant à améliorer la situation économique des ménages pauvres et vulnérables a été axée sur la promotion d’une culture de solidarité nationale et l’appui aux activités génératrices de revenus. Le rôle potentiel des filets sociaux dans l’amélioration des moyens d’existence (par une meilleure gestion des risques et la promotion de l’autonomie) reste à intégrer. </w:t>
      </w:r>
      <w:r w:rsidRPr="00577EB1">
        <w:rPr>
          <w:rStyle w:val="longtext"/>
          <w:shd w:val="clear" w:color="auto" w:fill="FFFFFF"/>
          <w:lang w:val="fr-FR"/>
        </w:rPr>
        <w:t>Enfin, l’absence d’une stratégie nationale pour les filets sociaux montre que les pouvoirs publics n’ont pas encore vu le rôle qu’un système cohérent et efficace de filets sociaux peut jouer dans le soutien de l’efficacité et de la croissance</w:t>
      </w:r>
      <w:r w:rsidR="0007340F">
        <w:rPr>
          <w:rStyle w:val="longtext"/>
          <w:shd w:val="clear" w:color="auto" w:fill="FFFFFF"/>
          <w:lang w:val="fr-FR"/>
        </w:rPr>
        <w:t xml:space="preserve"> </w:t>
      </w:r>
      <w:r w:rsidRPr="00577EB1">
        <w:rPr>
          <w:rStyle w:val="longtext"/>
          <w:shd w:val="clear" w:color="auto" w:fill="FFFFFF"/>
          <w:lang w:val="fr-FR"/>
        </w:rPr>
        <w:t xml:space="preserve">en libérant d’autres secteurs de tout rôle de redistribution pour leur permettre de se concentrer sur </w:t>
      </w:r>
      <w:r w:rsidRPr="00577EB1">
        <w:rPr>
          <w:rStyle w:val="longtext"/>
          <w:lang w:val="fr-FR"/>
        </w:rPr>
        <w:t xml:space="preserve">la prestation de services efficaces. </w:t>
      </w:r>
    </w:p>
    <w:p w:rsidR="00A54EB6" w:rsidRPr="00577EB1" w:rsidRDefault="00A54EB6" w:rsidP="00A54EB6">
      <w:pPr>
        <w:pStyle w:val="Heading2"/>
      </w:pPr>
      <w:bookmarkStart w:id="68" w:name="_Toc264748731"/>
      <w:bookmarkStart w:id="69" w:name="_Toc261967410"/>
      <w:bookmarkStart w:id="70" w:name="_Toc262169632"/>
      <w:r w:rsidRPr="00577EB1">
        <w:t>Dispositif institutionnel du système de filets sociaux</w:t>
      </w:r>
      <w:bookmarkEnd w:id="68"/>
      <w:r w:rsidRPr="00577EB1">
        <w:t xml:space="preserve"> </w:t>
      </w:r>
      <w:bookmarkEnd w:id="69"/>
      <w:bookmarkEnd w:id="70"/>
    </w:p>
    <w:p w:rsidR="00A54EB6" w:rsidRPr="00577EB1" w:rsidRDefault="00A54EB6" w:rsidP="00A54EB6">
      <w:pPr>
        <w:pStyle w:val="Style3"/>
        <w:rPr>
          <w:lang w:val="fr-FR"/>
        </w:rPr>
      </w:pPr>
      <w:r w:rsidRPr="00577EB1">
        <w:rPr>
          <w:lang w:val="fr-FR"/>
        </w:rPr>
        <w:t xml:space="preserve">Au niveau national </w:t>
      </w:r>
    </w:p>
    <w:p w:rsidR="00D23E97" w:rsidRPr="00D23E97" w:rsidRDefault="00A54EB6" w:rsidP="00D23E97">
      <w:pPr>
        <w:numPr>
          <w:ilvl w:val="0"/>
          <w:numId w:val="2"/>
        </w:numPr>
        <w:tabs>
          <w:tab w:val="clear" w:pos="709"/>
        </w:tabs>
        <w:ind w:left="0" w:firstLine="0"/>
        <w:rPr>
          <w:rStyle w:val="longtext"/>
          <w:lang w:val="fr-FR"/>
        </w:rPr>
      </w:pPr>
      <w:r w:rsidRPr="00577EB1">
        <w:rPr>
          <w:rStyle w:val="longtext"/>
          <w:b/>
          <w:shd w:val="clear" w:color="auto" w:fill="FFFFFF"/>
          <w:lang w:val="fr-FR"/>
        </w:rPr>
        <w:t>L’absence d’une stratégie nationale de filets sociaux s’accompagne d’un manque de coordination institutionnelle dans le domaine.</w:t>
      </w:r>
      <w:r w:rsidRPr="00577EB1">
        <w:rPr>
          <w:rStyle w:val="longtext"/>
          <w:shd w:val="clear" w:color="auto" w:fill="FFFFFF"/>
          <w:lang w:val="fr-FR"/>
        </w:rPr>
        <w:t xml:space="preserve"> </w:t>
      </w:r>
      <w:r w:rsidR="00D23E97">
        <w:rPr>
          <w:rStyle w:val="longtext"/>
          <w:shd w:val="clear" w:color="auto" w:fill="FFFFFF"/>
          <w:lang w:val="fr-FR"/>
        </w:rPr>
        <w:t xml:space="preserve">Le projet de </w:t>
      </w:r>
      <w:r w:rsidR="00D23E97" w:rsidRPr="00D23E97">
        <w:rPr>
          <w:rStyle w:val="longtext"/>
          <w:lang w:val="fr-FR"/>
        </w:rPr>
        <w:t>politique na</w:t>
      </w:r>
      <w:r w:rsidR="00D23E97">
        <w:rPr>
          <w:rStyle w:val="longtext"/>
          <w:lang w:val="fr-FR"/>
        </w:rPr>
        <w:t>tionale de protection sociale, élaboré par un comité</w:t>
      </w:r>
      <w:r w:rsidR="00D23E97" w:rsidRPr="00D23E97">
        <w:rPr>
          <w:rStyle w:val="longtext"/>
          <w:lang w:val="fr-FR"/>
        </w:rPr>
        <w:t xml:space="preserve"> </w:t>
      </w:r>
      <w:r w:rsidR="00D23E97">
        <w:rPr>
          <w:rStyle w:val="longtext"/>
          <w:lang w:val="fr-FR"/>
        </w:rPr>
        <w:t xml:space="preserve"> interrninisté</w:t>
      </w:r>
      <w:r w:rsidR="00D23E97" w:rsidRPr="00D23E97">
        <w:rPr>
          <w:rStyle w:val="longtext"/>
          <w:lang w:val="fr-FR"/>
        </w:rPr>
        <w:t>riel</w:t>
      </w:r>
      <w:r w:rsidR="00D23E97">
        <w:rPr>
          <w:rStyle w:val="longtext"/>
          <w:lang w:val="fr-FR"/>
        </w:rPr>
        <w:t xml:space="preserve"> sous la coordination du Ministère du Travail et de la Sécurité Sociale (MTSS), avait identifié des priorités en matiè</w:t>
      </w:r>
      <w:r w:rsidR="00D23E97" w:rsidRPr="00D23E97">
        <w:rPr>
          <w:rStyle w:val="longtext"/>
          <w:lang w:val="fr-FR"/>
        </w:rPr>
        <w:t xml:space="preserve">re de filets sociaux. Malheureusement, ce projet n'a pas </w:t>
      </w:r>
      <w:r w:rsidR="00B44634">
        <w:rPr>
          <w:rStyle w:val="longtext"/>
          <w:lang w:val="fr-FR"/>
        </w:rPr>
        <w:t xml:space="preserve">était adopté </w:t>
      </w:r>
      <w:r w:rsidR="00D23E97">
        <w:rPr>
          <w:rStyle w:val="longtext"/>
          <w:lang w:val="fr-FR"/>
        </w:rPr>
        <w:t>et chaque Ministère concerné a opté</w:t>
      </w:r>
      <w:r w:rsidR="00D23E97" w:rsidRPr="00D23E97">
        <w:rPr>
          <w:rStyle w:val="longtext"/>
          <w:lang w:val="fr-FR"/>
        </w:rPr>
        <w:t xml:space="preserve"> pour une politique sectorie</w:t>
      </w:r>
      <w:r w:rsidR="00D23E97">
        <w:rPr>
          <w:rStyle w:val="longtext"/>
          <w:lang w:val="fr-FR"/>
        </w:rPr>
        <w:t>lle focalisé</w:t>
      </w:r>
      <w:r w:rsidR="00D23E97" w:rsidRPr="00D23E97">
        <w:rPr>
          <w:rStyle w:val="longtext"/>
          <w:lang w:val="fr-FR"/>
        </w:rPr>
        <w:t>e</w:t>
      </w:r>
      <w:r w:rsidR="00D23E97">
        <w:rPr>
          <w:rStyle w:val="longtext"/>
          <w:lang w:val="fr-FR"/>
        </w:rPr>
        <w:t xml:space="preserve"> sur son mandat unique. Ainsi, le MTSS</w:t>
      </w:r>
      <w:r w:rsidR="00D23E97" w:rsidRPr="00D23E97">
        <w:rPr>
          <w:rStyle w:val="longtext"/>
          <w:lang w:val="fr-FR"/>
        </w:rPr>
        <w:t>, dans son projet de poli</w:t>
      </w:r>
      <w:r w:rsidR="00D23E97">
        <w:rPr>
          <w:rStyle w:val="longtext"/>
          <w:lang w:val="fr-FR"/>
        </w:rPr>
        <w:t>tique nationale du travail met l'accent sur la ré</w:t>
      </w:r>
      <w:r w:rsidR="00D23E97" w:rsidRPr="00D23E97">
        <w:rPr>
          <w:rStyle w:val="longtext"/>
          <w:lang w:val="fr-FR"/>
        </w:rPr>
        <w:t>glementation du travail et</w:t>
      </w:r>
      <w:r w:rsidR="00D23E97">
        <w:rPr>
          <w:rStyle w:val="longtext"/>
          <w:lang w:val="fr-FR"/>
        </w:rPr>
        <w:t xml:space="preserve"> l’assurance sociale. Dans l</w:t>
      </w:r>
      <w:r w:rsidR="00D23E97" w:rsidRPr="00D23E97">
        <w:rPr>
          <w:rStyle w:val="longtext"/>
          <w:lang w:val="fr-FR"/>
        </w:rPr>
        <w:t xml:space="preserve">e cadre de cette assurance sociale, </w:t>
      </w:r>
      <w:r w:rsidR="00D23E97">
        <w:rPr>
          <w:rStyle w:val="longtext"/>
          <w:lang w:val="fr-FR"/>
        </w:rPr>
        <w:t>il</w:t>
      </w:r>
      <w:r w:rsidR="00D23E97" w:rsidRPr="00D23E97">
        <w:rPr>
          <w:rStyle w:val="longtext"/>
          <w:lang w:val="fr-FR"/>
        </w:rPr>
        <w:t xml:space="preserve"> </w:t>
      </w:r>
      <w:r w:rsidR="00D23E97">
        <w:rPr>
          <w:rStyle w:val="longtext"/>
          <w:lang w:val="fr-FR"/>
        </w:rPr>
        <w:t xml:space="preserve">est envisagé la </w:t>
      </w:r>
      <w:r w:rsidR="00D23E97" w:rsidRPr="00D23E97">
        <w:rPr>
          <w:rStyle w:val="longtext"/>
          <w:lang w:val="fr-FR"/>
        </w:rPr>
        <w:t xml:space="preserve">mise en place d'une assurance maladie </w:t>
      </w:r>
      <w:r w:rsidR="00D23E97">
        <w:rPr>
          <w:rStyle w:val="longtext"/>
          <w:lang w:val="fr-FR"/>
        </w:rPr>
        <w:t>à vision universelle qui dé</w:t>
      </w:r>
      <w:r w:rsidR="00D23E97" w:rsidRPr="00D23E97">
        <w:rPr>
          <w:rStyle w:val="longtext"/>
          <w:lang w:val="fr-FR"/>
        </w:rPr>
        <w:t>veloppe</w:t>
      </w:r>
      <w:r w:rsidR="00D23E97">
        <w:rPr>
          <w:rStyle w:val="longtext"/>
          <w:lang w:val="fr-FR"/>
        </w:rPr>
        <w:t>ra</w:t>
      </w:r>
      <w:r w:rsidR="00D23E97" w:rsidRPr="00D23E97">
        <w:rPr>
          <w:rStyle w:val="longtext"/>
          <w:lang w:val="fr-FR"/>
        </w:rPr>
        <w:t xml:space="preserve"> des programmes de filets sociaux. II s'agit notamment du subventionnement des soins pour les person</w:t>
      </w:r>
      <w:r w:rsidR="00D23E97">
        <w:rPr>
          <w:rStyle w:val="longtext"/>
          <w:lang w:val="fr-FR"/>
        </w:rPr>
        <w:t>nes vulnérables, de transferts monétaires pour les personnes âgées et les famill</w:t>
      </w:r>
      <w:r w:rsidR="00D23E97" w:rsidRPr="00D23E97">
        <w:rPr>
          <w:rStyle w:val="longtext"/>
          <w:lang w:val="fr-FR"/>
        </w:rPr>
        <w:t xml:space="preserve">es avec enfants. </w:t>
      </w:r>
      <w:r w:rsidR="000632C0">
        <w:rPr>
          <w:rStyle w:val="longtext"/>
          <w:lang w:val="fr-FR"/>
        </w:rPr>
        <w:t xml:space="preserve">Quant au MASSN, dont le </w:t>
      </w:r>
      <w:r w:rsidRPr="00577EB1">
        <w:rPr>
          <w:rStyle w:val="longtext"/>
          <w:lang w:val="fr-FR"/>
        </w:rPr>
        <w:t xml:space="preserve"> mandat</w:t>
      </w:r>
      <w:r w:rsidRPr="00577EB1">
        <w:rPr>
          <w:rStyle w:val="FootnoteReference"/>
          <w:lang w:val="fr-FR"/>
        </w:rPr>
        <w:footnoteReference w:id="13"/>
      </w:r>
      <w:r w:rsidRPr="00577EB1">
        <w:rPr>
          <w:szCs w:val="24"/>
          <w:lang w:val="fr-FR"/>
        </w:rPr>
        <w:t xml:space="preserve"> </w:t>
      </w:r>
      <w:r w:rsidRPr="00577EB1">
        <w:rPr>
          <w:rStyle w:val="longtext"/>
          <w:lang w:val="fr-FR"/>
        </w:rPr>
        <w:t>suppose un accent stratégique sur les filets sociaux</w:t>
      </w:r>
      <w:r w:rsidR="000632C0">
        <w:rPr>
          <w:rStyle w:val="longtext"/>
          <w:lang w:val="fr-FR"/>
        </w:rPr>
        <w:t xml:space="preserve">, </w:t>
      </w:r>
      <w:r w:rsidRPr="00577EB1">
        <w:rPr>
          <w:rStyle w:val="longtext"/>
          <w:lang w:val="fr-FR"/>
        </w:rPr>
        <w:t xml:space="preserve"> </w:t>
      </w:r>
      <w:r w:rsidR="000632C0">
        <w:rPr>
          <w:rStyle w:val="longtext"/>
          <w:lang w:val="fr-FR"/>
        </w:rPr>
        <w:t xml:space="preserve">il n’a, dans les faits, accordé </w:t>
      </w:r>
      <w:r w:rsidRPr="00577EB1">
        <w:rPr>
          <w:rStyle w:val="longtext"/>
          <w:lang w:val="fr-FR"/>
        </w:rPr>
        <w:t xml:space="preserve">aucune priorité claire aux filets sociaux dans sa politique nationale d’action sociale et aucun programme important de filets sociaux ne </w:t>
      </w:r>
      <w:r w:rsidRPr="00577EB1">
        <w:rPr>
          <w:rStyle w:val="longtext"/>
          <w:lang w:val="fr-FR"/>
        </w:rPr>
        <w:lastRenderedPageBreak/>
        <w:t xml:space="preserve">relève de sa gestion. Par exemple, en 2008, le FNS n’a aidé que 4 562 personnes (moins de 0,07 % des pauvres en termes monétaires) et une dizaine d’organisations à travers des transferts ponctuels en nature ou en espèces, pour un coût total de 38,8 millions de francs CFA. </w:t>
      </w:r>
      <w:r w:rsidRPr="00577EB1">
        <w:rPr>
          <w:rStyle w:val="longtext"/>
          <w:shd w:val="clear" w:color="auto" w:fill="FFFFFF"/>
          <w:lang w:val="fr-FR"/>
        </w:rPr>
        <w:t xml:space="preserve">Le MdS, le MEBA et le MAHRH semblent être les plus actifs dans la mise en œuvre des filets sociaux, même si leur mandat devrait les amener à se focaliser sur la prestation des services de base. </w:t>
      </w:r>
    </w:p>
    <w:p w:rsidR="00A54EB6" w:rsidRPr="00577EB1" w:rsidRDefault="00A54EB6" w:rsidP="00E52A30">
      <w:pPr>
        <w:numPr>
          <w:ilvl w:val="0"/>
          <w:numId w:val="2"/>
        </w:numPr>
        <w:tabs>
          <w:tab w:val="clear" w:pos="709"/>
        </w:tabs>
        <w:ind w:left="0" w:firstLine="0"/>
        <w:rPr>
          <w:rStyle w:val="longtext"/>
          <w:lang w:val="fr-FR"/>
        </w:rPr>
      </w:pPr>
      <w:r w:rsidRPr="00577EB1">
        <w:rPr>
          <w:rStyle w:val="longtext"/>
          <w:b/>
          <w:lang w:val="fr-FR"/>
        </w:rPr>
        <w:t>Dans l’ensemble, les mécanismes de coordination interministérielle en matière de protection sociale et de filets sociaux sont faibles</w:t>
      </w:r>
      <w:r w:rsidRPr="00577EB1">
        <w:rPr>
          <w:rStyle w:val="longtext"/>
          <w:lang w:val="fr-FR"/>
        </w:rPr>
        <w:t xml:space="preserve">. </w:t>
      </w:r>
      <w:r w:rsidRPr="00577EB1">
        <w:rPr>
          <w:rStyle w:val="longtext"/>
          <w:shd w:val="clear" w:color="auto" w:fill="FFFFFF"/>
          <w:lang w:val="fr-FR"/>
        </w:rPr>
        <w:t>La Commission sectorielle et thématique (CST) du DSRP pour la protection sociale n’a pas été très active au cours des dernières années, et n’a pas réussi à aligner les ministères chargés de la gestion des programmes de filets sociaux</w:t>
      </w:r>
      <w:r w:rsidRPr="00577EB1">
        <w:rPr>
          <w:rStyle w:val="FootnoteReference"/>
          <w:lang w:val="fr-FR"/>
        </w:rPr>
        <w:footnoteReference w:id="14"/>
      </w:r>
      <w:r w:rsidRPr="00577EB1">
        <w:rPr>
          <w:rStyle w:val="longtext"/>
          <w:shd w:val="clear" w:color="auto" w:fill="FFFFFF"/>
          <w:lang w:val="fr-FR"/>
        </w:rPr>
        <w:t>.</w:t>
      </w:r>
      <w:r w:rsidRPr="00577EB1">
        <w:rPr>
          <w:rStyle w:val="FootnoteReference"/>
          <w:lang w:val="fr-FR"/>
        </w:rPr>
        <w:t xml:space="preserve"> </w:t>
      </w:r>
      <w:r w:rsidRPr="00577EB1">
        <w:rPr>
          <w:rStyle w:val="longtext"/>
          <w:lang w:val="fr-FR"/>
        </w:rPr>
        <w:t>En fait, jusqu’à récemment, rien n’était prévu pour que les ministères sectoriels coordonnent leurs stratégies de filets sociaux et échangent leurs expériences</w:t>
      </w:r>
      <w:r w:rsidRPr="00577EB1">
        <w:rPr>
          <w:rStyle w:val="FootnoteReference"/>
          <w:lang w:val="fr-FR"/>
        </w:rPr>
        <w:footnoteReference w:id="15"/>
      </w:r>
      <w:r w:rsidRPr="00577EB1">
        <w:rPr>
          <w:rStyle w:val="longtext"/>
          <w:lang w:val="fr-FR"/>
        </w:rPr>
        <w:t xml:space="preserve">. </w:t>
      </w:r>
    </w:p>
    <w:p w:rsidR="00A54EB6" w:rsidRPr="00577EB1" w:rsidRDefault="00A54EB6" w:rsidP="00E52A30">
      <w:pPr>
        <w:numPr>
          <w:ilvl w:val="0"/>
          <w:numId w:val="2"/>
        </w:numPr>
        <w:tabs>
          <w:tab w:val="clear" w:pos="709"/>
        </w:tabs>
        <w:ind w:left="0" w:firstLine="0"/>
        <w:rPr>
          <w:rStyle w:val="longtext"/>
          <w:szCs w:val="24"/>
          <w:lang w:val="fr-FR"/>
        </w:rPr>
      </w:pPr>
      <w:r w:rsidRPr="00577EB1">
        <w:rPr>
          <w:rStyle w:val="longtext"/>
          <w:b/>
          <w:lang w:val="fr-FR"/>
        </w:rPr>
        <w:t>Cependant, dans un contexte marqué par des crises à répétition, la protection sociale et notamment les filets sociaux gagnent de l’ampleur</w:t>
      </w:r>
      <w:r w:rsidRPr="00577EB1">
        <w:rPr>
          <w:rStyle w:val="longtext"/>
          <w:lang w:val="fr-FR"/>
        </w:rPr>
        <w:t xml:space="preserve">. </w:t>
      </w:r>
      <w:r w:rsidRPr="00577EB1">
        <w:rPr>
          <w:rStyle w:val="longtext"/>
          <w:shd w:val="clear" w:color="auto" w:fill="FFFFFF"/>
          <w:lang w:val="fr-FR"/>
        </w:rPr>
        <w:t xml:space="preserve">À la fin 2009, le MEF a coordonné l’élaboration d’un plan d’action pour atténuer la crise financière et économique, qui intégrait explicitement les programmes de filets sociaux dans un pilier prioritaire de protection sociale. </w:t>
      </w:r>
      <w:r w:rsidRPr="00577EB1">
        <w:rPr>
          <w:rStyle w:val="longtext"/>
          <w:lang w:val="fr-FR"/>
        </w:rPr>
        <w:t xml:space="preserve">En janvier 2010, un atelier de formation sur la protection sociale a été organisé à l’intention de 30 techniciens de 11 ministères, avec le soutien de l’UNICEF. En février 2010, un Comité ministériel conjoint pour la protection sociale a été créé par décret. </w:t>
      </w:r>
      <w:r w:rsidRPr="00577EB1">
        <w:rPr>
          <w:rStyle w:val="longtext"/>
          <w:shd w:val="clear" w:color="auto" w:fill="FFFFFF"/>
          <w:lang w:val="fr-FR"/>
        </w:rPr>
        <w:t>En avril 2010, le MEF a organisé, avec le soutien de l’UNICEF, un atelier technique national sur la protection sociale afin de: i) diffuser les principes de base de la protection sociale</w:t>
      </w:r>
      <w:r w:rsidR="0007340F">
        <w:rPr>
          <w:rStyle w:val="longtext"/>
          <w:shd w:val="clear" w:color="auto" w:fill="FFFFFF"/>
          <w:lang w:val="fr-FR"/>
        </w:rPr>
        <w:t xml:space="preserve"> </w:t>
      </w:r>
      <w:r w:rsidRPr="00577EB1">
        <w:rPr>
          <w:rStyle w:val="longtext"/>
          <w:shd w:val="clear" w:color="auto" w:fill="FFFFFF"/>
          <w:lang w:val="fr-FR"/>
        </w:rPr>
        <w:t>ii) partager des informations sur les programmes de filets sociaux existants au Burkina Faso</w:t>
      </w:r>
      <w:r w:rsidR="0007340F">
        <w:rPr>
          <w:rStyle w:val="longtext"/>
          <w:shd w:val="clear" w:color="auto" w:fill="FFFFFF"/>
          <w:lang w:val="fr-FR"/>
        </w:rPr>
        <w:t xml:space="preserve"> </w:t>
      </w:r>
      <w:r w:rsidRPr="00577EB1">
        <w:rPr>
          <w:rStyle w:val="longtext"/>
          <w:shd w:val="clear" w:color="auto" w:fill="FFFFFF"/>
          <w:lang w:val="fr-FR"/>
        </w:rPr>
        <w:t xml:space="preserve">et </w:t>
      </w:r>
      <w:r w:rsidRPr="00577EB1">
        <w:rPr>
          <w:rStyle w:val="longtext"/>
          <w:lang w:val="fr-FR"/>
        </w:rPr>
        <w:t xml:space="preserve">iii) présenter une vision consolidée et multisectorielle du rôle de la protection sociale dans le pays. L’atelier a réuni près de 90 personnes, marquant une avancée notable en direction de l’élaboration d’une stratégie nationale de protection sociale incluant les filets sociaux et de son intégration dans la prochaine SCADD. </w:t>
      </w:r>
    </w:p>
    <w:p w:rsidR="00A54EB6" w:rsidRPr="00577EB1" w:rsidRDefault="00A54EB6" w:rsidP="00E52A30">
      <w:pPr>
        <w:numPr>
          <w:ilvl w:val="0"/>
          <w:numId w:val="2"/>
        </w:numPr>
        <w:tabs>
          <w:tab w:val="clear" w:pos="709"/>
        </w:tabs>
        <w:ind w:left="0" w:firstLine="0"/>
        <w:rPr>
          <w:rStyle w:val="longtext"/>
          <w:lang w:val="fr-FR"/>
        </w:rPr>
      </w:pPr>
      <w:r w:rsidRPr="00577EB1">
        <w:rPr>
          <w:b/>
          <w:szCs w:val="24"/>
          <w:lang w:val="fr-FR"/>
        </w:rPr>
        <w:t xml:space="preserve"> </w:t>
      </w:r>
      <w:r w:rsidRPr="00577EB1">
        <w:rPr>
          <w:rStyle w:val="longtext"/>
          <w:b/>
          <w:shd w:val="clear" w:color="auto" w:fill="FFFFFF"/>
          <w:lang w:val="fr-FR"/>
        </w:rPr>
        <w:t>La mise en place du Comité ministériel conjoint pour</w:t>
      </w:r>
      <w:r w:rsidR="0007340F">
        <w:rPr>
          <w:rStyle w:val="longtext"/>
          <w:b/>
          <w:shd w:val="clear" w:color="auto" w:fill="FFFFFF"/>
          <w:lang w:val="fr-FR"/>
        </w:rPr>
        <w:t xml:space="preserve"> </w:t>
      </w:r>
      <w:r w:rsidRPr="00577EB1">
        <w:rPr>
          <w:rStyle w:val="longtext"/>
          <w:b/>
          <w:shd w:val="clear" w:color="auto" w:fill="FFFFFF"/>
          <w:lang w:val="fr-FR"/>
        </w:rPr>
        <w:t>la protection sociale et la perspective de l’intégration d’une stratégie nationale de protection sociale dans la prochaine SCADD ont offert à la protection sociale et aux filets sociaux, une opportunité de jouer un rôle plus important et efficace dans les stratégies de réduction de la pauvreté</w:t>
      </w:r>
      <w:r w:rsidRPr="00577EB1">
        <w:rPr>
          <w:rStyle w:val="longtext"/>
          <w:lang w:val="fr-FR"/>
        </w:rPr>
        <w:t xml:space="preserve">. </w:t>
      </w:r>
      <w:r w:rsidRPr="00577EB1">
        <w:rPr>
          <w:rStyle w:val="longtext"/>
          <w:shd w:val="clear" w:color="auto" w:fill="FFFFFF"/>
          <w:lang w:val="fr-FR"/>
        </w:rPr>
        <w:t xml:space="preserve">L’intégration d’une composante de protection sociale dans la SCADD constitue une grande opportunité pour l’adoption de l’approche multisectorielle nécessaire, qui renverse largement les approches sectorielles qui ont prévalu dans le passé. </w:t>
      </w:r>
      <w:r w:rsidRPr="00577EB1">
        <w:rPr>
          <w:rStyle w:val="longtext"/>
          <w:lang w:val="fr-FR"/>
        </w:rPr>
        <w:t xml:space="preserve">Actuellement, les agences d’exécution sont confrontées à des problèmes communs, tels que la difficulté d’identification des pauvres, l’introduction de programmes novateurs, et le suivi et évaluation des programmes. La mise en place du Comité viendra en appui au dialogue interministériel sur les questions de conception et de mise en œuvre des filets sociaux, favorisera la capitalisation de l’apprentissage au niveau national et encouragera les économies d’échelle. </w:t>
      </w:r>
    </w:p>
    <w:p w:rsidR="00A54EB6" w:rsidRPr="00577EB1" w:rsidRDefault="00A54EB6" w:rsidP="00A54EB6">
      <w:pPr>
        <w:pStyle w:val="Style3"/>
        <w:rPr>
          <w:lang w:val="fr-FR"/>
        </w:rPr>
      </w:pPr>
      <w:r w:rsidRPr="00577EB1">
        <w:rPr>
          <w:lang w:val="fr-FR"/>
        </w:rPr>
        <w:lastRenderedPageBreak/>
        <w:t>Au niveau décentralisé</w:t>
      </w:r>
    </w:p>
    <w:p w:rsidR="00A54EB6" w:rsidRPr="00577EB1" w:rsidRDefault="00A54EB6" w:rsidP="00E52A30">
      <w:pPr>
        <w:numPr>
          <w:ilvl w:val="0"/>
          <w:numId w:val="2"/>
        </w:numPr>
        <w:tabs>
          <w:tab w:val="clear" w:pos="709"/>
        </w:tabs>
        <w:ind w:left="0" w:firstLine="0"/>
        <w:rPr>
          <w:rStyle w:val="longtext"/>
          <w:lang w:val="fr-FR"/>
        </w:rPr>
      </w:pPr>
      <w:r w:rsidRPr="00577EB1">
        <w:rPr>
          <w:rStyle w:val="longtext"/>
          <w:b/>
          <w:shd w:val="clear" w:color="auto" w:fill="FFFFFF"/>
          <w:lang w:val="fr-FR"/>
        </w:rPr>
        <w:t>Comme indiqué dans la récente revue des dépenses publiques, la gestion du programme et des dépenses restent largement centralisés et inefficaces.</w:t>
      </w:r>
      <w:r w:rsidRPr="00577EB1">
        <w:rPr>
          <w:rStyle w:val="longtext"/>
          <w:shd w:val="clear" w:color="auto" w:fill="FFFFFF"/>
          <w:lang w:val="fr-FR"/>
        </w:rPr>
        <w:t xml:space="preserve"> En dépit d’une augmentation rapide depuis 2005, les ressources des autorités locales ne représentaient que 0,8 % du PIB en 2007 et 4 % des recettes publiques totales [Banque mondiale 2009a]. La gestion centralisée des dépenses explique, entre autres, le « paradoxe burkinabé », c’est-à-dire une déconnexion apparente entre des performances et une gestion </w:t>
      </w:r>
      <w:r w:rsidR="001F3001" w:rsidRPr="00577EB1">
        <w:rPr>
          <w:rStyle w:val="longtext"/>
          <w:shd w:val="clear" w:color="auto" w:fill="FFFFFF"/>
          <w:lang w:val="fr-FR"/>
        </w:rPr>
        <w:t>économique satisfaisante</w:t>
      </w:r>
      <w:r w:rsidRPr="00577EB1">
        <w:rPr>
          <w:rStyle w:val="longtext"/>
          <w:shd w:val="clear" w:color="auto" w:fill="FFFFFF"/>
          <w:lang w:val="fr-FR"/>
        </w:rPr>
        <w:t xml:space="preserve"> et des résultats médiocres en termes de réduction de la pauvreté. La création des conditions d’une décentralisation effective est essentielle à l’amélioration de l’efficacité des dépenses publiques en termes de réduction de la pauvreté. </w:t>
      </w:r>
      <w:r w:rsidRPr="00577EB1">
        <w:rPr>
          <w:rStyle w:val="longtext"/>
          <w:lang w:val="fr-FR"/>
        </w:rPr>
        <w:t>Dans le cadre du Plan national d’organisation et de coordination des secours d’urgence et de réhabilitation (PNOCSUR), les conseils de secours d’urgence et de réhabilitation</w:t>
      </w:r>
      <w:r w:rsidRPr="00577EB1">
        <w:rPr>
          <w:vertAlign w:val="superscript"/>
          <w:lang w:val="fr-FR"/>
        </w:rPr>
        <w:footnoteReference w:id="16"/>
      </w:r>
      <w:r w:rsidRPr="00577EB1">
        <w:rPr>
          <w:rStyle w:val="longtext"/>
          <w:lang w:val="fr-FR"/>
        </w:rPr>
        <w:t xml:space="preserve"> devraient être fonctionnels aux niveaux national, régional, provincial, départemental, et villageois afin de coordonner les réponses aux crises et éviter l’exclusion des personnes vulnérables. </w:t>
      </w:r>
    </w:p>
    <w:p w:rsidR="00A54EB6" w:rsidRPr="00577EB1" w:rsidRDefault="00A54EB6" w:rsidP="00A54EB6">
      <w:pPr>
        <w:pStyle w:val="Style3"/>
        <w:rPr>
          <w:lang w:val="fr-FR"/>
        </w:rPr>
      </w:pPr>
      <w:r w:rsidRPr="00577EB1">
        <w:rPr>
          <w:lang w:val="fr-FR"/>
        </w:rPr>
        <w:t>Au niveau des bailleurs de fonds</w:t>
      </w:r>
    </w:p>
    <w:p w:rsidR="00A54EB6" w:rsidRPr="00577EB1" w:rsidRDefault="00A54EB6" w:rsidP="00E52A30">
      <w:pPr>
        <w:numPr>
          <w:ilvl w:val="0"/>
          <w:numId w:val="2"/>
        </w:numPr>
        <w:tabs>
          <w:tab w:val="clear" w:pos="709"/>
        </w:tabs>
        <w:ind w:left="0" w:firstLine="0"/>
        <w:rPr>
          <w:rStyle w:val="longtext"/>
          <w:szCs w:val="24"/>
          <w:lang w:val="fr-FR"/>
        </w:rPr>
      </w:pPr>
      <w:r w:rsidRPr="00577EB1">
        <w:rPr>
          <w:rStyle w:val="longtext"/>
          <w:b/>
          <w:shd w:val="clear" w:color="auto" w:fill="FFFFFF"/>
          <w:lang w:val="fr-FR"/>
        </w:rPr>
        <w:t>Le Burkina Faso est un pays pilote de l’Initiative des Nations Unies pour un socle de protection sociale.</w:t>
      </w:r>
      <w:r w:rsidRPr="00577EB1">
        <w:rPr>
          <w:szCs w:val="24"/>
          <w:lang w:val="fr-FR"/>
        </w:rPr>
        <w:t xml:space="preserve"> </w:t>
      </w:r>
      <w:r w:rsidRPr="00577EB1">
        <w:rPr>
          <w:rStyle w:val="longtext"/>
          <w:shd w:val="clear" w:color="auto" w:fill="FFFFFF"/>
          <w:lang w:val="fr-FR"/>
        </w:rPr>
        <w:t xml:space="preserve">Les principaux bailleurs de fonds engagés dans la protection sociale au Burkina Faso, notamment l’OIT, l’UNICEF, le PAM, la Banque mondiale, le FMI, l’UE et le PNUD, coordonnent leurs efforts de manière étroite. En 2009, dans un contexte de crise mondiale menaçant de faire disparaître des décennies d’investissement dans le développement humain et la poursuite des OMD, l’Organisation des Nations Unies a lancé son Initiative pour un socle de protection sociale visant à mettre en place un ensemble de base de garanties de protection sociale pour tous les citoyens </w:t>
      </w:r>
      <w:r w:rsidRPr="00577EB1">
        <w:rPr>
          <w:rStyle w:val="longtext"/>
          <w:lang w:val="fr-FR"/>
        </w:rPr>
        <w:t>(Encadré 2). Le Burkina Faso a été choisi comme l’un des pays pilotes avec le Cambodge, l’Éthiopie, et le Honduras</w:t>
      </w:r>
      <w:r w:rsidRPr="00577EB1">
        <w:rPr>
          <w:rStyle w:val="FootnoteReference"/>
          <w:lang w:val="fr-FR"/>
        </w:rPr>
        <w:footnoteReference w:id="17"/>
      </w:r>
      <w:r w:rsidRPr="00577EB1">
        <w:rPr>
          <w:rStyle w:val="longtext"/>
          <w:lang w:val="fr-FR"/>
        </w:rPr>
        <w:t>.</w:t>
      </w:r>
    </w:p>
    <w:p w:rsidR="00A54EB6" w:rsidRPr="00577EB1" w:rsidRDefault="005738FE" w:rsidP="005D3651">
      <w:pPr>
        <w:pStyle w:val="Heading9"/>
      </w:pPr>
      <w:bookmarkStart w:id="71" w:name="_Ref135726886"/>
      <w:bookmarkStart w:id="72" w:name="_Toc262170074"/>
      <w:bookmarkStart w:id="73" w:name="_Toc269723975"/>
      <w:bookmarkStart w:id="74" w:name="_Toc269724015"/>
      <w:bookmarkStart w:id="75" w:name="_Toc269724121"/>
      <w:bookmarkStart w:id="76" w:name="_Toc284613562"/>
      <w:r w:rsidRPr="005738FE">
        <w:lastRenderedPageBreak/>
        <w:t xml:space="preserve">Encadré </w:t>
      </w:r>
      <w:r w:rsidR="00725419">
        <w:fldChar w:fldCharType="begin"/>
      </w:r>
      <w:r w:rsidRPr="005738FE">
        <w:instrText xml:space="preserve"> SEQ Encadré \* ARABIC </w:instrText>
      </w:r>
      <w:r w:rsidR="00725419">
        <w:fldChar w:fldCharType="separate"/>
      </w:r>
      <w:r w:rsidR="00EF56B2">
        <w:rPr>
          <w:noProof/>
        </w:rPr>
        <w:t>2</w:t>
      </w:r>
      <w:r w:rsidR="00725419">
        <w:fldChar w:fldCharType="end"/>
      </w:r>
      <w:bookmarkEnd w:id="71"/>
      <w:r w:rsidR="00837FC9">
        <w:t> </w:t>
      </w:r>
      <w:r w:rsidR="00A54EB6" w:rsidRPr="00577EB1">
        <w:t>: Initiative pour un socle de protection sociale</w:t>
      </w:r>
      <w:bookmarkEnd w:id="72"/>
      <w:bookmarkEnd w:id="73"/>
      <w:bookmarkEnd w:id="74"/>
      <w:bookmarkEnd w:id="75"/>
      <w:bookmarkEnd w:id="76"/>
    </w:p>
    <w:tbl>
      <w:tblPr>
        <w:tblW w:w="8789" w:type="dxa"/>
        <w:tblBorders>
          <w:top w:val="single" w:sz="4" w:space="0" w:color="auto"/>
          <w:left w:val="single" w:sz="4" w:space="0" w:color="auto"/>
          <w:bottom w:val="single" w:sz="4" w:space="0" w:color="auto"/>
          <w:right w:val="single" w:sz="4" w:space="0" w:color="auto"/>
        </w:tblBorders>
        <w:tblLayout w:type="fixed"/>
        <w:tblCellMar>
          <w:top w:w="227" w:type="dxa"/>
          <w:left w:w="227" w:type="dxa"/>
          <w:bottom w:w="227" w:type="dxa"/>
          <w:right w:w="227" w:type="dxa"/>
        </w:tblCellMar>
        <w:tblLook w:val="01E0"/>
      </w:tblPr>
      <w:tblGrid>
        <w:gridCol w:w="8789"/>
      </w:tblGrid>
      <w:tr w:rsidR="00A54EB6" w:rsidRPr="000A70E6" w:rsidTr="0050199E">
        <w:trPr>
          <w:trHeight w:val="1394"/>
        </w:trPr>
        <w:tc>
          <w:tcPr>
            <w:tcW w:w="8789" w:type="dxa"/>
            <w:tcBorders>
              <w:top w:val="single" w:sz="4" w:space="0" w:color="auto"/>
              <w:bottom w:val="single" w:sz="4" w:space="0" w:color="auto"/>
            </w:tcBorders>
          </w:tcPr>
          <w:p w:rsidR="00A54EB6" w:rsidRPr="00577EB1" w:rsidRDefault="00A54EB6" w:rsidP="0050199E">
            <w:pPr>
              <w:keepNext/>
              <w:keepLines/>
              <w:tabs>
                <w:tab w:val="clear" w:pos="709"/>
              </w:tabs>
              <w:autoSpaceDE w:val="0"/>
              <w:autoSpaceDN w:val="0"/>
              <w:adjustRightInd w:val="0"/>
              <w:spacing w:after="0"/>
              <w:rPr>
                <w:rStyle w:val="longtext"/>
                <w:sz w:val="20"/>
                <w:szCs w:val="20"/>
                <w:lang w:val="fr-FR"/>
              </w:rPr>
            </w:pPr>
            <w:r w:rsidRPr="00577EB1">
              <w:rPr>
                <w:sz w:val="20"/>
                <w:szCs w:val="20"/>
                <w:lang w:val="fr-FR"/>
              </w:rPr>
              <w:t xml:space="preserve">La crise économique et financière mondiale actuelle aura des conséquences dramatiques pour le domaine social mais aussi pour celui de la santé, de la nutrition et de l’éducation, à moins que des actions décisives ne soient prises. </w:t>
            </w:r>
            <w:r w:rsidRPr="00577EB1">
              <w:rPr>
                <w:rStyle w:val="longtext"/>
                <w:sz w:val="20"/>
                <w:szCs w:val="20"/>
                <w:shd w:val="clear" w:color="auto" w:fill="FFFFFF"/>
                <w:lang w:val="fr-FR"/>
              </w:rPr>
              <w:t xml:space="preserve">Elle menace de faire disparaître des décennies d’investissement dans le développement humain et la poursuite des objectifs de développement internationalement acceptés, y compris les OMD. </w:t>
            </w:r>
            <w:r w:rsidRPr="00577EB1">
              <w:rPr>
                <w:sz w:val="20"/>
                <w:szCs w:val="20"/>
                <w:lang w:val="fr-FR"/>
              </w:rPr>
              <w:t xml:space="preserve">En situation de crise, les prestations de sécurité sociale, les programmes de santé publique et de nutrition, et les services sociaux font office de stabilisateurs sociaux, sanitaires et économiques, permettant de réduire la profondeur sociale et économique potentielle de la récession, en luttant contre la </w:t>
            </w:r>
            <w:r w:rsidRPr="00577EB1">
              <w:rPr>
                <w:rStyle w:val="longtext"/>
                <w:sz w:val="20"/>
                <w:szCs w:val="20"/>
                <w:shd w:val="clear" w:color="auto" w:fill="FFFFFF"/>
                <w:lang w:val="fr-FR"/>
              </w:rPr>
              <w:t xml:space="preserve">pauvreté, assurant la continuité des services, et stabilisant </w:t>
            </w:r>
            <w:r w:rsidRPr="00577EB1">
              <w:rPr>
                <w:rStyle w:val="longtext"/>
                <w:sz w:val="20"/>
                <w:szCs w:val="20"/>
                <w:lang w:val="fr-FR"/>
              </w:rPr>
              <w:t xml:space="preserve">la demande globale. </w:t>
            </w:r>
            <w:r w:rsidRPr="00577EB1">
              <w:rPr>
                <w:rStyle w:val="longtext"/>
                <w:sz w:val="20"/>
                <w:szCs w:val="20"/>
                <w:shd w:val="clear" w:color="auto" w:fill="FFFFFF"/>
                <w:lang w:val="fr-FR"/>
              </w:rPr>
              <w:t xml:space="preserve">La communauté internationale doit non seulement résoudre les problèmes mis en évidence par la crise dans les systèmes financiers, monétaires et économiques mondiaux, mais également protéger la population pendant et après la crise. </w:t>
            </w:r>
            <w:r w:rsidRPr="00577EB1">
              <w:rPr>
                <w:rStyle w:val="longtext"/>
                <w:sz w:val="20"/>
                <w:szCs w:val="20"/>
                <w:lang w:val="fr-FR"/>
              </w:rPr>
              <w:t>La crise offre aussi une occasion de développer un ensemble de base de garanties de protection sociale pour tous les citoyens.</w:t>
            </w:r>
          </w:p>
          <w:p w:rsidR="00A54EB6" w:rsidRPr="00577EB1" w:rsidRDefault="00A54EB6" w:rsidP="0050199E">
            <w:pPr>
              <w:keepNext/>
              <w:keepLines/>
              <w:tabs>
                <w:tab w:val="clear" w:pos="709"/>
              </w:tabs>
              <w:autoSpaceDE w:val="0"/>
              <w:autoSpaceDN w:val="0"/>
              <w:adjustRightInd w:val="0"/>
              <w:spacing w:after="0"/>
              <w:rPr>
                <w:rStyle w:val="longtext"/>
                <w:sz w:val="20"/>
                <w:szCs w:val="20"/>
                <w:lang w:val="fr-FR"/>
              </w:rPr>
            </w:pPr>
            <w:r w:rsidRPr="00577EB1">
              <w:rPr>
                <w:rStyle w:val="longtext"/>
                <w:sz w:val="20"/>
                <w:szCs w:val="20"/>
                <w:shd w:val="clear" w:color="auto" w:fill="FFFFFF"/>
                <w:lang w:val="fr-FR"/>
              </w:rPr>
              <w:t>Un socle de protection sociale pourrait comprendre deux éléments principaux permettant de réaliser respectivement les droits de l’homme suivants</w:t>
            </w:r>
            <w:r w:rsidR="0007340F">
              <w:rPr>
                <w:rStyle w:val="longtext"/>
                <w:sz w:val="20"/>
                <w:szCs w:val="20"/>
                <w:shd w:val="clear" w:color="auto" w:fill="FFFFFF"/>
                <w:lang w:val="fr-FR"/>
              </w:rPr>
              <w:t xml:space="preserve"> </w:t>
            </w:r>
            <w:r w:rsidRPr="00577EB1">
              <w:rPr>
                <w:rStyle w:val="longtext"/>
                <w:sz w:val="20"/>
                <w:szCs w:val="20"/>
                <w:shd w:val="clear" w:color="auto" w:fill="FFFFFF"/>
                <w:lang w:val="fr-FR"/>
              </w:rPr>
              <w:t xml:space="preserve">i) </w:t>
            </w:r>
            <w:r w:rsidRPr="00577EB1">
              <w:rPr>
                <w:rStyle w:val="longtext"/>
                <w:i/>
                <w:sz w:val="20"/>
                <w:szCs w:val="20"/>
                <w:shd w:val="clear" w:color="auto" w:fill="FFFFFF"/>
                <w:lang w:val="fr-FR"/>
              </w:rPr>
              <w:t>les services essentiels</w:t>
            </w:r>
            <w:r w:rsidR="0007340F">
              <w:rPr>
                <w:rStyle w:val="longtext"/>
                <w:sz w:val="20"/>
                <w:szCs w:val="20"/>
                <w:shd w:val="clear" w:color="auto" w:fill="FFFFFF"/>
                <w:lang w:val="fr-FR"/>
              </w:rPr>
              <w:t xml:space="preserve"> </w:t>
            </w:r>
            <w:r w:rsidRPr="00577EB1">
              <w:rPr>
                <w:rStyle w:val="longtext"/>
                <w:sz w:val="20"/>
                <w:szCs w:val="20"/>
                <w:shd w:val="clear" w:color="auto" w:fill="FFFFFF"/>
                <w:lang w:val="fr-FR"/>
              </w:rPr>
              <w:t>assurer la disponibilité, la continuité et l’accès aux services publics (tels que l’eau et l’assainissement, la santé, l’éducation, et le soutien du travail social centré sur la famille)</w:t>
            </w:r>
            <w:r w:rsidR="0007340F">
              <w:rPr>
                <w:rStyle w:val="longtext"/>
                <w:sz w:val="20"/>
                <w:szCs w:val="20"/>
                <w:shd w:val="clear" w:color="auto" w:fill="FFFFFF"/>
                <w:lang w:val="fr-FR"/>
              </w:rPr>
              <w:t xml:space="preserve"> </w:t>
            </w:r>
            <w:r w:rsidRPr="00577EB1">
              <w:rPr>
                <w:rStyle w:val="longtext"/>
                <w:sz w:val="20"/>
                <w:szCs w:val="20"/>
                <w:shd w:val="clear" w:color="auto" w:fill="FFFFFF"/>
                <w:lang w:val="fr-FR"/>
              </w:rPr>
              <w:t xml:space="preserve">ii) </w:t>
            </w:r>
            <w:r w:rsidRPr="00577EB1">
              <w:rPr>
                <w:rStyle w:val="longtext"/>
                <w:i/>
                <w:sz w:val="20"/>
                <w:szCs w:val="20"/>
                <w:shd w:val="clear" w:color="auto" w:fill="FFFFFF"/>
                <w:lang w:val="fr-FR"/>
              </w:rPr>
              <w:t>les</w:t>
            </w:r>
            <w:r w:rsidRPr="00577EB1">
              <w:rPr>
                <w:rStyle w:val="longtext"/>
                <w:sz w:val="20"/>
                <w:szCs w:val="20"/>
                <w:shd w:val="clear" w:color="auto" w:fill="FFFFFF"/>
                <w:lang w:val="fr-FR"/>
              </w:rPr>
              <w:t xml:space="preserve"> </w:t>
            </w:r>
            <w:r w:rsidRPr="00577EB1">
              <w:rPr>
                <w:rStyle w:val="longtext"/>
                <w:i/>
                <w:sz w:val="20"/>
                <w:szCs w:val="20"/>
                <w:shd w:val="clear" w:color="auto" w:fill="FFFFFF"/>
                <w:lang w:val="fr-FR"/>
              </w:rPr>
              <w:t>transferts sociaux</w:t>
            </w:r>
            <w:r w:rsidR="0007340F">
              <w:rPr>
                <w:rStyle w:val="longtext"/>
                <w:sz w:val="20"/>
                <w:szCs w:val="20"/>
                <w:shd w:val="clear" w:color="auto" w:fill="FFFFFF"/>
                <w:lang w:val="fr-FR"/>
              </w:rPr>
              <w:t xml:space="preserve"> </w:t>
            </w:r>
            <w:r w:rsidRPr="00577EB1">
              <w:rPr>
                <w:rStyle w:val="longtext"/>
                <w:sz w:val="20"/>
                <w:szCs w:val="20"/>
                <w:shd w:val="clear" w:color="auto" w:fill="FFFFFF"/>
                <w:lang w:val="fr-FR"/>
              </w:rPr>
              <w:t xml:space="preserve">un ensemble de base de transferts sociaux essentiels, en espèces et en nature, destinés aux pauvres et aux personnes vulnérables, afin de renforcer la sécurité alimentaire et la nutrition, et d’offrir un revenu minimal garanti et l’accès aux services de base, </w:t>
            </w:r>
            <w:r w:rsidRPr="00577EB1">
              <w:rPr>
                <w:rStyle w:val="longtext"/>
                <w:sz w:val="20"/>
                <w:szCs w:val="20"/>
                <w:lang w:val="fr-FR"/>
              </w:rPr>
              <w:t>y compris l’éducation et les soins de santé.</w:t>
            </w:r>
          </w:p>
          <w:p w:rsidR="00A54EB6" w:rsidRPr="00577EB1" w:rsidRDefault="00A54EB6" w:rsidP="0050199E">
            <w:pPr>
              <w:keepNext/>
              <w:keepLines/>
              <w:tabs>
                <w:tab w:val="clear" w:pos="709"/>
              </w:tabs>
              <w:autoSpaceDE w:val="0"/>
              <w:autoSpaceDN w:val="0"/>
              <w:adjustRightInd w:val="0"/>
              <w:spacing w:after="0"/>
              <w:rPr>
                <w:sz w:val="20"/>
                <w:szCs w:val="20"/>
                <w:lang w:val="fr-FR"/>
              </w:rPr>
            </w:pPr>
            <w:r w:rsidRPr="00577EB1">
              <w:rPr>
                <w:rStyle w:val="longtext"/>
                <w:sz w:val="20"/>
                <w:szCs w:val="20"/>
                <w:shd w:val="clear" w:color="auto" w:fill="FFFFFF"/>
                <w:lang w:val="fr-FR"/>
              </w:rPr>
              <w:t xml:space="preserve">Les calculs effectués par différentes agences des Nations Unies, dont l’OIT, ONUSIDA, l’UNICEF et l’OMS, montrent qu’un socle de base de transferts sociaux est globalement abordable, même si le financement n’est pas encore disponible partout. </w:t>
            </w:r>
            <w:r w:rsidRPr="00577EB1">
              <w:rPr>
                <w:rStyle w:val="longtext"/>
                <w:sz w:val="20"/>
                <w:szCs w:val="20"/>
                <w:lang w:val="fr-FR"/>
              </w:rPr>
              <w:t xml:space="preserve">Il aurait également un impact majeur sur la pauvreté, l’accès et l’utilisation des services clés, y compris ceux liés à la lutte contre le SIDA, la tuberculose et le paludisme, ainsi que le travail et la traite des enfants. </w:t>
            </w:r>
            <w:r w:rsidRPr="00577EB1">
              <w:rPr>
                <w:rStyle w:val="longtext"/>
                <w:sz w:val="20"/>
                <w:szCs w:val="20"/>
                <w:shd w:val="clear" w:color="auto" w:fill="FFFFFF"/>
                <w:lang w:val="fr-FR"/>
              </w:rPr>
              <w:t xml:space="preserve">Correctement mis en œuvre, les transferts monétaires et les systèmes de santé de base existants déjà dans de nombreux pays en développement ont des effets positifs sur la pauvreté, le travail des enfants, la santé et la nutrition, l’éducation, le statut social des bénéficiaires, et l’activité économique. </w:t>
            </w:r>
            <w:r w:rsidRPr="00577EB1">
              <w:rPr>
                <w:rStyle w:val="longtext"/>
                <w:sz w:val="20"/>
                <w:szCs w:val="20"/>
                <w:lang w:val="fr-FR"/>
              </w:rPr>
              <w:t>Le socle de protection sociale est un catalyseur conceptuel pour une coalition mondiale menée par l’ONU pour sauvegarder les acquis de la réalisation des Objectifs du Millénaire pour le développement (OMD).</w:t>
            </w:r>
          </w:p>
        </w:tc>
      </w:tr>
    </w:tbl>
    <w:p w:rsidR="004B3541" w:rsidRDefault="00A54EB6">
      <w:pPr>
        <w:pStyle w:val="Source"/>
        <w:spacing w:before="120" w:after="480"/>
        <w:rPr>
          <w:sz w:val="22"/>
          <w:szCs w:val="20"/>
        </w:rPr>
      </w:pPr>
      <w:r w:rsidRPr="00577EB1">
        <w:t>Source</w:t>
      </w:r>
      <w:r w:rsidR="00837FC9">
        <w:t> </w:t>
      </w:r>
      <w:r w:rsidRPr="00577EB1">
        <w:t xml:space="preserve">: </w:t>
      </w:r>
      <w:r w:rsidR="00EB214A" w:rsidRPr="00EB214A">
        <w:rPr>
          <w:i w:val="0"/>
        </w:rPr>
        <w:t>OIT et OMS, 2009</w:t>
      </w:r>
      <w:r w:rsidRPr="00577EB1">
        <w:t>.</w:t>
      </w:r>
    </w:p>
    <w:p w:rsidR="00A54EB6" w:rsidRPr="00577EB1" w:rsidRDefault="00A54EB6" w:rsidP="00A54EB6">
      <w:pPr>
        <w:pStyle w:val="Heading2"/>
      </w:pPr>
      <w:bookmarkStart w:id="77" w:name="_Toc264748732"/>
      <w:bookmarkStart w:id="78" w:name="_Toc261967411"/>
      <w:bookmarkStart w:id="79" w:name="_Toc262169633"/>
      <w:r w:rsidRPr="00577EB1">
        <w:t>Financement du système de filets sociaux</w:t>
      </w:r>
      <w:bookmarkEnd w:id="77"/>
      <w:r w:rsidRPr="00577EB1">
        <w:t xml:space="preserve"> </w:t>
      </w:r>
      <w:bookmarkEnd w:id="78"/>
      <w:bookmarkEnd w:id="79"/>
    </w:p>
    <w:p w:rsidR="00A54EB6" w:rsidRPr="00577EB1" w:rsidRDefault="00A54EB6" w:rsidP="00E52A30">
      <w:pPr>
        <w:numPr>
          <w:ilvl w:val="0"/>
          <w:numId w:val="2"/>
        </w:numPr>
        <w:tabs>
          <w:tab w:val="clear" w:pos="709"/>
        </w:tabs>
        <w:autoSpaceDE w:val="0"/>
        <w:autoSpaceDN w:val="0"/>
        <w:adjustRightInd w:val="0"/>
        <w:ind w:left="0" w:firstLine="0"/>
        <w:rPr>
          <w:rStyle w:val="longtext"/>
          <w:szCs w:val="24"/>
          <w:lang w:val="fr-FR"/>
        </w:rPr>
      </w:pPr>
      <w:r w:rsidRPr="00577EB1">
        <w:rPr>
          <w:rStyle w:val="longtext"/>
          <w:lang w:val="fr-FR"/>
        </w:rPr>
        <w:t xml:space="preserve">Les principaux programmes de filets sociaux existants au Burkina Faso sont résumés dans le Tableau 9. Les problèmes de conception, de mise en œuvre, et de financement de chaque type de programme seront analysés individuellement au Chapitre IV. </w:t>
      </w:r>
      <w:r w:rsidRPr="00577EB1">
        <w:rPr>
          <w:rStyle w:val="longtext"/>
          <w:shd w:val="clear" w:color="auto" w:fill="FFFFFF"/>
          <w:lang w:val="fr-FR"/>
        </w:rPr>
        <w:t xml:space="preserve">Comme indiqué au Tableau 9, plus de trente programmes de transferts sociaux sont actuellement financés par différents bailleurs de fonds. Bien que chacun ait ses mérites, la plupart n’atteignent pas plus de quelques dizaines de milliers de bénéficiaires, et ne fournissent pas non plus des avantages durables aux pauvres. </w:t>
      </w:r>
      <w:r w:rsidRPr="00577EB1">
        <w:rPr>
          <w:rStyle w:val="longtext"/>
          <w:lang w:val="fr-FR"/>
        </w:rPr>
        <w:t xml:space="preserve">Dans cette section, la question de leur financement sera examinée. </w:t>
      </w:r>
    </w:p>
    <w:p w:rsidR="00A54EB6" w:rsidRPr="00577EB1" w:rsidRDefault="00A54EB6" w:rsidP="00E52A30">
      <w:pPr>
        <w:numPr>
          <w:ilvl w:val="0"/>
          <w:numId w:val="2"/>
        </w:numPr>
        <w:tabs>
          <w:tab w:val="clear" w:pos="709"/>
        </w:tabs>
        <w:autoSpaceDE w:val="0"/>
        <w:autoSpaceDN w:val="0"/>
        <w:adjustRightInd w:val="0"/>
        <w:ind w:left="0" w:firstLine="0"/>
        <w:rPr>
          <w:rStyle w:val="longtext"/>
          <w:szCs w:val="24"/>
          <w:lang w:val="fr-FR"/>
        </w:rPr>
      </w:pPr>
      <w:r w:rsidRPr="00577EB1">
        <w:rPr>
          <w:rStyle w:val="longtext"/>
          <w:b/>
          <w:shd w:val="clear" w:color="auto" w:fill="FFFFFF"/>
          <w:lang w:val="fr-FR"/>
        </w:rPr>
        <w:t>Il est difficile de quantifier les dépenses en faveur des filets sociaux</w:t>
      </w:r>
      <w:r w:rsidRPr="00577EB1">
        <w:rPr>
          <w:rStyle w:val="longtext"/>
          <w:shd w:val="clear" w:color="auto" w:fill="FFFFFF"/>
          <w:lang w:val="fr-FR"/>
        </w:rPr>
        <w:t xml:space="preserve">. Actuellement, les programmes de filets sociaux sont gérés et mis en œuvre par différents ministères, et il n’y a aucun système de suivi centralisé. Il est donc difficile de suivre les dépenses en faveur des programmes de filets sociaux et l’absence de données détaillées pose des défis à l’estimation des niveaux respectifs de dépenses (Encadré 3). </w:t>
      </w:r>
    </w:p>
    <w:p w:rsidR="00A54EB6" w:rsidRPr="00577EB1" w:rsidRDefault="005738FE" w:rsidP="005D3651">
      <w:pPr>
        <w:pStyle w:val="Heading9"/>
      </w:pPr>
      <w:bookmarkStart w:id="80" w:name="_Ref135726951"/>
      <w:bookmarkStart w:id="81" w:name="_Toc129060273"/>
      <w:bookmarkStart w:id="82" w:name="_Toc262170075"/>
      <w:bookmarkStart w:id="83" w:name="_Toc269723976"/>
      <w:bookmarkStart w:id="84" w:name="_Toc269724016"/>
      <w:bookmarkStart w:id="85" w:name="_Toc269724122"/>
      <w:bookmarkStart w:id="86" w:name="_Toc284613563"/>
      <w:r w:rsidRPr="005738FE">
        <w:lastRenderedPageBreak/>
        <w:t xml:space="preserve">Encadré </w:t>
      </w:r>
      <w:r w:rsidR="00725419">
        <w:fldChar w:fldCharType="begin"/>
      </w:r>
      <w:r w:rsidRPr="005738FE">
        <w:instrText xml:space="preserve"> SEQ Encadré \* ARABIC </w:instrText>
      </w:r>
      <w:r w:rsidR="00725419">
        <w:fldChar w:fldCharType="separate"/>
      </w:r>
      <w:r w:rsidR="00EF56B2">
        <w:rPr>
          <w:noProof/>
        </w:rPr>
        <w:t>3</w:t>
      </w:r>
      <w:r w:rsidR="00725419">
        <w:fldChar w:fldCharType="end"/>
      </w:r>
      <w:bookmarkEnd w:id="80"/>
      <w:r w:rsidR="00837FC9">
        <w:t> :</w:t>
      </w:r>
      <w:r w:rsidR="0007340F">
        <w:t xml:space="preserve"> </w:t>
      </w:r>
      <w:r w:rsidR="00A54EB6" w:rsidRPr="00577EB1">
        <w:t>Problèmes liés à l’information sur les filets sociaux</w:t>
      </w:r>
      <w:bookmarkEnd w:id="81"/>
      <w:bookmarkEnd w:id="82"/>
      <w:bookmarkEnd w:id="83"/>
      <w:bookmarkEnd w:id="84"/>
      <w:bookmarkEnd w:id="85"/>
      <w:bookmarkEnd w:id="8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005"/>
      </w:tblGrid>
      <w:tr w:rsidR="00A54EB6" w:rsidRPr="000A70E6" w:rsidTr="0050199E">
        <w:tc>
          <w:tcPr>
            <w:tcW w:w="9005" w:type="dxa"/>
          </w:tcPr>
          <w:p w:rsidR="00A54EB6" w:rsidRPr="00577EB1" w:rsidRDefault="00A54EB6" w:rsidP="0050199E">
            <w:pPr>
              <w:pStyle w:val="Bulletlist"/>
              <w:keepNext/>
              <w:keepLines/>
              <w:tabs>
                <w:tab w:val="clear" w:pos="648"/>
              </w:tabs>
              <w:spacing w:before="240" w:after="120"/>
              <w:ind w:left="0" w:firstLine="0"/>
              <w:jc w:val="both"/>
              <w:rPr>
                <w:iCs/>
                <w:sz w:val="20"/>
                <w:lang w:val="fr-FR"/>
              </w:rPr>
            </w:pPr>
            <w:r w:rsidRPr="00577EB1">
              <w:rPr>
                <w:sz w:val="20"/>
                <w:lang w:val="fr-FR"/>
              </w:rPr>
              <w:t xml:space="preserve">Les données globales sur les filets sociaux sont incomplètes. </w:t>
            </w:r>
            <w:r w:rsidRPr="00577EB1">
              <w:rPr>
                <w:rStyle w:val="longtext"/>
                <w:sz w:val="20"/>
                <w:shd w:val="clear" w:color="auto" w:fill="FFFFFF"/>
                <w:lang w:val="fr-FR"/>
              </w:rPr>
              <w:t>Toute tentative d’évaluation des coûts des programmes de filets sociaux existants se heurte à de graves problèmes de disponibilité et de fiabilité des données, notamment</w:t>
            </w:r>
            <w:r w:rsidR="0007340F">
              <w:rPr>
                <w:rStyle w:val="longtext"/>
                <w:sz w:val="20"/>
                <w:shd w:val="clear" w:color="auto" w:fill="FFFFFF"/>
                <w:lang w:val="fr-FR"/>
              </w:rPr>
              <w:t xml:space="preserve"> </w:t>
            </w:r>
          </w:p>
          <w:p w:rsidR="00A54EB6" w:rsidRPr="00577EB1" w:rsidRDefault="00A54EB6" w:rsidP="00E52A30">
            <w:pPr>
              <w:pStyle w:val="Bulletlist"/>
              <w:keepNext/>
              <w:keepLines/>
              <w:numPr>
                <w:ilvl w:val="0"/>
                <w:numId w:val="12"/>
              </w:numPr>
              <w:tabs>
                <w:tab w:val="clear" w:pos="720"/>
                <w:tab w:val="num" w:pos="284"/>
              </w:tabs>
              <w:spacing w:after="120"/>
              <w:ind w:left="284" w:hanging="284"/>
              <w:jc w:val="both"/>
              <w:rPr>
                <w:rStyle w:val="longtext"/>
                <w:kern w:val="28"/>
                <w:sz w:val="20"/>
                <w:lang w:val="fr-FR" w:eastAsia="en-US"/>
              </w:rPr>
            </w:pPr>
            <w:r w:rsidRPr="00577EB1">
              <w:rPr>
                <w:rStyle w:val="longtext"/>
                <w:sz w:val="20"/>
                <w:shd w:val="clear" w:color="auto" w:fill="FFFFFF"/>
                <w:lang w:val="fr-FR"/>
              </w:rPr>
              <w:t xml:space="preserve">Les données sur les dépenses extrabudgétaires des bailleurs de fonds et ONG peuvent souvent être dans un format non comparable. En particulier, les données sur certaines dépenses non gouvernementales peuvent ne pas être annualisées, rendant toute analyse chronologique difficile. </w:t>
            </w:r>
            <w:r w:rsidRPr="00577EB1">
              <w:rPr>
                <w:rStyle w:val="longtext"/>
                <w:sz w:val="20"/>
                <w:lang w:val="fr-FR"/>
              </w:rPr>
              <w:t xml:space="preserve">La multitude des bailleurs de fonds dans le secteur est également étonnante et complique la collecte des données et leur analyse. Les dépenses publiques, présentées sur une base budgétaire annuelle, peuvent donc être surreprésentées par rapport aux autres contributeurs. De plus, </w:t>
            </w:r>
            <w:r w:rsidRPr="00577EB1">
              <w:rPr>
                <w:rStyle w:val="longtext"/>
                <w:sz w:val="20"/>
                <w:shd w:val="clear" w:color="auto" w:fill="FFFFFF"/>
                <w:lang w:val="fr-FR"/>
              </w:rPr>
              <w:t xml:space="preserve">même pour les programmes financés par les bailleurs de fonds, les dépenses risquent de paraître plus modérées que dans la réalité. </w:t>
            </w:r>
          </w:p>
          <w:p w:rsidR="00A54EB6" w:rsidRPr="00577EB1" w:rsidRDefault="00A54EB6" w:rsidP="00E52A30">
            <w:pPr>
              <w:pStyle w:val="Bulletlist"/>
              <w:keepNext/>
              <w:keepLines/>
              <w:numPr>
                <w:ilvl w:val="0"/>
                <w:numId w:val="12"/>
              </w:numPr>
              <w:tabs>
                <w:tab w:val="clear" w:pos="720"/>
                <w:tab w:val="num" w:pos="284"/>
              </w:tabs>
              <w:spacing w:after="120"/>
              <w:ind w:left="284" w:hanging="284"/>
              <w:jc w:val="both"/>
              <w:rPr>
                <w:rStyle w:val="longtext"/>
                <w:kern w:val="28"/>
                <w:sz w:val="20"/>
                <w:lang w:val="fr-FR" w:eastAsia="en-US"/>
              </w:rPr>
            </w:pPr>
            <w:r w:rsidRPr="00577EB1">
              <w:rPr>
                <w:rStyle w:val="longtext"/>
                <w:sz w:val="20"/>
                <w:shd w:val="clear" w:color="auto" w:fill="FFFFFF"/>
                <w:lang w:val="fr-FR"/>
              </w:rPr>
              <w:t xml:space="preserve">Pour les dépenses inscrites au budget, comme pour celles de protection sociale, il est évident que le système de classification budgétaire n’est pas bien adapté pour une prise de décision sur les filets sociaux. Par exemple, aucune estimation n’est disponible pour les soins de santé gratuits pour les pauvres ni pour les montants consacrés aux indigents. Ces dépenses ne sont pas budgétisées, et à moins que des rapports spécifiques ne soient établis, les informations financières sur les montants des subventions et des transferts monétaires ne sont pas disponibles. </w:t>
            </w:r>
          </w:p>
          <w:p w:rsidR="00A54EB6" w:rsidRPr="00577EB1" w:rsidRDefault="00A54EB6" w:rsidP="00E52A30">
            <w:pPr>
              <w:pStyle w:val="Bulletlist"/>
              <w:keepNext/>
              <w:keepLines/>
              <w:numPr>
                <w:ilvl w:val="0"/>
                <w:numId w:val="12"/>
              </w:numPr>
              <w:tabs>
                <w:tab w:val="clear" w:pos="720"/>
                <w:tab w:val="num" w:pos="284"/>
              </w:tabs>
              <w:spacing w:after="120"/>
              <w:ind w:left="284" w:hanging="284"/>
              <w:jc w:val="both"/>
              <w:rPr>
                <w:sz w:val="20"/>
                <w:lang w:val="fr-FR"/>
              </w:rPr>
            </w:pPr>
            <w:r w:rsidRPr="00577EB1">
              <w:rPr>
                <w:rStyle w:val="longtext"/>
                <w:sz w:val="20"/>
                <w:shd w:val="clear" w:color="auto" w:fill="FFFFFF"/>
                <w:lang w:val="fr-FR"/>
              </w:rPr>
              <w:t xml:space="preserve">Dans la mesure du possible, les montants sont présentés sur une base nette, c’est-à-dire qu’ils correspondent aux montants réels des avantages fournis aux bénéficiaires ciblés. Dans certains cas, cependant, les coûts des programmes ne peuvent être ventilés entre les avantages et les autres coûts (frais de gestion, de transport, etc.) </w:t>
            </w:r>
            <w:r w:rsidRPr="00577EB1">
              <w:rPr>
                <w:rStyle w:val="longtext"/>
                <w:sz w:val="20"/>
                <w:lang w:val="fr-FR"/>
              </w:rPr>
              <w:t>Dans ce cas, les données sont essentiellement fournies sur une base brute, ce qui peut entraîner une surestimation des avantages réels.</w:t>
            </w:r>
          </w:p>
        </w:tc>
      </w:tr>
    </w:tbl>
    <w:p w:rsidR="004B3541" w:rsidRDefault="00A54EB6">
      <w:pPr>
        <w:pStyle w:val="Source"/>
        <w:spacing w:before="120" w:after="480"/>
      </w:pPr>
      <w:r w:rsidRPr="00837FC9">
        <w:t xml:space="preserve">Source: </w:t>
      </w:r>
      <w:r w:rsidR="00EB214A" w:rsidRPr="00EB214A">
        <w:rPr>
          <w:i w:val="0"/>
        </w:rPr>
        <w:t>Auteurs.</w:t>
      </w:r>
    </w:p>
    <w:p w:rsidR="00A54EB6" w:rsidRPr="00577EB1" w:rsidRDefault="00A54EB6" w:rsidP="00A54EB6">
      <w:pPr>
        <w:tabs>
          <w:tab w:val="clear" w:pos="709"/>
        </w:tabs>
        <w:autoSpaceDE w:val="0"/>
        <w:autoSpaceDN w:val="0"/>
        <w:adjustRightInd w:val="0"/>
        <w:rPr>
          <w:szCs w:val="24"/>
          <w:lang w:val="fr-FR"/>
        </w:rPr>
      </w:pPr>
    </w:p>
    <w:p w:rsidR="00A54EB6" w:rsidRPr="00577EB1" w:rsidRDefault="00A54EB6" w:rsidP="00A54EB6">
      <w:pPr>
        <w:tabs>
          <w:tab w:val="clear" w:pos="709"/>
        </w:tabs>
        <w:autoSpaceDE w:val="0"/>
        <w:autoSpaceDN w:val="0"/>
        <w:adjustRightInd w:val="0"/>
        <w:rPr>
          <w:szCs w:val="24"/>
          <w:lang w:val="fr-FR"/>
        </w:rPr>
      </w:pPr>
    </w:p>
    <w:p w:rsidR="00A54EB6" w:rsidRPr="00577EB1" w:rsidRDefault="00A54EB6" w:rsidP="00A54EB6">
      <w:pPr>
        <w:tabs>
          <w:tab w:val="clear" w:pos="709"/>
        </w:tabs>
        <w:autoSpaceDE w:val="0"/>
        <w:autoSpaceDN w:val="0"/>
        <w:adjustRightInd w:val="0"/>
        <w:rPr>
          <w:szCs w:val="24"/>
          <w:lang w:val="fr-FR"/>
        </w:rPr>
      </w:pPr>
    </w:p>
    <w:p w:rsidR="00A54EB6" w:rsidRPr="00577EB1" w:rsidRDefault="00A54EB6" w:rsidP="00A54EB6">
      <w:pPr>
        <w:tabs>
          <w:tab w:val="clear" w:pos="709"/>
        </w:tabs>
        <w:autoSpaceDE w:val="0"/>
        <w:autoSpaceDN w:val="0"/>
        <w:adjustRightInd w:val="0"/>
        <w:rPr>
          <w:szCs w:val="24"/>
          <w:lang w:val="fr-FR"/>
        </w:rPr>
      </w:pPr>
    </w:p>
    <w:p w:rsidR="00A54EB6" w:rsidRPr="00577EB1" w:rsidRDefault="00A54EB6" w:rsidP="00A54EB6">
      <w:pPr>
        <w:tabs>
          <w:tab w:val="clear" w:pos="709"/>
        </w:tabs>
        <w:autoSpaceDE w:val="0"/>
        <w:autoSpaceDN w:val="0"/>
        <w:adjustRightInd w:val="0"/>
        <w:rPr>
          <w:szCs w:val="24"/>
          <w:lang w:val="fr-FR"/>
        </w:rPr>
      </w:pPr>
    </w:p>
    <w:p w:rsidR="00A54EB6" w:rsidRPr="00577EB1" w:rsidRDefault="00A54EB6" w:rsidP="00A54EB6">
      <w:pPr>
        <w:tabs>
          <w:tab w:val="clear" w:pos="709"/>
        </w:tabs>
        <w:autoSpaceDE w:val="0"/>
        <w:autoSpaceDN w:val="0"/>
        <w:adjustRightInd w:val="0"/>
        <w:rPr>
          <w:szCs w:val="24"/>
          <w:lang w:val="fr-FR"/>
        </w:rPr>
      </w:pPr>
    </w:p>
    <w:p w:rsidR="00A54EB6" w:rsidRPr="00577EB1" w:rsidRDefault="00A54EB6" w:rsidP="00A54EB6">
      <w:pPr>
        <w:rPr>
          <w:szCs w:val="24"/>
          <w:lang w:val="fr-FR"/>
        </w:rPr>
        <w:sectPr w:rsidR="00A54EB6" w:rsidRPr="00577EB1">
          <w:footerReference w:type="default" r:id="rId26"/>
          <w:pgSz w:w="11906" w:h="16838"/>
          <w:pgMar w:top="1417" w:right="1700" w:bottom="1417" w:left="1417" w:header="708" w:footer="708" w:gutter="0"/>
          <w:pgNumType w:start="1"/>
          <w:cols w:space="708"/>
          <w:docGrid w:linePitch="360"/>
        </w:sectPr>
      </w:pPr>
    </w:p>
    <w:p w:rsidR="00A54EB6" w:rsidRPr="00577EB1" w:rsidRDefault="00DD0F50" w:rsidP="005D3651">
      <w:pPr>
        <w:pStyle w:val="Heading7"/>
        <w:rPr>
          <w:lang w:val="fr-FR"/>
        </w:rPr>
      </w:pPr>
      <w:bookmarkStart w:id="87" w:name="_Ref135726913"/>
      <w:bookmarkStart w:id="88" w:name="_Toc262170040"/>
      <w:bookmarkStart w:id="89" w:name="_Toc284528583"/>
      <w:bookmarkStart w:id="90" w:name="_Toc284530520"/>
      <w:r w:rsidRPr="00577EB1">
        <w:rPr>
          <w:lang w:val="fr-FR"/>
        </w:rPr>
        <w:lastRenderedPageBreak/>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9</w:t>
      </w:r>
      <w:r w:rsidR="00725419" w:rsidRPr="00577EB1">
        <w:rPr>
          <w:lang w:val="fr-FR"/>
        </w:rPr>
        <w:fldChar w:fldCharType="end"/>
      </w:r>
      <w:bookmarkEnd w:id="87"/>
      <w:r w:rsidR="00837FC9">
        <w:rPr>
          <w:lang w:val="fr-FR"/>
        </w:rPr>
        <w:t> </w:t>
      </w:r>
      <w:r w:rsidR="00A54EB6" w:rsidRPr="00577EB1">
        <w:rPr>
          <w:lang w:val="fr-FR"/>
        </w:rPr>
        <w:t>: Liste des principaux programmes de filets sociaux existants au Burkina Faso, 2008-2009</w:t>
      </w:r>
      <w:bookmarkEnd w:id="88"/>
      <w:bookmarkEnd w:id="89"/>
      <w:bookmarkEnd w:id="90"/>
    </w:p>
    <w:tbl>
      <w:tblPr>
        <w:tblW w:w="5367" w:type="pct"/>
        <w:tblInd w:w="-459" w:type="dxa"/>
        <w:tblCellMar>
          <w:top w:w="28" w:type="dxa"/>
          <w:bottom w:w="28" w:type="dxa"/>
        </w:tblCellMar>
        <w:tblLook w:val="00A0"/>
      </w:tblPr>
      <w:tblGrid>
        <w:gridCol w:w="236"/>
        <w:gridCol w:w="2619"/>
        <w:gridCol w:w="1981"/>
        <w:gridCol w:w="3239"/>
        <w:gridCol w:w="1877"/>
        <w:gridCol w:w="1697"/>
        <w:gridCol w:w="1697"/>
        <w:gridCol w:w="1765"/>
        <w:gridCol w:w="153"/>
      </w:tblGrid>
      <w:tr w:rsidR="00A54EB6" w:rsidRPr="00AD58C8" w:rsidTr="0050199E">
        <w:trPr>
          <w:cantSplit/>
          <w:trHeight w:val="743"/>
          <w:tblHeader/>
        </w:trPr>
        <w:tc>
          <w:tcPr>
            <w:tcW w:w="77" w:type="pct"/>
            <w:tcBorders>
              <w:top w:val="single" w:sz="4" w:space="0" w:color="auto"/>
              <w:bottom w:val="single" w:sz="4" w:space="0" w:color="auto"/>
            </w:tcBorders>
            <w:vAlign w:val="center"/>
          </w:tcPr>
          <w:p w:rsidR="00A54EB6" w:rsidRPr="00AD58C8" w:rsidRDefault="00A54EB6" w:rsidP="00506921">
            <w:pPr>
              <w:pStyle w:val="Heading1"/>
            </w:pPr>
          </w:p>
        </w:tc>
        <w:tc>
          <w:tcPr>
            <w:tcW w:w="858" w:type="pct"/>
            <w:tcBorders>
              <w:top w:val="single" w:sz="4" w:space="0" w:color="auto"/>
              <w:bottom w:val="single" w:sz="4" w:space="0" w:color="auto"/>
            </w:tcBorders>
            <w:vAlign w:val="center"/>
          </w:tcPr>
          <w:p w:rsidR="00A54EB6" w:rsidRPr="00AD58C8" w:rsidRDefault="00EB214A" w:rsidP="0050199E">
            <w:pPr>
              <w:spacing w:after="0"/>
              <w:jc w:val="left"/>
              <w:rPr>
                <w:b/>
                <w:sz w:val="18"/>
                <w:szCs w:val="18"/>
                <w:lang w:val="fr-FR"/>
              </w:rPr>
            </w:pPr>
            <w:r w:rsidRPr="00EB214A">
              <w:rPr>
                <w:b/>
                <w:sz w:val="18"/>
                <w:szCs w:val="18"/>
                <w:lang w:val="fr-FR"/>
              </w:rPr>
              <w:t>Programme, année(s)</w:t>
            </w:r>
          </w:p>
        </w:tc>
        <w:tc>
          <w:tcPr>
            <w:tcW w:w="649" w:type="pct"/>
            <w:tcBorders>
              <w:top w:val="single" w:sz="4" w:space="0" w:color="auto"/>
              <w:bottom w:val="single" w:sz="4" w:space="0" w:color="auto"/>
            </w:tcBorders>
            <w:vAlign w:val="center"/>
          </w:tcPr>
          <w:p w:rsidR="00A54EB6" w:rsidRPr="00AD58C8" w:rsidRDefault="00EB214A" w:rsidP="0050199E">
            <w:pPr>
              <w:spacing w:after="0"/>
              <w:jc w:val="left"/>
              <w:rPr>
                <w:b/>
                <w:sz w:val="18"/>
                <w:szCs w:val="18"/>
                <w:lang w:val="fr-FR"/>
              </w:rPr>
            </w:pPr>
            <w:r w:rsidRPr="00EB214A">
              <w:rPr>
                <w:b/>
                <w:sz w:val="18"/>
                <w:szCs w:val="18"/>
                <w:lang w:val="fr-FR"/>
              </w:rPr>
              <w:t>Agence(s) d’exécution</w:t>
            </w:r>
          </w:p>
        </w:tc>
        <w:tc>
          <w:tcPr>
            <w:tcW w:w="1061" w:type="pct"/>
            <w:tcBorders>
              <w:top w:val="single" w:sz="4" w:space="0" w:color="auto"/>
              <w:bottom w:val="single" w:sz="4" w:space="0" w:color="auto"/>
            </w:tcBorders>
            <w:vAlign w:val="center"/>
          </w:tcPr>
          <w:p w:rsidR="00A54EB6" w:rsidRPr="00AD58C8" w:rsidRDefault="00EB214A" w:rsidP="0050199E">
            <w:pPr>
              <w:spacing w:after="0"/>
              <w:jc w:val="left"/>
              <w:rPr>
                <w:b/>
                <w:sz w:val="18"/>
                <w:szCs w:val="18"/>
                <w:lang w:val="fr-FR"/>
              </w:rPr>
            </w:pPr>
            <w:r w:rsidRPr="00EB214A">
              <w:rPr>
                <w:b/>
                <w:sz w:val="18"/>
                <w:szCs w:val="18"/>
                <w:lang w:val="fr-FR"/>
              </w:rPr>
              <w:t>Groupe(s) cible(s)</w:t>
            </w:r>
          </w:p>
        </w:tc>
        <w:tc>
          <w:tcPr>
            <w:tcW w:w="615" w:type="pct"/>
            <w:tcBorders>
              <w:top w:val="single" w:sz="4" w:space="0" w:color="auto"/>
              <w:bottom w:val="single" w:sz="4" w:space="0" w:color="auto"/>
            </w:tcBorders>
            <w:vAlign w:val="center"/>
          </w:tcPr>
          <w:p w:rsidR="00A54EB6" w:rsidRPr="00AD58C8" w:rsidRDefault="00EB214A" w:rsidP="0050199E">
            <w:pPr>
              <w:spacing w:after="0"/>
              <w:jc w:val="left"/>
              <w:rPr>
                <w:b/>
                <w:sz w:val="18"/>
                <w:szCs w:val="18"/>
                <w:lang w:val="fr-FR"/>
              </w:rPr>
            </w:pPr>
            <w:r w:rsidRPr="00EB214A">
              <w:rPr>
                <w:b/>
                <w:sz w:val="18"/>
                <w:szCs w:val="18"/>
                <w:lang w:val="fr-FR"/>
              </w:rPr>
              <w:t>Couverture géographique</w:t>
            </w:r>
          </w:p>
        </w:tc>
        <w:tc>
          <w:tcPr>
            <w:tcW w:w="556" w:type="pct"/>
            <w:tcBorders>
              <w:top w:val="single" w:sz="4" w:space="0" w:color="auto"/>
              <w:bottom w:val="single" w:sz="4" w:space="0" w:color="auto"/>
            </w:tcBorders>
            <w:vAlign w:val="center"/>
          </w:tcPr>
          <w:p w:rsidR="00A54EB6" w:rsidRPr="00AD58C8" w:rsidRDefault="00EB214A" w:rsidP="0050199E">
            <w:pPr>
              <w:spacing w:after="0"/>
              <w:jc w:val="left"/>
              <w:rPr>
                <w:b/>
                <w:sz w:val="18"/>
                <w:szCs w:val="18"/>
                <w:lang w:val="fr-FR"/>
              </w:rPr>
            </w:pPr>
            <w:r w:rsidRPr="00EB214A">
              <w:rPr>
                <w:b/>
                <w:sz w:val="18"/>
                <w:szCs w:val="18"/>
                <w:lang w:val="fr-FR"/>
              </w:rPr>
              <w:t>Nombre indicatif de bénéficiaires</w:t>
            </w:r>
          </w:p>
        </w:tc>
        <w:tc>
          <w:tcPr>
            <w:tcW w:w="556" w:type="pct"/>
            <w:tcBorders>
              <w:top w:val="single" w:sz="4" w:space="0" w:color="auto"/>
              <w:bottom w:val="single" w:sz="4" w:space="0" w:color="auto"/>
            </w:tcBorders>
            <w:vAlign w:val="center"/>
          </w:tcPr>
          <w:p w:rsidR="00A54EB6" w:rsidRPr="00AD58C8" w:rsidRDefault="00EB214A" w:rsidP="0050199E">
            <w:pPr>
              <w:spacing w:after="0"/>
              <w:ind w:right="-62"/>
              <w:jc w:val="left"/>
              <w:rPr>
                <w:b/>
                <w:sz w:val="18"/>
                <w:szCs w:val="18"/>
                <w:lang w:val="fr-FR"/>
              </w:rPr>
            </w:pPr>
            <w:r w:rsidRPr="00EB214A">
              <w:rPr>
                <w:b/>
                <w:sz w:val="18"/>
                <w:szCs w:val="18"/>
                <w:lang w:val="fr-FR"/>
              </w:rPr>
              <w:t>Niveau indicatif des dépenses annuelles</w:t>
            </w:r>
          </w:p>
        </w:tc>
        <w:tc>
          <w:tcPr>
            <w:tcW w:w="630" w:type="pct"/>
            <w:gridSpan w:val="2"/>
            <w:tcBorders>
              <w:top w:val="single" w:sz="4" w:space="0" w:color="auto"/>
              <w:bottom w:val="single" w:sz="4" w:space="0" w:color="auto"/>
            </w:tcBorders>
            <w:vAlign w:val="center"/>
          </w:tcPr>
          <w:p w:rsidR="00A54EB6" w:rsidRPr="00AD58C8" w:rsidRDefault="00EB214A" w:rsidP="0050199E">
            <w:pPr>
              <w:spacing w:after="0"/>
              <w:jc w:val="left"/>
              <w:rPr>
                <w:b/>
                <w:sz w:val="18"/>
                <w:szCs w:val="18"/>
                <w:lang w:val="fr-FR"/>
              </w:rPr>
            </w:pPr>
            <w:r w:rsidRPr="00EB214A">
              <w:rPr>
                <w:b/>
                <w:sz w:val="18"/>
                <w:szCs w:val="18"/>
                <w:lang w:val="fr-FR"/>
              </w:rPr>
              <w:t>Source(s) de financements</w:t>
            </w:r>
          </w:p>
        </w:tc>
      </w:tr>
      <w:tr w:rsidR="00A54EB6" w:rsidRPr="000A70E6" w:rsidTr="0050199E">
        <w:trPr>
          <w:gridAfter w:val="1"/>
          <w:wAfter w:w="50" w:type="pct"/>
          <w:cantSplit/>
        </w:trPr>
        <w:tc>
          <w:tcPr>
            <w:tcW w:w="4950" w:type="pct"/>
            <w:gridSpan w:val="8"/>
            <w:shd w:val="clear" w:color="auto" w:fill="BFBFBF"/>
          </w:tcPr>
          <w:p w:rsidR="00A54EB6" w:rsidRPr="00577EB1" w:rsidRDefault="00A54EB6" w:rsidP="0050199E">
            <w:pPr>
              <w:spacing w:after="0"/>
              <w:jc w:val="left"/>
              <w:rPr>
                <w:sz w:val="18"/>
                <w:szCs w:val="18"/>
                <w:lang w:val="fr-FR"/>
              </w:rPr>
            </w:pPr>
            <w:r w:rsidRPr="00577EB1">
              <w:rPr>
                <w:sz w:val="18"/>
                <w:szCs w:val="18"/>
                <w:lang w:val="fr-FR"/>
              </w:rPr>
              <w:t>TRANSFERTS MONÉTAIRES ET QUASI-MONÉTAIRES</w:t>
            </w:r>
          </w:p>
        </w:tc>
      </w:tr>
      <w:tr w:rsidR="00A54EB6" w:rsidRPr="00577EB1" w:rsidTr="0050199E">
        <w:trPr>
          <w:cantSplit/>
          <w:trHeight w:val="540"/>
        </w:trPr>
        <w:tc>
          <w:tcPr>
            <w:tcW w:w="77" w:type="pct"/>
            <w:tcBorders>
              <w:bottom w:val="dotted" w:sz="4" w:space="0" w:color="auto"/>
            </w:tcBorders>
          </w:tcPr>
          <w:p w:rsidR="00A54EB6" w:rsidRPr="00577EB1" w:rsidRDefault="00A54EB6" w:rsidP="0050199E">
            <w:pPr>
              <w:spacing w:after="0"/>
              <w:jc w:val="left"/>
              <w:rPr>
                <w:sz w:val="18"/>
                <w:szCs w:val="18"/>
                <w:lang w:val="fr-FR"/>
              </w:rPr>
            </w:pPr>
          </w:p>
        </w:tc>
        <w:tc>
          <w:tcPr>
            <w:tcW w:w="858"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Transferts monétaires aux OEV (Composante 2 du PASS) oct. 2008-sept 2010</w:t>
            </w:r>
            <w:r w:rsidR="0007340F">
              <w:rPr>
                <w:sz w:val="18"/>
                <w:szCs w:val="18"/>
                <w:lang w:val="fr-FR"/>
              </w:rPr>
              <w:t xml:space="preserve"> </w:t>
            </w:r>
            <w:r w:rsidRPr="00577EB1">
              <w:rPr>
                <w:sz w:val="18"/>
                <w:szCs w:val="18"/>
                <w:lang w:val="fr-FR"/>
              </w:rPr>
              <w:t xml:space="preserve">Recherche et action sur les soins communautaires offerts aux OEV dans le Nahouri </w:t>
            </w:r>
          </w:p>
        </w:tc>
        <w:tc>
          <w:tcPr>
            <w:tcW w:w="649"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SP-CNLS-IST pour les interventions, et la Banque mondiale pour les recherches </w:t>
            </w:r>
          </w:p>
        </w:tc>
        <w:tc>
          <w:tcPr>
            <w:tcW w:w="1061"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OEV</w:t>
            </w:r>
          </w:p>
        </w:tc>
        <w:tc>
          <w:tcPr>
            <w:tcW w:w="615"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Province du Nahouri</w:t>
            </w:r>
          </w:p>
        </w:tc>
        <w:tc>
          <w:tcPr>
            <w:tcW w:w="556"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6 500 enfants (2009)</w:t>
            </w:r>
          </w:p>
        </w:tc>
        <w:tc>
          <w:tcPr>
            <w:tcW w:w="556" w:type="pct"/>
            <w:tcBorders>
              <w:bottom w:val="dotted" w:sz="4" w:space="0" w:color="auto"/>
            </w:tcBorders>
          </w:tcPr>
          <w:p w:rsidR="00A54EB6" w:rsidRPr="00577EB1" w:rsidRDefault="00AD58C8" w:rsidP="00AD58C8">
            <w:pPr>
              <w:spacing w:after="0"/>
              <w:jc w:val="left"/>
              <w:rPr>
                <w:sz w:val="18"/>
                <w:szCs w:val="18"/>
                <w:lang w:val="fr-FR"/>
              </w:rPr>
            </w:pPr>
            <w:r w:rsidRPr="00577EB1">
              <w:rPr>
                <w:sz w:val="18"/>
                <w:szCs w:val="18"/>
                <w:lang w:val="fr-FR"/>
              </w:rPr>
              <w:t>2</w:t>
            </w:r>
            <w:r>
              <w:rPr>
                <w:sz w:val="18"/>
                <w:szCs w:val="18"/>
                <w:lang w:val="fr-FR"/>
              </w:rPr>
              <w:t>70</w:t>
            </w:r>
            <w:r w:rsidRPr="00577EB1">
              <w:rPr>
                <w:sz w:val="18"/>
                <w:szCs w:val="18"/>
                <w:lang w:val="fr-FR"/>
              </w:rPr>
              <w:t xml:space="preserve"> </w:t>
            </w:r>
            <w:r w:rsidR="00A54EB6" w:rsidRPr="00577EB1">
              <w:rPr>
                <w:sz w:val="18"/>
                <w:szCs w:val="18"/>
                <w:lang w:val="fr-FR"/>
              </w:rPr>
              <w:t>millions de francs CFA (2009)</w:t>
            </w:r>
          </w:p>
        </w:tc>
        <w:tc>
          <w:tcPr>
            <w:tcW w:w="630" w:type="pct"/>
            <w:gridSpan w:val="2"/>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Banque mondiale </w:t>
            </w:r>
          </w:p>
        </w:tc>
      </w:tr>
      <w:tr w:rsidR="00A54EB6" w:rsidRPr="00577EB1" w:rsidTr="0050199E">
        <w:trPr>
          <w:cantSplit/>
          <w:trHeight w:val="566"/>
        </w:trPr>
        <w:tc>
          <w:tcPr>
            <w:tcW w:w="77"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p>
        </w:tc>
        <w:tc>
          <w:tcPr>
            <w:tcW w:w="858"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Programme de coupons alimentaires pour les ménages urbains (EMOP 10773)</w:t>
            </w:r>
            <w:r w:rsidR="0007340F">
              <w:rPr>
                <w:sz w:val="18"/>
                <w:szCs w:val="18"/>
                <w:lang w:val="fr-FR"/>
              </w:rPr>
              <w:t xml:space="preserve"> </w:t>
            </w:r>
            <w:r w:rsidRPr="00577EB1">
              <w:rPr>
                <w:sz w:val="18"/>
                <w:szCs w:val="18"/>
                <w:lang w:val="fr-FR"/>
              </w:rPr>
              <w:t>janv. 2009 à juin 2010</w:t>
            </w:r>
          </w:p>
        </w:tc>
        <w:tc>
          <w:tcPr>
            <w:tcW w:w="649"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PAM et MASSN, CRS, CRB</w:t>
            </w:r>
          </w:p>
        </w:tc>
        <w:tc>
          <w:tcPr>
            <w:tcW w:w="1061"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Personnes indigentes en milieu urbain </w:t>
            </w:r>
          </w:p>
        </w:tc>
        <w:tc>
          <w:tcPr>
            <w:tcW w:w="615" w:type="pct"/>
            <w:tcBorders>
              <w:top w:val="dotted" w:sz="4" w:space="0" w:color="auto"/>
              <w:bottom w:val="single" w:sz="4" w:space="0" w:color="auto"/>
            </w:tcBorders>
          </w:tcPr>
          <w:p w:rsidR="00A54EB6" w:rsidRPr="00577EB1" w:rsidRDefault="00A54EB6" w:rsidP="0050199E">
            <w:pPr>
              <w:spacing w:after="0"/>
              <w:ind w:right="-211"/>
              <w:jc w:val="left"/>
              <w:rPr>
                <w:sz w:val="18"/>
                <w:szCs w:val="18"/>
                <w:lang w:val="fr-FR"/>
              </w:rPr>
            </w:pPr>
            <w:r w:rsidRPr="00577EB1">
              <w:rPr>
                <w:sz w:val="18"/>
                <w:szCs w:val="18"/>
                <w:lang w:val="fr-FR"/>
              </w:rPr>
              <w:t>Villes de Ouagadougou et Bobo-Dioulasso</w:t>
            </w:r>
          </w:p>
        </w:tc>
        <w:tc>
          <w:tcPr>
            <w:tcW w:w="556"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338 915 personnes (2009)</w:t>
            </w:r>
          </w:p>
        </w:tc>
        <w:tc>
          <w:tcPr>
            <w:tcW w:w="556"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8 501 millions de francs CFA (2009)</w:t>
            </w:r>
          </w:p>
        </w:tc>
        <w:tc>
          <w:tcPr>
            <w:tcW w:w="630" w:type="pct"/>
            <w:gridSpan w:val="2"/>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Multilatéral</w:t>
            </w:r>
          </w:p>
        </w:tc>
      </w:tr>
      <w:tr w:rsidR="00A54EB6" w:rsidRPr="00577EB1" w:rsidTr="0050199E">
        <w:trPr>
          <w:cantSplit/>
        </w:trPr>
        <w:tc>
          <w:tcPr>
            <w:tcW w:w="77"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p>
        </w:tc>
        <w:tc>
          <w:tcPr>
            <w:tcW w:w="858"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bCs/>
                <w:sz w:val="18"/>
                <w:szCs w:val="18"/>
                <w:lang w:val="fr-FR"/>
              </w:rPr>
              <w:t xml:space="preserve">Coupons alimentaires pour les PVVIH (femmes et enfants infectés) </w:t>
            </w:r>
            <w:r w:rsidRPr="00577EB1">
              <w:rPr>
                <w:sz w:val="18"/>
                <w:szCs w:val="18"/>
                <w:lang w:val="fr-FR"/>
              </w:rPr>
              <w:t>déc. 2008-août 2009</w:t>
            </w:r>
          </w:p>
        </w:tc>
        <w:tc>
          <w:tcPr>
            <w:tcW w:w="649"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CRS et OCADES</w:t>
            </w:r>
          </w:p>
        </w:tc>
        <w:tc>
          <w:tcPr>
            <w:tcW w:w="1061"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Femmes et enceintes et enfants de moins de 2 ans infectés par le VIH </w:t>
            </w:r>
          </w:p>
        </w:tc>
        <w:tc>
          <w:tcPr>
            <w:tcW w:w="615" w:type="pct"/>
            <w:tcBorders>
              <w:top w:val="single" w:sz="4" w:space="0" w:color="auto"/>
              <w:bottom w:val="single" w:sz="4" w:space="0" w:color="auto"/>
            </w:tcBorders>
          </w:tcPr>
          <w:p w:rsidR="00A54EB6" w:rsidRPr="00577EB1" w:rsidRDefault="00A54EB6" w:rsidP="0050199E">
            <w:pPr>
              <w:spacing w:after="0"/>
              <w:ind w:right="-69"/>
              <w:jc w:val="left"/>
              <w:rPr>
                <w:sz w:val="18"/>
                <w:szCs w:val="18"/>
                <w:lang w:val="fr-FR"/>
              </w:rPr>
            </w:pPr>
            <w:r w:rsidRPr="00577EB1">
              <w:rPr>
                <w:sz w:val="18"/>
                <w:szCs w:val="18"/>
                <w:lang w:val="fr-FR"/>
              </w:rPr>
              <w:t xml:space="preserve">Régions (Centre, Centre sud, Centre est, Centre ouest, Hauts Bassins, Cascades) </w:t>
            </w:r>
          </w:p>
        </w:tc>
        <w:tc>
          <w:tcPr>
            <w:tcW w:w="556"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2 220 personnes (2009)</w:t>
            </w:r>
          </w:p>
        </w:tc>
        <w:tc>
          <w:tcPr>
            <w:tcW w:w="556" w:type="pct"/>
            <w:tcBorders>
              <w:top w:val="single" w:sz="4" w:space="0" w:color="auto"/>
              <w:bottom w:val="single" w:sz="4" w:space="0" w:color="auto"/>
            </w:tcBorders>
          </w:tcPr>
          <w:p w:rsidR="00A54EB6" w:rsidRPr="00577EB1" w:rsidRDefault="00AD58C8" w:rsidP="0050199E">
            <w:pPr>
              <w:spacing w:after="0"/>
              <w:jc w:val="left"/>
              <w:rPr>
                <w:sz w:val="18"/>
                <w:szCs w:val="18"/>
                <w:lang w:val="fr-FR"/>
              </w:rPr>
            </w:pPr>
            <w:r>
              <w:rPr>
                <w:sz w:val="18"/>
                <w:szCs w:val="18"/>
                <w:lang w:val="fr-FR"/>
              </w:rPr>
              <w:t>176</w:t>
            </w:r>
            <w:r w:rsidRPr="00577EB1">
              <w:rPr>
                <w:sz w:val="18"/>
                <w:szCs w:val="18"/>
                <w:lang w:val="fr-FR"/>
              </w:rPr>
              <w:t xml:space="preserve"> </w:t>
            </w:r>
            <w:r w:rsidR="00A54EB6" w:rsidRPr="00577EB1">
              <w:rPr>
                <w:sz w:val="18"/>
                <w:szCs w:val="18"/>
                <w:lang w:val="fr-FR"/>
              </w:rPr>
              <w:t>millions de francs CFA (2008-2009)</w:t>
            </w:r>
          </w:p>
        </w:tc>
        <w:tc>
          <w:tcPr>
            <w:tcW w:w="630" w:type="pct"/>
            <w:gridSpan w:val="2"/>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Fonds mondial </w:t>
            </w:r>
          </w:p>
        </w:tc>
      </w:tr>
      <w:tr w:rsidR="00A54EB6" w:rsidRPr="00577EB1" w:rsidTr="0050199E">
        <w:trPr>
          <w:cantSplit/>
        </w:trPr>
        <w:tc>
          <w:tcPr>
            <w:tcW w:w="77" w:type="pct"/>
            <w:tcBorders>
              <w:top w:val="single" w:sz="4" w:space="0" w:color="auto"/>
            </w:tcBorders>
          </w:tcPr>
          <w:p w:rsidR="00A54EB6" w:rsidRPr="00577EB1" w:rsidRDefault="00A54EB6" w:rsidP="0050199E">
            <w:pPr>
              <w:spacing w:after="0"/>
              <w:jc w:val="left"/>
              <w:rPr>
                <w:sz w:val="18"/>
                <w:szCs w:val="18"/>
                <w:lang w:val="fr-FR"/>
              </w:rPr>
            </w:pPr>
          </w:p>
        </w:tc>
        <w:tc>
          <w:tcPr>
            <w:tcW w:w="858" w:type="pct"/>
            <w:tcBorders>
              <w:top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Coupons alimentaires pour les pauvres en milieu urbain</w:t>
            </w:r>
            <w:r w:rsidR="0007340F">
              <w:rPr>
                <w:sz w:val="18"/>
                <w:szCs w:val="18"/>
                <w:lang w:val="fr-FR"/>
              </w:rPr>
              <w:t xml:space="preserve"> </w:t>
            </w:r>
            <w:r w:rsidRPr="00577EB1">
              <w:rPr>
                <w:sz w:val="18"/>
                <w:szCs w:val="18"/>
                <w:lang w:val="fr-FR"/>
              </w:rPr>
              <w:t>sept. 2008-fév. 2009</w:t>
            </w:r>
          </w:p>
        </w:tc>
        <w:tc>
          <w:tcPr>
            <w:tcW w:w="649" w:type="pct"/>
            <w:tcBorders>
              <w:top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CRS et OCADES</w:t>
            </w:r>
          </w:p>
        </w:tc>
        <w:tc>
          <w:tcPr>
            <w:tcW w:w="1061" w:type="pct"/>
            <w:tcBorders>
              <w:top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Ménages pauvres des zones urbaines </w:t>
            </w:r>
          </w:p>
        </w:tc>
        <w:tc>
          <w:tcPr>
            <w:tcW w:w="615" w:type="pct"/>
            <w:tcBorders>
              <w:top w:val="single" w:sz="4" w:space="0" w:color="auto"/>
            </w:tcBorders>
          </w:tcPr>
          <w:p w:rsidR="00A54EB6" w:rsidRPr="00577EB1" w:rsidRDefault="00A54EB6" w:rsidP="0050199E">
            <w:pPr>
              <w:spacing w:after="0"/>
              <w:ind w:right="-211"/>
              <w:jc w:val="left"/>
              <w:rPr>
                <w:sz w:val="18"/>
                <w:szCs w:val="18"/>
                <w:lang w:val="fr-FR"/>
              </w:rPr>
            </w:pPr>
            <w:r w:rsidRPr="00577EB1">
              <w:rPr>
                <w:sz w:val="18"/>
                <w:szCs w:val="18"/>
                <w:lang w:val="fr-FR"/>
              </w:rPr>
              <w:t>Villes de Ouagadougou &amp; Bobo-Dioulasso</w:t>
            </w:r>
          </w:p>
        </w:tc>
        <w:tc>
          <w:tcPr>
            <w:tcW w:w="556" w:type="pct"/>
            <w:tcBorders>
              <w:top w:val="single" w:sz="4" w:space="0" w:color="auto"/>
            </w:tcBorders>
          </w:tcPr>
          <w:p w:rsidR="00A54EB6" w:rsidRPr="00577EB1" w:rsidRDefault="00AD58C8" w:rsidP="00AD58C8">
            <w:pPr>
              <w:spacing w:after="0"/>
              <w:jc w:val="left"/>
              <w:rPr>
                <w:sz w:val="18"/>
                <w:szCs w:val="18"/>
                <w:lang w:val="fr-FR"/>
              </w:rPr>
            </w:pPr>
            <w:r>
              <w:rPr>
                <w:sz w:val="18"/>
                <w:szCs w:val="18"/>
                <w:lang w:val="fr-FR"/>
              </w:rPr>
              <w:t>1</w:t>
            </w:r>
            <w:r w:rsidRPr="00577EB1">
              <w:rPr>
                <w:sz w:val="18"/>
                <w:szCs w:val="18"/>
                <w:lang w:val="fr-FR"/>
              </w:rPr>
              <w:t xml:space="preserve"> </w:t>
            </w:r>
            <w:r w:rsidR="00A54EB6" w:rsidRPr="00577EB1">
              <w:rPr>
                <w:sz w:val="18"/>
                <w:szCs w:val="18"/>
                <w:lang w:val="fr-FR"/>
              </w:rPr>
              <w:t>9</w:t>
            </w:r>
            <w:r>
              <w:rPr>
                <w:sz w:val="18"/>
                <w:szCs w:val="18"/>
                <w:lang w:val="fr-FR"/>
              </w:rPr>
              <w:t>00</w:t>
            </w:r>
            <w:r w:rsidR="00A54EB6" w:rsidRPr="00577EB1">
              <w:rPr>
                <w:sz w:val="18"/>
                <w:szCs w:val="18"/>
                <w:lang w:val="fr-FR"/>
              </w:rPr>
              <w:t xml:space="preserve"> ménages (2008/2009)</w:t>
            </w:r>
          </w:p>
        </w:tc>
        <w:tc>
          <w:tcPr>
            <w:tcW w:w="556" w:type="pct"/>
            <w:tcBorders>
              <w:top w:val="single" w:sz="4" w:space="0" w:color="auto"/>
            </w:tcBorders>
          </w:tcPr>
          <w:p w:rsidR="00A54EB6" w:rsidRPr="00577EB1" w:rsidRDefault="00AD58C8" w:rsidP="0050199E">
            <w:pPr>
              <w:spacing w:after="0"/>
              <w:jc w:val="left"/>
              <w:rPr>
                <w:sz w:val="18"/>
                <w:szCs w:val="18"/>
                <w:lang w:val="fr-FR"/>
              </w:rPr>
            </w:pPr>
            <w:r>
              <w:rPr>
                <w:sz w:val="18"/>
                <w:szCs w:val="18"/>
                <w:lang w:val="fr-FR"/>
              </w:rPr>
              <w:t>112</w:t>
            </w:r>
            <w:r w:rsidRPr="00577EB1">
              <w:rPr>
                <w:sz w:val="18"/>
                <w:szCs w:val="18"/>
                <w:lang w:val="fr-FR"/>
              </w:rPr>
              <w:t xml:space="preserve"> </w:t>
            </w:r>
            <w:r w:rsidR="00A54EB6" w:rsidRPr="00577EB1">
              <w:rPr>
                <w:sz w:val="18"/>
                <w:szCs w:val="18"/>
                <w:lang w:val="fr-FR"/>
              </w:rPr>
              <w:t>millions de francs CFA (2008/2009)</w:t>
            </w:r>
          </w:p>
        </w:tc>
        <w:tc>
          <w:tcPr>
            <w:tcW w:w="630" w:type="pct"/>
            <w:gridSpan w:val="2"/>
            <w:tcBorders>
              <w:top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Fondation Gates </w:t>
            </w:r>
          </w:p>
        </w:tc>
      </w:tr>
      <w:tr w:rsidR="00A54EB6" w:rsidRPr="00577EB1" w:rsidTr="0050199E">
        <w:trPr>
          <w:gridAfter w:val="1"/>
          <w:wAfter w:w="50" w:type="pct"/>
          <w:cantSplit/>
        </w:trPr>
        <w:tc>
          <w:tcPr>
            <w:tcW w:w="4950" w:type="pct"/>
            <w:gridSpan w:val="8"/>
            <w:tcBorders>
              <w:top w:val="single" w:sz="4" w:space="0" w:color="auto"/>
            </w:tcBorders>
            <w:shd w:val="clear" w:color="auto" w:fill="BFBFBF"/>
          </w:tcPr>
          <w:p w:rsidR="00A54EB6" w:rsidRPr="00577EB1" w:rsidRDefault="00A54EB6" w:rsidP="0050199E">
            <w:pPr>
              <w:spacing w:after="0"/>
              <w:jc w:val="left"/>
              <w:rPr>
                <w:sz w:val="18"/>
                <w:szCs w:val="18"/>
                <w:lang w:val="fr-FR"/>
              </w:rPr>
            </w:pPr>
            <w:r w:rsidRPr="00577EB1">
              <w:rPr>
                <w:sz w:val="18"/>
                <w:szCs w:val="18"/>
                <w:lang w:val="fr-FR"/>
              </w:rPr>
              <w:t xml:space="preserve">TRANSFERTS ALIMENTAIRES </w:t>
            </w:r>
          </w:p>
        </w:tc>
      </w:tr>
      <w:tr w:rsidR="00A54EB6" w:rsidRPr="000A70E6" w:rsidTr="0050199E">
        <w:trPr>
          <w:gridAfter w:val="1"/>
          <w:wAfter w:w="50" w:type="pct"/>
          <w:cantSplit/>
        </w:trPr>
        <w:tc>
          <w:tcPr>
            <w:tcW w:w="4950" w:type="pct"/>
            <w:gridSpan w:val="8"/>
            <w:shd w:val="clear" w:color="auto" w:fill="D9D9D9"/>
          </w:tcPr>
          <w:p w:rsidR="00A54EB6" w:rsidRPr="00577EB1" w:rsidRDefault="00A54EB6" w:rsidP="0050199E">
            <w:pPr>
              <w:spacing w:after="0"/>
              <w:ind w:left="176"/>
              <w:jc w:val="left"/>
              <w:rPr>
                <w:sz w:val="18"/>
                <w:szCs w:val="18"/>
                <w:lang w:val="fr-FR"/>
              </w:rPr>
            </w:pPr>
            <w:r w:rsidRPr="00577EB1">
              <w:rPr>
                <w:sz w:val="18"/>
                <w:szCs w:val="18"/>
                <w:lang w:val="fr-FR"/>
              </w:rPr>
              <w:t xml:space="preserve">Vente d’aliments à </w:t>
            </w:r>
            <w:r w:rsidR="006868E7" w:rsidRPr="00577EB1">
              <w:rPr>
                <w:sz w:val="18"/>
                <w:szCs w:val="18"/>
                <w:lang w:val="fr-FR"/>
              </w:rPr>
              <w:t xml:space="preserve">des </w:t>
            </w:r>
            <w:r w:rsidRPr="00577EB1">
              <w:rPr>
                <w:sz w:val="18"/>
                <w:szCs w:val="18"/>
                <w:lang w:val="fr-FR"/>
              </w:rPr>
              <w:t>prix subventionnés</w:t>
            </w:r>
            <w:r w:rsidR="0007340F">
              <w:rPr>
                <w:sz w:val="18"/>
                <w:szCs w:val="18"/>
                <w:lang w:val="fr-FR"/>
              </w:rPr>
              <w:t xml:space="preserve"> </w:t>
            </w:r>
          </w:p>
        </w:tc>
      </w:tr>
      <w:tr w:rsidR="00A54EB6" w:rsidRPr="00577EB1" w:rsidTr="0050199E">
        <w:trPr>
          <w:cantSplit/>
        </w:trPr>
        <w:tc>
          <w:tcPr>
            <w:tcW w:w="77" w:type="pct"/>
          </w:tcPr>
          <w:p w:rsidR="00A54EB6" w:rsidRPr="00577EB1" w:rsidRDefault="00A54EB6" w:rsidP="0050199E">
            <w:pPr>
              <w:spacing w:after="0"/>
              <w:jc w:val="left"/>
              <w:rPr>
                <w:sz w:val="18"/>
                <w:szCs w:val="18"/>
                <w:lang w:val="fr-FR"/>
              </w:rPr>
            </w:pPr>
          </w:p>
        </w:tc>
        <w:tc>
          <w:tcPr>
            <w:tcW w:w="858" w:type="pct"/>
          </w:tcPr>
          <w:p w:rsidR="00A54EB6" w:rsidRPr="00577EB1" w:rsidRDefault="00A54EB6" w:rsidP="0050199E">
            <w:pPr>
              <w:spacing w:after="0"/>
              <w:jc w:val="left"/>
              <w:rPr>
                <w:sz w:val="18"/>
                <w:szCs w:val="18"/>
                <w:lang w:val="fr-FR"/>
              </w:rPr>
            </w:pPr>
            <w:r w:rsidRPr="00577EB1">
              <w:rPr>
                <w:sz w:val="18"/>
                <w:szCs w:val="18"/>
                <w:lang w:val="fr-FR"/>
              </w:rPr>
              <w:t xml:space="preserve">Stock d’intervention </w:t>
            </w:r>
          </w:p>
        </w:tc>
        <w:tc>
          <w:tcPr>
            <w:tcW w:w="649" w:type="pct"/>
          </w:tcPr>
          <w:p w:rsidR="00A54EB6" w:rsidRPr="00577EB1" w:rsidRDefault="00A54EB6" w:rsidP="0050199E">
            <w:pPr>
              <w:spacing w:after="0"/>
              <w:jc w:val="left"/>
              <w:rPr>
                <w:sz w:val="18"/>
                <w:szCs w:val="18"/>
                <w:lang w:val="fr-FR"/>
              </w:rPr>
            </w:pPr>
            <w:r w:rsidRPr="00577EB1">
              <w:rPr>
                <w:sz w:val="18"/>
                <w:szCs w:val="18"/>
                <w:lang w:val="fr-FR"/>
              </w:rPr>
              <w:t>SONAGES et CONASUR</w:t>
            </w:r>
          </w:p>
        </w:tc>
        <w:tc>
          <w:tcPr>
            <w:tcW w:w="1061" w:type="pct"/>
          </w:tcPr>
          <w:p w:rsidR="00A54EB6" w:rsidRPr="00577EB1" w:rsidRDefault="00A54EB6" w:rsidP="0050199E">
            <w:pPr>
              <w:spacing w:after="0"/>
              <w:jc w:val="left"/>
              <w:rPr>
                <w:sz w:val="18"/>
                <w:szCs w:val="18"/>
                <w:lang w:val="fr-FR"/>
              </w:rPr>
            </w:pPr>
            <w:r w:rsidRPr="00577EB1">
              <w:rPr>
                <w:sz w:val="18"/>
                <w:szCs w:val="18"/>
                <w:lang w:val="fr-FR"/>
              </w:rPr>
              <w:t>Selon les critères définis par le COPROSUR/CODESUR-</w:t>
            </w:r>
          </w:p>
        </w:tc>
        <w:tc>
          <w:tcPr>
            <w:tcW w:w="615" w:type="pct"/>
          </w:tcPr>
          <w:p w:rsidR="00A54EB6" w:rsidRPr="00577EB1" w:rsidRDefault="00A54EB6" w:rsidP="0050199E">
            <w:pPr>
              <w:spacing w:after="0"/>
              <w:ind w:right="-69"/>
              <w:jc w:val="left"/>
              <w:rPr>
                <w:sz w:val="18"/>
                <w:szCs w:val="18"/>
                <w:lang w:val="fr-FR"/>
              </w:rPr>
            </w:pPr>
            <w:r w:rsidRPr="00577EB1">
              <w:rPr>
                <w:sz w:val="18"/>
                <w:szCs w:val="18"/>
                <w:lang w:val="fr-FR"/>
              </w:rPr>
              <w:t xml:space="preserve">Zones en situation d’insécurité alimentaire </w:t>
            </w:r>
          </w:p>
        </w:tc>
        <w:tc>
          <w:tcPr>
            <w:tcW w:w="556" w:type="pct"/>
          </w:tcPr>
          <w:p w:rsidR="00A54EB6" w:rsidRPr="00577EB1" w:rsidRDefault="00AD58C8" w:rsidP="0050199E">
            <w:pPr>
              <w:spacing w:after="0"/>
              <w:jc w:val="left"/>
              <w:rPr>
                <w:sz w:val="18"/>
                <w:szCs w:val="18"/>
                <w:lang w:val="fr-FR"/>
              </w:rPr>
            </w:pPr>
            <w:r>
              <w:rPr>
                <w:sz w:val="18"/>
                <w:szCs w:val="18"/>
                <w:lang w:val="fr-FR"/>
              </w:rPr>
              <w:t>1 800 000 personnes (2008)</w:t>
            </w:r>
          </w:p>
        </w:tc>
        <w:tc>
          <w:tcPr>
            <w:tcW w:w="556" w:type="pct"/>
          </w:tcPr>
          <w:p w:rsidR="00A54EB6" w:rsidRPr="00577EB1" w:rsidRDefault="00A54EB6" w:rsidP="0050199E">
            <w:pPr>
              <w:spacing w:after="0"/>
              <w:jc w:val="left"/>
              <w:rPr>
                <w:sz w:val="18"/>
                <w:szCs w:val="18"/>
                <w:lang w:val="fr-FR"/>
              </w:rPr>
            </w:pPr>
            <w:r w:rsidRPr="00577EB1">
              <w:rPr>
                <w:sz w:val="18"/>
                <w:szCs w:val="18"/>
                <w:lang w:val="fr-FR"/>
              </w:rPr>
              <w:t>1,9 milliards de francs CFA (2008-2009)</w:t>
            </w:r>
          </w:p>
        </w:tc>
        <w:tc>
          <w:tcPr>
            <w:tcW w:w="630" w:type="pct"/>
            <w:gridSpan w:val="2"/>
          </w:tcPr>
          <w:p w:rsidR="00A54EB6" w:rsidRPr="00577EB1" w:rsidRDefault="00A54EB6" w:rsidP="0050199E">
            <w:pPr>
              <w:spacing w:after="0"/>
              <w:jc w:val="left"/>
              <w:rPr>
                <w:sz w:val="18"/>
                <w:szCs w:val="18"/>
                <w:lang w:val="fr-FR"/>
              </w:rPr>
            </w:pPr>
            <w:r w:rsidRPr="00577EB1">
              <w:rPr>
                <w:sz w:val="18"/>
                <w:szCs w:val="18"/>
                <w:lang w:val="fr-FR"/>
              </w:rPr>
              <w:t xml:space="preserve">État </w:t>
            </w:r>
          </w:p>
        </w:tc>
      </w:tr>
      <w:tr w:rsidR="00A54EB6" w:rsidRPr="00577EB1" w:rsidTr="0050199E">
        <w:trPr>
          <w:gridAfter w:val="1"/>
          <w:wAfter w:w="50" w:type="pct"/>
          <w:cantSplit/>
        </w:trPr>
        <w:tc>
          <w:tcPr>
            <w:tcW w:w="4950" w:type="pct"/>
            <w:gridSpan w:val="8"/>
            <w:shd w:val="clear" w:color="auto" w:fill="D9D9D9"/>
          </w:tcPr>
          <w:p w:rsidR="00A54EB6" w:rsidRPr="00577EB1" w:rsidRDefault="00A54EB6" w:rsidP="0050199E">
            <w:pPr>
              <w:spacing w:after="0"/>
              <w:ind w:left="176"/>
              <w:jc w:val="left"/>
              <w:rPr>
                <w:sz w:val="18"/>
                <w:szCs w:val="18"/>
                <w:lang w:val="fr-FR"/>
              </w:rPr>
            </w:pPr>
            <w:r w:rsidRPr="00577EB1">
              <w:rPr>
                <w:sz w:val="18"/>
                <w:szCs w:val="18"/>
                <w:lang w:val="fr-FR"/>
              </w:rPr>
              <w:t xml:space="preserve">Distribution ciblée de vivres </w:t>
            </w:r>
          </w:p>
        </w:tc>
      </w:tr>
      <w:tr w:rsidR="00A54EB6" w:rsidRPr="00577EB1" w:rsidTr="0050199E">
        <w:trPr>
          <w:cantSplit/>
        </w:trPr>
        <w:tc>
          <w:tcPr>
            <w:tcW w:w="77" w:type="pct"/>
            <w:tcBorders>
              <w:bottom w:val="single" w:sz="4" w:space="0" w:color="auto"/>
            </w:tcBorders>
          </w:tcPr>
          <w:p w:rsidR="00A54EB6" w:rsidRPr="00577EB1" w:rsidRDefault="00A54EB6" w:rsidP="0050199E">
            <w:pPr>
              <w:spacing w:after="0"/>
              <w:jc w:val="left"/>
              <w:rPr>
                <w:sz w:val="18"/>
                <w:szCs w:val="18"/>
                <w:lang w:val="fr-FR"/>
              </w:rPr>
            </w:pPr>
          </w:p>
        </w:tc>
        <w:tc>
          <w:tcPr>
            <w:tcW w:w="858"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Secours général</w:t>
            </w:r>
          </w:p>
        </w:tc>
        <w:tc>
          <w:tcPr>
            <w:tcW w:w="649"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CRS et partenaires </w:t>
            </w:r>
          </w:p>
        </w:tc>
        <w:tc>
          <w:tcPr>
            <w:tcW w:w="1061"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PVVIH, orphelins, enfants malnutris, personnes âgées, veuves, etc. </w:t>
            </w:r>
          </w:p>
        </w:tc>
        <w:tc>
          <w:tcPr>
            <w:tcW w:w="615"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23 provinces</w:t>
            </w:r>
          </w:p>
        </w:tc>
        <w:tc>
          <w:tcPr>
            <w:tcW w:w="556"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14 850 personnes (2008)</w:t>
            </w:r>
          </w:p>
        </w:tc>
        <w:tc>
          <w:tcPr>
            <w:tcW w:w="556" w:type="pct"/>
            <w:tcBorders>
              <w:bottom w:val="single" w:sz="4" w:space="0" w:color="auto"/>
            </w:tcBorders>
          </w:tcPr>
          <w:p w:rsidR="00A54EB6" w:rsidRPr="00577EB1" w:rsidRDefault="00AD58C8" w:rsidP="0050199E">
            <w:pPr>
              <w:spacing w:after="0"/>
              <w:ind w:right="-62"/>
              <w:jc w:val="left"/>
              <w:rPr>
                <w:sz w:val="18"/>
                <w:szCs w:val="18"/>
                <w:lang w:val="fr-FR"/>
              </w:rPr>
            </w:pPr>
            <w:r>
              <w:rPr>
                <w:sz w:val="18"/>
                <w:szCs w:val="18"/>
                <w:lang w:val="fr-FR"/>
              </w:rPr>
              <w:t>242</w:t>
            </w:r>
            <w:r w:rsidRPr="00577EB1">
              <w:rPr>
                <w:sz w:val="18"/>
                <w:szCs w:val="18"/>
                <w:lang w:val="fr-FR"/>
              </w:rPr>
              <w:t xml:space="preserve"> </w:t>
            </w:r>
            <w:r w:rsidR="00A54EB6" w:rsidRPr="00577EB1">
              <w:rPr>
                <w:sz w:val="18"/>
                <w:szCs w:val="18"/>
                <w:lang w:val="fr-FR"/>
              </w:rPr>
              <w:t>millions de francs CFA (2008/2009)</w:t>
            </w:r>
          </w:p>
        </w:tc>
        <w:tc>
          <w:tcPr>
            <w:tcW w:w="630" w:type="pct"/>
            <w:gridSpan w:val="2"/>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USAID</w:t>
            </w:r>
          </w:p>
        </w:tc>
      </w:tr>
      <w:tr w:rsidR="00A54EB6" w:rsidRPr="00577EB1" w:rsidTr="0050199E">
        <w:trPr>
          <w:cantSplit/>
        </w:trPr>
        <w:tc>
          <w:tcPr>
            <w:tcW w:w="77"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p>
        </w:tc>
        <w:tc>
          <w:tcPr>
            <w:tcW w:w="858"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bCs/>
                <w:sz w:val="18"/>
                <w:szCs w:val="18"/>
                <w:lang w:val="fr-FR"/>
              </w:rPr>
              <w:t xml:space="preserve">Aide alimentaire aux populations vulnérables et aux ménages victimes de catastrophes </w:t>
            </w:r>
          </w:p>
        </w:tc>
        <w:tc>
          <w:tcPr>
            <w:tcW w:w="649"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MASSN et CONASUR</w:t>
            </w:r>
          </w:p>
        </w:tc>
        <w:tc>
          <w:tcPr>
            <w:tcW w:w="1061"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bCs/>
                <w:sz w:val="18"/>
                <w:szCs w:val="18"/>
                <w:lang w:val="fr-FR"/>
              </w:rPr>
              <w:t>Populations vulnérables et ménages victimes de catastrophes</w:t>
            </w:r>
          </w:p>
        </w:tc>
        <w:tc>
          <w:tcPr>
            <w:tcW w:w="615"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National</w:t>
            </w:r>
          </w:p>
        </w:tc>
        <w:tc>
          <w:tcPr>
            <w:tcW w:w="556" w:type="pct"/>
            <w:tcBorders>
              <w:top w:val="single" w:sz="4" w:space="0" w:color="auto"/>
              <w:bottom w:val="single" w:sz="4" w:space="0" w:color="auto"/>
            </w:tcBorders>
          </w:tcPr>
          <w:p w:rsidR="00A54EB6" w:rsidRPr="00577EB1" w:rsidRDefault="00AD58C8" w:rsidP="00AD58C8">
            <w:pPr>
              <w:spacing w:after="0"/>
              <w:jc w:val="left"/>
              <w:rPr>
                <w:sz w:val="18"/>
                <w:szCs w:val="18"/>
                <w:lang w:val="fr-FR"/>
              </w:rPr>
            </w:pPr>
            <w:r>
              <w:rPr>
                <w:sz w:val="18"/>
                <w:szCs w:val="18"/>
                <w:lang w:val="fr-FR"/>
              </w:rPr>
              <w:t>44 300</w:t>
            </w:r>
            <w:r w:rsidR="00A54EB6" w:rsidRPr="00577EB1">
              <w:rPr>
                <w:sz w:val="18"/>
                <w:szCs w:val="18"/>
                <w:lang w:val="fr-FR"/>
              </w:rPr>
              <w:t xml:space="preserve"> personnes (2008)</w:t>
            </w:r>
          </w:p>
        </w:tc>
        <w:tc>
          <w:tcPr>
            <w:tcW w:w="556" w:type="pct"/>
            <w:tcBorders>
              <w:top w:val="single" w:sz="4" w:space="0" w:color="auto"/>
              <w:bottom w:val="single" w:sz="4" w:space="0" w:color="auto"/>
            </w:tcBorders>
          </w:tcPr>
          <w:p w:rsidR="00A54EB6" w:rsidRPr="00577EB1" w:rsidRDefault="00A54EB6" w:rsidP="0050199E">
            <w:pPr>
              <w:spacing w:after="0"/>
              <w:ind w:right="-62"/>
              <w:jc w:val="left"/>
              <w:rPr>
                <w:sz w:val="18"/>
                <w:szCs w:val="18"/>
                <w:lang w:val="fr-FR"/>
              </w:rPr>
            </w:pPr>
            <w:r w:rsidRPr="00577EB1">
              <w:rPr>
                <w:sz w:val="18"/>
                <w:szCs w:val="18"/>
                <w:lang w:val="fr-FR"/>
              </w:rPr>
              <w:t>31 millions de francs CFA (2002-2008)</w:t>
            </w:r>
          </w:p>
        </w:tc>
        <w:tc>
          <w:tcPr>
            <w:tcW w:w="630" w:type="pct"/>
            <w:gridSpan w:val="2"/>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État</w:t>
            </w:r>
          </w:p>
        </w:tc>
      </w:tr>
      <w:tr w:rsidR="00A54EB6" w:rsidRPr="00577EB1" w:rsidTr="0050199E">
        <w:trPr>
          <w:cantSplit/>
        </w:trPr>
        <w:tc>
          <w:tcPr>
            <w:tcW w:w="77" w:type="pct"/>
            <w:tcBorders>
              <w:top w:val="single" w:sz="4" w:space="0" w:color="auto"/>
              <w:bottom w:val="dotted" w:sz="4" w:space="0" w:color="auto"/>
            </w:tcBorders>
          </w:tcPr>
          <w:p w:rsidR="00A54EB6" w:rsidRPr="00577EB1" w:rsidRDefault="00A54EB6" w:rsidP="0050199E">
            <w:pPr>
              <w:spacing w:after="0"/>
              <w:jc w:val="left"/>
              <w:rPr>
                <w:sz w:val="18"/>
                <w:szCs w:val="18"/>
                <w:lang w:val="fr-FR"/>
              </w:rPr>
            </w:pPr>
          </w:p>
        </w:tc>
        <w:tc>
          <w:tcPr>
            <w:tcW w:w="858" w:type="pct"/>
            <w:tcBorders>
              <w:top w:val="single"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Programme Vivres contre éducation</w:t>
            </w:r>
            <w:r w:rsidR="0007340F">
              <w:rPr>
                <w:sz w:val="18"/>
                <w:szCs w:val="18"/>
                <w:lang w:val="fr-FR"/>
              </w:rPr>
              <w:t xml:space="preserve"> </w:t>
            </w:r>
            <w:r w:rsidRPr="00577EB1">
              <w:rPr>
                <w:sz w:val="18"/>
                <w:szCs w:val="18"/>
                <w:lang w:val="fr-FR"/>
              </w:rPr>
              <w:t>(CP10399.0 Composante 1: ii. Alphabétisation)</w:t>
            </w:r>
            <w:r w:rsidR="0007340F">
              <w:rPr>
                <w:sz w:val="18"/>
                <w:szCs w:val="18"/>
                <w:lang w:val="fr-FR"/>
              </w:rPr>
              <w:t xml:space="preserve"> </w:t>
            </w:r>
            <w:r w:rsidRPr="00577EB1">
              <w:rPr>
                <w:sz w:val="18"/>
                <w:szCs w:val="18"/>
                <w:lang w:val="fr-FR"/>
              </w:rPr>
              <w:t>2006-2010</w:t>
            </w:r>
          </w:p>
        </w:tc>
        <w:tc>
          <w:tcPr>
            <w:tcW w:w="649" w:type="pct"/>
            <w:tcBorders>
              <w:top w:val="single"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PAM et partenaires </w:t>
            </w:r>
          </w:p>
        </w:tc>
        <w:tc>
          <w:tcPr>
            <w:tcW w:w="1061" w:type="pct"/>
            <w:tcBorders>
              <w:top w:val="single"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Personnes fréquentant les centres d’alphabétisation </w:t>
            </w:r>
          </w:p>
        </w:tc>
        <w:tc>
          <w:tcPr>
            <w:tcW w:w="615" w:type="pct"/>
            <w:tcBorders>
              <w:top w:val="single"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11 provinces (Sahel, Est, Centre et Centre Nord)</w:t>
            </w:r>
          </w:p>
        </w:tc>
        <w:tc>
          <w:tcPr>
            <w:tcW w:w="556" w:type="pct"/>
            <w:tcBorders>
              <w:top w:val="single"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20 300 femmes 16 348 hommes (2009)</w:t>
            </w:r>
          </w:p>
        </w:tc>
        <w:tc>
          <w:tcPr>
            <w:tcW w:w="556" w:type="pct"/>
            <w:tcBorders>
              <w:top w:val="single" w:sz="4" w:space="0" w:color="auto"/>
              <w:bottom w:val="dotted" w:sz="4" w:space="0" w:color="auto"/>
            </w:tcBorders>
          </w:tcPr>
          <w:p w:rsidR="00A54EB6" w:rsidRPr="00577EB1" w:rsidRDefault="00A54EB6" w:rsidP="0050199E">
            <w:pPr>
              <w:spacing w:after="0"/>
              <w:ind w:right="-62"/>
              <w:jc w:val="left"/>
              <w:rPr>
                <w:sz w:val="18"/>
                <w:szCs w:val="18"/>
                <w:lang w:val="fr-FR"/>
              </w:rPr>
            </w:pPr>
            <w:r w:rsidRPr="00577EB1">
              <w:rPr>
                <w:sz w:val="18"/>
                <w:szCs w:val="18"/>
                <w:lang w:val="fr-FR"/>
              </w:rPr>
              <w:t>224 millions de francs CFA (2009)</w:t>
            </w:r>
          </w:p>
        </w:tc>
        <w:tc>
          <w:tcPr>
            <w:tcW w:w="630" w:type="pct"/>
            <w:gridSpan w:val="2"/>
            <w:tcBorders>
              <w:top w:val="single"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Multilatéral, État</w:t>
            </w:r>
          </w:p>
        </w:tc>
      </w:tr>
      <w:tr w:rsidR="00A54EB6" w:rsidRPr="00577EB1" w:rsidTr="0050199E">
        <w:trPr>
          <w:gridAfter w:val="1"/>
          <w:wAfter w:w="50" w:type="pct"/>
          <w:cantSplit/>
        </w:trPr>
        <w:tc>
          <w:tcPr>
            <w:tcW w:w="4950" w:type="pct"/>
            <w:gridSpan w:val="8"/>
            <w:shd w:val="clear" w:color="auto" w:fill="D9D9D9"/>
          </w:tcPr>
          <w:p w:rsidR="00A54EB6" w:rsidRPr="00577EB1" w:rsidRDefault="00A54EB6" w:rsidP="0050199E">
            <w:pPr>
              <w:spacing w:after="0"/>
              <w:ind w:left="176"/>
              <w:jc w:val="left"/>
              <w:rPr>
                <w:sz w:val="18"/>
                <w:szCs w:val="18"/>
                <w:lang w:val="fr-FR"/>
              </w:rPr>
            </w:pPr>
            <w:r w:rsidRPr="00577EB1">
              <w:rPr>
                <w:sz w:val="18"/>
                <w:szCs w:val="18"/>
                <w:lang w:val="fr-FR"/>
              </w:rPr>
              <w:t>Nutrition</w:t>
            </w:r>
          </w:p>
        </w:tc>
      </w:tr>
      <w:tr w:rsidR="00A54EB6" w:rsidRPr="00577EB1" w:rsidTr="0050199E">
        <w:trPr>
          <w:cantSplit/>
        </w:trPr>
        <w:tc>
          <w:tcPr>
            <w:tcW w:w="77" w:type="pct"/>
            <w:tcBorders>
              <w:bottom w:val="dotted" w:sz="4" w:space="0" w:color="auto"/>
            </w:tcBorders>
          </w:tcPr>
          <w:p w:rsidR="00A54EB6" w:rsidRPr="00577EB1" w:rsidRDefault="00A54EB6" w:rsidP="0050199E">
            <w:pPr>
              <w:spacing w:after="0"/>
              <w:jc w:val="left"/>
              <w:rPr>
                <w:sz w:val="18"/>
                <w:szCs w:val="18"/>
                <w:lang w:val="fr-FR"/>
              </w:rPr>
            </w:pPr>
          </w:p>
        </w:tc>
        <w:tc>
          <w:tcPr>
            <w:tcW w:w="858"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Complément nutritionnel aux enfants malnutris et aux femmes enceintes et allaitantes (PRRO 10541.0 2007-2009 et PRRO 20054 2010-2011)</w:t>
            </w:r>
          </w:p>
        </w:tc>
        <w:tc>
          <w:tcPr>
            <w:tcW w:w="649"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PAM et partenaires</w:t>
            </w:r>
          </w:p>
        </w:tc>
        <w:tc>
          <w:tcPr>
            <w:tcW w:w="1061"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Enfants modérément malnutris et femmes enceintes et allaitantes </w:t>
            </w:r>
          </w:p>
        </w:tc>
        <w:tc>
          <w:tcPr>
            <w:tcW w:w="615"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Sahel, Nord, Est, Sud-ouest, Centre-nord et Centre-sud</w:t>
            </w:r>
          </w:p>
        </w:tc>
        <w:tc>
          <w:tcPr>
            <w:tcW w:w="556"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312 000 personnes</w:t>
            </w:r>
          </w:p>
        </w:tc>
        <w:tc>
          <w:tcPr>
            <w:tcW w:w="556" w:type="pct"/>
            <w:tcBorders>
              <w:bottom w:val="dotted" w:sz="4" w:space="0" w:color="auto"/>
            </w:tcBorders>
          </w:tcPr>
          <w:p w:rsidR="00A54EB6" w:rsidRPr="00577EB1" w:rsidRDefault="00AD58C8" w:rsidP="0050199E">
            <w:pPr>
              <w:spacing w:after="0"/>
              <w:ind w:right="-62"/>
              <w:jc w:val="left"/>
              <w:rPr>
                <w:sz w:val="18"/>
                <w:szCs w:val="18"/>
                <w:lang w:val="fr-FR"/>
              </w:rPr>
            </w:pPr>
            <w:r>
              <w:rPr>
                <w:sz w:val="18"/>
                <w:szCs w:val="18"/>
                <w:lang w:val="fr-FR"/>
              </w:rPr>
              <w:t>4 900</w:t>
            </w:r>
            <w:r w:rsidR="00A54EB6" w:rsidRPr="00577EB1">
              <w:rPr>
                <w:sz w:val="18"/>
                <w:szCs w:val="18"/>
                <w:lang w:val="fr-FR"/>
              </w:rPr>
              <w:t xml:space="preserve"> millions de francs CFA (2009)</w:t>
            </w:r>
          </w:p>
        </w:tc>
        <w:tc>
          <w:tcPr>
            <w:tcW w:w="630" w:type="pct"/>
            <w:gridSpan w:val="2"/>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Multilatéral, État </w:t>
            </w:r>
          </w:p>
        </w:tc>
      </w:tr>
      <w:tr w:rsidR="00A54EB6" w:rsidRPr="00577EB1" w:rsidTr="0050199E">
        <w:trPr>
          <w:cantSplit/>
        </w:trPr>
        <w:tc>
          <w:tcPr>
            <w:tcW w:w="77"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p>
        </w:tc>
        <w:tc>
          <w:tcPr>
            <w:tcW w:w="858" w:type="pct"/>
            <w:tcBorders>
              <w:top w:val="single" w:sz="4" w:space="0" w:color="auto"/>
              <w:bottom w:val="single" w:sz="4" w:space="0" w:color="auto"/>
            </w:tcBorders>
          </w:tcPr>
          <w:p w:rsidR="00A54EB6" w:rsidRPr="00577EB1" w:rsidRDefault="00A23A26" w:rsidP="0050199E">
            <w:pPr>
              <w:spacing w:after="0"/>
              <w:jc w:val="left"/>
              <w:rPr>
                <w:sz w:val="18"/>
                <w:szCs w:val="18"/>
                <w:lang w:val="fr-FR"/>
              </w:rPr>
            </w:pPr>
            <w:r>
              <w:rPr>
                <w:sz w:val="18"/>
                <w:szCs w:val="18"/>
                <w:lang w:val="fr-FR"/>
              </w:rPr>
              <w:t>Soutien alimentaire</w:t>
            </w:r>
            <w:r w:rsidR="00A54EB6" w:rsidRPr="00577EB1">
              <w:rPr>
                <w:sz w:val="18"/>
                <w:szCs w:val="18"/>
                <w:lang w:val="fr-FR"/>
              </w:rPr>
              <w:t xml:space="preserve"> aux groupes vulnérables et PVVIH (CP10399.0 composante 2)</w:t>
            </w:r>
            <w:r w:rsidR="0007340F">
              <w:rPr>
                <w:sz w:val="18"/>
                <w:szCs w:val="18"/>
                <w:lang w:val="fr-FR"/>
              </w:rPr>
              <w:t xml:space="preserve"> </w:t>
            </w:r>
            <w:r w:rsidR="00A54EB6" w:rsidRPr="00577EB1">
              <w:rPr>
                <w:sz w:val="18"/>
                <w:szCs w:val="18"/>
                <w:lang w:val="fr-FR"/>
              </w:rPr>
              <w:t>2006-2010</w:t>
            </w:r>
          </w:p>
        </w:tc>
        <w:tc>
          <w:tcPr>
            <w:tcW w:w="649"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PAM et partenaires</w:t>
            </w:r>
          </w:p>
        </w:tc>
        <w:tc>
          <w:tcPr>
            <w:tcW w:w="1061"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Personnes modérément malnutries </w:t>
            </w:r>
          </w:p>
        </w:tc>
        <w:tc>
          <w:tcPr>
            <w:tcW w:w="615"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Centre, Nord, Centre-nord, Centre-sud, Est, Sud-ouest, Cascades, Hauts Basins, Mouhoun)</w:t>
            </w:r>
          </w:p>
        </w:tc>
        <w:tc>
          <w:tcPr>
            <w:tcW w:w="556"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20 500 personnes (2009)</w:t>
            </w:r>
          </w:p>
        </w:tc>
        <w:tc>
          <w:tcPr>
            <w:tcW w:w="556" w:type="pct"/>
            <w:tcBorders>
              <w:top w:val="single" w:sz="4" w:space="0" w:color="auto"/>
              <w:bottom w:val="single" w:sz="4" w:space="0" w:color="auto"/>
            </w:tcBorders>
          </w:tcPr>
          <w:p w:rsidR="00A54EB6" w:rsidRPr="00577EB1" w:rsidRDefault="00A54EB6" w:rsidP="0050199E">
            <w:pPr>
              <w:spacing w:after="0"/>
              <w:ind w:right="-62"/>
              <w:jc w:val="left"/>
              <w:rPr>
                <w:sz w:val="18"/>
                <w:szCs w:val="18"/>
                <w:lang w:val="fr-FR"/>
              </w:rPr>
            </w:pPr>
            <w:r w:rsidRPr="00577EB1">
              <w:rPr>
                <w:sz w:val="18"/>
                <w:szCs w:val="18"/>
                <w:lang w:val="fr-FR"/>
              </w:rPr>
              <w:t>2 175 millions de francs CFA (2009)</w:t>
            </w:r>
          </w:p>
        </w:tc>
        <w:tc>
          <w:tcPr>
            <w:tcW w:w="630" w:type="pct"/>
            <w:gridSpan w:val="2"/>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Multilatéral, État</w:t>
            </w:r>
          </w:p>
        </w:tc>
      </w:tr>
      <w:tr w:rsidR="00A54EB6" w:rsidRPr="00577EB1" w:rsidTr="0050199E">
        <w:trPr>
          <w:cantSplit/>
        </w:trPr>
        <w:tc>
          <w:tcPr>
            <w:tcW w:w="77"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p>
        </w:tc>
        <w:tc>
          <w:tcPr>
            <w:tcW w:w="858"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Traitement et prévention de la malnutrition aiguë pour le développement et la survie de l’enfant</w:t>
            </w:r>
            <w:r w:rsidR="0007340F">
              <w:rPr>
                <w:sz w:val="20"/>
                <w:szCs w:val="20"/>
                <w:lang w:val="fr-FR"/>
              </w:rPr>
              <w:t xml:space="preserve"> </w:t>
            </w:r>
            <w:r w:rsidRPr="00577EB1">
              <w:rPr>
                <w:sz w:val="18"/>
                <w:szCs w:val="18"/>
                <w:lang w:val="fr-FR"/>
              </w:rPr>
              <w:t>2006-2010</w:t>
            </w:r>
          </w:p>
        </w:tc>
        <w:tc>
          <w:tcPr>
            <w:tcW w:w="649"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UNICEF et partenaires </w:t>
            </w:r>
          </w:p>
        </w:tc>
        <w:tc>
          <w:tcPr>
            <w:tcW w:w="1061"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Enfants de moins de 3 ans et femmes enceintes et allaitantes atteints de malnutrition sévère </w:t>
            </w:r>
          </w:p>
        </w:tc>
        <w:tc>
          <w:tcPr>
            <w:tcW w:w="615"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5 régions les plus touchées par la malnutrition</w:t>
            </w:r>
          </w:p>
        </w:tc>
        <w:tc>
          <w:tcPr>
            <w:tcW w:w="556"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17 000 enfants (2009)</w:t>
            </w:r>
          </w:p>
        </w:tc>
        <w:tc>
          <w:tcPr>
            <w:tcW w:w="556" w:type="pct"/>
            <w:tcBorders>
              <w:top w:val="single" w:sz="4" w:space="0" w:color="auto"/>
              <w:bottom w:val="single" w:sz="4" w:space="0" w:color="auto"/>
            </w:tcBorders>
          </w:tcPr>
          <w:p w:rsidR="00A54EB6" w:rsidRPr="00577EB1" w:rsidRDefault="00AD58C8" w:rsidP="00AD58C8">
            <w:pPr>
              <w:spacing w:after="0"/>
              <w:jc w:val="left"/>
              <w:rPr>
                <w:sz w:val="18"/>
                <w:szCs w:val="18"/>
                <w:lang w:val="fr-FR"/>
              </w:rPr>
            </w:pPr>
            <w:r>
              <w:rPr>
                <w:sz w:val="18"/>
                <w:szCs w:val="18"/>
                <w:lang w:val="fr-FR"/>
              </w:rPr>
              <w:t>3 790</w:t>
            </w:r>
            <w:r w:rsidR="00A54EB6" w:rsidRPr="00577EB1">
              <w:rPr>
                <w:sz w:val="18"/>
                <w:szCs w:val="18"/>
                <w:lang w:val="fr-FR"/>
              </w:rPr>
              <w:t xml:space="preserve"> millions de francs CFA (</w:t>
            </w:r>
            <w:r>
              <w:rPr>
                <w:sz w:val="18"/>
                <w:szCs w:val="18"/>
                <w:lang w:val="fr-FR"/>
              </w:rPr>
              <w:t>2009</w:t>
            </w:r>
            <w:r w:rsidR="00A54EB6" w:rsidRPr="00577EB1">
              <w:rPr>
                <w:sz w:val="18"/>
                <w:szCs w:val="18"/>
                <w:lang w:val="fr-FR"/>
              </w:rPr>
              <w:t>)</w:t>
            </w:r>
          </w:p>
        </w:tc>
        <w:tc>
          <w:tcPr>
            <w:tcW w:w="630" w:type="pct"/>
            <w:gridSpan w:val="2"/>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Multilatéral</w:t>
            </w:r>
          </w:p>
        </w:tc>
      </w:tr>
      <w:tr w:rsidR="00A54EB6" w:rsidRPr="00577EB1" w:rsidTr="0050199E">
        <w:trPr>
          <w:cantSplit/>
        </w:trPr>
        <w:tc>
          <w:tcPr>
            <w:tcW w:w="77"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p>
        </w:tc>
        <w:tc>
          <w:tcPr>
            <w:tcW w:w="858"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Prise en charge des enfants atteints de malnutrition aiguë sévère– 2007-2010</w:t>
            </w:r>
          </w:p>
        </w:tc>
        <w:tc>
          <w:tcPr>
            <w:tcW w:w="649"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Médecins sans frontières-France et CSPS</w:t>
            </w:r>
          </w:p>
        </w:tc>
        <w:tc>
          <w:tcPr>
            <w:tcW w:w="1061" w:type="pct"/>
            <w:tcBorders>
              <w:top w:val="single" w:sz="4" w:space="0" w:color="auto"/>
              <w:bottom w:val="single" w:sz="4" w:space="0" w:color="auto"/>
            </w:tcBorders>
          </w:tcPr>
          <w:p w:rsidR="00A54EB6" w:rsidRPr="00577EB1" w:rsidRDefault="00A54EB6" w:rsidP="0050199E">
            <w:pPr>
              <w:spacing w:after="0"/>
              <w:ind w:right="-202"/>
              <w:jc w:val="left"/>
              <w:rPr>
                <w:sz w:val="18"/>
                <w:szCs w:val="18"/>
                <w:lang w:val="fr-FR"/>
              </w:rPr>
            </w:pPr>
            <w:r w:rsidRPr="00577EB1">
              <w:rPr>
                <w:sz w:val="18"/>
                <w:szCs w:val="18"/>
                <w:lang w:val="fr-FR"/>
              </w:rPr>
              <w:t xml:space="preserve">Enfants de 6 à 59 mois atteints de malnutrition aiguë sévère </w:t>
            </w:r>
          </w:p>
        </w:tc>
        <w:tc>
          <w:tcPr>
            <w:tcW w:w="615"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23 CSPS dans les provinces du Passoré et du Loroum </w:t>
            </w:r>
          </w:p>
        </w:tc>
        <w:tc>
          <w:tcPr>
            <w:tcW w:w="556"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18 000 enfants</w:t>
            </w:r>
          </w:p>
        </w:tc>
        <w:tc>
          <w:tcPr>
            <w:tcW w:w="556" w:type="pct"/>
            <w:tcBorders>
              <w:top w:val="single" w:sz="4" w:space="0" w:color="auto"/>
              <w:bottom w:val="single" w:sz="4" w:space="0" w:color="auto"/>
            </w:tcBorders>
          </w:tcPr>
          <w:p w:rsidR="00A54EB6" w:rsidRPr="00577EB1" w:rsidRDefault="00AD58C8" w:rsidP="00AD58C8">
            <w:pPr>
              <w:spacing w:after="0"/>
              <w:ind w:right="-204"/>
              <w:jc w:val="left"/>
              <w:rPr>
                <w:sz w:val="18"/>
                <w:szCs w:val="18"/>
                <w:lang w:val="fr-FR"/>
              </w:rPr>
            </w:pPr>
            <w:r>
              <w:rPr>
                <w:sz w:val="18"/>
                <w:szCs w:val="18"/>
                <w:lang w:val="fr-FR"/>
              </w:rPr>
              <w:t>1 476</w:t>
            </w:r>
            <w:r w:rsidR="00A54EB6" w:rsidRPr="00577EB1">
              <w:rPr>
                <w:sz w:val="18"/>
                <w:szCs w:val="18"/>
                <w:lang w:val="fr-FR"/>
              </w:rPr>
              <w:t xml:space="preserve"> millions de francs CFA (</w:t>
            </w:r>
            <w:r w:rsidRPr="00577EB1">
              <w:rPr>
                <w:sz w:val="18"/>
                <w:szCs w:val="18"/>
                <w:lang w:val="fr-FR"/>
              </w:rPr>
              <w:t>20</w:t>
            </w:r>
            <w:r>
              <w:rPr>
                <w:sz w:val="18"/>
                <w:szCs w:val="18"/>
                <w:lang w:val="fr-FR"/>
              </w:rPr>
              <w:t>09</w:t>
            </w:r>
            <w:r w:rsidR="00A54EB6" w:rsidRPr="00577EB1">
              <w:rPr>
                <w:sz w:val="18"/>
                <w:szCs w:val="18"/>
                <w:lang w:val="fr-FR"/>
              </w:rPr>
              <w:t>)</w:t>
            </w:r>
          </w:p>
        </w:tc>
        <w:tc>
          <w:tcPr>
            <w:tcW w:w="630" w:type="pct"/>
            <w:gridSpan w:val="2"/>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MSF, ECHO</w:t>
            </w:r>
          </w:p>
        </w:tc>
      </w:tr>
      <w:tr w:rsidR="00A54EB6" w:rsidRPr="00577EB1" w:rsidTr="0050199E">
        <w:trPr>
          <w:cantSplit/>
        </w:trPr>
        <w:tc>
          <w:tcPr>
            <w:tcW w:w="77"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p>
        </w:tc>
        <w:tc>
          <w:tcPr>
            <w:tcW w:w="858"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bCs/>
                <w:sz w:val="18"/>
                <w:szCs w:val="18"/>
                <w:lang w:val="fr-FR"/>
              </w:rPr>
              <w:t>Réduction de la mortalité infantile et de la malnutrition</w:t>
            </w:r>
            <w:r w:rsidR="0007340F">
              <w:rPr>
                <w:b/>
                <w:bCs/>
                <w:sz w:val="18"/>
                <w:szCs w:val="18"/>
                <w:lang w:val="fr-FR"/>
              </w:rPr>
              <w:t xml:space="preserve"> </w:t>
            </w:r>
            <w:r w:rsidRPr="00577EB1">
              <w:rPr>
                <w:sz w:val="18"/>
                <w:szCs w:val="18"/>
                <w:lang w:val="fr-FR"/>
              </w:rPr>
              <w:t>2007-2010</w:t>
            </w:r>
          </w:p>
        </w:tc>
        <w:tc>
          <w:tcPr>
            <w:tcW w:w="649"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Croix Rouge belge et burkinabé</w:t>
            </w:r>
          </w:p>
        </w:tc>
        <w:tc>
          <w:tcPr>
            <w:tcW w:w="1061"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bCs/>
                <w:sz w:val="18"/>
                <w:szCs w:val="18"/>
                <w:lang w:val="fr-FR"/>
              </w:rPr>
              <w:t>femmes enceintes et allaitantes et enfants en bas âge</w:t>
            </w:r>
            <w:r w:rsidRPr="00577EB1">
              <w:rPr>
                <w:sz w:val="18"/>
                <w:szCs w:val="18"/>
                <w:lang w:val="fr-FR"/>
              </w:rPr>
              <w:t xml:space="preserve"> </w:t>
            </w:r>
          </w:p>
        </w:tc>
        <w:tc>
          <w:tcPr>
            <w:tcW w:w="615"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180 villages dans les régions du Nord, du Sahel et du Sud-ouest </w:t>
            </w:r>
          </w:p>
        </w:tc>
        <w:tc>
          <w:tcPr>
            <w:tcW w:w="556"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556" w:type="pct"/>
            <w:tcBorders>
              <w:top w:val="single" w:sz="4" w:space="0" w:color="auto"/>
              <w:bottom w:val="single" w:sz="4" w:space="0" w:color="auto"/>
            </w:tcBorders>
          </w:tcPr>
          <w:p w:rsidR="00A54EB6" w:rsidRPr="00577EB1" w:rsidRDefault="00AD58C8" w:rsidP="00AD58C8">
            <w:pPr>
              <w:spacing w:after="0"/>
              <w:jc w:val="left"/>
              <w:rPr>
                <w:sz w:val="18"/>
                <w:szCs w:val="18"/>
                <w:lang w:val="fr-FR"/>
              </w:rPr>
            </w:pPr>
            <w:r>
              <w:rPr>
                <w:sz w:val="18"/>
                <w:szCs w:val="18"/>
                <w:lang w:val="fr-FR"/>
              </w:rPr>
              <w:t>472</w:t>
            </w:r>
            <w:r w:rsidRPr="00577EB1">
              <w:rPr>
                <w:sz w:val="18"/>
                <w:szCs w:val="18"/>
                <w:lang w:val="fr-FR"/>
              </w:rPr>
              <w:t xml:space="preserve"> </w:t>
            </w:r>
            <w:r w:rsidR="00A54EB6" w:rsidRPr="00577EB1">
              <w:rPr>
                <w:sz w:val="18"/>
                <w:szCs w:val="18"/>
                <w:lang w:val="fr-FR"/>
              </w:rPr>
              <w:t>millions de francs CFA (200</w:t>
            </w:r>
            <w:r>
              <w:rPr>
                <w:sz w:val="18"/>
                <w:szCs w:val="18"/>
                <w:lang w:val="fr-FR"/>
              </w:rPr>
              <w:t>9</w:t>
            </w:r>
            <w:r w:rsidR="00A54EB6" w:rsidRPr="00577EB1">
              <w:rPr>
                <w:sz w:val="18"/>
                <w:szCs w:val="18"/>
                <w:lang w:val="fr-FR"/>
              </w:rPr>
              <w:t>)</w:t>
            </w:r>
          </w:p>
        </w:tc>
        <w:tc>
          <w:tcPr>
            <w:tcW w:w="630" w:type="pct"/>
            <w:gridSpan w:val="2"/>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ECHO</w:t>
            </w:r>
          </w:p>
        </w:tc>
      </w:tr>
      <w:tr w:rsidR="00A54EB6" w:rsidRPr="00577EB1" w:rsidTr="0050199E">
        <w:trPr>
          <w:cantSplit/>
        </w:trPr>
        <w:tc>
          <w:tcPr>
            <w:tcW w:w="77"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p>
        </w:tc>
        <w:tc>
          <w:tcPr>
            <w:tcW w:w="858"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bCs/>
                <w:sz w:val="18"/>
                <w:szCs w:val="18"/>
                <w:lang w:val="fr-FR"/>
              </w:rPr>
              <w:t>Réduction de la malnutrition aiguë et de la mortalité des enfants de moins de 5 ans et des femmes enceintes et allaitantes</w:t>
            </w:r>
            <w:r w:rsidR="0007340F">
              <w:rPr>
                <w:b/>
                <w:bCs/>
                <w:sz w:val="18"/>
                <w:szCs w:val="18"/>
                <w:lang w:val="fr-FR"/>
              </w:rPr>
              <w:t xml:space="preserve"> </w:t>
            </w:r>
            <w:r w:rsidRPr="00AD58C8">
              <w:rPr>
                <w:sz w:val="18"/>
                <w:szCs w:val="18"/>
                <w:lang w:val="fr-FR"/>
              </w:rPr>
              <w:t>2007-</w:t>
            </w:r>
            <w:r w:rsidR="00EB214A" w:rsidRPr="00EB214A">
              <w:rPr>
                <w:sz w:val="18"/>
                <w:szCs w:val="18"/>
                <w:lang w:val="fr-FR"/>
              </w:rPr>
              <w:t>2010</w:t>
            </w:r>
          </w:p>
        </w:tc>
        <w:tc>
          <w:tcPr>
            <w:tcW w:w="649"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Terres des hommes et </w:t>
            </w:r>
            <w:r w:rsidRPr="00577EB1">
              <w:rPr>
                <w:i/>
                <w:sz w:val="18"/>
                <w:szCs w:val="18"/>
                <w:lang w:val="fr-FR"/>
              </w:rPr>
              <w:t>Helen Keller International</w:t>
            </w:r>
          </w:p>
        </w:tc>
        <w:tc>
          <w:tcPr>
            <w:tcW w:w="1061"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Femmes et enfants malnutris </w:t>
            </w:r>
          </w:p>
        </w:tc>
        <w:tc>
          <w:tcPr>
            <w:tcW w:w="615"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Districts de Tougan, Séguénéga, Gayéri et Fada </w:t>
            </w:r>
          </w:p>
        </w:tc>
        <w:tc>
          <w:tcPr>
            <w:tcW w:w="556"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556" w:type="pct"/>
            <w:tcBorders>
              <w:top w:val="single" w:sz="4" w:space="0" w:color="auto"/>
              <w:bottom w:val="single" w:sz="4" w:space="0" w:color="auto"/>
            </w:tcBorders>
          </w:tcPr>
          <w:p w:rsidR="00A54EB6" w:rsidRPr="00577EB1" w:rsidRDefault="00AD58C8" w:rsidP="0050199E">
            <w:pPr>
              <w:spacing w:after="0"/>
              <w:jc w:val="left"/>
              <w:rPr>
                <w:sz w:val="18"/>
                <w:szCs w:val="18"/>
                <w:lang w:val="fr-FR"/>
              </w:rPr>
            </w:pPr>
            <w:r w:rsidRPr="00577EB1">
              <w:rPr>
                <w:sz w:val="18"/>
                <w:szCs w:val="18"/>
                <w:lang w:val="fr-FR"/>
              </w:rPr>
              <w:t>n/a</w:t>
            </w:r>
          </w:p>
        </w:tc>
        <w:tc>
          <w:tcPr>
            <w:tcW w:w="630" w:type="pct"/>
            <w:gridSpan w:val="2"/>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ECHO</w:t>
            </w:r>
          </w:p>
        </w:tc>
      </w:tr>
      <w:tr w:rsidR="00A54EB6" w:rsidRPr="00577EB1" w:rsidTr="0050199E">
        <w:trPr>
          <w:cantSplit/>
        </w:trPr>
        <w:tc>
          <w:tcPr>
            <w:tcW w:w="77"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p>
        </w:tc>
        <w:tc>
          <w:tcPr>
            <w:tcW w:w="858"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bCs/>
                <w:sz w:val="18"/>
                <w:szCs w:val="18"/>
                <w:lang w:val="fr-FR"/>
              </w:rPr>
              <w:t>Prévention et traitement de la malnutrition aiguë</w:t>
            </w:r>
            <w:r w:rsidR="0007340F">
              <w:rPr>
                <w:b/>
                <w:bCs/>
                <w:sz w:val="18"/>
                <w:szCs w:val="18"/>
                <w:lang w:val="fr-FR"/>
              </w:rPr>
              <w:t xml:space="preserve"> </w:t>
            </w:r>
            <w:r w:rsidRPr="00577EB1">
              <w:rPr>
                <w:sz w:val="18"/>
                <w:szCs w:val="18"/>
                <w:lang w:val="fr-FR"/>
              </w:rPr>
              <w:t>2008-2010</w:t>
            </w:r>
          </w:p>
        </w:tc>
        <w:tc>
          <w:tcPr>
            <w:tcW w:w="649"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Action contre la faim</w:t>
            </w:r>
          </w:p>
        </w:tc>
        <w:tc>
          <w:tcPr>
            <w:tcW w:w="1061"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Enfants de 6 à 59 mois atteints de malnutrition sévère </w:t>
            </w:r>
          </w:p>
        </w:tc>
        <w:tc>
          <w:tcPr>
            <w:tcW w:w="615"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District sanitaire de Diapaga, province de la Tapoa </w:t>
            </w:r>
          </w:p>
        </w:tc>
        <w:tc>
          <w:tcPr>
            <w:tcW w:w="556"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556" w:type="pct"/>
            <w:tcBorders>
              <w:top w:val="single" w:sz="4" w:space="0" w:color="auto"/>
              <w:bottom w:val="single" w:sz="4" w:space="0" w:color="auto"/>
            </w:tcBorders>
          </w:tcPr>
          <w:p w:rsidR="00A54EB6" w:rsidRPr="00577EB1" w:rsidRDefault="00AD58C8" w:rsidP="00AD58C8">
            <w:pPr>
              <w:spacing w:after="0"/>
              <w:ind w:right="-62"/>
              <w:jc w:val="left"/>
              <w:rPr>
                <w:sz w:val="18"/>
                <w:szCs w:val="18"/>
                <w:lang w:val="fr-FR"/>
              </w:rPr>
            </w:pPr>
            <w:r>
              <w:rPr>
                <w:sz w:val="18"/>
                <w:szCs w:val="18"/>
                <w:lang w:val="fr-FR"/>
              </w:rPr>
              <w:t>527</w:t>
            </w:r>
            <w:r w:rsidRPr="00577EB1">
              <w:rPr>
                <w:sz w:val="18"/>
                <w:szCs w:val="18"/>
                <w:lang w:val="fr-FR"/>
              </w:rPr>
              <w:t xml:space="preserve"> </w:t>
            </w:r>
            <w:r w:rsidR="00A54EB6" w:rsidRPr="00577EB1">
              <w:rPr>
                <w:sz w:val="18"/>
                <w:szCs w:val="18"/>
                <w:lang w:val="fr-FR"/>
              </w:rPr>
              <w:t>millions de francs CFA (200</w:t>
            </w:r>
            <w:r>
              <w:rPr>
                <w:sz w:val="18"/>
                <w:szCs w:val="18"/>
                <w:lang w:val="fr-FR"/>
              </w:rPr>
              <w:t>9</w:t>
            </w:r>
            <w:r w:rsidR="00A54EB6" w:rsidRPr="00577EB1">
              <w:rPr>
                <w:sz w:val="18"/>
                <w:szCs w:val="18"/>
                <w:lang w:val="fr-FR"/>
              </w:rPr>
              <w:t>)</w:t>
            </w:r>
          </w:p>
        </w:tc>
        <w:tc>
          <w:tcPr>
            <w:tcW w:w="630" w:type="pct"/>
            <w:gridSpan w:val="2"/>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ECHO</w:t>
            </w:r>
          </w:p>
        </w:tc>
      </w:tr>
      <w:tr w:rsidR="00A54EB6" w:rsidRPr="00577EB1" w:rsidTr="0050199E">
        <w:trPr>
          <w:cantSplit/>
        </w:trPr>
        <w:tc>
          <w:tcPr>
            <w:tcW w:w="77"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p>
        </w:tc>
        <w:tc>
          <w:tcPr>
            <w:tcW w:w="858"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bCs/>
                <w:sz w:val="18"/>
                <w:szCs w:val="18"/>
                <w:lang w:val="fr-FR"/>
              </w:rPr>
              <w:t>Urgence nutritionnelle pour les enfants</w:t>
            </w:r>
            <w:r w:rsidR="0007340F">
              <w:rPr>
                <w:b/>
                <w:bCs/>
                <w:sz w:val="18"/>
                <w:szCs w:val="18"/>
                <w:lang w:val="fr-FR"/>
              </w:rPr>
              <w:t xml:space="preserve"> </w:t>
            </w:r>
            <w:r w:rsidRPr="00577EB1">
              <w:rPr>
                <w:sz w:val="18"/>
                <w:szCs w:val="18"/>
                <w:lang w:val="fr-FR"/>
              </w:rPr>
              <w:t>2008-2010</w:t>
            </w:r>
          </w:p>
        </w:tc>
        <w:tc>
          <w:tcPr>
            <w:tcW w:w="649"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i/>
                <w:sz w:val="18"/>
                <w:szCs w:val="18"/>
                <w:lang w:val="fr-FR"/>
              </w:rPr>
              <w:t>Save the Children</w:t>
            </w:r>
            <w:r w:rsidRPr="00577EB1">
              <w:rPr>
                <w:sz w:val="18"/>
                <w:szCs w:val="18"/>
                <w:lang w:val="fr-FR"/>
              </w:rPr>
              <w:t xml:space="preserve"> UK</w:t>
            </w:r>
          </w:p>
        </w:tc>
        <w:tc>
          <w:tcPr>
            <w:tcW w:w="1061"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Enfants de 6 à 59 mois atteints de malnutrition sévère </w:t>
            </w:r>
          </w:p>
        </w:tc>
        <w:tc>
          <w:tcPr>
            <w:tcW w:w="615"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District de Kaya, région du Centre-Nord </w:t>
            </w:r>
          </w:p>
        </w:tc>
        <w:tc>
          <w:tcPr>
            <w:tcW w:w="556" w:type="pct"/>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556" w:type="pct"/>
            <w:tcBorders>
              <w:top w:val="single" w:sz="4" w:space="0" w:color="auto"/>
              <w:bottom w:val="single" w:sz="4" w:space="0" w:color="auto"/>
            </w:tcBorders>
          </w:tcPr>
          <w:p w:rsidR="00A54EB6" w:rsidRPr="00577EB1" w:rsidRDefault="00AD58C8" w:rsidP="00AD58C8">
            <w:pPr>
              <w:spacing w:after="0"/>
              <w:ind w:right="-62"/>
              <w:jc w:val="left"/>
              <w:rPr>
                <w:sz w:val="18"/>
                <w:szCs w:val="18"/>
                <w:lang w:val="fr-FR"/>
              </w:rPr>
            </w:pPr>
            <w:r w:rsidRPr="00577EB1">
              <w:rPr>
                <w:sz w:val="18"/>
                <w:szCs w:val="18"/>
                <w:lang w:val="fr-FR"/>
              </w:rPr>
              <w:t>4</w:t>
            </w:r>
            <w:r>
              <w:rPr>
                <w:sz w:val="18"/>
                <w:szCs w:val="18"/>
                <w:lang w:val="fr-FR"/>
              </w:rPr>
              <w:t>1</w:t>
            </w:r>
            <w:r w:rsidRPr="00577EB1">
              <w:rPr>
                <w:sz w:val="18"/>
                <w:szCs w:val="18"/>
                <w:lang w:val="fr-FR"/>
              </w:rPr>
              <w:t xml:space="preserve">2 </w:t>
            </w:r>
            <w:r w:rsidR="00A54EB6" w:rsidRPr="00577EB1">
              <w:rPr>
                <w:sz w:val="18"/>
                <w:szCs w:val="18"/>
                <w:lang w:val="fr-FR"/>
              </w:rPr>
              <w:t>millions de francs CFA (</w:t>
            </w:r>
            <w:r w:rsidRPr="00577EB1">
              <w:rPr>
                <w:sz w:val="18"/>
                <w:szCs w:val="18"/>
                <w:lang w:val="fr-FR"/>
              </w:rPr>
              <w:t>200</w:t>
            </w:r>
            <w:r>
              <w:rPr>
                <w:sz w:val="18"/>
                <w:szCs w:val="18"/>
                <w:lang w:val="fr-FR"/>
              </w:rPr>
              <w:t>9</w:t>
            </w:r>
            <w:r w:rsidR="00A54EB6" w:rsidRPr="00577EB1">
              <w:rPr>
                <w:sz w:val="18"/>
                <w:szCs w:val="18"/>
                <w:lang w:val="fr-FR"/>
              </w:rPr>
              <w:t>)</w:t>
            </w:r>
          </w:p>
        </w:tc>
        <w:tc>
          <w:tcPr>
            <w:tcW w:w="630" w:type="pct"/>
            <w:gridSpan w:val="2"/>
            <w:tcBorders>
              <w:top w:val="single"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ECHO</w:t>
            </w:r>
          </w:p>
        </w:tc>
      </w:tr>
      <w:tr w:rsidR="00A54EB6" w:rsidRPr="000A70E6" w:rsidTr="0050199E">
        <w:trPr>
          <w:gridAfter w:val="1"/>
          <w:wAfter w:w="50" w:type="pct"/>
          <w:cantSplit/>
        </w:trPr>
        <w:tc>
          <w:tcPr>
            <w:tcW w:w="4950" w:type="pct"/>
            <w:gridSpan w:val="8"/>
            <w:tcBorders>
              <w:top w:val="single" w:sz="4" w:space="0" w:color="auto"/>
            </w:tcBorders>
            <w:shd w:val="clear" w:color="auto" w:fill="D9D9D9"/>
          </w:tcPr>
          <w:p w:rsidR="00A54EB6" w:rsidRPr="00577EB1" w:rsidRDefault="00A54EB6" w:rsidP="0050199E">
            <w:pPr>
              <w:spacing w:after="0"/>
              <w:ind w:left="176"/>
              <w:jc w:val="left"/>
              <w:rPr>
                <w:sz w:val="18"/>
                <w:szCs w:val="18"/>
                <w:lang w:val="fr-FR"/>
              </w:rPr>
            </w:pPr>
            <w:r w:rsidRPr="00577EB1">
              <w:rPr>
                <w:sz w:val="18"/>
                <w:szCs w:val="18"/>
                <w:lang w:val="fr-FR"/>
              </w:rPr>
              <w:t>Cantines scolaires (et rations à emporter)</w:t>
            </w:r>
          </w:p>
        </w:tc>
      </w:tr>
      <w:tr w:rsidR="00A54EB6" w:rsidRPr="00577EB1" w:rsidTr="0050199E">
        <w:trPr>
          <w:cantSplit/>
        </w:trPr>
        <w:tc>
          <w:tcPr>
            <w:tcW w:w="77" w:type="pct"/>
            <w:tcBorders>
              <w:bottom w:val="dotted" w:sz="4" w:space="0" w:color="auto"/>
            </w:tcBorders>
          </w:tcPr>
          <w:p w:rsidR="00A54EB6" w:rsidRPr="00577EB1" w:rsidRDefault="00A54EB6" w:rsidP="0050199E">
            <w:pPr>
              <w:spacing w:after="0"/>
              <w:jc w:val="left"/>
              <w:rPr>
                <w:sz w:val="18"/>
                <w:szCs w:val="18"/>
                <w:lang w:val="fr-FR"/>
              </w:rPr>
            </w:pPr>
          </w:p>
        </w:tc>
        <w:tc>
          <w:tcPr>
            <w:tcW w:w="858"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Cantines scolaires du primaire (cantines endogènes)</w:t>
            </w:r>
            <w:r w:rsidR="0007340F">
              <w:rPr>
                <w:sz w:val="18"/>
                <w:szCs w:val="18"/>
                <w:lang w:val="fr-FR"/>
              </w:rPr>
              <w:t xml:space="preserve"> </w:t>
            </w:r>
            <w:r w:rsidRPr="00577EB1">
              <w:rPr>
                <w:sz w:val="18"/>
                <w:szCs w:val="18"/>
                <w:lang w:val="fr-FR"/>
              </w:rPr>
              <w:t>depuis 1988</w:t>
            </w:r>
          </w:p>
        </w:tc>
        <w:tc>
          <w:tcPr>
            <w:tcW w:w="649"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MEBA</w:t>
            </w:r>
          </w:p>
        </w:tc>
        <w:tc>
          <w:tcPr>
            <w:tcW w:w="1061"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Élèves du primaire des établissements publics </w:t>
            </w:r>
          </w:p>
        </w:tc>
        <w:tc>
          <w:tcPr>
            <w:tcW w:w="615"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22 provinces</w:t>
            </w:r>
          </w:p>
        </w:tc>
        <w:tc>
          <w:tcPr>
            <w:tcW w:w="556"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711 000 élèves de 3 565 écoles (2008/2009)</w:t>
            </w:r>
          </w:p>
        </w:tc>
        <w:tc>
          <w:tcPr>
            <w:tcW w:w="556" w:type="pct"/>
            <w:tcBorders>
              <w:bottom w:val="dotted" w:sz="4" w:space="0" w:color="auto"/>
            </w:tcBorders>
          </w:tcPr>
          <w:p w:rsidR="00A54EB6" w:rsidRPr="00577EB1" w:rsidRDefault="00A54EB6" w:rsidP="0050199E">
            <w:pPr>
              <w:spacing w:after="0"/>
              <w:ind w:right="-62"/>
              <w:jc w:val="left"/>
              <w:rPr>
                <w:sz w:val="18"/>
                <w:szCs w:val="18"/>
                <w:lang w:val="fr-FR"/>
              </w:rPr>
            </w:pPr>
            <w:r w:rsidRPr="00577EB1">
              <w:rPr>
                <w:sz w:val="18"/>
                <w:szCs w:val="18"/>
                <w:lang w:val="fr-FR"/>
              </w:rPr>
              <w:t>4,5milliards de francs CFA (2008/2009)</w:t>
            </w:r>
          </w:p>
        </w:tc>
        <w:tc>
          <w:tcPr>
            <w:tcW w:w="630" w:type="pct"/>
            <w:gridSpan w:val="2"/>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État, CAST, Communautés</w:t>
            </w:r>
          </w:p>
        </w:tc>
      </w:tr>
      <w:tr w:rsidR="00A54EB6" w:rsidRPr="00577EB1" w:rsidTr="0050199E">
        <w:trPr>
          <w:cantSplit/>
        </w:trPr>
        <w:tc>
          <w:tcPr>
            <w:tcW w:w="77"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p>
        </w:tc>
        <w:tc>
          <w:tcPr>
            <w:tcW w:w="858"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Cantines scolaires du secondaire </w:t>
            </w:r>
          </w:p>
        </w:tc>
        <w:tc>
          <w:tcPr>
            <w:tcW w:w="649"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kern w:val="24"/>
                <w:sz w:val="18"/>
                <w:szCs w:val="18"/>
                <w:lang w:val="fr-FR" w:eastAsia="fr-FR"/>
              </w:rPr>
              <w:t>MESSRS</w:t>
            </w:r>
          </w:p>
        </w:tc>
        <w:tc>
          <w:tcPr>
            <w:tcW w:w="1061"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Élèves du secondaire dans les établissements publics </w:t>
            </w:r>
          </w:p>
        </w:tc>
        <w:tc>
          <w:tcPr>
            <w:tcW w:w="615"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National</w:t>
            </w:r>
          </w:p>
        </w:tc>
        <w:tc>
          <w:tcPr>
            <w:tcW w:w="556" w:type="pct"/>
            <w:tcBorders>
              <w:top w:val="dotted" w:sz="4" w:space="0" w:color="auto"/>
              <w:bottom w:val="single" w:sz="4" w:space="0" w:color="auto"/>
            </w:tcBorders>
          </w:tcPr>
          <w:p w:rsidR="00A54EB6" w:rsidRPr="00577EB1" w:rsidRDefault="00A54EB6" w:rsidP="0050199E">
            <w:pPr>
              <w:spacing w:after="0"/>
              <w:ind w:right="-184"/>
              <w:jc w:val="left"/>
              <w:rPr>
                <w:sz w:val="18"/>
                <w:szCs w:val="18"/>
                <w:lang w:val="fr-FR"/>
              </w:rPr>
            </w:pPr>
            <w:r w:rsidRPr="00577EB1">
              <w:rPr>
                <w:sz w:val="18"/>
                <w:szCs w:val="18"/>
                <w:lang w:val="fr-FR"/>
              </w:rPr>
              <w:t>20 700 élèves dans 310 établissements (2008-2009)</w:t>
            </w:r>
          </w:p>
        </w:tc>
        <w:tc>
          <w:tcPr>
            <w:tcW w:w="556"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750 millions de francs CFA (2008/2009)</w:t>
            </w:r>
          </w:p>
        </w:tc>
        <w:tc>
          <w:tcPr>
            <w:tcW w:w="630" w:type="pct"/>
            <w:gridSpan w:val="2"/>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État, Communautés</w:t>
            </w:r>
          </w:p>
        </w:tc>
      </w:tr>
      <w:tr w:rsidR="00A54EB6" w:rsidRPr="00577EB1" w:rsidTr="0050199E">
        <w:trPr>
          <w:cantSplit/>
        </w:trPr>
        <w:tc>
          <w:tcPr>
            <w:tcW w:w="77" w:type="pct"/>
            <w:tcBorders>
              <w:bottom w:val="dotted" w:sz="4" w:space="0" w:color="auto"/>
            </w:tcBorders>
          </w:tcPr>
          <w:p w:rsidR="00A54EB6" w:rsidRPr="00577EB1" w:rsidRDefault="00A54EB6" w:rsidP="0050199E">
            <w:pPr>
              <w:spacing w:after="0"/>
              <w:jc w:val="left"/>
              <w:rPr>
                <w:sz w:val="18"/>
                <w:szCs w:val="18"/>
                <w:lang w:val="fr-FR"/>
              </w:rPr>
            </w:pPr>
          </w:p>
        </w:tc>
        <w:tc>
          <w:tcPr>
            <w:tcW w:w="858"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Cantines scolaires assistées dans les écoles primaires</w:t>
            </w:r>
            <w:r w:rsidR="0007340F">
              <w:rPr>
                <w:sz w:val="18"/>
                <w:szCs w:val="18"/>
                <w:lang w:val="fr-FR"/>
              </w:rPr>
              <w:t xml:space="preserve"> </w:t>
            </w:r>
            <w:r w:rsidRPr="00577EB1">
              <w:rPr>
                <w:sz w:val="18"/>
                <w:szCs w:val="18"/>
                <w:lang w:val="fr-FR"/>
              </w:rPr>
              <w:t>depuis 1962</w:t>
            </w:r>
          </w:p>
        </w:tc>
        <w:tc>
          <w:tcPr>
            <w:tcW w:w="649"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CRS et partenaires </w:t>
            </w:r>
          </w:p>
        </w:tc>
        <w:tc>
          <w:tcPr>
            <w:tcW w:w="1061"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Élèves des établissements publics, privés et communautaires </w:t>
            </w:r>
          </w:p>
        </w:tc>
        <w:tc>
          <w:tcPr>
            <w:tcW w:w="615"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19 provinces</w:t>
            </w:r>
          </w:p>
        </w:tc>
        <w:tc>
          <w:tcPr>
            <w:tcW w:w="556" w:type="pct"/>
            <w:tcBorders>
              <w:bottom w:val="dotted" w:sz="4" w:space="0" w:color="auto"/>
            </w:tcBorders>
          </w:tcPr>
          <w:p w:rsidR="00A54EB6" w:rsidRPr="00577EB1" w:rsidRDefault="00A54EB6" w:rsidP="0050199E">
            <w:pPr>
              <w:spacing w:after="0"/>
              <w:ind w:right="-184"/>
              <w:jc w:val="left"/>
              <w:rPr>
                <w:sz w:val="18"/>
                <w:szCs w:val="18"/>
                <w:lang w:val="fr-FR"/>
              </w:rPr>
            </w:pPr>
            <w:r w:rsidRPr="00577EB1">
              <w:rPr>
                <w:sz w:val="18"/>
                <w:szCs w:val="18"/>
                <w:lang w:val="fr-FR"/>
              </w:rPr>
              <w:t xml:space="preserve">245 900 élèves de </w:t>
            </w:r>
          </w:p>
          <w:p w:rsidR="00A54EB6" w:rsidRPr="00577EB1" w:rsidRDefault="00A54EB6" w:rsidP="0050199E">
            <w:pPr>
              <w:spacing w:after="0"/>
              <w:ind w:right="-184"/>
              <w:jc w:val="left"/>
              <w:rPr>
                <w:sz w:val="18"/>
                <w:szCs w:val="18"/>
                <w:lang w:val="fr-FR"/>
              </w:rPr>
            </w:pPr>
            <w:r w:rsidRPr="00577EB1">
              <w:rPr>
                <w:sz w:val="18"/>
                <w:szCs w:val="18"/>
                <w:lang w:val="fr-FR"/>
              </w:rPr>
              <w:t>1 328 écoles (2008-2009)</w:t>
            </w:r>
          </w:p>
        </w:tc>
        <w:tc>
          <w:tcPr>
            <w:tcW w:w="556"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2,3milliards de francs CFAF (2009)</w:t>
            </w:r>
          </w:p>
        </w:tc>
        <w:tc>
          <w:tcPr>
            <w:tcW w:w="630" w:type="pct"/>
            <w:gridSpan w:val="2"/>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USAID, Communautés </w:t>
            </w:r>
          </w:p>
        </w:tc>
      </w:tr>
      <w:tr w:rsidR="00A54EB6" w:rsidRPr="00577EB1" w:rsidTr="0050199E">
        <w:trPr>
          <w:cantSplit/>
        </w:trPr>
        <w:tc>
          <w:tcPr>
            <w:tcW w:w="77" w:type="pct"/>
            <w:tcBorders>
              <w:bottom w:val="dotted" w:sz="4" w:space="0" w:color="auto"/>
            </w:tcBorders>
          </w:tcPr>
          <w:p w:rsidR="00A54EB6" w:rsidRPr="00577EB1" w:rsidRDefault="00A54EB6" w:rsidP="0050199E">
            <w:pPr>
              <w:spacing w:after="0"/>
              <w:jc w:val="left"/>
              <w:rPr>
                <w:sz w:val="18"/>
                <w:szCs w:val="18"/>
                <w:lang w:val="fr-FR"/>
              </w:rPr>
            </w:pPr>
          </w:p>
        </w:tc>
        <w:tc>
          <w:tcPr>
            <w:tcW w:w="858"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Cantines scolaires assistées dans les </w:t>
            </w:r>
            <w:r w:rsidRPr="00577EB1">
              <w:rPr>
                <w:i/>
                <w:sz w:val="18"/>
                <w:szCs w:val="18"/>
                <w:lang w:val="fr-FR"/>
              </w:rPr>
              <w:t>bisongo</w:t>
            </w:r>
          </w:p>
        </w:tc>
        <w:tc>
          <w:tcPr>
            <w:tcW w:w="649"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CRS et partenaires </w:t>
            </w:r>
          </w:p>
        </w:tc>
        <w:tc>
          <w:tcPr>
            <w:tcW w:w="1061"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Les enfants fréquentant les </w:t>
            </w:r>
            <w:r w:rsidRPr="00577EB1">
              <w:rPr>
                <w:i/>
                <w:sz w:val="18"/>
                <w:szCs w:val="18"/>
                <w:lang w:val="fr-FR"/>
              </w:rPr>
              <w:t>bisongo</w:t>
            </w:r>
          </w:p>
        </w:tc>
        <w:tc>
          <w:tcPr>
            <w:tcW w:w="615"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556" w:type="pct"/>
            <w:tcBorders>
              <w:bottom w:val="dotted" w:sz="4" w:space="0" w:color="auto"/>
            </w:tcBorders>
          </w:tcPr>
          <w:p w:rsidR="00A54EB6" w:rsidRPr="00577EB1" w:rsidRDefault="00A54EB6" w:rsidP="0050199E">
            <w:pPr>
              <w:spacing w:after="0"/>
              <w:ind w:right="-184"/>
              <w:jc w:val="left"/>
              <w:rPr>
                <w:sz w:val="18"/>
                <w:szCs w:val="18"/>
                <w:lang w:val="fr-FR"/>
              </w:rPr>
            </w:pPr>
            <w:r w:rsidRPr="00577EB1">
              <w:rPr>
                <w:sz w:val="18"/>
                <w:szCs w:val="18"/>
                <w:lang w:val="fr-FR"/>
              </w:rPr>
              <w:t xml:space="preserve">4 029 enfants de 41 </w:t>
            </w:r>
            <w:r w:rsidRPr="00577EB1">
              <w:rPr>
                <w:i/>
                <w:sz w:val="18"/>
                <w:szCs w:val="18"/>
                <w:lang w:val="fr-FR"/>
              </w:rPr>
              <w:t>bisongo</w:t>
            </w:r>
            <w:r w:rsidRPr="00577EB1">
              <w:rPr>
                <w:sz w:val="18"/>
                <w:szCs w:val="18"/>
                <w:lang w:val="fr-FR"/>
              </w:rPr>
              <w:t xml:space="preserve"> (2009)</w:t>
            </w:r>
          </w:p>
        </w:tc>
        <w:tc>
          <w:tcPr>
            <w:tcW w:w="556"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48 millions de francs CFA (2009)</w:t>
            </w:r>
          </w:p>
        </w:tc>
        <w:tc>
          <w:tcPr>
            <w:tcW w:w="630" w:type="pct"/>
            <w:gridSpan w:val="2"/>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USAID, Communautés</w:t>
            </w:r>
          </w:p>
        </w:tc>
      </w:tr>
      <w:tr w:rsidR="00A54EB6" w:rsidRPr="00577EB1" w:rsidTr="0050199E">
        <w:trPr>
          <w:cantSplit/>
        </w:trPr>
        <w:tc>
          <w:tcPr>
            <w:tcW w:w="77" w:type="pct"/>
            <w:tcBorders>
              <w:bottom w:val="dotted" w:sz="4" w:space="0" w:color="auto"/>
            </w:tcBorders>
          </w:tcPr>
          <w:p w:rsidR="00A54EB6" w:rsidRPr="00577EB1" w:rsidRDefault="00A54EB6" w:rsidP="0050199E">
            <w:pPr>
              <w:spacing w:after="0"/>
              <w:jc w:val="left"/>
              <w:rPr>
                <w:sz w:val="18"/>
                <w:szCs w:val="18"/>
                <w:lang w:val="fr-FR"/>
              </w:rPr>
            </w:pPr>
          </w:p>
        </w:tc>
        <w:tc>
          <w:tcPr>
            <w:tcW w:w="858"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Cantines scolaires assistées dans les écoles BRIGHT </w:t>
            </w:r>
          </w:p>
        </w:tc>
        <w:tc>
          <w:tcPr>
            <w:tcW w:w="649"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CRS avec Tin Tua et FAWE</w:t>
            </w:r>
          </w:p>
        </w:tc>
        <w:tc>
          <w:tcPr>
            <w:tcW w:w="1061"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Les filles des écoles BRIGHT </w:t>
            </w:r>
          </w:p>
        </w:tc>
        <w:tc>
          <w:tcPr>
            <w:tcW w:w="615"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10 provinces</w:t>
            </w:r>
          </w:p>
        </w:tc>
        <w:tc>
          <w:tcPr>
            <w:tcW w:w="556" w:type="pct"/>
            <w:tcBorders>
              <w:bottom w:val="dotted" w:sz="4" w:space="0" w:color="auto"/>
            </w:tcBorders>
          </w:tcPr>
          <w:p w:rsidR="00A54EB6" w:rsidRPr="00577EB1" w:rsidRDefault="00AD58C8" w:rsidP="0050199E">
            <w:pPr>
              <w:spacing w:after="0"/>
              <w:jc w:val="left"/>
              <w:rPr>
                <w:sz w:val="18"/>
                <w:szCs w:val="18"/>
                <w:lang w:val="fr-FR"/>
              </w:rPr>
            </w:pPr>
            <w:r>
              <w:rPr>
                <w:sz w:val="18"/>
                <w:szCs w:val="18"/>
                <w:lang w:val="fr-FR"/>
              </w:rPr>
              <w:t xml:space="preserve">3 000 filles dans </w:t>
            </w:r>
            <w:r w:rsidR="00A54EB6" w:rsidRPr="00577EB1">
              <w:rPr>
                <w:sz w:val="18"/>
                <w:szCs w:val="18"/>
                <w:lang w:val="fr-FR"/>
              </w:rPr>
              <w:t xml:space="preserve">13 écoles </w:t>
            </w:r>
          </w:p>
        </w:tc>
        <w:tc>
          <w:tcPr>
            <w:tcW w:w="556"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13 millions de francs CFA (2009)</w:t>
            </w:r>
          </w:p>
        </w:tc>
        <w:tc>
          <w:tcPr>
            <w:tcW w:w="630" w:type="pct"/>
            <w:gridSpan w:val="2"/>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USAID, Communautés </w:t>
            </w:r>
          </w:p>
        </w:tc>
      </w:tr>
      <w:tr w:rsidR="00A54EB6" w:rsidRPr="00577EB1" w:rsidTr="0050199E">
        <w:trPr>
          <w:cantSplit/>
        </w:trPr>
        <w:tc>
          <w:tcPr>
            <w:tcW w:w="77"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p>
        </w:tc>
        <w:tc>
          <w:tcPr>
            <w:tcW w:w="858"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Cantines scolaires assistées (CP10399.0 Composante 1)</w:t>
            </w:r>
            <w:r w:rsidR="0007340F">
              <w:rPr>
                <w:sz w:val="18"/>
                <w:szCs w:val="18"/>
                <w:lang w:val="fr-FR"/>
              </w:rPr>
              <w:t xml:space="preserve"> </w:t>
            </w:r>
            <w:r w:rsidRPr="00577EB1">
              <w:rPr>
                <w:sz w:val="18"/>
                <w:szCs w:val="18"/>
                <w:lang w:val="fr-FR"/>
              </w:rPr>
              <w:t>depuis 2002</w:t>
            </w:r>
          </w:p>
        </w:tc>
        <w:tc>
          <w:tcPr>
            <w:tcW w:w="649"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PAM et partenaires </w:t>
            </w:r>
          </w:p>
        </w:tc>
        <w:tc>
          <w:tcPr>
            <w:tcW w:w="1061"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Les élèves du primaire </w:t>
            </w:r>
          </w:p>
        </w:tc>
        <w:tc>
          <w:tcPr>
            <w:tcW w:w="615"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4 provinces du Sahel </w:t>
            </w:r>
          </w:p>
        </w:tc>
        <w:tc>
          <w:tcPr>
            <w:tcW w:w="556"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eastAsia="fr-FR"/>
              </w:rPr>
              <w:t xml:space="preserve">86 000 élèves de </w:t>
            </w:r>
            <w:r w:rsidRPr="00577EB1">
              <w:rPr>
                <w:sz w:val="18"/>
                <w:szCs w:val="18"/>
                <w:lang w:val="fr-FR"/>
              </w:rPr>
              <w:t>640 écoles (2009/2010)</w:t>
            </w:r>
          </w:p>
        </w:tc>
        <w:tc>
          <w:tcPr>
            <w:tcW w:w="556"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864 millions de francs CFA </w:t>
            </w:r>
          </w:p>
          <w:p w:rsidR="00A54EB6" w:rsidRPr="00577EB1" w:rsidRDefault="00A54EB6" w:rsidP="0050199E">
            <w:pPr>
              <w:spacing w:after="0"/>
              <w:jc w:val="left"/>
              <w:rPr>
                <w:sz w:val="18"/>
                <w:szCs w:val="18"/>
                <w:lang w:val="fr-FR"/>
              </w:rPr>
            </w:pPr>
            <w:r w:rsidRPr="00577EB1">
              <w:rPr>
                <w:sz w:val="18"/>
                <w:szCs w:val="18"/>
                <w:lang w:val="fr-FR"/>
              </w:rPr>
              <w:t>(2009)</w:t>
            </w:r>
          </w:p>
        </w:tc>
        <w:tc>
          <w:tcPr>
            <w:tcW w:w="630" w:type="pct"/>
            <w:gridSpan w:val="2"/>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Multilatéral, État, Communautés</w:t>
            </w:r>
          </w:p>
        </w:tc>
      </w:tr>
      <w:tr w:rsidR="00A54EB6" w:rsidRPr="000A70E6" w:rsidTr="0050199E">
        <w:trPr>
          <w:gridAfter w:val="1"/>
          <w:wAfter w:w="50" w:type="pct"/>
          <w:cantSplit/>
        </w:trPr>
        <w:tc>
          <w:tcPr>
            <w:tcW w:w="4950" w:type="pct"/>
            <w:gridSpan w:val="8"/>
            <w:tcBorders>
              <w:top w:val="single" w:sz="4" w:space="0" w:color="auto"/>
            </w:tcBorders>
            <w:shd w:val="clear" w:color="auto" w:fill="BFBFBF"/>
          </w:tcPr>
          <w:p w:rsidR="00A54EB6" w:rsidRPr="00577EB1" w:rsidRDefault="00A54EB6" w:rsidP="0050199E">
            <w:pPr>
              <w:spacing w:after="0"/>
              <w:jc w:val="left"/>
              <w:rPr>
                <w:sz w:val="18"/>
                <w:szCs w:val="18"/>
                <w:lang w:val="fr-FR"/>
              </w:rPr>
            </w:pPr>
            <w:r w:rsidRPr="00577EB1">
              <w:rPr>
                <w:sz w:val="18"/>
                <w:szCs w:val="18"/>
                <w:lang w:val="fr-FR"/>
              </w:rPr>
              <w:t xml:space="preserve">SUBVENTIONS DES PRODUITS ALIMENTAIRES ET PETROLIERS </w:t>
            </w:r>
          </w:p>
        </w:tc>
      </w:tr>
      <w:tr w:rsidR="00A54EB6" w:rsidRPr="000A70E6" w:rsidTr="0050199E">
        <w:trPr>
          <w:gridAfter w:val="1"/>
          <w:wAfter w:w="50" w:type="pct"/>
          <w:cantSplit/>
        </w:trPr>
        <w:tc>
          <w:tcPr>
            <w:tcW w:w="4950" w:type="pct"/>
            <w:gridSpan w:val="8"/>
            <w:shd w:val="clear" w:color="auto" w:fill="D9D9D9"/>
          </w:tcPr>
          <w:p w:rsidR="00A54EB6" w:rsidRPr="00577EB1" w:rsidRDefault="00A54EB6" w:rsidP="0050199E">
            <w:pPr>
              <w:spacing w:after="0"/>
              <w:ind w:left="176"/>
              <w:jc w:val="left"/>
              <w:rPr>
                <w:sz w:val="18"/>
                <w:szCs w:val="18"/>
                <w:lang w:val="fr-FR"/>
              </w:rPr>
            </w:pPr>
            <w:r w:rsidRPr="00577EB1">
              <w:rPr>
                <w:sz w:val="18"/>
                <w:szCs w:val="18"/>
                <w:lang w:val="fr-FR"/>
              </w:rPr>
              <w:t>Soutien universel indirect des produits alimentaires</w:t>
            </w:r>
          </w:p>
        </w:tc>
      </w:tr>
      <w:tr w:rsidR="00A54EB6" w:rsidRPr="00577EB1" w:rsidTr="0050199E">
        <w:trPr>
          <w:cantSplit/>
        </w:trPr>
        <w:tc>
          <w:tcPr>
            <w:tcW w:w="77" w:type="pct"/>
            <w:tcBorders>
              <w:bottom w:val="single" w:sz="4" w:space="0" w:color="auto"/>
            </w:tcBorders>
          </w:tcPr>
          <w:p w:rsidR="00A54EB6" w:rsidRPr="00577EB1" w:rsidRDefault="00A54EB6" w:rsidP="0050199E">
            <w:pPr>
              <w:spacing w:after="0"/>
              <w:jc w:val="left"/>
              <w:rPr>
                <w:sz w:val="18"/>
                <w:szCs w:val="18"/>
                <w:lang w:val="fr-FR"/>
              </w:rPr>
            </w:pPr>
          </w:p>
        </w:tc>
        <w:tc>
          <w:tcPr>
            <w:tcW w:w="858"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Stock national de sécurité </w:t>
            </w:r>
          </w:p>
        </w:tc>
        <w:tc>
          <w:tcPr>
            <w:tcW w:w="649"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SONAGES</w:t>
            </w:r>
          </w:p>
        </w:tc>
        <w:tc>
          <w:tcPr>
            <w:tcW w:w="1061"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615"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556"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556"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630" w:type="pct"/>
            <w:gridSpan w:val="2"/>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État, bailleurs de fonds</w:t>
            </w:r>
          </w:p>
        </w:tc>
      </w:tr>
      <w:tr w:rsidR="00A54EB6" w:rsidRPr="00577EB1" w:rsidTr="0050199E">
        <w:trPr>
          <w:cantSplit/>
        </w:trPr>
        <w:tc>
          <w:tcPr>
            <w:tcW w:w="77" w:type="pct"/>
            <w:tcBorders>
              <w:top w:val="single" w:sz="4" w:space="0" w:color="auto"/>
            </w:tcBorders>
          </w:tcPr>
          <w:p w:rsidR="00A54EB6" w:rsidRPr="00577EB1" w:rsidRDefault="00A54EB6" w:rsidP="0050199E">
            <w:pPr>
              <w:spacing w:after="0"/>
              <w:jc w:val="left"/>
              <w:rPr>
                <w:sz w:val="18"/>
                <w:szCs w:val="18"/>
                <w:lang w:val="fr-FR"/>
              </w:rPr>
            </w:pPr>
          </w:p>
        </w:tc>
        <w:tc>
          <w:tcPr>
            <w:tcW w:w="858" w:type="pct"/>
            <w:tcBorders>
              <w:top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Exemption de taxes et de droits </w:t>
            </w:r>
          </w:p>
        </w:tc>
        <w:tc>
          <w:tcPr>
            <w:tcW w:w="649" w:type="pct"/>
            <w:tcBorders>
              <w:top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MEF/DGD</w:t>
            </w:r>
          </w:p>
        </w:tc>
        <w:tc>
          <w:tcPr>
            <w:tcW w:w="1061" w:type="pct"/>
            <w:tcBorders>
              <w:top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615" w:type="pct"/>
            <w:tcBorders>
              <w:top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National</w:t>
            </w:r>
          </w:p>
        </w:tc>
        <w:tc>
          <w:tcPr>
            <w:tcW w:w="556" w:type="pct"/>
            <w:tcBorders>
              <w:top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556" w:type="pct"/>
            <w:tcBorders>
              <w:top w:val="single" w:sz="4" w:space="0" w:color="auto"/>
            </w:tcBorders>
          </w:tcPr>
          <w:p w:rsidR="00A54EB6" w:rsidRPr="00577EB1" w:rsidRDefault="00A54EB6" w:rsidP="0050199E">
            <w:pPr>
              <w:spacing w:after="0"/>
              <w:jc w:val="left"/>
              <w:rPr>
                <w:sz w:val="18"/>
                <w:szCs w:val="18"/>
                <w:lang w:val="fr-FR"/>
              </w:rPr>
            </w:pPr>
            <w:r w:rsidRPr="00577EB1">
              <w:rPr>
                <w:bCs/>
                <w:sz w:val="18"/>
                <w:szCs w:val="18"/>
                <w:lang w:val="fr-FR" w:eastAsia="fr-FR"/>
              </w:rPr>
              <w:t>4,3 milliards de francs CFA (2008)</w:t>
            </w:r>
          </w:p>
        </w:tc>
        <w:tc>
          <w:tcPr>
            <w:tcW w:w="630" w:type="pct"/>
            <w:gridSpan w:val="2"/>
            <w:tcBorders>
              <w:top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État </w:t>
            </w:r>
          </w:p>
        </w:tc>
      </w:tr>
      <w:tr w:rsidR="00A54EB6" w:rsidRPr="000A70E6" w:rsidTr="0050199E">
        <w:trPr>
          <w:gridAfter w:val="1"/>
          <w:wAfter w:w="50" w:type="pct"/>
          <w:cantSplit/>
        </w:trPr>
        <w:tc>
          <w:tcPr>
            <w:tcW w:w="4950" w:type="pct"/>
            <w:gridSpan w:val="8"/>
            <w:shd w:val="clear" w:color="auto" w:fill="D9D9D9"/>
          </w:tcPr>
          <w:p w:rsidR="00A54EB6" w:rsidRPr="00577EB1" w:rsidRDefault="00A54EB6" w:rsidP="0050199E">
            <w:pPr>
              <w:spacing w:after="0"/>
              <w:ind w:left="176"/>
              <w:jc w:val="left"/>
              <w:rPr>
                <w:sz w:val="18"/>
                <w:szCs w:val="18"/>
                <w:lang w:val="fr-FR"/>
              </w:rPr>
            </w:pPr>
            <w:r w:rsidRPr="00577EB1">
              <w:rPr>
                <w:sz w:val="18"/>
                <w:szCs w:val="18"/>
                <w:lang w:val="fr-FR"/>
              </w:rPr>
              <w:t xml:space="preserve">Soutien universel indirect des produits pétroliers </w:t>
            </w:r>
          </w:p>
        </w:tc>
      </w:tr>
      <w:tr w:rsidR="00A54EB6" w:rsidRPr="00577EB1" w:rsidTr="0050199E">
        <w:trPr>
          <w:cantSplit/>
        </w:trPr>
        <w:tc>
          <w:tcPr>
            <w:tcW w:w="77" w:type="pct"/>
            <w:tcBorders>
              <w:bottom w:val="single" w:sz="4" w:space="0" w:color="auto"/>
            </w:tcBorders>
          </w:tcPr>
          <w:p w:rsidR="00A54EB6" w:rsidRPr="00577EB1" w:rsidRDefault="00A54EB6" w:rsidP="0050199E">
            <w:pPr>
              <w:spacing w:after="0"/>
              <w:jc w:val="left"/>
              <w:rPr>
                <w:sz w:val="18"/>
                <w:szCs w:val="18"/>
                <w:lang w:val="fr-FR"/>
              </w:rPr>
            </w:pPr>
          </w:p>
        </w:tc>
        <w:tc>
          <w:tcPr>
            <w:tcW w:w="858"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Exemption de taxes sur les produits pétroliers </w:t>
            </w:r>
          </w:p>
        </w:tc>
        <w:tc>
          <w:tcPr>
            <w:tcW w:w="649"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Douanes, SONABEL, SONABHY et distributeurs privés </w:t>
            </w:r>
          </w:p>
        </w:tc>
        <w:tc>
          <w:tcPr>
            <w:tcW w:w="1061"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615"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National</w:t>
            </w:r>
          </w:p>
        </w:tc>
        <w:tc>
          <w:tcPr>
            <w:tcW w:w="556" w:type="pct"/>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556" w:type="pct"/>
            <w:tcBorders>
              <w:bottom w:val="single" w:sz="4" w:space="0" w:color="auto"/>
            </w:tcBorders>
          </w:tcPr>
          <w:p w:rsidR="00A54EB6" w:rsidRPr="00577EB1" w:rsidRDefault="00A54EB6" w:rsidP="0050199E">
            <w:pPr>
              <w:spacing w:after="0"/>
              <w:ind w:right="-62"/>
              <w:jc w:val="left"/>
              <w:rPr>
                <w:sz w:val="18"/>
                <w:szCs w:val="18"/>
                <w:lang w:val="fr-FR"/>
              </w:rPr>
            </w:pPr>
            <w:r w:rsidRPr="00577EB1">
              <w:rPr>
                <w:sz w:val="18"/>
                <w:szCs w:val="18"/>
                <w:lang w:val="fr-FR" w:eastAsia="fr-FR"/>
              </w:rPr>
              <w:t>21,7 milliards de francs CFA (2009)</w:t>
            </w:r>
          </w:p>
        </w:tc>
        <w:tc>
          <w:tcPr>
            <w:tcW w:w="630" w:type="pct"/>
            <w:gridSpan w:val="2"/>
            <w:tcBorders>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État</w:t>
            </w:r>
          </w:p>
        </w:tc>
      </w:tr>
      <w:tr w:rsidR="00A54EB6" w:rsidRPr="00577EB1" w:rsidTr="0050199E">
        <w:trPr>
          <w:gridAfter w:val="1"/>
          <w:wAfter w:w="50" w:type="pct"/>
          <w:cantSplit/>
        </w:trPr>
        <w:tc>
          <w:tcPr>
            <w:tcW w:w="4950" w:type="pct"/>
            <w:gridSpan w:val="8"/>
            <w:tcBorders>
              <w:top w:val="single" w:sz="4" w:space="0" w:color="auto"/>
            </w:tcBorders>
            <w:shd w:val="clear" w:color="auto" w:fill="BFBFBF"/>
          </w:tcPr>
          <w:p w:rsidR="00A54EB6" w:rsidRPr="00577EB1" w:rsidRDefault="00A54EB6" w:rsidP="0050199E">
            <w:pPr>
              <w:spacing w:after="0"/>
              <w:jc w:val="left"/>
              <w:rPr>
                <w:sz w:val="18"/>
                <w:szCs w:val="18"/>
                <w:lang w:val="fr-FR"/>
              </w:rPr>
            </w:pPr>
            <w:r w:rsidRPr="00577EB1">
              <w:rPr>
                <w:sz w:val="18"/>
                <w:szCs w:val="18"/>
                <w:lang w:val="fr-FR"/>
              </w:rPr>
              <w:t xml:space="preserve">TRAVAUX PUBLICS </w:t>
            </w:r>
          </w:p>
        </w:tc>
      </w:tr>
      <w:tr w:rsidR="00A54EB6" w:rsidRPr="00577EB1" w:rsidTr="0050199E">
        <w:trPr>
          <w:cantSplit/>
        </w:trPr>
        <w:tc>
          <w:tcPr>
            <w:tcW w:w="77" w:type="pct"/>
          </w:tcPr>
          <w:p w:rsidR="00A54EB6" w:rsidRPr="00577EB1" w:rsidRDefault="00A54EB6" w:rsidP="0050199E">
            <w:pPr>
              <w:spacing w:after="0"/>
              <w:jc w:val="left"/>
              <w:rPr>
                <w:sz w:val="18"/>
                <w:szCs w:val="18"/>
                <w:lang w:val="fr-FR"/>
              </w:rPr>
            </w:pPr>
          </w:p>
        </w:tc>
        <w:tc>
          <w:tcPr>
            <w:tcW w:w="858" w:type="pct"/>
          </w:tcPr>
          <w:p w:rsidR="00A54EB6" w:rsidRPr="00577EB1" w:rsidRDefault="00A54EB6" w:rsidP="0050199E">
            <w:pPr>
              <w:spacing w:after="0"/>
              <w:jc w:val="left"/>
              <w:rPr>
                <w:sz w:val="18"/>
                <w:szCs w:val="18"/>
                <w:lang w:val="fr-FR"/>
              </w:rPr>
            </w:pPr>
            <w:r w:rsidRPr="00577EB1">
              <w:rPr>
                <w:sz w:val="18"/>
                <w:szCs w:val="18"/>
                <w:lang w:val="fr-FR"/>
              </w:rPr>
              <w:t>PrEst (Programme de désenclavement de l’Est)</w:t>
            </w:r>
            <w:r w:rsidR="0007340F">
              <w:rPr>
                <w:sz w:val="18"/>
                <w:szCs w:val="18"/>
                <w:lang w:val="fr-FR"/>
              </w:rPr>
              <w:t xml:space="preserve"> </w:t>
            </w:r>
            <w:r w:rsidRPr="00577EB1">
              <w:rPr>
                <w:sz w:val="18"/>
                <w:szCs w:val="18"/>
                <w:lang w:val="fr-FR"/>
              </w:rPr>
              <w:t>2002-2011</w:t>
            </w:r>
          </w:p>
        </w:tc>
        <w:tc>
          <w:tcPr>
            <w:tcW w:w="649" w:type="pct"/>
          </w:tcPr>
          <w:p w:rsidR="00A54EB6" w:rsidRPr="00577EB1" w:rsidRDefault="00A54EB6" w:rsidP="0050199E">
            <w:pPr>
              <w:spacing w:after="0"/>
              <w:jc w:val="left"/>
              <w:rPr>
                <w:sz w:val="18"/>
                <w:szCs w:val="18"/>
                <w:lang w:val="fr-FR"/>
              </w:rPr>
            </w:pPr>
            <w:r w:rsidRPr="00577EB1">
              <w:rPr>
                <w:sz w:val="18"/>
                <w:szCs w:val="18"/>
                <w:lang w:val="fr-FR"/>
              </w:rPr>
              <w:t>Helvetas et MID</w:t>
            </w:r>
          </w:p>
        </w:tc>
        <w:tc>
          <w:tcPr>
            <w:tcW w:w="1061" w:type="pct"/>
          </w:tcPr>
          <w:p w:rsidR="00A54EB6" w:rsidRPr="00577EB1" w:rsidRDefault="00A54EB6" w:rsidP="0050199E">
            <w:pPr>
              <w:spacing w:after="0"/>
              <w:jc w:val="left"/>
              <w:rPr>
                <w:sz w:val="18"/>
                <w:szCs w:val="18"/>
                <w:lang w:val="fr-FR"/>
              </w:rPr>
            </w:pPr>
            <w:r w:rsidRPr="00577EB1">
              <w:rPr>
                <w:sz w:val="18"/>
                <w:szCs w:val="18"/>
                <w:lang w:val="fr-FR"/>
              </w:rPr>
              <w:t xml:space="preserve">Les jeunes en priorité </w:t>
            </w:r>
          </w:p>
        </w:tc>
        <w:tc>
          <w:tcPr>
            <w:tcW w:w="615" w:type="pct"/>
          </w:tcPr>
          <w:p w:rsidR="00A54EB6" w:rsidRPr="00577EB1" w:rsidRDefault="00A54EB6" w:rsidP="0050199E">
            <w:pPr>
              <w:spacing w:after="0"/>
              <w:ind w:right="-211"/>
              <w:jc w:val="left"/>
              <w:rPr>
                <w:sz w:val="18"/>
                <w:szCs w:val="18"/>
                <w:lang w:val="fr-FR"/>
              </w:rPr>
            </w:pPr>
            <w:r w:rsidRPr="00577EB1">
              <w:rPr>
                <w:sz w:val="18"/>
                <w:szCs w:val="18"/>
                <w:lang w:val="fr-FR"/>
              </w:rPr>
              <w:t xml:space="preserve">9 communes dans les provinces de la Gnagna, du Gourma et de la Tapoa </w:t>
            </w:r>
          </w:p>
        </w:tc>
        <w:tc>
          <w:tcPr>
            <w:tcW w:w="556" w:type="pct"/>
          </w:tcPr>
          <w:p w:rsidR="00A54EB6" w:rsidRPr="00577EB1" w:rsidRDefault="00A54EB6" w:rsidP="0050199E">
            <w:pPr>
              <w:spacing w:after="0"/>
              <w:jc w:val="left"/>
              <w:rPr>
                <w:sz w:val="18"/>
                <w:szCs w:val="18"/>
                <w:lang w:val="fr-FR"/>
              </w:rPr>
            </w:pPr>
            <w:r w:rsidRPr="00577EB1">
              <w:rPr>
                <w:sz w:val="18"/>
                <w:szCs w:val="18"/>
                <w:lang w:val="fr-FR"/>
              </w:rPr>
              <w:t>865 personnes (2005-2007)</w:t>
            </w:r>
          </w:p>
        </w:tc>
        <w:tc>
          <w:tcPr>
            <w:tcW w:w="556" w:type="pct"/>
          </w:tcPr>
          <w:p w:rsidR="00A54EB6" w:rsidRPr="00577EB1" w:rsidRDefault="00A54EB6" w:rsidP="0050199E">
            <w:pPr>
              <w:spacing w:after="0"/>
              <w:jc w:val="left"/>
              <w:rPr>
                <w:sz w:val="18"/>
                <w:szCs w:val="18"/>
                <w:lang w:val="fr-FR"/>
              </w:rPr>
            </w:pPr>
            <w:r w:rsidRPr="00577EB1">
              <w:rPr>
                <w:sz w:val="18"/>
                <w:szCs w:val="18"/>
                <w:lang w:val="fr-FR"/>
              </w:rPr>
              <w:t>478 millions de francs CFA (2002-2011)</w:t>
            </w:r>
          </w:p>
        </w:tc>
        <w:tc>
          <w:tcPr>
            <w:tcW w:w="630" w:type="pct"/>
            <w:gridSpan w:val="2"/>
          </w:tcPr>
          <w:p w:rsidR="00A54EB6" w:rsidRPr="00577EB1" w:rsidRDefault="00A54EB6" w:rsidP="0050199E">
            <w:pPr>
              <w:spacing w:after="0"/>
              <w:jc w:val="left"/>
              <w:rPr>
                <w:sz w:val="18"/>
                <w:szCs w:val="18"/>
                <w:lang w:val="fr-FR"/>
              </w:rPr>
            </w:pPr>
            <w:r w:rsidRPr="00577EB1">
              <w:rPr>
                <w:sz w:val="18"/>
                <w:szCs w:val="18"/>
                <w:lang w:val="fr-FR"/>
              </w:rPr>
              <w:t xml:space="preserve">Coopération Suisse </w:t>
            </w:r>
          </w:p>
        </w:tc>
      </w:tr>
      <w:tr w:rsidR="00A54EB6" w:rsidRPr="00577EB1" w:rsidTr="0050199E">
        <w:trPr>
          <w:cantSplit/>
        </w:trPr>
        <w:tc>
          <w:tcPr>
            <w:tcW w:w="77"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p>
        </w:tc>
        <w:tc>
          <w:tcPr>
            <w:tcW w:w="858"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bCs/>
                <w:sz w:val="18"/>
                <w:szCs w:val="18"/>
                <w:lang w:val="fr-FR"/>
              </w:rPr>
              <w:t xml:space="preserve">Vivres contre infrastructure </w:t>
            </w:r>
            <w:r w:rsidRPr="00577EB1">
              <w:rPr>
                <w:sz w:val="18"/>
                <w:szCs w:val="18"/>
                <w:lang w:val="fr-FR"/>
              </w:rPr>
              <w:t>(CP10399.0 composante 3)</w:t>
            </w:r>
            <w:r w:rsidR="0007340F">
              <w:rPr>
                <w:sz w:val="18"/>
                <w:szCs w:val="18"/>
                <w:lang w:val="fr-FR"/>
              </w:rPr>
              <w:t xml:space="preserve"> </w:t>
            </w:r>
            <w:r w:rsidRPr="00577EB1">
              <w:rPr>
                <w:sz w:val="18"/>
                <w:szCs w:val="18"/>
                <w:lang w:val="fr-FR"/>
              </w:rPr>
              <w:t>2006-2010</w:t>
            </w:r>
          </w:p>
        </w:tc>
        <w:tc>
          <w:tcPr>
            <w:tcW w:w="649"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PAM et partenaires </w:t>
            </w:r>
          </w:p>
        </w:tc>
        <w:tc>
          <w:tcPr>
            <w:tcW w:w="1061"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Population des villages ciblés</w:t>
            </w:r>
          </w:p>
        </w:tc>
        <w:tc>
          <w:tcPr>
            <w:tcW w:w="615"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18 provinces</w:t>
            </w:r>
          </w:p>
        </w:tc>
        <w:tc>
          <w:tcPr>
            <w:tcW w:w="556"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30 800 femmes et </w:t>
            </w:r>
          </w:p>
          <w:p w:rsidR="00A54EB6" w:rsidRPr="00577EB1" w:rsidRDefault="00A54EB6" w:rsidP="0050199E">
            <w:pPr>
              <w:spacing w:after="0"/>
              <w:jc w:val="left"/>
              <w:rPr>
                <w:sz w:val="18"/>
                <w:szCs w:val="18"/>
                <w:lang w:val="fr-FR"/>
              </w:rPr>
            </w:pPr>
            <w:r w:rsidRPr="00577EB1">
              <w:rPr>
                <w:sz w:val="18"/>
                <w:szCs w:val="18"/>
                <w:lang w:val="fr-FR"/>
              </w:rPr>
              <w:t>31 400 hommes</w:t>
            </w:r>
          </w:p>
          <w:p w:rsidR="00A54EB6" w:rsidRPr="00577EB1" w:rsidRDefault="00A54EB6" w:rsidP="00AD58C8">
            <w:pPr>
              <w:spacing w:after="0"/>
              <w:jc w:val="left"/>
              <w:rPr>
                <w:sz w:val="18"/>
                <w:szCs w:val="18"/>
                <w:lang w:val="fr-FR"/>
              </w:rPr>
            </w:pPr>
            <w:r w:rsidRPr="00577EB1">
              <w:rPr>
                <w:sz w:val="18"/>
                <w:szCs w:val="18"/>
                <w:lang w:val="fr-FR"/>
              </w:rPr>
              <w:t>(2009)</w:t>
            </w:r>
          </w:p>
        </w:tc>
        <w:tc>
          <w:tcPr>
            <w:tcW w:w="556"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294 millions de francs CFA (2009)</w:t>
            </w:r>
          </w:p>
        </w:tc>
        <w:tc>
          <w:tcPr>
            <w:tcW w:w="630" w:type="pct"/>
            <w:gridSpan w:val="2"/>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Multilatéral, État</w:t>
            </w:r>
          </w:p>
        </w:tc>
      </w:tr>
      <w:tr w:rsidR="00A54EB6" w:rsidRPr="000A70E6" w:rsidTr="0050199E">
        <w:trPr>
          <w:gridAfter w:val="1"/>
          <w:wAfter w:w="50" w:type="pct"/>
          <w:cantSplit/>
        </w:trPr>
        <w:tc>
          <w:tcPr>
            <w:tcW w:w="4950" w:type="pct"/>
            <w:gridSpan w:val="8"/>
            <w:tcBorders>
              <w:top w:val="single" w:sz="4" w:space="0" w:color="auto"/>
            </w:tcBorders>
            <w:shd w:val="clear" w:color="auto" w:fill="BFBFBF"/>
          </w:tcPr>
          <w:p w:rsidR="00A54EB6" w:rsidRPr="00577EB1" w:rsidRDefault="00A54EB6" w:rsidP="0050199E">
            <w:pPr>
              <w:spacing w:after="0"/>
              <w:jc w:val="left"/>
              <w:rPr>
                <w:sz w:val="18"/>
                <w:szCs w:val="18"/>
                <w:lang w:val="fr-FR"/>
              </w:rPr>
            </w:pPr>
            <w:r w:rsidRPr="00577EB1">
              <w:rPr>
                <w:sz w:val="18"/>
                <w:szCs w:val="18"/>
                <w:lang w:val="fr-FR"/>
              </w:rPr>
              <w:t xml:space="preserve">EXEMPTION DES FRAIS DE SANTE </w:t>
            </w:r>
          </w:p>
        </w:tc>
      </w:tr>
      <w:tr w:rsidR="00A54EB6" w:rsidRPr="00577EB1" w:rsidTr="0050199E">
        <w:trPr>
          <w:cantSplit/>
        </w:trPr>
        <w:tc>
          <w:tcPr>
            <w:tcW w:w="77" w:type="pct"/>
            <w:tcBorders>
              <w:bottom w:val="dotted" w:sz="4" w:space="0" w:color="auto"/>
            </w:tcBorders>
          </w:tcPr>
          <w:p w:rsidR="00A54EB6" w:rsidRPr="00577EB1" w:rsidRDefault="00A54EB6" w:rsidP="0050199E">
            <w:pPr>
              <w:spacing w:after="0"/>
              <w:jc w:val="left"/>
              <w:rPr>
                <w:sz w:val="18"/>
                <w:szCs w:val="18"/>
                <w:lang w:val="fr-FR"/>
              </w:rPr>
            </w:pPr>
          </w:p>
        </w:tc>
        <w:tc>
          <w:tcPr>
            <w:tcW w:w="858"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Subvention supplémentaire pour les soins obstétricaux et néonataux d’urgence (SONU)</w:t>
            </w:r>
            <w:r w:rsidR="0007340F">
              <w:rPr>
                <w:sz w:val="18"/>
                <w:szCs w:val="18"/>
                <w:lang w:val="fr-FR"/>
              </w:rPr>
              <w:t xml:space="preserve"> </w:t>
            </w:r>
            <w:r w:rsidRPr="00577EB1">
              <w:rPr>
                <w:bCs/>
                <w:sz w:val="18"/>
                <w:szCs w:val="18"/>
                <w:lang w:val="fr-FR"/>
              </w:rPr>
              <w:t>depuis 2006</w:t>
            </w:r>
          </w:p>
        </w:tc>
        <w:tc>
          <w:tcPr>
            <w:tcW w:w="649"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Ministère de la santé</w:t>
            </w:r>
          </w:p>
        </w:tc>
        <w:tc>
          <w:tcPr>
            <w:tcW w:w="1061"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Femmes enceintes indigentes</w:t>
            </w:r>
          </w:p>
        </w:tc>
        <w:tc>
          <w:tcPr>
            <w:tcW w:w="615"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National</w:t>
            </w:r>
          </w:p>
        </w:tc>
        <w:tc>
          <w:tcPr>
            <w:tcW w:w="556"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556"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500 millions de francs CFA (alloué, non dépensé)</w:t>
            </w:r>
          </w:p>
        </w:tc>
        <w:tc>
          <w:tcPr>
            <w:tcW w:w="630" w:type="pct"/>
            <w:gridSpan w:val="2"/>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État, Banque mondiale (CASRP)</w:t>
            </w:r>
          </w:p>
        </w:tc>
      </w:tr>
      <w:tr w:rsidR="00A54EB6" w:rsidRPr="00577EB1" w:rsidTr="0050199E">
        <w:trPr>
          <w:cantSplit/>
        </w:trPr>
        <w:tc>
          <w:tcPr>
            <w:tcW w:w="77" w:type="pct"/>
            <w:tcBorders>
              <w:bottom w:val="dotted" w:sz="4" w:space="0" w:color="auto"/>
            </w:tcBorders>
          </w:tcPr>
          <w:p w:rsidR="00A54EB6" w:rsidRPr="00577EB1" w:rsidRDefault="00A54EB6" w:rsidP="0050199E">
            <w:pPr>
              <w:spacing w:after="0"/>
              <w:jc w:val="left"/>
              <w:rPr>
                <w:sz w:val="18"/>
                <w:szCs w:val="18"/>
                <w:lang w:val="fr-FR"/>
              </w:rPr>
            </w:pPr>
          </w:p>
        </w:tc>
        <w:tc>
          <w:tcPr>
            <w:tcW w:w="858"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Suppression des frais pour les indigents</w:t>
            </w:r>
            <w:r w:rsidR="0007340F">
              <w:rPr>
                <w:sz w:val="18"/>
                <w:szCs w:val="18"/>
                <w:lang w:val="fr-FR"/>
              </w:rPr>
              <w:t xml:space="preserve"> </w:t>
            </w:r>
            <w:r w:rsidRPr="00577EB1">
              <w:rPr>
                <w:sz w:val="18"/>
                <w:szCs w:val="18"/>
                <w:lang w:val="fr-FR"/>
              </w:rPr>
              <w:t>depuis 2007</w:t>
            </w:r>
          </w:p>
        </w:tc>
        <w:tc>
          <w:tcPr>
            <w:tcW w:w="649"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Ministère de la santé et OBC</w:t>
            </w:r>
          </w:p>
        </w:tc>
        <w:tc>
          <w:tcPr>
            <w:tcW w:w="1061"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PVVIH indigents</w:t>
            </w:r>
          </w:p>
        </w:tc>
        <w:tc>
          <w:tcPr>
            <w:tcW w:w="615"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National</w:t>
            </w:r>
          </w:p>
        </w:tc>
        <w:tc>
          <w:tcPr>
            <w:tcW w:w="556"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556"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37 millions de francs CFA (y compris les AGR)</w:t>
            </w:r>
          </w:p>
        </w:tc>
        <w:tc>
          <w:tcPr>
            <w:tcW w:w="630" w:type="pct"/>
            <w:gridSpan w:val="2"/>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État </w:t>
            </w:r>
          </w:p>
        </w:tc>
      </w:tr>
      <w:tr w:rsidR="00A54EB6" w:rsidRPr="00577EB1" w:rsidTr="0050199E">
        <w:trPr>
          <w:cantSplit/>
        </w:trPr>
        <w:tc>
          <w:tcPr>
            <w:tcW w:w="77" w:type="pct"/>
            <w:tcBorders>
              <w:bottom w:val="dotted" w:sz="4" w:space="0" w:color="auto"/>
            </w:tcBorders>
          </w:tcPr>
          <w:p w:rsidR="00A54EB6" w:rsidRPr="00577EB1" w:rsidRDefault="00A54EB6" w:rsidP="0050199E">
            <w:pPr>
              <w:spacing w:after="0"/>
              <w:jc w:val="left"/>
              <w:rPr>
                <w:sz w:val="18"/>
                <w:szCs w:val="18"/>
                <w:lang w:val="fr-FR"/>
              </w:rPr>
            </w:pPr>
          </w:p>
        </w:tc>
        <w:tc>
          <w:tcPr>
            <w:tcW w:w="858" w:type="pct"/>
            <w:tcBorders>
              <w:bottom w:val="dotted" w:sz="4" w:space="0" w:color="auto"/>
            </w:tcBorders>
          </w:tcPr>
          <w:p w:rsidR="00A54EB6" w:rsidRPr="00577EB1" w:rsidRDefault="00A54EB6" w:rsidP="0050199E">
            <w:pPr>
              <w:spacing w:after="0"/>
              <w:jc w:val="left"/>
              <w:rPr>
                <w:b/>
                <w:sz w:val="18"/>
                <w:szCs w:val="18"/>
                <w:lang w:val="fr-FR"/>
              </w:rPr>
            </w:pPr>
            <w:r w:rsidRPr="00577EB1">
              <w:rPr>
                <w:bCs/>
                <w:sz w:val="18"/>
                <w:szCs w:val="18"/>
                <w:lang w:val="fr-FR"/>
              </w:rPr>
              <w:t>Prise en charge des indigents sous ARV</w:t>
            </w:r>
            <w:r w:rsidRPr="00577EB1">
              <w:rPr>
                <w:sz w:val="18"/>
                <w:szCs w:val="18"/>
                <w:lang w:val="fr-FR"/>
              </w:rPr>
              <w:t xml:space="preserve"> </w:t>
            </w:r>
          </w:p>
        </w:tc>
        <w:tc>
          <w:tcPr>
            <w:tcW w:w="649"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Fonds national de solidarité</w:t>
            </w:r>
          </w:p>
        </w:tc>
        <w:tc>
          <w:tcPr>
            <w:tcW w:w="1061"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Indigents sous ARV </w:t>
            </w:r>
          </w:p>
        </w:tc>
        <w:tc>
          <w:tcPr>
            <w:tcW w:w="615"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National</w:t>
            </w:r>
          </w:p>
        </w:tc>
        <w:tc>
          <w:tcPr>
            <w:tcW w:w="556"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200 personnes</w:t>
            </w:r>
          </w:p>
        </w:tc>
        <w:tc>
          <w:tcPr>
            <w:tcW w:w="556" w:type="pct"/>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40</w:t>
            </w:r>
            <w:r w:rsidR="0007340F">
              <w:rPr>
                <w:sz w:val="18"/>
                <w:szCs w:val="18"/>
                <w:lang w:val="fr-FR"/>
              </w:rPr>
              <w:t xml:space="preserve"> </w:t>
            </w:r>
            <w:r w:rsidRPr="00577EB1">
              <w:rPr>
                <w:sz w:val="18"/>
                <w:szCs w:val="18"/>
                <w:lang w:val="fr-FR"/>
              </w:rPr>
              <w:t xml:space="preserve">millions de francs CFA </w:t>
            </w:r>
          </w:p>
        </w:tc>
        <w:tc>
          <w:tcPr>
            <w:tcW w:w="630" w:type="pct"/>
            <w:gridSpan w:val="2"/>
            <w:tcBorders>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État</w:t>
            </w:r>
          </w:p>
        </w:tc>
      </w:tr>
      <w:tr w:rsidR="00A54EB6" w:rsidRPr="00577EB1" w:rsidTr="0050199E">
        <w:trPr>
          <w:cantSplit/>
        </w:trPr>
        <w:tc>
          <w:tcPr>
            <w:tcW w:w="77"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p>
        </w:tc>
        <w:tc>
          <w:tcPr>
            <w:tcW w:w="858" w:type="pct"/>
            <w:tcBorders>
              <w:top w:val="dotted" w:sz="4" w:space="0" w:color="auto"/>
              <w:bottom w:val="dotted" w:sz="4" w:space="0" w:color="auto"/>
            </w:tcBorders>
          </w:tcPr>
          <w:p w:rsidR="00A54EB6" w:rsidRPr="00577EB1" w:rsidRDefault="00A54EB6" w:rsidP="0050199E">
            <w:pPr>
              <w:spacing w:after="0"/>
              <w:ind w:right="-90"/>
              <w:jc w:val="left"/>
              <w:rPr>
                <w:sz w:val="18"/>
                <w:szCs w:val="18"/>
                <w:lang w:val="fr-FR"/>
              </w:rPr>
            </w:pPr>
            <w:r w:rsidRPr="00577EB1">
              <w:rPr>
                <w:bCs/>
                <w:sz w:val="18"/>
                <w:szCs w:val="18"/>
                <w:lang w:val="fr-FR"/>
              </w:rPr>
              <w:t>Gratuité des soins pour les femmes enceintes et les enfants de moins de 5 ans</w:t>
            </w:r>
            <w:r w:rsidR="0007340F">
              <w:rPr>
                <w:sz w:val="18"/>
                <w:szCs w:val="18"/>
                <w:lang w:val="fr-FR"/>
              </w:rPr>
              <w:t xml:space="preserve"> </w:t>
            </w:r>
            <w:r w:rsidRPr="00577EB1">
              <w:rPr>
                <w:sz w:val="18"/>
                <w:szCs w:val="18"/>
                <w:lang w:val="fr-FR"/>
              </w:rPr>
              <w:t>depuis sept. 2008</w:t>
            </w:r>
          </w:p>
        </w:tc>
        <w:tc>
          <w:tcPr>
            <w:tcW w:w="649"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HELP</w:t>
            </w:r>
          </w:p>
        </w:tc>
        <w:tc>
          <w:tcPr>
            <w:tcW w:w="1061"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Enfants de moins de 5 ans et femmes enceintes et allaitantes </w:t>
            </w:r>
          </w:p>
        </w:tc>
        <w:tc>
          <w:tcPr>
            <w:tcW w:w="615"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Districts sanitaires de Seba et Dori dans le Sahel</w:t>
            </w:r>
          </w:p>
        </w:tc>
        <w:tc>
          <w:tcPr>
            <w:tcW w:w="556"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100 000 personnes</w:t>
            </w:r>
          </w:p>
        </w:tc>
        <w:tc>
          <w:tcPr>
            <w:tcW w:w="556"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500 millions de francs CFA </w:t>
            </w:r>
          </w:p>
        </w:tc>
        <w:tc>
          <w:tcPr>
            <w:tcW w:w="630" w:type="pct"/>
            <w:gridSpan w:val="2"/>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ECHO</w:t>
            </w:r>
          </w:p>
        </w:tc>
      </w:tr>
      <w:tr w:rsidR="00A54EB6" w:rsidRPr="00577EB1" w:rsidTr="0050199E">
        <w:trPr>
          <w:cantSplit/>
        </w:trPr>
        <w:tc>
          <w:tcPr>
            <w:tcW w:w="77"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p>
        </w:tc>
        <w:tc>
          <w:tcPr>
            <w:tcW w:w="858" w:type="pct"/>
            <w:tcBorders>
              <w:top w:val="dotted" w:sz="4" w:space="0" w:color="auto"/>
              <w:bottom w:val="dotted" w:sz="4" w:space="0" w:color="auto"/>
            </w:tcBorders>
          </w:tcPr>
          <w:p w:rsidR="00A54EB6" w:rsidRPr="00577EB1" w:rsidRDefault="00A54EB6" w:rsidP="0050199E">
            <w:pPr>
              <w:spacing w:after="0"/>
              <w:ind w:right="-90"/>
              <w:jc w:val="left"/>
              <w:rPr>
                <w:sz w:val="18"/>
                <w:szCs w:val="18"/>
                <w:lang w:val="fr-FR"/>
              </w:rPr>
            </w:pPr>
            <w:r w:rsidRPr="00577EB1">
              <w:rPr>
                <w:bCs/>
                <w:sz w:val="18"/>
                <w:szCs w:val="18"/>
                <w:lang w:val="fr-FR"/>
              </w:rPr>
              <w:t>Gratuité des soins pour les femmes enceintes et les enfants de moins de 5 ans</w:t>
            </w:r>
            <w:r w:rsidRPr="00577EB1">
              <w:rPr>
                <w:sz w:val="18"/>
                <w:szCs w:val="18"/>
                <w:lang w:val="fr-FR"/>
              </w:rPr>
              <w:t xml:space="preserve"> </w:t>
            </w:r>
          </w:p>
        </w:tc>
        <w:tc>
          <w:tcPr>
            <w:tcW w:w="649"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Terre des Hommes</w:t>
            </w:r>
          </w:p>
        </w:tc>
        <w:tc>
          <w:tcPr>
            <w:tcW w:w="1061"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Enfants de moins de 5 ans </w:t>
            </w:r>
          </w:p>
        </w:tc>
        <w:tc>
          <w:tcPr>
            <w:tcW w:w="615"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Tougan, Séguénéga</w:t>
            </w:r>
          </w:p>
        </w:tc>
        <w:tc>
          <w:tcPr>
            <w:tcW w:w="556"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556"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640 millions de francs CFA </w:t>
            </w:r>
          </w:p>
        </w:tc>
        <w:tc>
          <w:tcPr>
            <w:tcW w:w="630" w:type="pct"/>
            <w:gridSpan w:val="2"/>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ECHO</w:t>
            </w:r>
          </w:p>
        </w:tc>
      </w:tr>
      <w:tr w:rsidR="00A54EB6" w:rsidRPr="00577EB1" w:rsidTr="0050199E">
        <w:trPr>
          <w:cantSplit/>
        </w:trPr>
        <w:tc>
          <w:tcPr>
            <w:tcW w:w="77"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p>
        </w:tc>
        <w:tc>
          <w:tcPr>
            <w:tcW w:w="858" w:type="pct"/>
            <w:tcBorders>
              <w:top w:val="dotted" w:sz="4" w:space="0" w:color="auto"/>
              <w:bottom w:val="dotted" w:sz="4" w:space="0" w:color="auto"/>
            </w:tcBorders>
          </w:tcPr>
          <w:p w:rsidR="00A54EB6" w:rsidRPr="00577EB1" w:rsidRDefault="00A54EB6" w:rsidP="0050199E">
            <w:pPr>
              <w:spacing w:after="0"/>
              <w:ind w:right="-90"/>
              <w:jc w:val="left"/>
              <w:rPr>
                <w:sz w:val="18"/>
                <w:szCs w:val="18"/>
                <w:lang w:val="fr-FR"/>
              </w:rPr>
            </w:pPr>
            <w:r w:rsidRPr="00577EB1">
              <w:rPr>
                <w:sz w:val="18"/>
                <w:szCs w:val="18"/>
                <w:lang w:val="fr-FR"/>
              </w:rPr>
              <w:t xml:space="preserve">Gratuité du traitement </w:t>
            </w:r>
            <w:r w:rsidRPr="00577EB1">
              <w:rPr>
                <w:bCs/>
                <w:sz w:val="18"/>
                <w:szCs w:val="18"/>
                <w:lang w:val="fr-FR"/>
              </w:rPr>
              <w:t>pour les PVVIH</w:t>
            </w:r>
            <w:r w:rsidRPr="00577EB1">
              <w:rPr>
                <w:sz w:val="18"/>
                <w:szCs w:val="18"/>
                <w:lang w:val="fr-FR"/>
              </w:rPr>
              <w:t>– 2001-2009</w:t>
            </w:r>
          </w:p>
        </w:tc>
        <w:tc>
          <w:tcPr>
            <w:tcW w:w="649"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Médecins sans frontières-Luxembourg</w:t>
            </w:r>
          </w:p>
        </w:tc>
        <w:tc>
          <w:tcPr>
            <w:tcW w:w="1061"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PVVIH</w:t>
            </w:r>
          </w:p>
        </w:tc>
        <w:tc>
          <w:tcPr>
            <w:tcW w:w="615"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District de Ouagadougou </w:t>
            </w:r>
          </w:p>
        </w:tc>
        <w:tc>
          <w:tcPr>
            <w:tcW w:w="556"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556" w:type="pct"/>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c>
          <w:tcPr>
            <w:tcW w:w="630" w:type="pct"/>
            <w:gridSpan w:val="2"/>
            <w:tcBorders>
              <w:top w:val="dotted" w:sz="4" w:space="0" w:color="auto"/>
              <w:bottom w:val="dotted" w:sz="4" w:space="0" w:color="auto"/>
            </w:tcBorders>
          </w:tcPr>
          <w:p w:rsidR="00A54EB6" w:rsidRPr="00577EB1" w:rsidRDefault="00A54EB6" w:rsidP="0050199E">
            <w:pPr>
              <w:spacing w:after="0"/>
              <w:jc w:val="left"/>
              <w:rPr>
                <w:sz w:val="18"/>
                <w:szCs w:val="18"/>
                <w:lang w:val="fr-FR"/>
              </w:rPr>
            </w:pPr>
            <w:r w:rsidRPr="00577EB1">
              <w:rPr>
                <w:sz w:val="18"/>
                <w:szCs w:val="18"/>
                <w:lang w:val="fr-FR"/>
              </w:rPr>
              <w:t>n/a</w:t>
            </w:r>
          </w:p>
        </w:tc>
      </w:tr>
      <w:tr w:rsidR="00A54EB6" w:rsidRPr="00577EB1" w:rsidTr="0050199E">
        <w:trPr>
          <w:cantSplit/>
        </w:trPr>
        <w:tc>
          <w:tcPr>
            <w:tcW w:w="77"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p>
        </w:tc>
        <w:tc>
          <w:tcPr>
            <w:tcW w:w="858" w:type="pct"/>
            <w:tcBorders>
              <w:top w:val="dotted" w:sz="4" w:space="0" w:color="auto"/>
              <w:bottom w:val="single" w:sz="4" w:space="0" w:color="auto"/>
            </w:tcBorders>
          </w:tcPr>
          <w:p w:rsidR="00A54EB6" w:rsidRPr="00577EB1" w:rsidRDefault="00A54EB6" w:rsidP="0050199E">
            <w:pPr>
              <w:spacing w:after="0"/>
              <w:ind w:right="-90"/>
              <w:jc w:val="left"/>
              <w:rPr>
                <w:sz w:val="18"/>
                <w:szCs w:val="18"/>
                <w:lang w:val="fr-FR"/>
              </w:rPr>
            </w:pPr>
            <w:r w:rsidRPr="00577EB1">
              <w:rPr>
                <w:sz w:val="18"/>
                <w:szCs w:val="18"/>
                <w:lang w:val="fr-FR"/>
              </w:rPr>
              <w:t>Gratuité du traitement du paludisme– 2008/2009</w:t>
            </w:r>
          </w:p>
        </w:tc>
        <w:tc>
          <w:tcPr>
            <w:tcW w:w="649" w:type="pct"/>
            <w:tcBorders>
              <w:top w:val="dotted" w:sz="4" w:space="0" w:color="auto"/>
              <w:bottom w:val="single" w:sz="4" w:space="0" w:color="auto"/>
            </w:tcBorders>
          </w:tcPr>
          <w:p w:rsidR="00A54EB6" w:rsidRPr="00577EB1" w:rsidRDefault="00A54EB6" w:rsidP="0050199E">
            <w:pPr>
              <w:spacing w:after="0"/>
              <w:jc w:val="left"/>
              <w:rPr>
                <w:i/>
                <w:sz w:val="18"/>
                <w:szCs w:val="18"/>
                <w:lang w:val="fr-FR"/>
              </w:rPr>
            </w:pPr>
            <w:r w:rsidRPr="00577EB1">
              <w:rPr>
                <w:sz w:val="18"/>
                <w:szCs w:val="18"/>
                <w:lang w:val="fr-FR"/>
              </w:rPr>
              <w:t>Médecins sans frontières</w:t>
            </w:r>
            <w:r w:rsidRPr="00577EB1" w:rsidDel="00AC3A18">
              <w:rPr>
                <w:i/>
                <w:sz w:val="18"/>
                <w:szCs w:val="18"/>
                <w:lang w:val="fr-FR"/>
              </w:rPr>
              <w:t xml:space="preserve"> </w:t>
            </w:r>
            <w:r w:rsidRPr="00577EB1">
              <w:rPr>
                <w:sz w:val="18"/>
                <w:szCs w:val="18"/>
                <w:lang w:val="fr-FR"/>
              </w:rPr>
              <w:t>-France et les CSPS</w:t>
            </w:r>
          </w:p>
        </w:tc>
        <w:tc>
          <w:tcPr>
            <w:tcW w:w="1061"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Les personnes atteintes de paludisme </w:t>
            </w:r>
          </w:p>
        </w:tc>
        <w:tc>
          <w:tcPr>
            <w:tcW w:w="615"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 xml:space="preserve">District de Titao </w:t>
            </w:r>
          </w:p>
        </w:tc>
        <w:tc>
          <w:tcPr>
            <w:tcW w:w="556" w:type="pct"/>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40 000 cas</w:t>
            </w:r>
          </w:p>
        </w:tc>
        <w:tc>
          <w:tcPr>
            <w:tcW w:w="556" w:type="pct"/>
            <w:tcBorders>
              <w:top w:val="dotted" w:sz="4" w:space="0" w:color="auto"/>
              <w:bottom w:val="single" w:sz="4" w:space="0" w:color="auto"/>
            </w:tcBorders>
          </w:tcPr>
          <w:p w:rsidR="00A54EB6" w:rsidRPr="00577EB1" w:rsidDel="004B4FE8" w:rsidRDefault="00AD58C8" w:rsidP="00AD58C8">
            <w:pPr>
              <w:spacing w:after="0"/>
              <w:jc w:val="left"/>
              <w:rPr>
                <w:sz w:val="18"/>
                <w:szCs w:val="18"/>
                <w:lang w:val="fr-FR"/>
              </w:rPr>
            </w:pPr>
            <w:r>
              <w:rPr>
                <w:sz w:val="18"/>
                <w:szCs w:val="18"/>
                <w:lang w:val="fr-FR"/>
              </w:rPr>
              <w:t>4</w:t>
            </w:r>
            <w:r w:rsidR="00A54EB6" w:rsidRPr="00577EB1">
              <w:rPr>
                <w:sz w:val="18"/>
                <w:szCs w:val="18"/>
                <w:lang w:val="fr-FR"/>
              </w:rPr>
              <w:t>9 millions de F CFA (2008/2009)</w:t>
            </w:r>
          </w:p>
        </w:tc>
        <w:tc>
          <w:tcPr>
            <w:tcW w:w="630" w:type="pct"/>
            <w:gridSpan w:val="2"/>
            <w:tcBorders>
              <w:top w:val="dotted" w:sz="4" w:space="0" w:color="auto"/>
              <w:bottom w:val="single" w:sz="4" w:space="0" w:color="auto"/>
            </w:tcBorders>
          </w:tcPr>
          <w:p w:rsidR="00A54EB6" w:rsidRPr="00577EB1" w:rsidRDefault="00A54EB6" w:rsidP="0050199E">
            <w:pPr>
              <w:spacing w:after="0"/>
              <w:jc w:val="left"/>
              <w:rPr>
                <w:sz w:val="18"/>
                <w:szCs w:val="18"/>
                <w:lang w:val="fr-FR"/>
              </w:rPr>
            </w:pPr>
            <w:r w:rsidRPr="00577EB1">
              <w:rPr>
                <w:sz w:val="18"/>
                <w:szCs w:val="18"/>
                <w:lang w:val="fr-FR"/>
              </w:rPr>
              <w:t>MSF, ECHO</w:t>
            </w:r>
          </w:p>
        </w:tc>
      </w:tr>
    </w:tbl>
    <w:p w:rsidR="00A54EB6" w:rsidRPr="00577EB1" w:rsidRDefault="00A54EB6" w:rsidP="00A54EB6">
      <w:pPr>
        <w:tabs>
          <w:tab w:val="clear" w:pos="709"/>
          <w:tab w:val="left" w:pos="284"/>
        </w:tabs>
        <w:spacing w:before="120" w:after="0"/>
        <w:ind w:right="310"/>
        <w:jc w:val="left"/>
        <w:rPr>
          <w:sz w:val="20"/>
          <w:lang w:val="fr-FR"/>
        </w:rPr>
      </w:pPr>
      <w:r w:rsidRPr="00577EB1">
        <w:rPr>
          <w:sz w:val="20"/>
          <w:lang w:val="fr-FR"/>
        </w:rPr>
        <w:t xml:space="preserve">NB: </w:t>
      </w:r>
      <w:r w:rsidRPr="00577EB1">
        <w:rPr>
          <w:rStyle w:val="longtext"/>
          <w:sz w:val="20"/>
          <w:szCs w:val="20"/>
          <w:lang w:val="fr-FR"/>
        </w:rPr>
        <w:t xml:space="preserve">Cette liste est loin d’être exhaustive, mais </w:t>
      </w:r>
      <w:r w:rsidRPr="00577EB1">
        <w:rPr>
          <w:rStyle w:val="longtext"/>
          <w:sz w:val="20"/>
          <w:szCs w:val="20"/>
          <w:shd w:val="clear" w:color="auto" w:fill="FFFFFF"/>
          <w:lang w:val="fr-FR"/>
        </w:rPr>
        <w:t xml:space="preserve">les principaux programmes de filets sociaux existants au Burkina Faso y figurent. Il peut y avoir beaucoup d’autres initiatives de petites ONG ou de collectivités locales à travers le pays, qui fournissent des transferts sociaux aux personnes/ménages pauvres ou vulnérables. La plupart ont été jugées trop petites et isolées pour être prises en compte. </w:t>
      </w:r>
      <w:r w:rsidRPr="00577EB1">
        <w:rPr>
          <w:rStyle w:val="longtext"/>
          <w:sz w:val="20"/>
          <w:szCs w:val="20"/>
          <w:lang w:val="fr-FR"/>
        </w:rPr>
        <w:t xml:space="preserve">Pourtant, certains petits projets ont été inclus parce qu’ils semblent faire preuve d’innovation et être des exemples dignes d’intérêt. </w:t>
      </w:r>
    </w:p>
    <w:p w:rsidR="004B3541" w:rsidRDefault="00A54EB6">
      <w:pPr>
        <w:pStyle w:val="Source"/>
        <w:spacing w:before="120" w:after="480"/>
        <w:rPr>
          <w:i w:val="0"/>
        </w:rPr>
      </w:pPr>
      <w:r w:rsidRPr="00577EB1">
        <w:t xml:space="preserve">Source: </w:t>
      </w:r>
      <w:r w:rsidR="00EB214A" w:rsidRPr="00EB214A">
        <w:rPr>
          <w:i w:val="0"/>
        </w:rPr>
        <w:t>Auteurs.</w:t>
      </w:r>
    </w:p>
    <w:p w:rsidR="00A54EB6" w:rsidRPr="00577EB1" w:rsidRDefault="00A54EB6" w:rsidP="005738FE">
      <w:pPr>
        <w:spacing w:before="120" w:after="480"/>
        <w:rPr>
          <w:lang w:val="fr-FR"/>
        </w:rPr>
        <w:sectPr w:rsidR="00A54EB6" w:rsidRPr="00577EB1" w:rsidSect="0050199E">
          <w:pgSz w:w="16838" w:h="11906" w:orient="landscape"/>
          <w:pgMar w:top="1417" w:right="1417" w:bottom="1417" w:left="1417" w:header="708" w:footer="708" w:gutter="0"/>
          <w:cols w:space="708"/>
          <w:docGrid w:linePitch="360"/>
        </w:sectPr>
      </w:pPr>
    </w:p>
    <w:p w:rsidR="00A66260" w:rsidRPr="00577EB1" w:rsidRDefault="00A66260" w:rsidP="00A66260">
      <w:pPr>
        <w:pStyle w:val="Style3"/>
        <w:rPr>
          <w:lang w:val="fr-FR"/>
        </w:rPr>
      </w:pPr>
      <w:bookmarkStart w:id="91" w:name="_Toc262169634"/>
      <w:r w:rsidRPr="00577EB1">
        <w:rPr>
          <w:lang w:val="fr-FR"/>
        </w:rPr>
        <w:lastRenderedPageBreak/>
        <w:t>Niveau des dépenses dans les filets sociaux</w:t>
      </w:r>
    </w:p>
    <w:p w:rsidR="00A66260" w:rsidRPr="00577EB1" w:rsidRDefault="00A66260" w:rsidP="00E52A30">
      <w:pPr>
        <w:numPr>
          <w:ilvl w:val="0"/>
          <w:numId w:val="2"/>
        </w:numPr>
        <w:tabs>
          <w:tab w:val="clear" w:pos="709"/>
        </w:tabs>
        <w:ind w:left="0" w:firstLine="0"/>
        <w:rPr>
          <w:rStyle w:val="longtext"/>
          <w:szCs w:val="24"/>
          <w:lang w:val="fr-FR"/>
        </w:rPr>
      </w:pPr>
      <w:r w:rsidRPr="00577EB1">
        <w:rPr>
          <w:rStyle w:val="longtext"/>
          <w:b/>
          <w:lang w:val="fr-FR"/>
        </w:rPr>
        <w:t>En dehors des subventions générales des produits pétroliers et autres subventions temporaires des produits alimentaires, la dépense totale dans les programmes de filets sociaux représentait en moyenne 0,6 % du PIB entre 2005 et 2009</w:t>
      </w:r>
      <w:r w:rsidRPr="00577EB1">
        <w:rPr>
          <w:rStyle w:val="longtext"/>
          <w:lang w:val="fr-FR"/>
        </w:rPr>
        <w:t xml:space="preserve">. </w:t>
      </w:r>
      <w:r w:rsidRPr="00577EB1">
        <w:rPr>
          <w:rStyle w:val="longtext"/>
          <w:shd w:val="clear" w:color="auto" w:fill="FFFFFF"/>
          <w:lang w:val="fr-FR"/>
        </w:rPr>
        <w:t>Ce chiffre est comparable à la dépense moyenne du Mali dans les filets sociaux de 2006 à 2009</w:t>
      </w:r>
      <w:r w:rsidRPr="00577EB1">
        <w:rPr>
          <w:rStyle w:val="FootnoteReference"/>
          <w:szCs w:val="24"/>
          <w:lang w:val="fr-FR"/>
        </w:rPr>
        <w:footnoteReference w:id="18"/>
      </w:r>
      <w:r w:rsidRPr="00577EB1">
        <w:rPr>
          <w:rStyle w:val="longtext"/>
          <w:shd w:val="clear" w:color="auto" w:fill="FFFFFF"/>
          <w:lang w:val="fr-FR"/>
        </w:rPr>
        <w:t>. Une récente étude mondiale a conclu que les programmes de filets sociaux dans les pays en développement étaient généralement de l’ordre de 1 à 2 % du PIB, voire moins</w:t>
      </w:r>
      <w:r w:rsidR="0007340F">
        <w:rPr>
          <w:rStyle w:val="longtext"/>
          <w:shd w:val="clear" w:color="auto" w:fill="FFFFFF"/>
          <w:lang w:val="fr-FR"/>
        </w:rPr>
        <w:t xml:space="preserve"> </w:t>
      </w:r>
      <w:r w:rsidRPr="00577EB1">
        <w:rPr>
          <w:rStyle w:val="longtext"/>
          <w:shd w:val="clear" w:color="auto" w:fill="FFFFFF"/>
          <w:lang w:val="fr-FR"/>
        </w:rPr>
        <w:t xml:space="preserve">[Grosh et coll. </w:t>
      </w:r>
      <w:r w:rsidRPr="00577EB1">
        <w:rPr>
          <w:rStyle w:val="longtext"/>
          <w:lang w:val="fr-FR"/>
        </w:rPr>
        <w:t xml:space="preserve">2008]. Le </w:t>
      </w:r>
      <w:r w:rsidRPr="00577EB1">
        <w:rPr>
          <w:rStyle w:val="longtext"/>
          <w:shd w:val="clear" w:color="auto" w:fill="FFFFFF"/>
          <w:lang w:val="fr-FR"/>
        </w:rPr>
        <w:t xml:space="preserve">Burkina semble donc se situer au bas de l’échelle en termes de dépenses dans les filets sociaux. Avec quelque </w:t>
      </w:r>
      <w:r w:rsidRPr="00577EB1">
        <w:rPr>
          <w:rStyle w:val="longtext"/>
          <w:lang w:val="fr-FR"/>
        </w:rPr>
        <w:t xml:space="preserve">0,6 % du PIB, les dépenses dans les filets sociaux n’atteignent donc pas le quart du montant indicatif minimum nécessaire pour élever tous les pauvres au niveau du seuil de pauvreté grâce à des transferts monétaires en 2007, soit moins de 50 % du montant minimum requis pour amener </w:t>
      </w:r>
      <w:r w:rsidRPr="00577EB1">
        <w:rPr>
          <w:rStyle w:val="longtext"/>
          <w:shd w:val="clear" w:color="auto" w:fill="FFFFFF"/>
          <w:lang w:val="fr-FR"/>
        </w:rPr>
        <w:t>les plus pauvres et les plus vulnérables jusqu’au seuil de pauvreté. De même, comme indiqué au Tableau 10, les dépenses par pauvre (hors subventions universelles des produits alimentaires et pétroliers) représentaient environ 3 % du seuil de la pauvreté en 2007. Toujours en excluant les subventions, le montant dépensé dans les filets sociaux par habitant était de l’ordre de 3 % du PIB par habitant.</w:t>
      </w:r>
    </w:p>
    <w:p w:rsidR="00A66260" w:rsidRPr="00577EB1" w:rsidRDefault="00DD0F50" w:rsidP="00AD58C8">
      <w:pPr>
        <w:pStyle w:val="Heading7"/>
        <w:rPr>
          <w:lang w:val="fr-FR"/>
        </w:rPr>
      </w:pPr>
      <w:bookmarkStart w:id="92" w:name="_Toc284528584"/>
      <w:bookmarkStart w:id="93" w:name="_Toc284530521"/>
      <w:r w:rsidRPr="00577EB1">
        <w:rPr>
          <w:lang w:val="fr-FR"/>
        </w:rPr>
        <w:lastRenderedPageBreak/>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10</w:t>
      </w:r>
      <w:r w:rsidR="00725419" w:rsidRPr="00577EB1">
        <w:rPr>
          <w:lang w:val="fr-FR"/>
        </w:rPr>
        <w:fldChar w:fldCharType="end"/>
      </w:r>
      <w:r w:rsidR="001F3001">
        <w:rPr>
          <w:lang w:val="fr-FR"/>
        </w:rPr>
        <w:t xml:space="preserve"> </w:t>
      </w:r>
      <w:r w:rsidR="00837FC9">
        <w:rPr>
          <w:lang w:val="fr-FR"/>
        </w:rPr>
        <w:t>:</w:t>
      </w:r>
      <w:r w:rsidR="0007340F">
        <w:rPr>
          <w:lang w:val="fr-FR"/>
        </w:rPr>
        <w:t xml:space="preserve"> </w:t>
      </w:r>
      <w:r w:rsidR="00A66260" w:rsidRPr="00577EB1">
        <w:rPr>
          <w:lang w:val="fr-FR"/>
        </w:rPr>
        <w:t>Dépenses totales dans les programmes de filets sociaux, 2005-2009</w:t>
      </w:r>
      <w:bookmarkEnd w:id="92"/>
      <w:bookmarkEnd w:id="93"/>
    </w:p>
    <w:tbl>
      <w:tblPr>
        <w:tblW w:w="5589"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tblPr>
      <w:tblGrid>
        <w:gridCol w:w="4111"/>
        <w:gridCol w:w="1015"/>
        <w:gridCol w:w="1016"/>
        <w:gridCol w:w="1170"/>
        <w:gridCol w:w="1016"/>
        <w:gridCol w:w="1015"/>
        <w:gridCol w:w="722"/>
      </w:tblGrid>
      <w:tr w:rsidR="000906CC" w:rsidRPr="00B13DE0" w:rsidTr="0014214A">
        <w:trPr>
          <w:trHeight w:val="345"/>
        </w:trPr>
        <w:tc>
          <w:tcPr>
            <w:tcW w:w="4111" w:type="dxa"/>
            <w:tcBorders>
              <w:top w:val="single" w:sz="4" w:space="0" w:color="auto"/>
              <w:left w:val="nil"/>
              <w:bottom w:val="single" w:sz="4" w:space="0" w:color="auto"/>
              <w:right w:val="nil"/>
            </w:tcBorders>
            <w:shd w:val="clear" w:color="auto" w:fill="auto"/>
            <w:vAlign w:val="center"/>
            <w:hideMark/>
          </w:tcPr>
          <w:p w:rsidR="004B3541" w:rsidRDefault="00AD58C8">
            <w:pPr>
              <w:keepNext/>
              <w:keepLines/>
              <w:tabs>
                <w:tab w:val="clear" w:pos="709"/>
              </w:tabs>
              <w:spacing w:after="0"/>
              <w:jc w:val="left"/>
              <w:rPr>
                <w:rFonts w:eastAsia="Times New Roman"/>
                <w:b/>
                <w:bCs/>
                <w:sz w:val="20"/>
                <w:szCs w:val="20"/>
                <w:lang w:val="fr-FR" w:eastAsia="fr-FR"/>
              </w:rPr>
            </w:pPr>
            <w:r w:rsidRPr="00B13DE0">
              <w:rPr>
                <w:rFonts w:eastAsia="Times New Roman"/>
                <w:b/>
                <w:bCs/>
                <w:sz w:val="20"/>
                <w:szCs w:val="20"/>
                <w:lang w:val="fr-FR" w:eastAsia="fr-FR"/>
              </w:rPr>
              <w:t xml:space="preserve">Type </w:t>
            </w:r>
            <w:r w:rsidR="006C4363">
              <w:rPr>
                <w:rFonts w:eastAsia="Times New Roman"/>
                <w:b/>
                <w:bCs/>
                <w:sz w:val="20"/>
                <w:szCs w:val="20"/>
                <w:lang w:val="fr-FR" w:eastAsia="fr-FR"/>
              </w:rPr>
              <w:t xml:space="preserve">de </w:t>
            </w:r>
            <w:r w:rsidRPr="00B13DE0">
              <w:rPr>
                <w:rFonts w:eastAsia="Times New Roman"/>
                <w:b/>
                <w:bCs/>
                <w:sz w:val="20"/>
                <w:szCs w:val="20"/>
                <w:lang w:val="fr-FR" w:eastAsia="fr-FR"/>
              </w:rPr>
              <w:t>program</w:t>
            </w:r>
            <w:r w:rsidR="006C4363">
              <w:rPr>
                <w:rFonts w:eastAsia="Times New Roman"/>
                <w:b/>
                <w:bCs/>
                <w:sz w:val="20"/>
                <w:szCs w:val="20"/>
                <w:lang w:val="fr-FR" w:eastAsia="fr-FR"/>
              </w:rPr>
              <w:t>me</w:t>
            </w:r>
          </w:p>
        </w:tc>
        <w:tc>
          <w:tcPr>
            <w:tcW w:w="1015" w:type="dxa"/>
            <w:tcBorders>
              <w:top w:val="single" w:sz="4" w:space="0" w:color="auto"/>
              <w:left w:val="nil"/>
              <w:bottom w:val="single" w:sz="4" w:space="0" w:color="auto"/>
              <w:right w:val="nil"/>
            </w:tcBorders>
            <w:shd w:val="clear" w:color="auto" w:fill="auto"/>
            <w:noWrap/>
            <w:vAlign w:val="center"/>
            <w:hideMark/>
          </w:tcPr>
          <w:p w:rsidR="004B3541" w:rsidRDefault="00AD58C8">
            <w:pPr>
              <w:keepNext/>
              <w:keepLines/>
              <w:tabs>
                <w:tab w:val="clear" w:pos="709"/>
              </w:tabs>
              <w:spacing w:after="0"/>
              <w:jc w:val="right"/>
              <w:rPr>
                <w:rFonts w:eastAsia="Times New Roman"/>
                <w:b/>
                <w:bCs/>
                <w:sz w:val="20"/>
                <w:szCs w:val="20"/>
                <w:lang w:val="fr-FR" w:eastAsia="fr-FR"/>
              </w:rPr>
            </w:pPr>
            <w:r>
              <w:rPr>
                <w:rFonts w:eastAsia="Times New Roman"/>
                <w:b/>
                <w:bCs/>
                <w:sz w:val="20"/>
                <w:szCs w:val="20"/>
                <w:lang w:val="fr-FR" w:eastAsia="fr-FR"/>
              </w:rPr>
              <w:t>2005</w:t>
            </w:r>
          </w:p>
        </w:tc>
        <w:tc>
          <w:tcPr>
            <w:tcW w:w="1016" w:type="dxa"/>
            <w:tcBorders>
              <w:top w:val="single" w:sz="4" w:space="0" w:color="auto"/>
              <w:left w:val="nil"/>
              <w:bottom w:val="single" w:sz="4" w:space="0" w:color="auto"/>
              <w:right w:val="nil"/>
            </w:tcBorders>
            <w:shd w:val="clear" w:color="auto" w:fill="auto"/>
            <w:noWrap/>
            <w:vAlign w:val="center"/>
            <w:hideMark/>
          </w:tcPr>
          <w:p w:rsidR="004B3541" w:rsidRDefault="00AD58C8">
            <w:pPr>
              <w:keepNext/>
              <w:keepLines/>
              <w:tabs>
                <w:tab w:val="clear" w:pos="709"/>
              </w:tabs>
              <w:spacing w:after="0"/>
              <w:jc w:val="right"/>
              <w:rPr>
                <w:rFonts w:eastAsia="Times New Roman"/>
                <w:b/>
                <w:bCs/>
                <w:sz w:val="20"/>
                <w:szCs w:val="20"/>
                <w:lang w:val="fr-FR" w:eastAsia="fr-FR"/>
              </w:rPr>
            </w:pPr>
            <w:r>
              <w:rPr>
                <w:rFonts w:eastAsia="Times New Roman"/>
                <w:b/>
                <w:bCs/>
                <w:sz w:val="20"/>
                <w:szCs w:val="20"/>
                <w:lang w:val="fr-FR" w:eastAsia="fr-FR"/>
              </w:rPr>
              <w:t>2006</w:t>
            </w:r>
          </w:p>
        </w:tc>
        <w:tc>
          <w:tcPr>
            <w:tcW w:w="1170" w:type="dxa"/>
            <w:tcBorders>
              <w:top w:val="single" w:sz="4" w:space="0" w:color="auto"/>
              <w:left w:val="nil"/>
              <w:bottom w:val="single" w:sz="4" w:space="0" w:color="auto"/>
              <w:right w:val="nil"/>
            </w:tcBorders>
            <w:shd w:val="clear" w:color="auto" w:fill="auto"/>
            <w:noWrap/>
            <w:vAlign w:val="center"/>
            <w:hideMark/>
          </w:tcPr>
          <w:p w:rsidR="004B3541" w:rsidRDefault="00AD58C8">
            <w:pPr>
              <w:keepNext/>
              <w:keepLines/>
              <w:tabs>
                <w:tab w:val="clear" w:pos="709"/>
              </w:tabs>
              <w:spacing w:after="0"/>
              <w:jc w:val="right"/>
              <w:rPr>
                <w:rFonts w:eastAsia="Times New Roman"/>
                <w:b/>
                <w:bCs/>
                <w:sz w:val="20"/>
                <w:szCs w:val="20"/>
                <w:lang w:val="fr-FR" w:eastAsia="fr-FR"/>
              </w:rPr>
            </w:pPr>
            <w:r>
              <w:rPr>
                <w:rFonts w:eastAsia="Times New Roman"/>
                <w:b/>
                <w:bCs/>
                <w:sz w:val="20"/>
                <w:szCs w:val="20"/>
                <w:lang w:val="fr-FR" w:eastAsia="fr-FR"/>
              </w:rPr>
              <w:t>2007</w:t>
            </w:r>
          </w:p>
        </w:tc>
        <w:tc>
          <w:tcPr>
            <w:tcW w:w="1016" w:type="dxa"/>
            <w:tcBorders>
              <w:top w:val="single" w:sz="4" w:space="0" w:color="auto"/>
              <w:left w:val="nil"/>
              <w:bottom w:val="single" w:sz="4" w:space="0" w:color="auto"/>
              <w:right w:val="nil"/>
            </w:tcBorders>
            <w:shd w:val="clear" w:color="auto" w:fill="auto"/>
            <w:noWrap/>
            <w:vAlign w:val="center"/>
            <w:hideMark/>
          </w:tcPr>
          <w:p w:rsidR="004B3541" w:rsidRDefault="00AD58C8">
            <w:pPr>
              <w:keepNext/>
              <w:keepLines/>
              <w:tabs>
                <w:tab w:val="clear" w:pos="709"/>
              </w:tabs>
              <w:spacing w:after="0"/>
              <w:jc w:val="right"/>
              <w:rPr>
                <w:rFonts w:eastAsia="Times New Roman"/>
                <w:b/>
                <w:bCs/>
                <w:sz w:val="20"/>
                <w:szCs w:val="20"/>
                <w:lang w:val="fr-FR" w:eastAsia="fr-FR"/>
              </w:rPr>
            </w:pPr>
            <w:r>
              <w:rPr>
                <w:rFonts w:eastAsia="Times New Roman"/>
                <w:b/>
                <w:bCs/>
                <w:sz w:val="20"/>
                <w:szCs w:val="20"/>
                <w:lang w:val="fr-FR" w:eastAsia="fr-FR"/>
              </w:rPr>
              <w:t>2008</w:t>
            </w:r>
          </w:p>
        </w:tc>
        <w:tc>
          <w:tcPr>
            <w:tcW w:w="1015" w:type="dxa"/>
            <w:tcBorders>
              <w:top w:val="single" w:sz="4" w:space="0" w:color="auto"/>
              <w:left w:val="nil"/>
              <w:bottom w:val="single" w:sz="4" w:space="0" w:color="auto"/>
              <w:right w:val="nil"/>
            </w:tcBorders>
            <w:shd w:val="clear" w:color="auto" w:fill="auto"/>
            <w:noWrap/>
            <w:vAlign w:val="center"/>
            <w:hideMark/>
          </w:tcPr>
          <w:p w:rsidR="004B3541" w:rsidRDefault="00AD58C8">
            <w:pPr>
              <w:keepNext/>
              <w:keepLines/>
              <w:tabs>
                <w:tab w:val="clear" w:pos="709"/>
              </w:tabs>
              <w:spacing w:after="0"/>
              <w:jc w:val="right"/>
              <w:rPr>
                <w:rFonts w:eastAsia="Times New Roman"/>
                <w:b/>
                <w:bCs/>
                <w:sz w:val="20"/>
                <w:szCs w:val="20"/>
                <w:lang w:val="fr-FR" w:eastAsia="fr-FR"/>
              </w:rPr>
            </w:pPr>
            <w:r>
              <w:rPr>
                <w:rFonts w:eastAsia="Times New Roman"/>
                <w:b/>
                <w:bCs/>
                <w:sz w:val="20"/>
                <w:szCs w:val="20"/>
                <w:lang w:val="fr-FR" w:eastAsia="fr-FR"/>
              </w:rPr>
              <w:t>2009</w:t>
            </w:r>
          </w:p>
        </w:tc>
        <w:tc>
          <w:tcPr>
            <w:tcW w:w="722" w:type="dxa"/>
            <w:tcBorders>
              <w:top w:val="single" w:sz="4" w:space="0" w:color="auto"/>
              <w:left w:val="nil"/>
              <w:bottom w:val="single" w:sz="4" w:space="0" w:color="auto"/>
              <w:right w:val="nil"/>
            </w:tcBorders>
            <w:shd w:val="clear" w:color="auto" w:fill="auto"/>
            <w:noWrap/>
            <w:vAlign w:val="center"/>
            <w:hideMark/>
          </w:tcPr>
          <w:p w:rsidR="004B3541" w:rsidRDefault="00AD58C8">
            <w:pPr>
              <w:keepNext/>
              <w:keepLines/>
              <w:tabs>
                <w:tab w:val="clear" w:pos="709"/>
              </w:tabs>
              <w:spacing w:after="0"/>
              <w:jc w:val="right"/>
              <w:rPr>
                <w:rFonts w:eastAsia="Times New Roman"/>
                <w:b/>
                <w:bCs/>
                <w:i/>
                <w:sz w:val="20"/>
                <w:szCs w:val="20"/>
                <w:lang w:val="fr-FR" w:eastAsia="fr-FR"/>
              </w:rPr>
            </w:pPr>
            <w:r w:rsidRPr="00892AEA">
              <w:rPr>
                <w:rFonts w:eastAsia="Times New Roman"/>
                <w:b/>
                <w:bCs/>
                <w:i/>
                <w:sz w:val="20"/>
                <w:szCs w:val="20"/>
                <w:lang w:val="fr-FR" w:eastAsia="fr-FR"/>
              </w:rPr>
              <w:t>2010 (*)</w:t>
            </w:r>
          </w:p>
        </w:tc>
      </w:tr>
      <w:tr w:rsidR="000906CC" w:rsidRPr="00B13DE0" w:rsidTr="0014214A">
        <w:trPr>
          <w:trHeight w:val="255"/>
        </w:trPr>
        <w:tc>
          <w:tcPr>
            <w:tcW w:w="4111" w:type="dxa"/>
            <w:tcBorders>
              <w:top w:val="nil"/>
              <w:left w:val="nil"/>
              <w:bottom w:val="nil"/>
              <w:right w:val="nil"/>
            </w:tcBorders>
            <w:shd w:val="clear" w:color="auto" w:fill="auto"/>
            <w:hideMark/>
          </w:tcPr>
          <w:p w:rsidR="004B3541" w:rsidRDefault="00EB214A">
            <w:pPr>
              <w:keepNext/>
              <w:keepLines/>
              <w:tabs>
                <w:tab w:val="clear" w:pos="709"/>
              </w:tabs>
              <w:spacing w:before="40" w:after="0"/>
              <w:jc w:val="left"/>
              <w:rPr>
                <w:rFonts w:eastAsia="Times New Roman"/>
                <w:sz w:val="20"/>
                <w:szCs w:val="20"/>
                <w:lang w:val="fr-FR" w:eastAsia="fr-FR"/>
              </w:rPr>
            </w:pPr>
            <w:r w:rsidRPr="00EB214A">
              <w:rPr>
                <w:rFonts w:eastAsia="Times New Roman"/>
                <w:sz w:val="20"/>
                <w:szCs w:val="20"/>
                <w:lang w:val="fr-FR" w:eastAsia="fr-FR"/>
              </w:rPr>
              <w:t>1. Transferts monétaires et quasi-monétaires</w:t>
            </w:r>
          </w:p>
        </w:tc>
        <w:tc>
          <w:tcPr>
            <w:tcW w:w="1015" w:type="dxa"/>
            <w:tcBorders>
              <w:top w:val="nil"/>
              <w:left w:val="nil"/>
              <w:bottom w:val="nil"/>
              <w:right w:val="nil"/>
            </w:tcBorders>
            <w:shd w:val="clear" w:color="auto" w:fill="auto"/>
            <w:noWrap/>
            <w:hideMark/>
          </w:tcPr>
          <w:p w:rsidR="004B3541" w:rsidRDefault="00EB214A">
            <w:pPr>
              <w:keepNext/>
              <w:keepLines/>
              <w:tabs>
                <w:tab w:val="clear" w:pos="709"/>
              </w:tabs>
              <w:spacing w:before="40" w:after="0"/>
              <w:jc w:val="right"/>
              <w:rPr>
                <w:rFonts w:eastAsia="Times New Roman"/>
                <w:bCs/>
                <w:sz w:val="20"/>
                <w:szCs w:val="20"/>
                <w:lang w:val="fr-FR" w:eastAsia="fr-FR"/>
              </w:rPr>
            </w:pPr>
            <w:r w:rsidRPr="00EB214A">
              <w:rPr>
                <w:rFonts w:eastAsia="Times New Roman"/>
                <w:bCs/>
                <w:sz w:val="20"/>
                <w:szCs w:val="20"/>
                <w:lang w:val="fr-FR" w:eastAsia="fr-FR"/>
              </w:rPr>
              <w:t xml:space="preserve"> </w:t>
            </w:r>
            <w:r w:rsidR="00AD58C8" w:rsidRPr="00892AEA">
              <w:rPr>
                <w:rFonts w:eastAsia="Times New Roman"/>
                <w:bCs/>
                <w:sz w:val="20"/>
                <w:szCs w:val="20"/>
                <w:lang w:val="fr-FR" w:eastAsia="fr-FR"/>
              </w:rPr>
              <w:t xml:space="preserve">-     </w:t>
            </w:r>
          </w:p>
        </w:tc>
        <w:tc>
          <w:tcPr>
            <w:tcW w:w="1016" w:type="dxa"/>
            <w:tcBorders>
              <w:top w:val="nil"/>
              <w:left w:val="nil"/>
              <w:bottom w:val="nil"/>
              <w:right w:val="nil"/>
            </w:tcBorders>
            <w:shd w:val="clear" w:color="auto" w:fill="auto"/>
            <w:noWrap/>
            <w:hideMark/>
          </w:tcPr>
          <w:p w:rsidR="004B3541" w:rsidRDefault="00AD58C8">
            <w:pPr>
              <w:keepNext/>
              <w:keepLines/>
              <w:tabs>
                <w:tab w:val="clear" w:pos="709"/>
              </w:tabs>
              <w:spacing w:before="40" w:after="0"/>
              <w:jc w:val="right"/>
              <w:rPr>
                <w:rFonts w:eastAsia="Times New Roman"/>
                <w:bCs/>
                <w:sz w:val="20"/>
                <w:szCs w:val="20"/>
                <w:lang w:val="fr-FR" w:eastAsia="fr-FR"/>
              </w:rPr>
            </w:pPr>
            <w:r w:rsidRPr="00892AEA">
              <w:rPr>
                <w:rFonts w:eastAsia="Times New Roman"/>
                <w:bCs/>
                <w:sz w:val="20"/>
                <w:szCs w:val="20"/>
                <w:lang w:val="fr-FR" w:eastAsia="fr-FR"/>
              </w:rPr>
              <w:t xml:space="preserve">   -     </w:t>
            </w:r>
          </w:p>
        </w:tc>
        <w:tc>
          <w:tcPr>
            <w:tcW w:w="1170" w:type="dxa"/>
            <w:tcBorders>
              <w:top w:val="nil"/>
              <w:left w:val="nil"/>
              <w:bottom w:val="nil"/>
              <w:right w:val="nil"/>
            </w:tcBorders>
            <w:shd w:val="clear" w:color="auto" w:fill="auto"/>
            <w:noWrap/>
            <w:hideMark/>
          </w:tcPr>
          <w:p w:rsidR="004B3541" w:rsidRDefault="00AD58C8">
            <w:pPr>
              <w:keepNext/>
              <w:keepLines/>
              <w:tabs>
                <w:tab w:val="clear" w:pos="709"/>
              </w:tabs>
              <w:spacing w:before="40" w:after="0"/>
              <w:jc w:val="right"/>
              <w:rPr>
                <w:rFonts w:eastAsia="Times New Roman"/>
                <w:bCs/>
                <w:sz w:val="20"/>
                <w:szCs w:val="20"/>
                <w:lang w:val="fr-FR" w:eastAsia="fr-FR"/>
              </w:rPr>
            </w:pPr>
            <w:r w:rsidRPr="00892AEA">
              <w:rPr>
                <w:rFonts w:eastAsia="Times New Roman"/>
                <w:bCs/>
                <w:sz w:val="20"/>
                <w:szCs w:val="20"/>
                <w:lang w:val="fr-FR" w:eastAsia="fr-FR"/>
              </w:rPr>
              <w:t xml:space="preserve">  -     </w:t>
            </w:r>
          </w:p>
        </w:tc>
        <w:tc>
          <w:tcPr>
            <w:tcW w:w="1016" w:type="dxa"/>
            <w:tcBorders>
              <w:top w:val="nil"/>
              <w:left w:val="nil"/>
              <w:bottom w:val="nil"/>
              <w:right w:val="nil"/>
            </w:tcBorders>
            <w:shd w:val="clear" w:color="auto" w:fill="auto"/>
            <w:noWrap/>
            <w:hideMark/>
          </w:tcPr>
          <w:p w:rsidR="004B3541" w:rsidRDefault="00AD58C8">
            <w:pPr>
              <w:keepNext/>
              <w:keepLines/>
              <w:tabs>
                <w:tab w:val="clear" w:pos="709"/>
              </w:tabs>
              <w:spacing w:before="40" w:after="0"/>
              <w:jc w:val="right"/>
              <w:rPr>
                <w:rFonts w:eastAsia="Times New Roman"/>
                <w:bCs/>
                <w:sz w:val="20"/>
                <w:szCs w:val="20"/>
                <w:lang w:val="fr-FR" w:eastAsia="fr-FR"/>
              </w:rPr>
            </w:pPr>
            <w:r w:rsidRPr="00892AEA">
              <w:rPr>
                <w:rFonts w:eastAsia="Times New Roman"/>
                <w:bCs/>
                <w:sz w:val="20"/>
                <w:szCs w:val="20"/>
                <w:lang w:val="fr-FR" w:eastAsia="fr-FR"/>
              </w:rPr>
              <w:t xml:space="preserve">   284   </w:t>
            </w:r>
          </w:p>
        </w:tc>
        <w:tc>
          <w:tcPr>
            <w:tcW w:w="1015" w:type="dxa"/>
            <w:tcBorders>
              <w:top w:val="nil"/>
              <w:left w:val="nil"/>
              <w:bottom w:val="nil"/>
              <w:right w:val="nil"/>
            </w:tcBorders>
            <w:shd w:val="clear" w:color="auto" w:fill="auto"/>
            <w:noWrap/>
            <w:hideMark/>
          </w:tcPr>
          <w:p w:rsidR="004B3541" w:rsidRDefault="00AD58C8">
            <w:pPr>
              <w:keepNext/>
              <w:keepLines/>
              <w:tabs>
                <w:tab w:val="clear" w:pos="709"/>
              </w:tabs>
              <w:spacing w:before="40" w:after="0"/>
              <w:jc w:val="right"/>
              <w:rPr>
                <w:rFonts w:eastAsia="Times New Roman"/>
                <w:bCs/>
                <w:sz w:val="20"/>
                <w:szCs w:val="20"/>
                <w:lang w:val="fr-FR" w:eastAsia="fr-FR"/>
              </w:rPr>
            </w:pPr>
            <w:r w:rsidRPr="00892AEA">
              <w:rPr>
                <w:rFonts w:eastAsia="Times New Roman"/>
                <w:bCs/>
                <w:sz w:val="20"/>
                <w:szCs w:val="20"/>
                <w:lang w:val="fr-FR" w:eastAsia="fr-FR"/>
              </w:rPr>
              <w:t xml:space="preserve">    9 021   </w:t>
            </w:r>
          </w:p>
        </w:tc>
        <w:tc>
          <w:tcPr>
            <w:tcW w:w="722" w:type="dxa"/>
            <w:tcBorders>
              <w:top w:val="nil"/>
              <w:left w:val="nil"/>
              <w:bottom w:val="nil"/>
              <w:right w:val="nil"/>
            </w:tcBorders>
            <w:shd w:val="clear" w:color="auto" w:fill="auto"/>
            <w:noWrap/>
            <w:hideMark/>
          </w:tcPr>
          <w:p w:rsidR="004B3541" w:rsidRDefault="00AD58C8">
            <w:pPr>
              <w:keepNext/>
              <w:keepLines/>
              <w:tabs>
                <w:tab w:val="clear" w:pos="709"/>
              </w:tabs>
              <w:spacing w:before="40" w:after="0"/>
              <w:jc w:val="right"/>
              <w:rPr>
                <w:rFonts w:eastAsia="Times New Roman"/>
                <w:bCs/>
                <w:i/>
                <w:sz w:val="20"/>
                <w:szCs w:val="20"/>
                <w:lang w:val="fr-FR" w:eastAsia="fr-FR"/>
              </w:rPr>
            </w:pPr>
            <w:r w:rsidRPr="00892AEA">
              <w:rPr>
                <w:rFonts w:eastAsia="Times New Roman"/>
                <w:bCs/>
                <w:i/>
                <w:sz w:val="20"/>
                <w:szCs w:val="20"/>
                <w:lang w:val="fr-FR" w:eastAsia="fr-FR"/>
              </w:rPr>
              <w:t xml:space="preserve"> 4 359   </w:t>
            </w:r>
          </w:p>
        </w:tc>
      </w:tr>
      <w:tr w:rsidR="000906CC" w:rsidRPr="00B13DE0" w:rsidTr="0014214A">
        <w:trPr>
          <w:trHeight w:val="255"/>
        </w:trPr>
        <w:tc>
          <w:tcPr>
            <w:tcW w:w="4111" w:type="dxa"/>
            <w:tcBorders>
              <w:top w:val="nil"/>
              <w:left w:val="nil"/>
              <w:bottom w:val="nil"/>
              <w:right w:val="nil"/>
            </w:tcBorders>
            <w:shd w:val="clear" w:color="auto" w:fill="auto"/>
            <w:hideMark/>
          </w:tcPr>
          <w:p w:rsidR="004B3541" w:rsidRDefault="00AD58C8">
            <w:pPr>
              <w:keepNext/>
              <w:keepLines/>
              <w:tabs>
                <w:tab w:val="clear" w:pos="709"/>
              </w:tabs>
              <w:spacing w:after="0"/>
              <w:jc w:val="left"/>
              <w:rPr>
                <w:rFonts w:eastAsia="Times New Roman"/>
                <w:sz w:val="20"/>
                <w:szCs w:val="20"/>
                <w:lang w:val="fr-FR" w:eastAsia="fr-FR"/>
              </w:rPr>
            </w:pPr>
            <w:r w:rsidRPr="00B13DE0">
              <w:rPr>
                <w:rFonts w:eastAsia="Times New Roman"/>
                <w:sz w:val="20"/>
                <w:szCs w:val="20"/>
                <w:lang w:val="fr-FR" w:eastAsia="fr-FR"/>
              </w:rPr>
              <w:t xml:space="preserve">2. </w:t>
            </w:r>
            <w:r w:rsidR="006C4363">
              <w:rPr>
                <w:rFonts w:eastAsia="Times New Roman"/>
                <w:sz w:val="20"/>
                <w:szCs w:val="20"/>
                <w:lang w:val="fr-FR" w:eastAsia="fr-FR"/>
              </w:rPr>
              <w:t>Transferts alimentaires</w:t>
            </w:r>
          </w:p>
        </w:tc>
        <w:tc>
          <w:tcPr>
            <w:tcW w:w="1015"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7 378   </w:t>
            </w:r>
          </w:p>
        </w:tc>
        <w:tc>
          <w:tcPr>
            <w:tcW w:w="1016"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11 195   </w:t>
            </w:r>
          </w:p>
        </w:tc>
        <w:tc>
          <w:tcPr>
            <w:tcW w:w="1170"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 13 760   </w:t>
            </w:r>
          </w:p>
        </w:tc>
        <w:tc>
          <w:tcPr>
            <w:tcW w:w="1016"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  22 130   </w:t>
            </w:r>
          </w:p>
        </w:tc>
        <w:tc>
          <w:tcPr>
            <w:tcW w:w="1015"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   25 047   </w:t>
            </w:r>
          </w:p>
        </w:tc>
        <w:tc>
          <w:tcPr>
            <w:tcW w:w="722"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i/>
                <w:sz w:val="20"/>
                <w:szCs w:val="20"/>
                <w:lang w:val="fr-FR" w:eastAsia="fr-FR"/>
              </w:rPr>
            </w:pPr>
            <w:r w:rsidRPr="00892AEA">
              <w:rPr>
                <w:rFonts w:eastAsia="Times New Roman"/>
                <w:bCs/>
                <w:i/>
                <w:sz w:val="20"/>
                <w:szCs w:val="20"/>
                <w:lang w:val="fr-FR" w:eastAsia="fr-FR"/>
              </w:rPr>
              <w:t xml:space="preserve">  34 714   </w:t>
            </w:r>
          </w:p>
        </w:tc>
      </w:tr>
      <w:tr w:rsidR="000906CC" w:rsidRPr="00B13DE0" w:rsidTr="0014214A">
        <w:trPr>
          <w:trHeight w:val="255"/>
        </w:trPr>
        <w:tc>
          <w:tcPr>
            <w:tcW w:w="4111" w:type="dxa"/>
            <w:tcBorders>
              <w:top w:val="nil"/>
              <w:left w:val="nil"/>
              <w:bottom w:val="nil"/>
              <w:right w:val="nil"/>
            </w:tcBorders>
            <w:shd w:val="clear" w:color="auto" w:fill="auto"/>
            <w:hideMark/>
          </w:tcPr>
          <w:p w:rsidR="004B3541" w:rsidRDefault="00AD58C8">
            <w:pPr>
              <w:keepNext/>
              <w:keepLines/>
              <w:tabs>
                <w:tab w:val="clear" w:pos="709"/>
              </w:tabs>
              <w:spacing w:after="0"/>
              <w:ind w:left="213"/>
              <w:jc w:val="left"/>
              <w:rPr>
                <w:rFonts w:eastAsia="Times New Roman"/>
                <w:i/>
                <w:iCs/>
                <w:sz w:val="20"/>
                <w:szCs w:val="20"/>
                <w:lang w:val="fr-FR" w:eastAsia="fr-FR"/>
              </w:rPr>
            </w:pPr>
            <w:r w:rsidRPr="00B13DE0">
              <w:rPr>
                <w:rFonts w:eastAsia="Times New Roman"/>
                <w:i/>
                <w:iCs/>
                <w:sz w:val="20"/>
                <w:szCs w:val="20"/>
                <w:lang w:val="fr-FR" w:eastAsia="fr-FR"/>
              </w:rPr>
              <w:t xml:space="preserve">2.1 </w:t>
            </w:r>
            <w:r w:rsidR="000906CC">
              <w:rPr>
                <w:rFonts w:eastAsia="Times New Roman"/>
                <w:i/>
                <w:iCs/>
                <w:sz w:val="20"/>
                <w:szCs w:val="20"/>
                <w:lang w:val="fr-FR" w:eastAsia="fr-FR"/>
              </w:rPr>
              <w:t>Ventes à prix subventionné ciblées</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248</w:t>
            </w:r>
          </w:p>
        </w:tc>
        <w:tc>
          <w:tcPr>
            <w:tcW w:w="1170"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239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1 644   </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2 144   </w:t>
            </w:r>
          </w:p>
        </w:tc>
        <w:tc>
          <w:tcPr>
            <w:tcW w:w="722"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i/>
                <w:sz w:val="20"/>
                <w:szCs w:val="20"/>
                <w:lang w:val="fr-FR" w:eastAsia="fr-FR"/>
              </w:rPr>
            </w:pPr>
            <w:r w:rsidRPr="00892AEA">
              <w:rPr>
                <w:rFonts w:eastAsia="Times New Roman"/>
                <w:i/>
                <w:sz w:val="20"/>
                <w:szCs w:val="20"/>
                <w:lang w:val="fr-FR" w:eastAsia="fr-FR"/>
              </w:rPr>
              <w:t xml:space="preserve">2 144   </w:t>
            </w:r>
          </w:p>
        </w:tc>
      </w:tr>
      <w:tr w:rsidR="000906CC" w:rsidRPr="00B13DE0" w:rsidTr="0014214A">
        <w:trPr>
          <w:trHeight w:val="255"/>
        </w:trPr>
        <w:tc>
          <w:tcPr>
            <w:tcW w:w="4111" w:type="dxa"/>
            <w:tcBorders>
              <w:top w:val="nil"/>
              <w:left w:val="nil"/>
              <w:bottom w:val="nil"/>
              <w:right w:val="nil"/>
            </w:tcBorders>
            <w:shd w:val="clear" w:color="auto" w:fill="auto"/>
            <w:hideMark/>
          </w:tcPr>
          <w:p w:rsidR="004B3541" w:rsidRDefault="00AD58C8">
            <w:pPr>
              <w:keepNext/>
              <w:keepLines/>
              <w:tabs>
                <w:tab w:val="clear" w:pos="709"/>
              </w:tabs>
              <w:spacing w:after="0"/>
              <w:ind w:left="213"/>
              <w:jc w:val="left"/>
              <w:rPr>
                <w:rFonts w:eastAsia="Times New Roman"/>
                <w:i/>
                <w:iCs/>
                <w:sz w:val="20"/>
                <w:szCs w:val="20"/>
                <w:lang w:val="fr-FR" w:eastAsia="fr-FR"/>
              </w:rPr>
            </w:pPr>
            <w:r w:rsidRPr="00B13DE0">
              <w:rPr>
                <w:rFonts w:eastAsia="Times New Roman"/>
                <w:i/>
                <w:iCs/>
                <w:sz w:val="20"/>
                <w:szCs w:val="20"/>
                <w:lang w:val="fr-FR" w:eastAsia="fr-FR"/>
              </w:rPr>
              <w:t xml:space="preserve">2.2 </w:t>
            </w:r>
            <w:r w:rsidR="000906CC">
              <w:rPr>
                <w:rFonts w:eastAsia="Times New Roman"/>
                <w:i/>
                <w:iCs/>
                <w:sz w:val="20"/>
                <w:szCs w:val="20"/>
                <w:lang w:val="fr-FR" w:eastAsia="fr-FR"/>
              </w:rPr>
              <w:t>Distributions alimentaires ciblées</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273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1 400   </w:t>
            </w:r>
          </w:p>
        </w:tc>
        <w:tc>
          <w:tcPr>
            <w:tcW w:w="1170"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558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407   </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497   </w:t>
            </w:r>
          </w:p>
        </w:tc>
        <w:tc>
          <w:tcPr>
            <w:tcW w:w="722"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i/>
                <w:sz w:val="20"/>
                <w:szCs w:val="20"/>
                <w:lang w:val="fr-FR" w:eastAsia="fr-FR"/>
              </w:rPr>
            </w:pPr>
            <w:r w:rsidRPr="00892AEA">
              <w:rPr>
                <w:rFonts w:eastAsia="Times New Roman"/>
                <w:i/>
                <w:sz w:val="20"/>
                <w:szCs w:val="20"/>
                <w:lang w:val="fr-FR" w:eastAsia="fr-FR"/>
              </w:rPr>
              <w:t xml:space="preserve">  563   </w:t>
            </w:r>
          </w:p>
        </w:tc>
      </w:tr>
      <w:tr w:rsidR="000906CC" w:rsidRPr="00B13DE0" w:rsidTr="0014214A">
        <w:trPr>
          <w:trHeight w:val="255"/>
        </w:trPr>
        <w:tc>
          <w:tcPr>
            <w:tcW w:w="4111" w:type="dxa"/>
            <w:tcBorders>
              <w:top w:val="nil"/>
              <w:left w:val="nil"/>
              <w:bottom w:val="nil"/>
              <w:right w:val="nil"/>
            </w:tcBorders>
            <w:shd w:val="clear" w:color="auto" w:fill="auto"/>
            <w:hideMark/>
          </w:tcPr>
          <w:p w:rsidR="004B3541" w:rsidRDefault="00AD58C8">
            <w:pPr>
              <w:keepNext/>
              <w:keepLines/>
              <w:tabs>
                <w:tab w:val="clear" w:pos="709"/>
              </w:tabs>
              <w:spacing w:after="0"/>
              <w:ind w:left="213"/>
              <w:jc w:val="left"/>
              <w:rPr>
                <w:rFonts w:eastAsia="Times New Roman"/>
                <w:i/>
                <w:iCs/>
                <w:sz w:val="20"/>
                <w:szCs w:val="20"/>
                <w:lang w:val="fr-FR" w:eastAsia="fr-FR"/>
              </w:rPr>
            </w:pPr>
            <w:r w:rsidRPr="00B13DE0">
              <w:rPr>
                <w:rFonts w:eastAsia="Times New Roman"/>
                <w:i/>
                <w:iCs/>
                <w:sz w:val="20"/>
                <w:szCs w:val="20"/>
                <w:lang w:val="fr-FR" w:eastAsia="fr-FR"/>
              </w:rPr>
              <w:t>2.3 Nutrition</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1 940   </w:t>
            </w:r>
          </w:p>
        </w:tc>
        <w:tc>
          <w:tcPr>
            <w:tcW w:w="1170"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5 873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12 001   </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13 771   </w:t>
            </w:r>
          </w:p>
        </w:tc>
        <w:tc>
          <w:tcPr>
            <w:tcW w:w="722"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i/>
                <w:sz w:val="20"/>
                <w:szCs w:val="20"/>
                <w:lang w:val="fr-FR" w:eastAsia="fr-FR"/>
              </w:rPr>
            </w:pPr>
            <w:r w:rsidRPr="00892AEA">
              <w:rPr>
                <w:rFonts w:eastAsia="Times New Roman"/>
                <w:i/>
                <w:sz w:val="20"/>
                <w:szCs w:val="20"/>
                <w:lang w:val="fr-FR" w:eastAsia="fr-FR"/>
              </w:rPr>
              <w:t xml:space="preserve">  12 692   </w:t>
            </w:r>
          </w:p>
        </w:tc>
      </w:tr>
      <w:tr w:rsidR="000906CC" w:rsidRPr="00B13DE0" w:rsidTr="0014214A">
        <w:trPr>
          <w:trHeight w:val="255"/>
        </w:trPr>
        <w:tc>
          <w:tcPr>
            <w:tcW w:w="4111" w:type="dxa"/>
            <w:tcBorders>
              <w:top w:val="nil"/>
              <w:left w:val="nil"/>
              <w:bottom w:val="nil"/>
              <w:right w:val="nil"/>
            </w:tcBorders>
            <w:shd w:val="clear" w:color="auto" w:fill="auto"/>
            <w:hideMark/>
          </w:tcPr>
          <w:p w:rsidR="004B3541" w:rsidRDefault="00AD58C8">
            <w:pPr>
              <w:keepNext/>
              <w:keepLines/>
              <w:tabs>
                <w:tab w:val="clear" w:pos="709"/>
              </w:tabs>
              <w:spacing w:after="0"/>
              <w:ind w:left="213"/>
              <w:jc w:val="left"/>
              <w:rPr>
                <w:rFonts w:eastAsia="Times New Roman"/>
                <w:i/>
                <w:iCs/>
                <w:sz w:val="20"/>
                <w:szCs w:val="20"/>
                <w:lang w:val="fr-FR" w:eastAsia="fr-FR"/>
              </w:rPr>
            </w:pPr>
            <w:r w:rsidRPr="00B13DE0">
              <w:rPr>
                <w:rFonts w:eastAsia="Times New Roman"/>
                <w:i/>
                <w:iCs/>
                <w:sz w:val="20"/>
                <w:szCs w:val="20"/>
                <w:lang w:val="fr-FR" w:eastAsia="fr-FR"/>
              </w:rPr>
              <w:t xml:space="preserve">2.4 </w:t>
            </w:r>
            <w:r w:rsidR="000906CC">
              <w:rPr>
                <w:rFonts w:eastAsia="Times New Roman"/>
                <w:i/>
                <w:iCs/>
                <w:sz w:val="20"/>
                <w:szCs w:val="20"/>
                <w:lang w:val="fr-FR" w:eastAsia="fr-FR"/>
              </w:rPr>
              <w:t>Cantines scolaires</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7 106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7 608   </w:t>
            </w:r>
          </w:p>
        </w:tc>
        <w:tc>
          <w:tcPr>
            <w:tcW w:w="1170"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7 090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8 079   </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8 635   </w:t>
            </w:r>
          </w:p>
        </w:tc>
        <w:tc>
          <w:tcPr>
            <w:tcW w:w="722"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i/>
                <w:sz w:val="20"/>
                <w:szCs w:val="20"/>
                <w:lang w:val="fr-FR" w:eastAsia="fr-FR"/>
              </w:rPr>
            </w:pPr>
            <w:r w:rsidRPr="00892AEA">
              <w:rPr>
                <w:rFonts w:eastAsia="Times New Roman"/>
                <w:i/>
                <w:sz w:val="20"/>
                <w:szCs w:val="20"/>
                <w:lang w:val="fr-FR" w:eastAsia="fr-FR"/>
              </w:rPr>
              <w:t xml:space="preserve">  19 315   </w:t>
            </w:r>
          </w:p>
        </w:tc>
      </w:tr>
      <w:tr w:rsidR="000906CC" w:rsidRPr="00B13DE0" w:rsidTr="0014214A">
        <w:trPr>
          <w:trHeight w:val="255"/>
        </w:trPr>
        <w:tc>
          <w:tcPr>
            <w:tcW w:w="4111" w:type="dxa"/>
            <w:tcBorders>
              <w:top w:val="nil"/>
              <w:left w:val="nil"/>
              <w:bottom w:val="nil"/>
              <w:right w:val="nil"/>
            </w:tcBorders>
            <w:shd w:val="clear" w:color="auto" w:fill="auto"/>
            <w:hideMark/>
          </w:tcPr>
          <w:p w:rsidR="004B3541" w:rsidRDefault="00AD58C8">
            <w:pPr>
              <w:keepNext/>
              <w:keepLines/>
              <w:tabs>
                <w:tab w:val="clear" w:pos="709"/>
              </w:tabs>
              <w:spacing w:after="0"/>
              <w:jc w:val="left"/>
              <w:rPr>
                <w:rFonts w:eastAsia="Times New Roman"/>
                <w:sz w:val="20"/>
                <w:szCs w:val="20"/>
                <w:lang w:val="fr-FR" w:eastAsia="fr-FR"/>
              </w:rPr>
            </w:pPr>
            <w:r w:rsidRPr="00B13DE0">
              <w:rPr>
                <w:rFonts w:eastAsia="Times New Roman"/>
                <w:sz w:val="20"/>
                <w:szCs w:val="20"/>
                <w:lang w:val="fr-FR" w:eastAsia="fr-FR"/>
              </w:rPr>
              <w:t xml:space="preserve">3. </w:t>
            </w:r>
            <w:r w:rsidR="000906CC">
              <w:rPr>
                <w:rFonts w:eastAsia="Times New Roman"/>
                <w:sz w:val="20"/>
                <w:szCs w:val="20"/>
                <w:lang w:val="fr-FR" w:eastAsia="fr-FR"/>
              </w:rPr>
              <w:t>Subventions universelles</w:t>
            </w:r>
          </w:p>
        </w:tc>
        <w:tc>
          <w:tcPr>
            <w:tcW w:w="1015"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16 726   </w:t>
            </w:r>
          </w:p>
        </w:tc>
        <w:tc>
          <w:tcPr>
            <w:tcW w:w="1016"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21 999   </w:t>
            </w:r>
          </w:p>
        </w:tc>
        <w:tc>
          <w:tcPr>
            <w:tcW w:w="1170"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23 757   </w:t>
            </w:r>
          </w:p>
        </w:tc>
        <w:tc>
          <w:tcPr>
            <w:tcW w:w="1016"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 26 340   </w:t>
            </w:r>
          </w:p>
        </w:tc>
        <w:tc>
          <w:tcPr>
            <w:tcW w:w="1015"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21 730   </w:t>
            </w:r>
          </w:p>
        </w:tc>
        <w:tc>
          <w:tcPr>
            <w:tcW w:w="722"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i/>
                <w:sz w:val="20"/>
                <w:szCs w:val="20"/>
                <w:lang w:val="fr-FR" w:eastAsia="fr-FR"/>
              </w:rPr>
            </w:pPr>
            <w:r w:rsidRPr="00892AEA">
              <w:rPr>
                <w:rFonts w:eastAsia="Times New Roman"/>
                <w:bCs/>
                <w:i/>
                <w:sz w:val="20"/>
                <w:szCs w:val="20"/>
                <w:lang w:val="fr-FR" w:eastAsia="fr-FR"/>
              </w:rPr>
              <w:t xml:space="preserve"> 24 500   </w:t>
            </w:r>
          </w:p>
        </w:tc>
      </w:tr>
      <w:tr w:rsidR="000906CC" w:rsidRPr="00B13DE0" w:rsidTr="0014214A">
        <w:trPr>
          <w:trHeight w:val="255"/>
        </w:trPr>
        <w:tc>
          <w:tcPr>
            <w:tcW w:w="4111" w:type="dxa"/>
            <w:tcBorders>
              <w:top w:val="nil"/>
              <w:left w:val="nil"/>
              <w:bottom w:val="nil"/>
              <w:right w:val="nil"/>
            </w:tcBorders>
            <w:shd w:val="clear" w:color="auto" w:fill="auto"/>
            <w:hideMark/>
          </w:tcPr>
          <w:p w:rsidR="004B3541" w:rsidRDefault="00AD58C8">
            <w:pPr>
              <w:keepNext/>
              <w:keepLines/>
              <w:tabs>
                <w:tab w:val="clear" w:pos="709"/>
              </w:tabs>
              <w:spacing w:after="0"/>
              <w:ind w:left="213"/>
              <w:jc w:val="left"/>
              <w:rPr>
                <w:rFonts w:eastAsia="Times New Roman"/>
                <w:i/>
                <w:iCs/>
                <w:sz w:val="20"/>
                <w:szCs w:val="20"/>
                <w:lang w:val="fr-FR" w:eastAsia="fr-FR"/>
              </w:rPr>
            </w:pPr>
            <w:r w:rsidRPr="00B13DE0">
              <w:rPr>
                <w:rFonts w:eastAsia="Times New Roman"/>
                <w:i/>
                <w:iCs/>
                <w:sz w:val="20"/>
                <w:szCs w:val="20"/>
                <w:lang w:val="fr-FR" w:eastAsia="fr-FR"/>
              </w:rPr>
              <w:t xml:space="preserve">3.1 </w:t>
            </w:r>
            <w:r w:rsidR="000906CC">
              <w:rPr>
                <w:rFonts w:eastAsia="Times New Roman"/>
                <w:i/>
                <w:iCs/>
                <w:sz w:val="20"/>
                <w:szCs w:val="20"/>
                <w:lang w:val="fr-FR" w:eastAsia="fr-FR"/>
              </w:rPr>
              <w:t>Subventions alimentaires universelles</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     </w:t>
            </w:r>
          </w:p>
        </w:tc>
        <w:tc>
          <w:tcPr>
            <w:tcW w:w="1170"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4 263   </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     </w:t>
            </w:r>
          </w:p>
        </w:tc>
        <w:tc>
          <w:tcPr>
            <w:tcW w:w="722"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i/>
                <w:sz w:val="20"/>
                <w:szCs w:val="20"/>
                <w:lang w:val="fr-FR" w:eastAsia="fr-FR"/>
              </w:rPr>
            </w:pPr>
            <w:r w:rsidRPr="00892AEA">
              <w:rPr>
                <w:rFonts w:eastAsia="Times New Roman"/>
                <w:i/>
                <w:sz w:val="20"/>
                <w:szCs w:val="20"/>
                <w:lang w:val="fr-FR" w:eastAsia="fr-FR"/>
              </w:rPr>
              <w:t xml:space="preserve">   -     </w:t>
            </w:r>
          </w:p>
        </w:tc>
      </w:tr>
      <w:tr w:rsidR="000906CC" w:rsidRPr="00B13DE0" w:rsidTr="0014214A">
        <w:trPr>
          <w:trHeight w:val="255"/>
        </w:trPr>
        <w:tc>
          <w:tcPr>
            <w:tcW w:w="4111" w:type="dxa"/>
            <w:tcBorders>
              <w:top w:val="nil"/>
              <w:left w:val="nil"/>
              <w:bottom w:val="nil"/>
              <w:right w:val="nil"/>
            </w:tcBorders>
            <w:shd w:val="clear" w:color="auto" w:fill="auto"/>
            <w:hideMark/>
          </w:tcPr>
          <w:p w:rsidR="004B3541" w:rsidRDefault="00AD58C8">
            <w:pPr>
              <w:keepNext/>
              <w:keepLines/>
              <w:tabs>
                <w:tab w:val="clear" w:pos="709"/>
              </w:tabs>
              <w:spacing w:after="0"/>
              <w:ind w:left="213"/>
              <w:jc w:val="left"/>
              <w:rPr>
                <w:rFonts w:eastAsia="Times New Roman"/>
                <w:i/>
                <w:iCs/>
                <w:sz w:val="20"/>
                <w:szCs w:val="20"/>
                <w:lang w:val="fr-FR" w:eastAsia="fr-FR"/>
              </w:rPr>
            </w:pPr>
            <w:r w:rsidRPr="00B13DE0">
              <w:rPr>
                <w:rFonts w:eastAsia="Times New Roman"/>
                <w:i/>
                <w:iCs/>
                <w:sz w:val="20"/>
                <w:szCs w:val="20"/>
                <w:lang w:val="fr-FR" w:eastAsia="fr-FR"/>
              </w:rPr>
              <w:t xml:space="preserve">3.2 </w:t>
            </w:r>
            <w:r w:rsidR="000906CC">
              <w:rPr>
                <w:rFonts w:eastAsia="Times New Roman"/>
                <w:i/>
                <w:iCs/>
                <w:sz w:val="20"/>
                <w:szCs w:val="20"/>
                <w:lang w:val="fr-FR" w:eastAsia="fr-FR"/>
              </w:rPr>
              <w:t>Subventions énergétiques universelles</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16 726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21 999   </w:t>
            </w:r>
          </w:p>
        </w:tc>
        <w:tc>
          <w:tcPr>
            <w:tcW w:w="1170"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23 757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22 077   </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21 730   </w:t>
            </w:r>
          </w:p>
        </w:tc>
        <w:tc>
          <w:tcPr>
            <w:tcW w:w="722"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i/>
                <w:sz w:val="20"/>
                <w:szCs w:val="20"/>
                <w:lang w:val="fr-FR" w:eastAsia="fr-FR"/>
              </w:rPr>
            </w:pPr>
            <w:r w:rsidRPr="00892AEA">
              <w:rPr>
                <w:rFonts w:eastAsia="Times New Roman"/>
                <w:i/>
                <w:sz w:val="20"/>
                <w:szCs w:val="20"/>
                <w:lang w:val="fr-FR" w:eastAsia="fr-FR"/>
              </w:rPr>
              <w:t xml:space="preserve">24 500   </w:t>
            </w:r>
          </w:p>
        </w:tc>
      </w:tr>
      <w:tr w:rsidR="000906CC" w:rsidRPr="00B13DE0" w:rsidTr="0014214A">
        <w:trPr>
          <w:trHeight w:val="255"/>
        </w:trPr>
        <w:tc>
          <w:tcPr>
            <w:tcW w:w="4111" w:type="dxa"/>
            <w:tcBorders>
              <w:top w:val="nil"/>
              <w:left w:val="nil"/>
              <w:bottom w:val="nil"/>
              <w:right w:val="nil"/>
            </w:tcBorders>
            <w:shd w:val="clear" w:color="auto" w:fill="auto"/>
            <w:hideMark/>
          </w:tcPr>
          <w:p w:rsidR="004B3541" w:rsidRDefault="00AD58C8">
            <w:pPr>
              <w:keepNext/>
              <w:keepLines/>
              <w:tabs>
                <w:tab w:val="clear" w:pos="709"/>
              </w:tabs>
              <w:spacing w:after="0"/>
              <w:jc w:val="left"/>
              <w:rPr>
                <w:rFonts w:eastAsia="Times New Roman"/>
                <w:sz w:val="20"/>
                <w:szCs w:val="20"/>
                <w:lang w:val="fr-FR" w:eastAsia="fr-FR"/>
              </w:rPr>
            </w:pPr>
            <w:r w:rsidRPr="00B13DE0">
              <w:rPr>
                <w:rFonts w:eastAsia="Times New Roman"/>
                <w:sz w:val="20"/>
                <w:szCs w:val="20"/>
                <w:lang w:val="fr-FR" w:eastAsia="fr-FR"/>
              </w:rPr>
              <w:t xml:space="preserve">4. </w:t>
            </w:r>
            <w:r w:rsidR="000906CC">
              <w:rPr>
                <w:rFonts w:eastAsia="Times New Roman"/>
                <w:sz w:val="20"/>
                <w:szCs w:val="20"/>
                <w:lang w:val="fr-FR" w:eastAsia="fr-FR"/>
              </w:rPr>
              <w:t>Travaux publics</w:t>
            </w:r>
          </w:p>
        </w:tc>
        <w:tc>
          <w:tcPr>
            <w:tcW w:w="1015"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945   </w:t>
            </w:r>
          </w:p>
        </w:tc>
        <w:tc>
          <w:tcPr>
            <w:tcW w:w="1016"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   865   </w:t>
            </w:r>
          </w:p>
        </w:tc>
        <w:tc>
          <w:tcPr>
            <w:tcW w:w="1170"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  651   </w:t>
            </w:r>
          </w:p>
        </w:tc>
        <w:tc>
          <w:tcPr>
            <w:tcW w:w="1016"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  1 075   </w:t>
            </w:r>
          </w:p>
        </w:tc>
        <w:tc>
          <w:tcPr>
            <w:tcW w:w="1015"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 772   </w:t>
            </w:r>
          </w:p>
        </w:tc>
        <w:tc>
          <w:tcPr>
            <w:tcW w:w="722"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i/>
                <w:sz w:val="20"/>
                <w:szCs w:val="20"/>
                <w:lang w:val="fr-FR" w:eastAsia="fr-FR"/>
              </w:rPr>
            </w:pPr>
            <w:r w:rsidRPr="00892AEA">
              <w:rPr>
                <w:rFonts w:eastAsia="Times New Roman"/>
                <w:bCs/>
                <w:i/>
                <w:sz w:val="20"/>
                <w:szCs w:val="20"/>
                <w:lang w:val="fr-FR" w:eastAsia="fr-FR"/>
              </w:rPr>
              <w:t xml:space="preserve">  913   </w:t>
            </w:r>
          </w:p>
        </w:tc>
      </w:tr>
      <w:tr w:rsidR="000906CC" w:rsidRPr="00B13DE0" w:rsidTr="0014214A">
        <w:trPr>
          <w:trHeight w:val="255"/>
        </w:trPr>
        <w:tc>
          <w:tcPr>
            <w:tcW w:w="4111" w:type="dxa"/>
            <w:tcBorders>
              <w:top w:val="nil"/>
              <w:left w:val="nil"/>
              <w:bottom w:val="nil"/>
              <w:right w:val="nil"/>
            </w:tcBorders>
            <w:shd w:val="clear" w:color="auto" w:fill="auto"/>
            <w:hideMark/>
          </w:tcPr>
          <w:p w:rsidR="004B3541" w:rsidRDefault="00AD58C8">
            <w:pPr>
              <w:keepNext/>
              <w:keepLines/>
              <w:tabs>
                <w:tab w:val="clear" w:pos="709"/>
              </w:tabs>
              <w:spacing w:after="0"/>
              <w:jc w:val="left"/>
              <w:rPr>
                <w:rFonts w:eastAsia="Times New Roman"/>
                <w:sz w:val="20"/>
                <w:szCs w:val="20"/>
                <w:lang w:val="fr-FR" w:eastAsia="fr-FR"/>
              </w:rPr>
            </w:pPr>
            <w:r w:rsidRPr="00B13DE0">
              <w:rPr>
                <w:rFonts w:eastAsia="Times New Roman"/>
                <w:sz w:val="20"/>
                <w:szCs w:val="20"/>
                <w:lang w:val="fr-FR" w:eastAsia="fr-FR"/>
              </w:rPr>
              <w:t xml:space="preserve">5. </w:t>
            </w:r>
            <w:r w:rsidR="000906CC">
              <w:rPr>
                <w:rFonts w:eastAsia="Times New Roman"/>
                <w:sz w:val="20"/>
                <w:szCs w:val="20"/>
                <w:lang w:val="fr-FR" w:eastAsia="fr-FR"/>
              </w:rPr>
              <w:t>Exemptions de frais</w:t>
            </w:r>
          </w:p>
        </w:tc>
        <w:tc>
          <w:tcPr>
            <w:tcW w:w="1015"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     </w:t>
            </w:r>
          </w:p>
        </w:tc>
        <w:tc>
          <w:tcPr>
            <w:tcW w:w="1016"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   -     </w:t>
            </w:r>
          </w:p>
        </w:tc>
        <w:tc>
          <w:tcPr>
            <w:tcW w:w="1170"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 311   </w:t>
            </w:r>
          </w:p>
        </w:tc>
        <w:tc>
          <w:tcPr>
            <w:tcW w:w="1016"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  1 162   </w:t>
            </w:r>
          </w:p>
        </w:tc>
        <w:tc>
          <w:tcPr>
            <w:tcW w:w="1015"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 1 249   </w:t>
            </w:r>
          </w:p>
        </w:tc>
        <w:tc>
          <w:tcPr>
            <w:tcW w:w="722" w:type="dxa"/>
            <w:tcBorders>
              <w:top w:val="nil"/>
              <w:left w:val="nil"/>
              <w:bottom w:val="nil"/>
              <w:right w:val="nil"/>
            </w:tcBorders>
            <w:shd w:val="clear" w:color="auto" w:fill="auto"/>
            <w:noWrap/>
            <w:hideMark/>
          </w:tcPr>
          <w:p w:rsidR="004B3541" w:rsidRDefault="00AD58C8">
            <w:pPr>
              <w:keepNext/>
              <w:keepLines/>
              <w:tabs>
                <w:tab w:val="clear" w:pos="709"/>
              </w:tabs>
              <w:spacing w:after="0"/>
              <w:jc w:val="right"/>
              <w:rPr>
                <w:rFonts w:eastAsia="Times New Roman"/>
                <w:bCs/>
                <w:i/>
                <w:sz w:val="20"/>
                <w:szCs w:val="20"/>
                <w:lang w:val="fr-FR" w:eastAsia="fr-FR"/>
              </w:rPr>
            </w:pPr>
            <w:r w:rsidRPr="00892AEA">
              <w:rPr>
                <w:rFonts w:eastAsia="Times New Roman"/>
                <w:bCs/>
                <w:i/>
                <w:sz w:val="20"/>
                <w:szCs w:val="20"/>
                <w:lang w:val="fr-FR" w:eastAsia="fr-FR"/>
              </w:rPr>
              <w:t xml:space="preserve"> 1 118   </w:t>
            </w:r>
          </w:p>
        </w:tc>
      </w:tr>
      <w:tr w:rsidR="000906CC" w:rsidRPr="00B13DE0" w:rsidTr="0014214A">
        <w:trPr>
          <w:trHeight w:val="255"/>
        </w:trPr>
        <w:tc>
          <w:tcPr>
            <w:tcW w:w="4111" w:type="dxa"/>
            <w:tcBorders>
              <w:top w:val="nil"/>
              <w:left w:val="nil"/>
              <w:bottom w:val="nil"/>
              <w:right w:val="nil"/>
            </w:tcBorders>
            <w:shd w:val="clear" w:color="auto" w:fill="auto"/>
            <w:hideMark/>
          </w:tcPr>
          <w:p w:rsidR="004B3541" w:rsidRDefault="00AD58C8">
            <w:pPr>
              <w:keepNext/>
              <w:keepLines/>
              <w:tabs>
                <w:tab w:val="clear" w:pos="709"/>
              </w:tabs>
              <w:spacing w:after="0"/>
              <w:ind w:left="213"/>
              <w:jc w:val="left"/>
              <w:rPr>
                <w:rFonts w:eastAsia="Times New Roman"/>
                <w:i/>
                <w:iCs/>
                <w:sz w:val="20"/>
                <w:szCs w:val="20"/>
                <w:lang w:val="fr-FR" w:eastAsia="fr-FR"/>
              </w:rPr>
            </w:pPr>
            <w:r w:rsidRPr="00B13DE0">
              <w:rPr>
                <w:rFonts w:eastAsia="Times New Roman"/>
                <w:i/>
                <w:iCs/>
                <w:sz w:val="20"/>
                <w:szCs w:val="20"/>
                <w:lang w:val="fr-FR" w:eastAsia="fr-FR"/>
              </w:rPr>
              <w:t xml:space="preserve">5.1 </w:t>
            </w:r>
            <w:r w:rsidR="000906CC">
              <w:rPr>
                <w:rFonts w:eastAsia="Times New Roman"/>
                <w:i/>
                <w:iCs/>
                <w:sz w:val="20"/>
                <w:szCs w:val="20"/>
                <w:lang w:val="fr-FR" w:eastAsia="fr-FR"/>
              </w:rPr>
              <w:t>Exemptions de frais de santé</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w:t>
            </w:r>
          </w:p>
        </w:tc>
        <w:tc>
          <w:tcPr>
            <w:tcW w:w="1170"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311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1 162   </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1 249   </w:t>
            </w:r>
          </w:p>
        </w:tc>
        <w:tc>
          <w:tcPr>
            <w:tcW w:w="722"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i/>
                <w:sz w:val="20"/>
                <w:szCs w:val="20"/>
                <w:lang w:val="fr-FR" w:eastAsia="fr-FR"/>
              </w:rPr>
            </w:pPr>
            <w:r w:rsidRPr="00892AEA">
              <w:rPr>
                <w:rFonts w:eastAsia="Times New Roman"/>
                <w:i/>
                <w:sz w:val="20"/>
                <w:szCs w:val="20"/>
                <w:lang w:val="fr-FR" w:eastAsia="fr-FR"/>
              </w:rPr>
              <w:t xml:space="preserve">  1 118   </w:t>
            </w:r>
          </w:p>
        </w:tc>
      </w:tr>
      <w:tr w:rsidR="000906CC" w:rsidRPr="00B13DE0" w:rsidTr="0014214A">
        <w:trPr>
          <w:trHeight w:val="255"/>
        </w:trPr>
        <w:tc>
          <w:tcPr>
            <w:tcW w:w="4111" w:type="dxa"/>
            <w:tcBorders>
              <w:top w:val="nil"/>
              <w:left w:val="nil"/>
              <w:bottom w:val="nil"/>
              <w:right w:val="nil"/>
            </w:tcBorders>
            <w:shd w:val="clear" w:color="auto" w:fill="auto"/>
            <w:hideMark/>
          </w:tcPr>
          <w:p w:rsidR="004B3541" w:rsidRDefault="00AD58C8">
            <w:pPr>
              <w:keepNext/>
              <w:keepLines/>
              <w:tabs>
                <w:tab w:val="clear" w:pos="709"/>
              </w:tabs>
              <w:spacing w:before="120" w:after="0"/>
              <w:jc w:val="left"/>
              <w:rPr>
                <w:rFonts w:eastAsia="Times New Roman"/>
                <w:bCs/>
                <w:sz w:val="20"/>
                <w:szCs w:val="20"/>
                <w:lang w:val="fr-FR" w:eastAsia="fr-FR"/>
              </w:rPr>
            </w:pPr>
            <w:r w:rsidRPr="00892AEA">
              <w:rPr>
                <w:rFonts w:eastAsia="Times New Roman"/>
                <w:bCs/>
                <w:sz w:val="20"/>
                <w:szCs w:val="20"/>
                <w:lang w:val="fr-FR" w:eastAsia="fr-FR"/>
              </w:rPr>
              <w:t xml:space="preserve">TOTAL (million </w:t>
            </w:r>
            <w:r w:rsidR="000906CC">
              <w:rPr>
                <w:rFonts w:eastAsia="Times New Roman"/>
                <w:bCs/>
                <w:sz w:val="20"/>
                <w:szCs w:val="20"/>
                <w:lang w:val="fr-FR" w:eastAsia="fr-FR"/>
              </w:rPr>
              <w:t>de FCFA</w:t>
            </w:r>
            <w:r w:rsidRPr="00892AEA">
              <w:rPr>
                <w:rFonts w:eastAsia="Times New Roman"/>
                <w:bCs/>
                <w:sz w:val="20"/>
                <w:szCs w:val="20"/>
                <w:lang w:val="fr-FR" w:eastAsia="fr-FR"/>
              </w:rPr>
              <w:t>)</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before="120" w:after="0"/>
              <w:jc w:val="right"/>
              <w:rPr>
                <w:rFonts w:eastAsia="Times New Roman"/>
                <w:bCs/>
                <w:sz w:val="20"/>
                <w:szCs w:val="20"/>
                <w:lang w:val="fr-FR" w:eastAsia="fr-FR"/>
              </w:rPr>
            </w:pPr>
            <w:r w:rsidRPr="00892AEA">
              <w:rPr>
                <w:rFonts w:eastAsia="Times New Roman"/>
                <w:bCs/>
                <w:sz w:val="20"/>
                <w:szCs w:val="20"/>
                <w:lang w:val="fr-FR" w:eastAsia="fr-FR"/>
              </w:rPr>
              <w:t xml:space="preserve">  25 050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before="120" w:after="0"/>
              <w:jc w:val="right"/>
              <w:rPr>
                <w:rFonts w:eastAsia="Times New Roman"/>
                <w:bCs/>
                <w:sz w:val="20"/>
                <w:szCs w:val="20"/>
                <w:lang w:val="fr-FR" w:eastAsia="fr-FR"/>
              </w:rPr>
            </w:pPr>
            <w:r w:rsidRPr="00892AEA">
              <w:rPr>
                <w:rFonts w:eastAsia="Times New Roman"/>
                <w:bCs/>
                <w:sz w:val="20"/>
                <w:szCs w:val="20"/>
                <w:lang w:val="fr-FR" w:eastAsia="fr-FR"/>
              </w:rPr>
              <w:t xml:space="preserve">34 059   </w:t>
            </w:r>
          </w:p>
        </w:tc>
        <w:tc>
          <w:tcPr>
            <w:tcW w:w="1170"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before="120" w:after="0"/>
              <w:jc w:val="right"/>
              <w:rPr>
                <w:rFonts w:eastAsia="Times New Roman"/>
                <w:bCs/>
                <w:sz w:val="20"/>
                <w:szCs w:val="20"/>
                <w:lang w:val="fr-FR" w:eastAsia="fr-FR"/>
              </w:rPr>
            </w:pPr>
            <w:r w:rsidRPr="00892AEA">
              <w:rPr>
                <w:rFonts w:eastAsia="Times New Roman"/>
                <w:bCs/>
                <w:sz w:val="20"/>
                <w:szCs w:val="20"/>
                <w:lang w:val="fr-FR" w:eastAsia="fr-FR"/>
              </w:rPr>
              <w:t xml:space="preserve"> 38 478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before="120" w:after="0"/>
              <w:jc w:val="right"/>
              <w:rPr>
                <w:rFonts w:eastAsia="Times New Roman"/>
                <w:bCs/>
                <w:sz w:val="20"/>
                <w:szCs w:val="20"/>
                <w:lang w:val="fr-FR" w:eastAsia="fr-FR"/>
              </w:rPr>
            </w:pPr>
            <w:r w:rsidRPr="00892AEA">
              <w:rPr>
                <w:rFonts w:eastAsia="Times New Roman"/>
                <w:bCs/>
                <w:sz w:val="20"/>
                <w:szCs w:val="20"/>
                <w:lang w:val="fr-FR" w:eastAsia="fr-FR"/>
              </w:rPr>
              <w:t xml:space="preserve">50 991   </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before="120" w:after="0"/>
              <w:jc w:val="right"/>
              <w:rPr>
                <w:rFonts w:eastAsia="Times New Roman"/>
                <w:bCs/>
                <w:sz w:val="20"/>
                <w:szCs w:val="20"/>
                <w:lang w:val="fr-FR" w:eastAsia="fr-FR"/>
              </w:rPr>
            </w:pPr>
            <w:r w:rsidRPr="00892AEA">
              <w:rPr>
                <w:rFonts w:eastAsia="Times New Roman"/>
                <w:bCs/>
                <w:sz w:val="20"/>
                <w:szCs w:val="20"/>
                <w:lang w:val="fr-FR" w:eastAsia="fr-FR"/>
              </w:rPr>
              <w:t xml:space="preserve"> 57 818   </w:t>
            </w:r>
          </w:p>
        </w:tc>
        <w:tc>
          <w:tcPr>
            <w:tcW w:w="722"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before="120" w:after="0"/>
              <w:jc w:val="right"/>
              <w:rPr>
                <w:rFonts w:eastAsia="Times New Roman"/>
                <w:bCs/>
                <w:i/>
                <w:sz w:val="20"/>
                <w:szCs w:val="20"/>
                <w:lang w:val="fr-FR" w:eastAsia="fr-FR"/>
              </w:rPr>
            </w:pPr>
            <w:r w:rsidRPr="00892AEA">
              <w:rPr>
                <w:rFonts w:eastAsia="Times New Roman"/>
                <w:bCs/>
                <w:i/>
                <w:sz w:val="20"/>
                <w:szCs w:val="20"/>
                <w:lang w:val="fr-FR" w:eastAsia="fr-FR"/>
              </w:rPr>
              <w:t xml:space="preserve">65 603   </w:t>
            </w:r>
          </w:p>
        </w:tc>
      </w:tr>
      <w:tr w:rsidR="000906CC" w:rsidRPr="00B13DE0" w:rsidTr="0014214A">
        <w:trPr>
          <w:trHeight w:val="255"/>
        </w:trPr>
        <w:tc>
          <w:tcPr>
            <w:tcW w:w="4111" w:type="dxa"/>
            <w:tcBorders>
              <w:top w:val="nil"/>
              <w:left w:val="nil"/>
              <w:bottom w:val="nil"/>
              <w:right w:val="nil"/>
            </w:tcBorders>
            <w:shd w:val="clear" w:color="auto" w:fill="auto"/>
            <w:hideMark/>
          </w:tcPr>
          <w:p w:rsidR="004B3541" w:rsidRDefault="00AD58C8">
            <w:pPr>
              <w:keepNext/>
              <w:keepLines/>
              <w:tabs>
                <w:tab w:val="clear" w:pos="709"/>
              </w:tabs>
              <w:spacing w:after="0"/>
              <w:jc w:val="left"/>
              <w:rPr>
                <w:rFonts w:eastAsia="Times New Roman"/>
                <w:bCs/>
                <w:sz w:val="20"/>
                <w:szCs w:val="20"/>
                <w:lang w:val="fr-FR" w:eastAsia="fr-FR"/>
              </w:rPr>
            </w:pPr>
            <w:r w:rsidRPr="00892AEA">
              <w:rPr>
                <w:rFonts w:eastAsia="Times New Roman"/>
                <w:bCs/>
                <w:sz w:val="20"/>
                <w:szCs w:val="20"/>
                <w:lang w:val="fr-FR" w:eastAsia="fr-FR"/>
              </w:rPr>
              <w:t xml:space="preserve">TOTAL (% </w:t>
            </w:r>
            <w:r w:rsidR="000906CC">
              <w:rPr>
                <w:rFonts w:eastAsia="Times New Roman"/>
                <w:bCs/>
                <w:sz w:val="20"/>
                <w:szCs w:val="20"/>
                <w:lang w:val="fr-FR" w:eastAsia="fr-FR"/>
              </w:rPr>
              <w:t>du PIB)</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0,88%</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1,13%</w:t>
            </w:r>
          </w:p>
        </w:tc>
        <w:tc>
          <w:tcPr>
            <w:tcW w:w="1170"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1,19%</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1,40%</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1,52%</w:t>
            </w:r>
          </w:p>
        </w:tc>
        <w:tc>
          <w:tcPr>
            <w:tcW w:w="722"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i/>
                <w:sz w:val="20"/>
                <w:szCs w:val="20"/>
                <w:lang w:val="fr-FR" w:eastAsia="fr-FR"/>
              </w:rPr>
            </w:pPr>
            <w:r w:rsidRPr="00892AEA">
              <w:rPr>
                <w:rFonts w:eastAsia="Times New Roman"/>
                <w:bCs/>
                <w:i/>
                <w:sz w:val="20"/>
                <w:szCs w:val="20"/>
                <w:lang w:val="fr-FR" w:eastAsia="fr-FR"/>
              </w:rPr>
              <w:t>1,62%</w:t>
            </w:r>
          </w:p>
        </w:tc>
      </w:tr>
      <w:tr w:rsidR="000906CC" w:rsidRPr="00B13DE0" w:rsidTr="0014214A">
        <w:trPr>
          <w:trHeight w:val="315"/>
        </w:trPr>
        <w:tc>
          <w:tcPr>
            <w:tcW w:w="4111" w:type="dxa"/>
            <w:tcBorders>
              <w:top w:val="nil"/>
              <w:left w:val="nil"/>
              <w:bottom w:val="nil"/>
              <w:right w:val="nil"/>
            </w:tcBorders>
            <w:shd w:val="clear" w:color="auto" w:fill="auto"/>
            <w:hideMark/>
          </w:tcPr>
          <w:p w:rsidR="004B3541" w:rsidRDefault="00EB214A">
            <w:pPr>
              <w:keepNext/>
              <w:keepLines/>
              <w:tabs>
                <w:tab w:val="clear" w:pos="709"/>
              </w:tabs>
              <w:spacing w:after="0"/>
              <w:jc w:val="left"/>
              <w:rPr>
                <w:rFonts w:eastAsia="Times New Roman"/>
                <w:bCs/>
                <w:sz w:val="20"/>
                <w:szCs w:val="20"/>
                <w:lang w:val="fr-FR" w:eastAsia="fr-FR"/>
              </w:rPr>
            </w:pPr>
            <w:r w:rsidRPr="00EB214A">
              <w:rPr>
                <w:rFonts w:eastAsia="Times New Roman"/>
                <w:bCs/>
                <w:sz w:val="20"/>
                <w:szCs w:val="20"/>
                <w:lang w:val="fr-FR" w:eastAsia="fr-FR"/>
              </w:rPr>
              <w:t xml:space="preserve">TOTAL subventions alimentaires et énergétiques </w:t>
            </w:r>
            <w:r w:rsidR="000906CC">
              <w:rPr>
                <w:rFonts w:eastAsia="Times New Roman"/>
                <w:bCs/>
                <w:sz w:val="20"/>
                <w:szCs w:val="20"/>
                <w:lang w:val="fr-FR" w:eastAsia="fr-FR"/>
              </w:rPr>
              <w:t>exclu</w:t>
            </w:r>
            <w:r w:rsidRPr="00EB214A">
              <w:rPr>
                <w:rFonts w:eastAsia="Times New Roman"/>
                <w:bCs/>
                <w:sz w:val="20"/>
                <w:szCs w:val="20"/>
                <w:lang w:val="fr-FR" w:eastAsia="fr-FR"/>
              </w:rPr>
              <w:t xml:space="preserve">es (million </w:t>
            </w:r>
            <w:r w:rsidR="000906CC">
              <w:rPr>
                <w:rFonts w:eastAsia="Times New Roman"/>
                <w:bCs/>
                <w:sz w:val="20"/>
                <w:szCs w:val="20"/>
                <w:lang w:val="fr-FR" w:eastAsia="fr-FR"/>
              </w:rPr>
              <w:t>de FCFA</w:t>
            </w:r>
            <w:r w:rsidRPr="00EB214A">
              <w:rPr>
                <w:rFonts w:eastAsia="Times New Roman"/>
                <w:bCs/>
                <w:sz w:val="20"/>
                <w:szCs w:val="20"/>
                <w:lang w:val="fr-FR" w:eastAsia="fr-FR"/>
              </w:rPr>
              <w:t>)</w:t>
            </w:r>
          </w:p>
        </w:tc>
        <w:tc>
          <w:tcPr>
            <w:tcW w:w="1015" w:type="dxa"/>
            <w:tcBorders>
              <w:top w:val="nil"/>
              <w:left w:val="nil"/>
              <w:bottom w:val="nil"/>
              <w:right w:val="nil"/>
            </w:tcBorders>
            <w:shd w:val="clear" w:color="auto" w:fill="auto"/>
            <w:noWrap/>
            <w:vAlign w:val="bottom"/>
            <w:hideMark/>
          </w:tcPr>
          <w:p w:rsidR="004B3541" w:rsidRDefault="00EB214A">
            <w:pPr>
              <w:keepNext/>
              <w:keepLines/>
              <w:tabs>
                <w:tab w:val="clear" w:pos="709"/>
              </w:tabs>
              <w:spacing w:after="0"/>
              <w:jc w:val="right"/>
              <w:rPr>
                <w:rFonts w:eastAsia="Times New Roman"/>
                <w:bCs/>
                <w:sz w:val="20"/>
                <w:szCs w:val="20"/>
                <w:lang w:val="fr-FR" w:eastAsia="fr-FR"/>
              </w:rPr>
            </w:pPr>
            <w:r w:rsidRPr="00EB214A">
              <w:rPr>
                <w:rFonts w:eastAsia="Times New Roman"/>
                <w:bCs/>
                <w:sz w:val="20"/>
                <w:szCs w:val="20"/>
                <w:lang w:val="fr-FR" w:eastAsia="fr-FR"/>
              </w:rPr>
              <w:t xml:space="preserve">  </w:t>
            </w:r>
            <w:r w:rsidR="00AD58C8" w:rsidRPr="00892AEA">
              <w:rPr>
                <w:rFonts w:eastAsia="Times New Roman"/>
                <w:bCs/>
                <w:sz w:val="20"/>
                <w:szCs w:val="20"/>
                <w:lang w:val="fr-FR" w:eastAsia="fr-FR"/>
              </w:rPr>
              <w:t xml:space="preserve">8 324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12 060   </w:t>
            </w:r>
          </w:p>
        </w:tc>
        <w:tc>
          <w:tcPr>
            <w:tcW w:w="1170"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14 721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24 651   </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 xml:space="preserve">36 088   </w:t>
            </w:r>
          </w:p>
        </w:tc>
        <w:tc>
          <w:tcPr>
            <w:tcW w:w="722"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i/>
                <w:sz w:val="20"/>
                <w:szCs w:val="20"/>
                <w:lang w:val="fr-FR" w:eastAsia="fr-FR"/>
              </w:rPr>
            </w:pPr>
            <w:r w:rsidRPr="00892AEA">
              <w:rPr>
                <w:rFonts w:eastAsia="Times New Roman"/>
                <w:bCs/>
                <w:i/>
                <w:sz w:val="20"/>
                <w:szCs w:val="20"/>
                <w:lang w:val="fr-FR" w:eastAsia="fr-FR"/>
              </w:rPr>
              <w:t xml:space="preserve"> 41 103   </w:t>
            </w:r>
          </w:p>
        </w:tc>
      </w:tr>
      <w:tr w:rsidR="000906CC" w:rsidRPr="00B13DE0" w:rsidTr="0014214A">
        <w:trPr>
          <w:trHeight w:val="315"/>
        </w:trPr>
        <w:tc>
          <w:tcPr>
            <w:tcW w:w="4111" w:type="dxa"/>
            <w:tcBorders>
              <w:top w:val="nil"/>
              <w:left w:val="nil"/>
              <w:bottom w:val="nil"/>
              <w:right w:val="nil"/>
            </w:tcBorders>
            <w:shd w:val="clear" w:color="auto" w:fill="auto"/>
            <w:hideMark/>
          </w:tcPr>
          <w:p w:rsidR="004B3541" w:rsidRDefault="00EB214A">
            <w:pPr>
              <w:keepNext/>
              <w:keepLines/>
              <w:tabs>
                <w:tab w:val="clear" w:pos="709"/>
              </w:tabs>
              <w:spacing w:after="0"/>
              <w:jc w:val="left"/>
              <w:rPr>
                <w:rFonts w:eastAsia="Times New Roman"/>
                <w:bCs/>
                <w:sz w:val="20"/>
                <w:szCs w:val="20"/>
                <w:lang w:val="fr-FR" w:eastAsia="fr-FR"/>
              </w:rPr>
            </w:pPr>
            <w:r w:rsidRPr="00EB214A">
              <w:rPr>
                <w:rFonts w:eastAsia="Times New Roman"/>
                <w:bCs/>
                <w:sz w:val="20"/>
                <w:szCs w:val="20"/>
                <w:lang w:val="fr-FR" w:eastAsia="fr-FR"/>
              </w:rPr>
              <w:t xml:space="preserve">TOTAL </w:t>
            </w:r>
            <w:r w:rsidR="000906CC" w:rsidRPr="000906CC">
              <w:rPr>
                <w:rFonts w:eastAsia="Times New Roman"/>
                <w:bCs/>
                <w:sz w:val="20"/>
                <w:szCs w:val="20"/>
                <w:lang w:val="fr-FR" w:eastAsia="fr-FR"/>
              </w:rPr>
              <w:t xml:space="preserve">subventions alimentaires et énergétiques </w:t>
            </w:r>
            <w:r w:rsidR="000906CC">
              <w:rPr>
                <w:rFonts w:eastAsia="Times New Roman"/>
                <w:bCs/>
                <w:sz w:val="20"/>
                <w:szCs w:val="20"/>
                <w:lang w:val="fr-FR" w:eastAsia="fr-FR"/>
              </w:rPr>
              <w:t>exclu</w:t>
            </w:r>
            <w:r w:rsidR="000906CC" w:rsidRPr="000906CC">
              <w:rPr>
                <w:rFonts w:eastAsia="Times New Roman"/>
                <w:bCs/>
                <w:sz w:val="20"/>
                <w:szCs w:val="20"/>
                <w:lang w:val="fr-FR" w:eastAsia="fr-FR"/>
              </w:rPr>
              <w:t>es</w:t>
            </w:r>
            <w:r w:rsidRPr="00EB214A">
              <w:rPr>
                <w:rFonts w:eastAsia="Times New Roman"/>
                <w:bCs/>
                <w:sz w:val="20"/>
                <w:szCs w:val="20"/>
                <w:lang w:val="fr-FR" w:eastAsia="fr-FR"/>
              </w:rPr>
              <w:t xml:space="preserve"> (% </w:t>
            </w:r>
            <w:r w:rsidR="000906CC">
              <w:rPr>
                <w:rFonts w:eastAsia="Times New Roman"/>
                <w:bCs/>
                <w:sz w:val="20"/>
                <w:szCs w:val="20"/>
                <w:lang w:val="fr-FR" w:eastAsia="fr-FR"/>
              </w:rPr>
              <w:t>du PIB</w:t>
            </w:r>
            <w:r w:rsidRPr="00EB214A">
              <w:rPr>
                <w:rFonts w:eastAsia="Times New Roman"/>
                <w:bCs/>
                <w:sz w:val="20"/>
                <w:szCs w:val="20"/>
                <w:lang w:val="fr-FR" w:eastAsia="fr-FR"/>
              </w:rPr>
              <w:t>)</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0,3%</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0,4%</w:t>
            </w:r>
          </w:p>
        </w:tc>
        <w:tc>
          <w:tcPr>
            <w:tcW w:w="1170"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0,5%</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0,7%</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sz w:val="20"/>
                <w:szCs w:val="20"/>
                <w:lang w:val="fr-FR" w:eastAsia="fr-FR"/>
              </w:rPr>
            </w:pPr>
            <w:r w:rsidRPr="00892AEA">
              <w:rPr>
                <w:rFonts w:eastAsia="Times New Roman"/>
                <w:bCs/>
                <w:sz w:val="20"/>
                <w:szCs w:val="20"/>
                <w:lang w:val="fr-FR" w:eastAsia="fr-FR"/>
              </w:rPr>
              <w:t>0,9%</w:t>
            </w:r>
          </w:p>
        </w:tc>
        <w:tc>
          <w:tcPr>
            <w:tcW w:w="722"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Cs/>
                <w:i/>
                <w:sz w:val="20"/>
                <w:szCs w:val="20"/>
                <w:lang w:val="fr-FR" w:eastAsia="fr-FR"/>
              </w:rPr>
            </w:pPr>
            <w:r w:rsidRPr="00892AEA">
              <w:rPr>
                <w:rFonts w:eastAsia="Times New Roman"/>
                <w:bCs/>
                <w:i/>
                <w:sz w:val="20"/>
                <w:szCs w:val="20"/>
                <w:lang w:val="fr-FR" w:eastAsia="fr-FR"/>
              </w:rPr>
              <w:t>1,0%</w:t>
            </w:r>
          </w:p>
        </w:tc>
      </w:tr>
      <w:tr w:rsidR="000906CC" w:rsidRPr="00B13DE0" w:rsidTr="0014214A">
        <w:trPr>
          <w:trHeight w:val="255"/>
        </w:trPr>
        <w:tc>
          <w:tcPr>
            <w:tcW w:w="4111" w:type="dxa"/>
            <w:tcBorders>
              <w:top w:val="nil"/>
              <w:left w:val="nil"/>
              <w:bottom w:val="nil"/>
              <w:right w:val="nil"/>
            </w:tcBorders>
            <w:shd w:val="clear" w:color="auto" w:fill="auto"/>
            <w:noWrap/>
            <w:vAlign w:val="bottom"/>
            <w:hideMark/>
          </w:tcPr>
          <w:p w:rsidR="004B3541" w:rsidRDefault="00EB214A">
            <w:pPr>
              <w:keepNext/>
              <w:keepLines/>
              <w:tabs>
                <w:tab w:val="clear" w:pos="709"/>
              </w:tabs>
              <w:spacing w:before="120" w:after="0"/>
              <w:jc w:val="left"/>
              <w:rPr>
                <w:rFonts w:eastAsia="Times New Roman"/>
                <w:sz w:val="20"/>
                <w:szCs w:val="20"/>
                <w:lang w:val="fr-FR" w:eastAsia="fr-FR"/>
              </w:rPr>
            </w:pPr>
            <w:r w:rsidRPr="00EB214A">
              <w:rPr>
                <w:rFonts w:eastAsia="Times New Roman"/>
                <w:sz w:val="20"/>
                <w:szCs w:val="20"/>
                <w:lang w:val="fr-FR" w:eastAsia="fr-FR"/>
              </w:rPr>
              <w:t>Dépense par habitant en termes nominaux (</w:t>
            </w:r>
            <w:r w:rsidR="000906CC">
              <w:rPr>
                <w:rFonts w:eastAsia="Times New Roman"/>
                <w:sz w:val="20"/>
                <w:szCs w:val="20"/>
                <w:lang w:val="fr-FR" w:eastAsia="fr-FR"/>
              </w:rPr>
              <w:t>F</w:t>
            </w:r>
            <w:r w:rsidRPr="00EB214A">
              <w:rPr>
                <w:rFonts w:eastAsia="Times New Roman"/>
                <w:sz w:val="20"/>
                <w:szCs w:val="20"/>
                <w:lang w:val="fr-FR" w:eastAsia="fr-FR"/>
              </w:rPr>
              <w:t>CFA),</w:t>
            </w:r>
            <w:r w:rsidR="000906CC">
              <w:rPr>
                <w:rFonts w:eastAsia="Times New Roman"/>
                <w:sz w:val="20"/>
                <w:szCs w:val="20"/>
                <w:lang w:val="fr-FR" w:eastAsia="fr-FR"/>
              </w:rPr>
              <w:t xml:space="preserve"> y compris</w:t>
            </w:r>
            <w:r w:rsidRPr="00EB214A">
              <w:rPr>
                <w:rFonts w:eastAsia="Times New Roman"/>
                <w:sz w:val="20"/>
                <w:szCs w:val="20"/>
                <w:lang w:val="fr-FR" w:eastAsia="fr-FR"/>
              </w:rPr>
              <w:t xml:space="preserve"> </w:t>
            </w:r>
            <w:r w:rsidR="000906CC">
              <w:rPr>
                <w:rFonts w:eastAsia="Times New Roman"/>
                <w:sz w:val="20"/>
                <w:szCs w:val="20"/>
                <w:lang w:val="fr-FR" w:eastAsia="fr-FR"/>
              </w:rPr>
              <w:t>subventions universelles</w:t>
            </w:r>
          </w:p>
        </w:tc>
        <w:tc>
          <w:tcPr>
            <w:tcW w:w="1015" w:type="dxa"/>
            <w:tcBorders>
              <w:top w:val="nil"/>
              <w:left w:val="nil"/>
              <w:bottom w:val="nil"/>
              <w:right w:val="nil"/>
            </w:tcBorders>
            <w:shd w:val="clear" w:color="auto" w:fill="auto"/>
            <w:noWrap/>
            <w:vAlign w:val="bottom"/>
            <w:hideMark/>
          </w:tcPr>
          <w:p w:rsidR="004B3541" w:rsidRDefault="00EB214A">
            <w:pPr>
              <w:keepNext/>
              <w:keepLines/>
              <w:tabs>
                <w:tab w:val="clear" w:pos="709"/>
              </w:tabs>
              <w:spacing w:after="0"/>
              <w:jc w:val="right"/>
              <w:rPr>
                <w:rFonts w:eastAsia="Times New Roman"/>
                <w:sz w:val="20"/>
                <w:szCs w:val="20"/>
                <w:lang w:val="fr-FR" w:eastAsia="fr-FR"/>
              </w:rPr>
            </w:pPr>
            <w:r w:rsidRPr="00EB214A">
              <w:rPr>
                <w:rFonts w:eastAsia="Times New Roman"/>
                <w:sz w:val="20"/>
                <w:szCs w:val="20"/>
                <w:lang w:val="fr-FR" w:eastAsia="fr-FR"/>
              </w:rPr>
              <w:t xml:space="preserve">                    </w:t>
            </w:r>
            <w:r w:rsidR="00AD58C8">
              <w:rPr>
                <w:rFonts w:eastAsia="Times New Roman"/>
                <w:sz w:val="20"/>
                <w:szCs w:val="20"/>
                <w:lang w:val="fr-FR" w:eastAsia="fr-FR"/>
              </w:rPr>
              <w:t xml:space="preserve">487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1 944   </w:t>
            </w:r>
          </w:p>
        </w:tc>
        <w:tc>
          <w:tcPr>
            <w:tcW w:w="1170"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2 366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3 188   </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3 591   </w:t>
            </w:r>
          </w:p>
        </w:tc>
        <w:tc>
          <w:tcPr>
            <w:tcW w:w="722" w:type="dxa"/>
            <w:tcBorders>
              <w:top w:val="nil"/>
              <w:left w:val="nil"/>
              <w:bottom w:val="nil"/>
              <w:right w:val="nil"/>
            </w:tcBorders>
            <w:shd w:val="clear" w:color="auto" w:fill="auto"/>
            <w:noWrap/>
            <w:vAlign w:val="bottom"/>
            <w:hideMark/>
          </w:tcPr>
          <w:p w:rsidR="004B3541" w:rsidRDefault="004B3541">
            <w:pPr>
              <w:keepNext/>
              <w:keepLines/>
              <w:tabs>
                <w:tab w:val="clear" w:pos="709"/>
              </w:tabs>
              <w:spacing w:after="0"/>
              <w:jc w:val="right"/>
              <w:rPr>
                <w:rFonts w:eastAsia="Times New Roman"/>
                <w:i/>
                <w:sz w:val="20"/>
                <w:szCs w:val="20"/>
                <w:lang w:val="fr-FR" w:eastAsia="fr-FR"/>
              </w:rPr>
            </w:pPr>
          </w:p>
        </w:tc>
      </w:tr>
      <w:tr w:rsidR="000906CC" w:rsidRPr="00B13DE0" w:rsidTr="0014214A">
        <w:trPr>
          <w:trHeight w:val="255"/>
        </w:trPr>
        <w:tc>
          <w:tcPr>
            <w:tcW w:w="4111" w:type="dxa"/>
            <w:tcBorders>
              <w:top w:val="nil"/>
              <w:left w:val="nil"/>
              <w:bottom w:val="nil"/>
              <w:right w:val="nil"/>
            </w:tcBorders>
            <w:shd w:val="clear" w:color="auto" w:fill="auto"/>
            <w:noWrap/>
            <w:vAlign w:val="bottom"/>
            <w:hideMark/>
          </w:tcPr>
          <w:p w:rsidR="004B3541" w:rsidRDefault="000906CC">
            <w:pPr>
              <w:keepNext/>
              <w:keepLines/>
              <w:tabs>
                <w:tab w:val="clear" w:pos="709"/>
              </w:tabs>
              <w:spacing w:after="0"/>
              <w:jc w:val="left"/>
              <w:rPr>
                <w:rFonts w:eastAsia="Times New Roman"/>
                <w:sz w:val="20"/>
                <w:szCs w:val="20"/>
                <w:lang w:val="fr-FR" w:eastAsia="fr-FR"/>
              </w:rPr>
            </w:pPr>
            <w:r w:rsidRPr="000906CC">
              <w:rPr>
                <w:rFonts w:eastAsia="Times New Roman"/>
                <w:sz w:val="20"/>
                <w:szCs w:val="20"/>
                <w:lang w:val="fr-FR" w:eastAsia="fr-FR"/>
              </w:rPr>
              <w:t xml:space="preserve">Dépense par habitant en termes </w:t>
            </w:r>
            <w:r>
              <w:rPr>
                <w:rFonts w:eastAsia="Times New Roman"/>
                <w:sz w:val="20"/>
                <w:szCs w:val="20"/>
                <w:lang w:val="fr-FR" w:eastAsia="fr-FR"/>
              </w:rPr>
              <w:t>réels</w:t>
            </w:r>
            <w:r w:rsidRPr="000906CC">
              <w:rPr>
                <w:rFonts w:eastAsia="Times New Roman"/>
                <w:sz w:val="20"/>
                <w:szCs w:val="20"/>
                <w:lang w:val="fr-FR" w:eastAsia="fr-FR"/>
              </w:rPr>
              <w:t xml:space="preserve"> </w:t>
            </w:r>
            <w:r w:rsidR="00EB214A" w:rsidRPr="00EB214A">
              <w:rPr>
                <w:rFonts w:eastAsia="Times New Roman"/>
                <w:sz w:val="20"/>
                <w:szCs w:val="20"/>
                <w:lang w:val="fr-FR" w:eastAsia="fr-FR"/>
              </w:rPr>
              <w:t>(2005=100) (</w:t>
            </w:r>
            <w:r>
              <w:rPr>
                <w:rFonts w:eastAsia="Times New Roman"/>
                <w:sz w:val="20"/>
                <w:szCs w:val="20"/>
                <w:lang w:val="fr-FR" w:eastAsia="fr-FR"/>
              </w:rPr>
              <w:t>F</w:t>
            </w:r>
            <w:r w:rsidR="00EB214A" w:rsidRPr="00EB214A">
              <w:rPr>
                <w:rFonts w:eastAsia="Times New Roman"/>
                <w:sz w:val="20"/>
                <w:szCs w:val="20"/>
                <w:lang w:val="fr-FR" w:eastAsia="fr-FR"/>
              </w:rPr>
              <w:t>CFA)</w:t>
            </w:r>
          </w:p>
        </w:tc>
        <w:tc>
          <w:tcPr>
            <w:tcW w:w="1015" w:type="dxa"/>
            <w:tcBorders>
              <w:top w:val="nil"/>
              <w:left w:val="nil"/>
              <w:bottom w:val="nil"/>
              <w:right w:val="nil"/>
            </w:tcBorders>
            <w:shd w:val="clear" w:color="auto" w:fill="auto"/>
            <w:noWrap/>
            <w:vAlign w:val="bottom"/>
            <w:hideMark/>
          </w:tcPr>
          <w:p w:rsidR="004B3541" w:rsidRDefault="00EB214A">
            <w:pPr>
              <w:keepNext/>
              <w:keepLines/>
              <w:tabs>
                <w:tab w:val="clear" w:pos="709"/>
              </w:tabs>
              <w:spacing w:after="0"/>
              <w:jc w:val="right"/>
              <w:rPr>
                <w:rFonts w:eastAsia="Times New Roman"/>
                <w:b/>
                <w:sz w:val="20"/>
                <w:szCs w:val="20"/>
                <w:lang w:val="fr-FR" w:eastAsia="fr-FR"/>
              </w:rPr>
            </w:pPr>
            <w:r w:rsidRPr="00EB214A">
              <w:rPr>
                <w:rFonts w:eastAsia="Times New Roman"/>
                <w:sz w:val="20"/>
                <w:szCs w:val="20"/>
                <w:lang w:val="fr-FR" w:eastAsia="fr-FR"/>
              </w:rPr>
              <w:t xml:space="preserve">                    </w:t>
            </w:r>
            <w:r w:rsidR="00AD58C8">
              <w:rPr>
                <w:rFonts w:eastAsia="Times New Roman"/>
                <w:sz w:val="20"/>
                <w:szCs w:val="20"/>
                <w:lang w:val="fr-FR" w:eastAsia="fr-FR"/>
              </w:rPr>
              <w:t xml:space="preserve">487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
                <w:sz w:val="20"/>
                <w:szCs w:val="20"/>
                <w:lang w:val="fr-FR" w:eastAsia="fr-FR"/>
              </w:rPr>
            </w:pPr>
            <w:r>
              <w:rPr>
                <w:rFonts w:eastAsia="Times New Roman"/>
                <w:sz w:val="20"/>
                <w:szCs w:val="20"/>
                <w:lang w:val="fr-FR" w:eastAsia="fr-FR"/>
              </w:rPr>
              <w:t xml:space="preserve"> 1 886   </w:t>
            </w:r>
          </w:p>
        </w:tc>
        <w:tc>
          <w:tcPr>
            <w:tcW w:w="1170"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
                <w:sz w:val="20"/>
                <w:szCs w:val="20"/>
                <w:lang w:val="fr-FR" w:eastAsia="fr-FR"/>
              </w:rPr>
            </w:pPr>
            <w:r>
              <w:rPr>
                <w:rFonts w:eastAsia="Times New Roman"/>
                <w:sz w:val="20"/>
                <w:szCs w:val="20"/>
                <w:lang w:val="fr-FR" w:eastAsia="fr-FR"/>
              </w:rPr>
              <w:t xml:space="preserve">2 226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
                <w:sz w:val="20"/>
                <w:szCs w:val="20"/>
                <w:lang w:val="fr-FR" w:eastAsia="fr-FR"/>
              </w:rPr>
            </w:pPr>
            <w:r>
              <w:rPr>
                <w:rFonts w:eastAsia="Times New Roman"/>
                <w:sz w:val="20"/>
                <w:szCs w:val="20"/>
                <w:lang w:val="fr-FR" w:eastAsia="fr-FR"/>
              </w:rPr>
              <w:t xml:space="preserve">2 909   </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b/>
                <w:sz w:val="20"/>
                <w:szCs w:val="20"/>
                <w:lang w:val="fr-FR" w:eastAsia="fr-FR"/>
              </w:rPr>
            </w:pPr>
            <w:r>
              <w:rPr>
                <w:rFonts w:eastAsia="Times New Roman"/>
                <w:sz w:val="20"/>
                <w:szCs w:val="20"/>
                <w:lang w:val="fr-FR" w:eastAsia="fr-FR"/>
              </w:rPr>
              <w:t xml:space="preserve"> 3 178   </w:t>
            </w:r>
          </w:p>
        </w:tc>
        <w:tc>
          <w:tcPr>
            <w:tcW w:w="722" w:type="dxa"/>
            <w:tcBorders>
              <w:top w:val="nil"/>
              <w:left w:val="nil"/>
              <w:bottom w:val="nil"/>
              <w:right w:val="nil"/>
            </w:tcBorders>
            <w:shd w:val="clear" w:color="auto" w:fill="auto"/>
            <w:noWrap/>
            <w:vAlign w:val="bottom"/>
            <w:hideMark/>
          </w:tcPr>
          <w:p w:rsidR="004B3541" w:rsidRDefault="004B3541">
            <w:pPr>
              <w:keepNext/>
              <w:keepLines/>
              <w:tabs>
                <w:tab w:val="clear" w:pos="709"/>
              </w:tabs>
              <w:spacing w:after="0"/>
              <w:jc w:val="right"/>
              <w:rPr>
                <w:rFonts w:eastAsia="Times New Roman"/>
                <w:i/>
                <w:sz w:val="20"/>
                <w:szCs w:val="20"/>
                <w:lang w:val="fr-FR" w:eastAsia="fr-FR"/>
              </w:rPr>
            </w:pPr>
          </w:p>
        </w:tc>
      </w:tr>
      <w:tr w:rsidR="000906CC" w:rsidRPr="00B13DE0" w:rsidTr="0014214A">
        <w:trPr>
          <w:trHeight w:val="255"/>
        </w:trPr>
        <w:tc>
          <w:tcPr>
            <w:tcW w:w="4111" w:type="dxa"/>
            <w:tcBorders>
              <w:top w:val="nil"/>
              <w:left w:val="nil"/>
              <w:bottom w:val="nil"/>
              <w:right w:val="nil"/>
            </w:tcBorders>
            <w:shd w:val="clear" w:color="auto" w:fill="auto"/>
            <w:noWrap/>
            <w:vAlign w:val="bottom"/>
            <w:hideMark/>
          </w:tcPr>
          <w:p w:rsidR="004B3541" w:rsidRDefault="000906CC">
            <w:pPr>
              <w:keepNext/>
              <w:keepLines/>
              <w:tabs>
                <w:tab w:val="clear" w:pos="709"/>
              </w:tabs>
              <w:spacing w:after="0"/>
              <w:jc w:val="left"/>
              <w:rPr>
                <w:rFonts w:eastAsia="Times New Roman"/>
                <w:sz w:val="20"/>
                <w:szCs w:val="20"/>
                <w:lang w:val="fr-FR" w:eastAsia="fr-FR"/>
              </w:rPr>
            </w:pPr>
            <w:r w:rsidRPr="000906CC">
              <w:rPr>
                <w:rFonts w:eastAsia="Times New Roman"/>
                <w:sz w:val="20"/>
                <w:szCs w:val="20"/>
                <w:lang w:val="fr-FR" w:eastAsia="fr-FR"/>
              </w:rPr>
              <w:t xml:space="preserve">Dépense par </w:t>
            </w:r>
            <w:r>
              <w:rPr>
                <w:rFonts w:eastAsia="Times New Roman"/>
                <w:sz w:val="20"/>
                <w:szCs w:val="20"/>
                <w:lang w:val="fr-FR" w:eastAsia="fr-FR"/>
              </w:rPr>
              <w:t>pauvre</w:t>
            </w:r>
            <w:r w:rsidRPr="000906CC">
              <w:rPr>
                <w:rFonts w:eastAsia="Times New Roman"/>
                <w:sz w:val="20"/>
                <w:szCs w:val="20"/>
                <w:lang w:val="fr-FR" w:eastAsia="fr-FR"/>
              </w:rPr>
              <w:t xml:space="preserve"> en termes nominaux (</w:t>
            </w:r>
            <w:r>
              <w:rPr>
                <w:rFonts w:eastAsia="Times New Roman"/>
                <w:sz w:val="20"/>
                <w:szCs w:val="20"/>
                <w:lang w:val="fr-FR" w:eastAsia="fr-FR"/>
              </w:rPr>
              <w:t>F</w:t>
            </w:r>
            <w:r w:rsidRPr="000906CC">
              <w:rPr>
                <w:rFonts w:eastAsia="Times New Roman"/>
                <w:sz w:val="20"/>
                <w:szCs w:val="20"/>
                <w:lang w:val="fr-FR" w:eastAsia="fr-FR"/>
              </w:rPr>
              <w:t>CFA)</w:t>
            </w:r>
          </w:p>
        </w:tc>
        <w:tc>
          <w:tcPr>
            <w:tcW w:w="1015" w:type="dxa"/>
            <w:tcBorders>
              <w:top w:val="nil"/>
              <w:left w:val="nil"/>
              <w:bottom w:val="nil"/>
              <w:right w:val="nil"/>
            </w:tcBorders>
            <w:shd w:val="clear" w:color="auto" w:fill="auto"/>
            <w:noWrap/>
            <w:vAlign w:val="bottom"/>
            <w:hideMark/>
          </w:tcPr>
          <w:p w:rsidR="004B3541" w:rsidRDefault="00EB214A">
            <w:pPr>
              <w:keepNext/>
              <w:keepLines/>
              <w:tabs>
                <w:tab w:val="clear" w:pos="709"/>
              </w:tabs>
              <w:spacing w:after="0"/>
              <w:jc w:val="right"/>
              <w:rPr>
                <w:rFonts w:eastAsia="Times New Roman"/>
                <w:sz w:val="20"/>
                <w:szCs w:val="20"/>
                <w:lang w:val="fr-FR" w:eastAsia="fr-FR"/>
              </w:rPr>
            </w:pPr>
            <w:r w:rsidRPr="00EB214A">
              <w:rPr>
                <w:rFonts w:eastAsia="Times New Roman"/>
                <w:sz w:val="20"/>
                <w:szCs w:val="20"/>
                <w:lang w:val="fr-FR" w:eastAsia="fr-FR"/>
              </w:rPr>
              <w:t xml:space="preserve"> </w:t>
            </w:r>
            <w:r w:rsidR="00AD58C8">
              <w:rPr>
                <w:rFonts w:eastAsia="Times New Roman"/>
                <w:sz w:val="20"/>
                <w:szCs w:val="20"/>
                <w:lang w:val="fr-FR" w:eastAsia="fr-FR"/>
              </w:rPr>
              <w:t xml:space="preserve">1 205   </w:t>
            </w:r>
          </w:p>
        </w:tc>
        <w:tc>
          <w:tcPr>
            <w:tcW w:w="1016" w:type="dxa"/>
            <w:tcBorders>
              <w:top w:val="nil"/>
              <w:left w:val="nil"/>
              <w:bottom w:val="nil"/>
              <w:right w:val="nil"/>
            </w:tcBorders>
            <w:shd w:val="clear" w:color="auto" w:fill="auto"/>
            <w:noWrap/>
            <w:vAlign w:val="bottom"/>
            <w:hideMark/>
          </w:tcPr>
          <w:p w:rsidR="004B3541" w:rsidRDefault="004B3541">
            <w:pPr>
              <w:keepNext/>
              <w:keepLines/>
              <w:tabs>
                <w:tab w:val="clear" w:pos="709"/>
              </w:tabs>
              <w:spacing w:after="0"/>
              <w:jc w:val="right"/>
              <w:rPr>
                <w:rFonts w:eastAsia="Times New Roman"/>
                <w:sz w:val="20"/>
                <w:szCs w:val="20"/>
                <w:lang w:val="fr-FR" w:eastAsia="fr-FR"/>
              </w:rPr>
            </w:pPr>
          </w:p>
        </w:tc>
        <w:tc>
          <w:tcPr>
            <w:tcW w:w="1170"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6 145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7 084   </w:t>
            </w:r>
          </w:p>
        </w:tc>
        <w:tc>
          <w:tcPr>
            <w:tcW w:w="1015" w:type="dxa"/>
            <w:tcBorders>
              <w:top w:val="nil"/>
              <w:left w:val="nil"/>
              <w:bottom w:val="nil"/>
              <w:right w:val="nil"/>
            </w:tcBorders>
            <w:shd w:val="clear" w:color="auto" w:fill="auto"/>
            <w:noWrap/>
            <w:vAlign w:val="bottom"/>
            <w:hideMark/>
          </w:tcPr>
          <w:p w:rsidR="004B3541" w:rsidRDefault="004B3541">
            <w:pPr>
              <w:keepNext/>
              <w:keepLines/>
              <w:tabs>
                <w:tab w:val="clear" w:pos="709"/>
              </w:tabs>
              <w:spacing w:after="0"/>
              <w:jc w:val="right"/>
              <w:rPr>
                <w:rFonts w:eastAsia="Times New Roman"/>
                <w:sz w:val="20"/>
                <w:szCs w:val="20"/>
                <w:lang w:val="fr-FR" w:eastAsia="fr-FR"/>
              </w:rPr>
            </w:pPr>
          </w:p>
        </w:tc>
        <w:tc>
          <w:tcPr>
            <w:tcW w:w="722" w:type="dxa"/>
            <w:tcBorders>
              <w:top w:val="nil"/>
              <w:left w:val="nil"/>
              <w:bottom w:val="nil"/>
              <w:right w:val="nil"/>
            </w:tcBorders>
            <w:shd w:val="clear" w:color="auto" w:fill="auto"/>
            <w:noWrap/>
            <w:vAlign w:val="bottom"/>
            <w:hideMark/>
          </w:tcPr>
          <w:p w:rsidR="004B3541" w:rsidRDefault="004B3541">
            <w:pPr>
              <w:keepNext/>
              <w:keepLines/>
              <w:tabs>
                <w:tab w:val="clear" w:pos="709"/>
              </w:tabs>
              <w:spacing w:after="0"/>
              <w:jc w:val="right"/>
              <w:rPr>
                <w:rFonts w:eastAsia="Times New Roman"/>
                <w:i/>
                <w:sz w:val="20"/>
                <w:szCs w:val="20"/>
                <w:lang w:val="fr-FR" w:eastAsia="fr-FR"/>
              </w:rPr>
            </w:pPr>
          </w:p>
        </w:tc>
      </w:tr>
      <w:tr w:rsidR="000906CC" w:rsidRPr="000A70E6" w:rsidTr="0014214A">
        <w:trPr>
          <w:trHeight w:val="255"/>
        </w:trPr>
        <w:tc>
          <w:tcPr>
            <w:tcW w:w="4111" w:type="dxa"/>
            <w:tcBorders>
              <w:top w:val="nil"/>
              <w:left w:val="nil"/>
              <w:bottom w:val="nil"/>
              <w:right w:val="nil"/>
            </w:tcBorders>
            <w:shd w:val="clear" w:color="auto" w:fill="auto"/>
            <w:noWrap/>
            <w:vAlign w:val="bottom"/>
            <w:hideMark/>
          </w:tcPr>
          <w:p w:rsidR="004B3541" w:rsidRDefault="000906CC">
            <w:pPr>
              <w:keepNext/>
              <w:keepLines/>
              <w:tabs>
                <w:tab w:val="clear" w:pos="709"/>
              </w:tabs>
              <w:spacing w:after="0"/>
              <w:jc w:val="left"/>
              <w:rPr>
                <w:rFonts w:eastAsia="Times New Roman"/>
                <w:sz w:val="20"/>
                <w:szCs w:val="20"/>
                <w:lang w:val="fr-FR" w:eastAsia="fr-FR"/>
              </w:rPr>
            </w:pPr>
            <w:r w:rsidRPr="000906CC">
              <w:rPr>
                <w:rFonts w:eastAsia="Times New Roman"/>
                <w:sz w:val="20"/>
                <w:szCs w:val="20"/>
                <w:lang w:val="fr-FR" w:eastAsia="fr-FR"/>
              </w:rPr>
              <w:t xml:space="preserve">Dépense par </w:t>
            </w:r>
            <w:r>
              <w:rPr>
                <w:rFonts w:eastAsia="Times New Roman"/>
                <w:sz w:val="20"/>
                <w:szCs w:val="20"/>
                <w:lang w:val="fr-FR" w:eastAsia="fr-FR"/>
              </w:rPr>
              <w:t>pauvre</w:t>
            </w:r>
            <w:r w:rsidRPr="000906CC">
              <w:rPr>
                <w:rFonts w:eastAsia="Times New Roman"/>
                <w:sz w:val="20"/>
                <w:szCs w:val="20"/>
                <w:lang w:val="fr-FR" w:eastAsia="fr-FR"/>
              </w:rPr>
              <w:t xml:space="preserve"> en termes </w:t>
            </w:r>
            <w:r>
              <w:rPr>
                <w:rFonts w:eastAsia="Times New Roman"/>
                <w:sz w:val="20"/>
                <w:szCs w:val="20"/>
                <w:lang w:val="fr-FR" w:eastAsia="fr-FR"/>
              </w:rPr>
              <w:t>réels (CFAF) :</w:t>
            </w:r>
          </w:p>
        </w:tc>
        <w:tc>
          <w:tcPr>
            <w:tcW w:w="1015" w:type="dxa"/>
            <w:tcBorders>
              <w:top w:val="nil"/>
              <w:left w:val="nil"/>
              <w:bottom w:val="nil"/>
              <w:right w:val="nil"/>
            </w:tcBorders>
            <w:shd w:val="clear" w:color="auto" w:fill="auto"/>
            <w:noWrap/>
            <w:vAlign w:val="bottom"/>
            <w:hideMark/>
          </w:tcPr>
          <w:p w:rsidR="004B3541" w:rsidRDefault="004B3541">
            <w:pPr>
              <w:keepNext/>
              <w:keepLines/>
              <w:tabs>
                <w:tab w:val="clear" w:pos="709"/>
              </w:tabs>
              <w:spacing w:after="0"/>
              <w:jc w:val="right"/>
              <w:rPr>
                <w:rFonts w:eastAsia="Times New Roman"/>
                <w:sz w:val="20"/>
                <w:szCs w:val="20"/>
                <w:lang w:val="fr-FR" w:eastAsia="fr-FR"/>
              </w:rPr>
            </w:pPr>
          </w:p>
        </w:tc>
        <w:tc>
          <w:tcPr>
            <w:tcW w:w="1016" w:type="dxa"/>
            <w:tcBorders>
              <w:top w:val="nil"/>
              <w:left w:val="nil"/>
              <w:bottom w:val="nil"/>
              <w:right w:val="nil"/>
            </w:tcBorders>
            <w:shd w:val="clear" w:color="auto" w:fill="auto"/>
            <w:noWrap/>
            <w:vAlign w:val="bottom"/>
            <w:hideMark/>
          </w:tcPr>
          <w:p w:rsidR="004B3541" w:rsidRDefault="004B3541">
            <w:pPr>
              <w:keepNext/>
              <w:keepLines/>
              <w:tabs>
                <w:tab w:val="clear" w:pos="709"/>
              </w:tabs>
              <w:spacing w:after="0"/>
              <w:jc w:val="right"/>
              <w:rPr>
                <w:rFonts w:eastAsia="Times New Roman"/>
                <w:sz w:val="20"/>
                <w:szCs w:val="20"/>
                <w:lang w:val="fr-FR" w:eastAsia="fr-FR"/>
              </w:rPr>
            </w:pPr>
          </w:p>
        </w:tc>
        <w:tc>
          <w:tcPr>
            <w:tcW w:w="1170" w:type="dxa"/>
            <w:tcBorders>
              <w:top w:val="nil"/>
              <w:left w:val="nil"/>
              <w:bottom w:val="nil"/>
              <w:right w:val="nil"/>
            </w:tcBorders>
            <w:shd w:val="clear" w:color="auto" w:fill="auto"/>
            <w:noWrap/>
            <w:vAlign w:val="bottom"/>
            <w:hideMark/>
          </w:tcPr>
          <w:p w:rsidR="004B3541" w:rsidRDefault="004B3541">
            <w:pPr>
              <w:keepNext/>
              <w:keepLines/>
              <w:tabs>
                <w:tab w:val="clear" w:pos="709"/>
              </w:tabs>
              <w:spacing w:after="0"/>
              <w:jc w:val="right"/>
              <w:rPr>
                <w:rFonts w:eastAsia="Times New Roman"/>
                <w:sz w:val="20"/>
                <w:szCs w:val="20"/>
                <w:lang w:val="fr-FR" w:eastAsia="fr-FR"/>
              </w:rPr>
            </w:pPr>
          </w:p>
        </w:tc>
        <w:tc>
          <w:tcPr>
            <w:tcW w:w="1016" w:type="dxa"/>
            <w:tcBorders>
              <w:top w:val="nil"/>
              <w:left w:val="nil"/>
              <w:bottom w:val="nil"/>
              <w:right w:val="nil"/>
            </w:tcBorders>
            <w:shd w:val="clear" w:color="auto" w:fill="auto"/>
            <w:noWrap/>
            <w:vAlign w:val="bottom"/>
            <w:hideMark/>
          </w:tcPr>
          <w:p w:rsidR="004B3541" w:rsidRDefault="004B3541">
            <w:pPr>
              <w:keepNext/>
              <w:keepLines/>
              <w:tabs>
                <w:tab w:val="clear" w:pos="709"/>
              </w:tabs>
              <w:spacing w:after="0"/>
              <w:jc w:val="right"/>
              <w:rPr>
                <w:rFonts w:eastAsia="Times New Roman"/>
                <w:sz w:val="20"/>
                <w:szCs w:val="20"/>
                <w:lang w:val="fr-FR" w:eastAsia="fr-FR"/>
              </w:rPr>
            </w:pPr>
          </w:p>
        </w:tc>
        <w:tc>
          <w:tcPr>
            <w:tcW w:w="1015" w:type="dxa"/>
            <w:tcBorders>
              <w:top w:val="nil"/>
              <w:left w:val="nil"/>
              <w:bottom w:val="nil"/>
              <w:right w:val="nil"/>
            </w:tcBorders>
            <w:shd w:val="clear" w:color="auto" w:fill="auto"/>
            <w:noWrap/>
            <w:vAlign w:val="bottom"/>
            <w:hideMark/>
          </w:tcPr>
          <w:p w:rsidR="004B3541" w:rsidRDefault="004B3541">
            <w:pPr>
              <w:keepNext/>
              <w:keepLines/>
              <w:tabs>
                <w:tab w:val="clear" w:pos="709"/>
              </w:tabs>
              <w:spacing w:after="0"/>
              <w:jc w:val="right"/>
              <w:rPr>
                <w:rFonts w:eastAsia="Times New Roman"/>
                <w:sz w:val="20"/>
                <w:szCs w:val="20"/>
                <w:lang w:val="fr-FR" w:eastAsia="fr-FR"/>
              </w:rPr>
            </w:pPr>
          </w:p>
        </w:tc>
        <w:tc>
          <w:tcPr>
            <w:tcW w:w="722" w:type="dxa"/>
            <w:tcBorders>
              <w:top w:val="nil"/>
              <w:left w:val="nil"/>
              <w:bottom w:val="nil"/>
              <w:right w:val="nil"/>
            </w:tcBorders>
            <w:shd w:val="clear" w:color="auto" w:fill="auto"/>
            <w:noWrap/>
            <w:vAlign w:val="bottom"/>
            <w:hideMark/>
          </w:tcPr>
          <w:p w:rsidR="004B3541" w:rsidRDefault="004B3541">
            <w:pPr>
              <w:keepNext/>
              <w:keepLines/>
              <w:tabs>
                <w:tab w:val="clear" w:pos="709"/>
              </w:tabs>
              <w:spacing w:after="0"/>
              <w:jc w:val="right"/>
              <w:rPr>
                <w:rFonts w:eastAsia="Times New Roman"/>
                <w:i/>
                <w:sz w:val="20"/>
                <w:szCs w:val="20"/>
                <w:lang w:val="fr-FR" w:eastAsia="fr-FR"/>
              </w:rPr>
            </w:pPr>
          </w:p>
        </w:tc>
      </w:tr>
      <w:tr w:rsidR="000906CC" w:rsidRPr="00B13DE0" w:rsidTr="0014214A">
        <w:trPr>
          <w:trHeight w:val="255"/>
        </w:trPr>
        <w:tc>
          <w:tcPr>
            <w:tcW w:w="4111"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left"/>
              <w:rPr>
                <w:rFonts w:eastAsia="Times New Roman"/>
                <w:sz w:val="20"/>
                <w:szCs w:val="20"/>
                <w:lang w:eastAsia="fr-FR"/>
              </w:rPr>
            </w:pPr>
            <w:r w:rsidRPr="00892AEA">
              <w:rPr>
                <w:rFonts w:eastAsia="Times New Roman"/>
                <w:sz w:val="20"/>
                <w:szCs w:val="20"/>
                <w:lang w:eastAsia="fr-FR"/>
              </w:rPr>
              <w:t xml:space="preserve">- </w:t>
            </w:r>
            <w:r w:rsidR="0014214A">
              <w:rPr>
                <w:rFonts w:eastAsia="Times New Roman"/>
                <w:sz w:val="20"/>
                <w:szCs w:val="20"/>
                <w:lang w:eastAsia="fr-FR"/>
              </w:rPr>
              <w:t>subventions universelles comprises</w:t>
            </w:r>
          </w:p>
        </w:tc>
        <w:tc>
          <w:tcPr>
            <w:tcW w:w="1015"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1 205   </w:t>
            </w:r>
          </w:p>
        </w:tc>
        <w:tc>
          <w:tcPr>
            <w:tcW w:w="1016" w:type="dxa"/>
            <w:tcBorders>
              <w:top w:val="nil"/>
              <w:left w:val="nil"/>
              <w:bottom w:val="nil"/>
              <w:right w:val="nil"/>
            </w:tcBorders>
            <w:shd w:val="clear" w:color="auto" w:fill="auto"/>
            <w:noWrap/>
            <w:vAlign w:val="bottom"/>
            <w:hideMark/>
          </w:tcPr>
          <w:p w:rsidR="004B3541" w:rsidRDefault="004B3541">
            <w:pPr>
              <w:keepNext/>
              <w:keepLines/>
              <w:tabs>
                <w:tab w:val="clear" w:pos="709"/>
              </w:tabs>
              <w:spacing w:after="0"/>
              <w:jc w:val="right"/>
              <w:rPr>
                <w:rFonts w:eastAsia="Times New Roman"/>
                <w:sz w:val="20"/>
                <w:szCs w:val="20"/>
                <w:lang w:val="fr-FR" w:eastAsia="fr-FR"/>
              </w:rPr>
            </w:pPr>
          </w:p>
        </w:tc>
        <w:tc>
          <w:tcPr>
            <w:tcW w:w="1170"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5 781   </w:t>
            </w:r>
          </w:p>
        </w:tc>
        <w:tc>
          <w:tcPr>
            <w:tcW w:w="1016" w:type="dxa"/>
            <w:tcBorders>
              <w:top w:val="nil"/>
              <w:left w:val="nil"/>
              <w:bottom w:val="nil"/>
              <w:right w:val="nil"/>
            </w:tcBorders>
            <w:shd w:val="clear" w:color="auto" w:fill="auto"/>
            <w:noWrap/>
            <w:vAlign w:val="bottom"/>
            <w:hideMark/>
          </w:tcPr>
          <w:p w:rsidR="004B3541" w:rsidRDefault="00AD58C8">
            <w:pPr>
              <w:keepNext/>
              <w:keepLines/>
              <w:tabs>
                <w:tab w:val="clear" w:pos="709"/>
              </w:tabs>
              <w:spacing w:after="0"/>
              <w:jc w:val="right"/>
              <w:rPr>
                <w:rFonts w:eastAsia="Times New Roman"/>
                <w:sz w:val="20"/>
                <w:szCs w:val="20"/>
                <w:lang w:val="fr-FR" w:eastAsia="fr-FR"/>
              </w:rPr>
            </w:pPr>
            <w:r>
              <w:rPr>
                <w:rFonts w:eastAsia="Times New Roman"/>
                <w:sz w:val="20"/>
                <w:szCs w:val="20"/>
                <w:lang w:val="fr-FR" w:eastAsia="fr-FR"/>
              </w:rPr>
              <w:t xml:space="preserve"> 6 464   </w:t>
            </w:r>
          </w:p>
        </w:tc>
        <w:tc>
          <w:tcPr>
            <w:tcW w:w="1015" w:type="dxa"/>
            <w:tcBorders>
              <w:top w:val="nil"/>
              <w:left w:val="nil"/>
              <w:bottom w:val="nil"/>
              <w:right w:val="nil"/>
            </w:tcBorders>
            <w:shd w:val="clear" w:color="auto" w:fill="auto"/>
            <w:noWrap/>
            <w:vAlign w:val="bottom"/>
            <w:hideMark/>
          </w:tcPr>
          <w:p w:rsidR="004B3541" w:rsidRDefault="004B3541">
            <w:pPr>
              <w:keepNext/>
              <w:keepLines/>
              <w:tabs>
                <w:tab w:val="clear" w:pos="709"/>
              </w:tabs>
              <w:spacing w:after="0"/>
              <w:jc w:val="right"/>
              <w:rPr>
                <w:rFonts w:eastAsia="Times New Roman"/>
                <w:sz w:val="20"/>
                <w:szCs w:val="20"/>
                <w:lang w:val="fr-FR" w:eastAsia="fr-FR"/>
              </w:rPr>
            </w:pPr>
          </w:p>
        </w:tc>
        <w:tc>
          <w:tcPr>
            <w:tcW w:w="722" w:type="dxa"/>
            <w:tcBorders>
              <w:top w:val="nil"/>
              <w:left w:val="nil"/>
              <w:bottom w:val="nil"/>
              <w:right w:val="nil"/>
            </w:tcBorders>
            <w:shd w:val="clear" w:color="auto" w:fill="auto"/>
            <w:noWrap/>
            <w:vAlign w:val="bottom"/>
            <w:hideMark/>
          </w:tcPr>
          <w:p w:rsidR="004B3541" w:rsidRDefault="004B3541">
            <w:pPr>
              <w:keepNext/>
              <w:keepLines/>
              <w:tabs>
                <w:tab w:val="clear" w:pos="709"/>
              </w:tabs>
              <w:spacing w:after="0"/>
              <w:jc w:val="right"/>
              <w:rPr>
                <w:rFonts w:eastAsia="Times New Roman"/>
                <w:i/>
                <w:sz w:val="20"/>
                <w:szCs w:val="20"/>
                <w:lang w:val="fr-FR" w:eastAsia="fr-FR"/>
              </w:rPr>
            </w:pPr>
          </w:p>
        </w:tc>
      </w:tr>
      <w:tr w:rsidR="000906CC" w:rsidRPr="00B13DE0" w:rsidTr="0014214A">
        <w:trPr>
          <w:trHeight w:val="255"/>
        </w:trPr>
        <w:tc>
          <w:tcPr>
            <w:tcW w:w="4111" w:type="dxa"/>
            <w:tcBorders>
              <w:top w:val="nil"/>
              <w:left w:val="nil"/>
              <w:bottom w:val="single" w:sz="4" w:space="0" w:color="auto"/>
              <w:right w:val="nil"/>
            </w:tcBorders>
            <w:shd w:val="clear" w:color="auto" w:fill="auto"/>
            <w:noWrap/>
            <w:vAlign w:val="bottom"/>
            <w:hideMark/>
          </w:tcPr>
          <w:p w:rsidR="004B3541" w:rsidRDefault="00AD58C8">
            <w:pPr>
              <w:keepNext/>
              <w:keepLines/>
              <w:tabs>
                <w:tab w:val="clear" w:pos="709"/>
              </w:tabs>
              <w:spacing w:after="40"/>
              <w:jc w:val="left"/>
              <w:rPr>
                <w:rFonts w:eastAsia="Times New Roman"/>
                <w:sz w:val="20"/>
                <w:szCs w:val="20"/>
                <w:lang w:eastAsia="fr-FR"/>
              </w:rPr>
            </w:pPr>
            <w:r w:rsidRPr="00892AEA">
              <w:rPr>
                <w:rFonts w:eastAsia="Times New Roman"/>
                <w:sz w:val="20"/>
                <w:szCs w:val="20"/>
                <w:lang w:eastAsia="fr-FR"/>
              </w:rPr>
              <w:t xml:space="preserve">- </w:t>
            </w:r>
            <w:r w:rsidR="0014214A">
              <w:rPr>
                <w:rFonts w:eastAsia="Times New Roman"/>
                <w:sz w:val="20"/>
                <w:szCs w:val="20"/>
                <w:lang w:eastAsia="fr-FR"/>
              </w:rPr>
              <w:t>subventions universelles exclues</w:t>
            </w:r>
          </w:p>
        </w:tc>
        <w:tc>
          <w:tcPr>
            <w:tcW w:w="1015" w:type="dxa"/>
            <w:tcBorders>
              <w:top w:val="nil"/>
              <w:left w:val="nil"/>
              <w:bottom w:val="single" w:sz="4" w:space="0" w:color="auto"/>
              <w:right w:val="nil"/>
            </w:tcBorders>
            <w:shd w:val="clear" w:color="auto" w:fill="auto"/>
            <w:noWrap/>
            <w:vAlign w:val="bottom"/>
            <w:hideMark/>
          </w:tcPr>
          <w:p w:rsidR="004B3541" w:rsidRDefault="00AD58C8">
            <w:pPr>
              <w:keepNext/>
              <w:keepLines/>
              <w:tabs>
                <w:tab w:val="clear" w:pos="709"/>
              </w:tabs>
              <w:spacing w:after="40"/>
              <w:jc w:val="right"/>
              <w:rPr>
                <w:rFonts w:eastAsia="Times New Roman"/>
                <w:sz w:val="20"/>
                <w:szCs w:val="20"/>
                <w:lang w:val="fr-FR" w:eastAsia="fr-FR"/>
              </w:rPr>
            </w:pPr>
            <w:r>
              <w:rPr>
                <w:rFonts w:eastAsia="Times New Roman"/>
                <w:sz w:val="20"/>
                <w:szCs w:val="20"/>
                <w:lang w:val="fr-FR" w:eastAsia="fr-FR"/>
              </w:rPr>
              <w:t xml:space="preserve">1 205   </w:t>
            </w:r>
          </w:p>
        </w:tc>
        <w:tc>
          <w:tcPr>
            <w:tcW w:w="1016" w:type="dxa"/>
            <w:tcBorders>
              <w:top w:val="nil"/>
              <w:left w:val="nil"/>
              <w:bottom w:val="single" w:sz="4" w:space="0" w:color="auto"/>
              <w:right w:val="nil"/>
            </w:tcBorders>
            <w:shd w:val="clear" w:color="auto" w:fill="auto"/>
            <w:noWrap/>
            <w:vAlign w:val="bottom"/>
            <w:hideMark/>
          </w:tcPr>
          <w:p w:rsidR="004B3541" w:rsidRDefault="00AD58C8">
            <w:pPr>
              <w:keepNext/>
              <w:keepLines/>
              <w:tabs>
                <w:tab w:val="clear" w:pos="709"/>
              </w:tabs>
              <w:spacing w:after="40"/>
              <w:jc w:val="right"/>
              <w:rPr>
                <w:rFonts w:eastAsia="Times New Roman"/>
                <w:sz w:val="20"/>
                <w:szCs w:val="20"/>
                <w:lang w:val="fr-FR" w:eastAsia="fr-FR"/>
              </w:rPr>
            </w:pPr>
            <w:r>
              <w:rPr>
                <w:rFonts w:eastAsia="Times New Roman"/>
                <w:sz w:val="20"/>
                <w:szCs w:val="20"/>
                <w:lang w:val="fr-FR" w:eastAsia="fr-FR"/>
              </w:rPr>
              <w:t> </w:t>
            </w:r>
          </w:p>
        </w:tc>
        <w:tc>
          <w:tcPr>
            <w:tcW w:w="1170" w:type="dxa"/>
            <w:tcBorders>
              <w:top w:val="nil"/>
              <w:left w:val="nil"/>
              <w:bottom w:val="single" w:sz="4" w:space="0" w:color="auto"/>
              <w:right w:val="nil"/>
            </w:tcBorders>
            <w:shd w:val="clear" w:color="auto" w:fill="auto"/>
            <w:noWrap/>
            <w:vAlign w:val="bottom"/>
            <w:hideMark/>
          </w:tcPr>
          <w:p w:rsidR="004B3541" w:rsidRDefault="00AD58C8">
            <w:pPr>
              <w:keepNext/>
              <w:keepLines/>
              <w:tabs>
                <w:tab w:val="clear" w:pos="709"/>
              </w:tabs>
              <w:spacing w:after="40"/>
              <w:jc w:val="right"/>
              <w:rPr>
                <w:rFonts w:eastAsia="Times New Roman"/>
                <w:sz w:val="20"/>
                <w:szCs w:val="20"/>
                <w:lang w:val="fr-FR" w:eastAsia="fr-FR"/>
              </w:rPr>
            </w:pPr>
            <w:r>
              <w:rPr>
                <w:rFonts w:eastAsia="Times New Roman"/>
                <w:sz w:val="20"/>
                <w:szCs w:val="20"/>
                <w:lang w:val="fr-FR" w:eastAsia="fr-FR"/>
              </w:rPr>
              <w:t xml:space="preserve"> 2 054   </w:t>
            </w:r>
          </w:p>
        </w:tc>
        <w:tc>
          <w:tcPr>
            <w:tcW w:w="1016" w:type="dxa"/>
            <w:tcBorders>
              <w:top w:val="nil"/>
              <w:left w:val="nil"/>
              <w:bottom w:val="single" w:sz="4" w:space="0" w:color="auto"/>
              <w:right w:val="nil"/>
            </w:tcBorders>
            <w:shd w:val="clear" w:color="auto" w:fill="auto"/>
            <w:noWrap/>
            <w:vAlign w:val="bottom"/>
            <w:hideMark/>
          </w:tcPr>
          <w:p w:rsidR="004B3541" w:rsidRDefault="00AD58C8">
            <w:pPr>
              <w:keepNext/>
              <w:keepLines/>
              <w:tabs>
                <w:tab w:val="clear" w:pos="709"/>
              </w:tabs>
              <w:spacing w:after="40"/>
              <w:jc w:val="right"/>
              <w:rPr>
                <w:rFonts w:eastAsia="Times New Roman"/>
                <w:sz w:val="20"/>
                <w:szCs w:val="20"/>
                <w:lang w:val="fr-FR" w:eastAsia="fr-FR"/>
              </w:rPr>
            </w:pPr>
            <w:r>
              <w:rPr>
                <w:rFonts w:eastAsia="Times New Roman"/>
                <w:sz w:val="20"/>
                <w:szCs w:val="20"/>
                <w:lang w:val="fr-FR" w:eastAsia="fr-FR"/>
              </w:rPr>
              <w:t xml:space="preserve">2 708   </w:t>
            </w:r>
          </w:p>
        </w:tc>
        <w:tc>
          <w:tcPr>
            <w:tcW w:w="1015" w:type="dxa"/>
            <w:tcBorders>
              <w:top w:val="nil"/>
              <w:left w:val="nil"/>
              <w:bottom w:val="single" w:sz="4" w:space="0" w:color="auto"/>
              <w:right w:val="nil"/>
            </w:tcBorders>
            <w:shd w:val="clear" w:color="auto" w:fill="auto"/>
            <w:noWrap/>
            <w:vAlign w:val="bottom"/>
            <w:hideMark/>
          </w:tcPr>
          <w:p w:rsidR="004B3541" w:rsidRDefault="00AD58C8">
            <w:pPr>
              <w:keepNext/>
              <w:keepLines/>
              <w:tabs>
                <w:tab w:val="clear" w:pos="709"/>
              </w:tabs>
              <w:spacing w:after="40"/>
              <w:jc w:val="right"/>
              <w:rPr>
                <w:rFonts w:eastAsia="Times New Roman"/>
                <w:sz w:val="20"/>
                <w:szCs w:val="20"/>
                <w:lang w:val="fr-FR" w:eastAsia="fr-FR"/>
              </w:rPr>
            </w:pPr>
            <w:r>
              <w:rPr>
                <w:rFonts w:eastAsia="Times New Roman"/>
                <w:sz w:val="20"/>
                <w:szCs w:val="20"/>
                <w:lang w:val="fr-FR" w:eastAsia="fr-FR"/>
              </w:rPr>
              <w:t> </w:t>
            </w:r>
          </w:p>
        </w:tc>
        <w:tc>
          <w:tcPr>
            <w:tcW w:w="722" w:type="dxa"/>
            <w:tcBorders>
              <w:top w:val="nil"/>
              <w:left w:val="nil"/>
              <w:bottom w:val="single" w:sz="4" w:space="0" w:color="auto"/>
              <w:right w:val="nil"/>
            </w:tcBorders>
            <w:shd w:val="clear" w:color="auto" w:fill="auto"/>
            <w:noWrap/>
            <w:vAlign w:val="bottom"/>
            <w:hideMark/>
          </w:tcPr>
          <w:p w:rsidR="004B3541" w:rsidRDefault="00AD58C8">
            <w:pPr>
              <w:keepNext/>
              <w:keepLines/>
              <w:tabs>
                <w:tab w:val="clear" w:pos="709"/>
              </w:tabs>
              <w:spacing w:after="40"/>
              <w:jc w:val="right"/>
              <w:rPr>
                <w:rFonts w:eastAsia="Times New Roman"/>
                <w:i/>
                <w:sz w:val="20"/>
                <w:szCs w:val="20"/>
                <w:lang w:val="fr-FR" w:eastAsia="fr-FR"/>
              </w:rPr>
            </w:pPr>
            <w:r w:rsidRPr="00892AEA">
              <w:rPr>
                <w:rFonts w:eastAsia="Times New Roman"/>
                <w:i/>
                <w:sz w:val="20"/>
                <w:szCs w:val="20"/>
                <w:lang w:val="fr-FR" w:eastAsia="fr-FR"/>
              </w:rPr>
              <w:t> </w:t>
            </w:r>
          </w:p>
        </w:tc>
      </w:tr>
    </w:tbl>
    <w:p w:rsidR="004B3541" w:rsidRDefault="00EB214A">
      <w:pPr>
        <w:keepNext/>
        <w:keepLines/>
        <w:autoSpaceDE w:val="0"/>
        <w:autoSpaceDN w:val="0"/>
        <w:adjustRightInd w:val="0"/>
        <w:spacing w:before="120" w:after="120"/>
        <w:ind w:left="-567"/>
        <w:jc w:val="left"/>
        <w:rPr>
          <w:sz w:val="20"/>
          <w:szCs w:val="24"/>
          <w:lang w:val="fr-FR"/>
        </w:rPr>
      </w:pPr>
      <w:r w:rsidRPr="00EB214A">
        <w:rPr>
          <w:i/>
          <w:sz w:val="20"/>
          <w:szCs w:val="24"/>
          <w:lang w:val="fr-FR"/>
        </w:rPr>
        <w:t xml:space="preserve">(*) </w:t>
      </w:r>
      <w:r w:rsidRPr="00EB214A">
        <w:rPr>
          <w:sz w:val="20"/>
          <w:szCs w:val="24"/>
          <w:lang w:val="fr-FR"/>
        </w:rPr>
        <w:t>Les données pour l’année 2010 sont</w:t>
      </w:r>
      <w:r w:rsidRPr="00EB214A">
        <w:rPr>
          <w:i/>
          <w:sz w:val="20"/>
          <w:szCs w:val="24"/>
          <w:lang w:val="fr-FR"/>
        </w:rPr>
        <w:t xml:space="preserve"> </w:t>
      </w:r>
      <w:r w:rsidRPr="00EB214A">
        <w:rPr>
          <w:sz w:val="20"/>
          <w:szCs w:val="24"/>
          <w:lang w:val="fr-FR"/>
        </w:rPr>
        <w:t>présentées à titre indicative seulement.</w:t>
      </w:r>
    </w:p>
    <w:p w:rsidR="004B3541" w:rsidRDefault="00A66260">
      <w:pPr>
        <w:keepLines/>
        <w:tabs>
          <w:tab w:val="clear" w:pos="709"/>
        </w:tabs>
        <w:spacing w:before="120" w:after="480"/>
        <w:ind w:left="-567"/>
        <w:rPr>
          <w:rStyle w:val="longtext"/>
          <w:b/>
          <w:lang w:val="fr-FR"/>
        </w:rPr>
      </w:pPr>
      <w:r w:rsidRPr="00AD58C8">
        <w:rPr>
          <w:rStyle w:val="longtext"/>
          <w:i/>
          <w:sz w:val="20"/>
          <w:szCs w:val="20"/>
          <w:lang w:val="fr-FR"/>
        </w:rPr>
        <w:t>Source</w:t>
      </w:r>
      <w:r w:rsidR="00AD58C8" w:rsidRPr="00AD58C8">
        <w:rPr>
          <w:rStyle w:val="longtext"/>
          <w:i/>
          <w:sz w:val="20"/>
          <w:szCs w:val="20"/>
          <w:lang w:val="fr-FR"/>
        </w:rPr>
        <w:t> :</w:t>
      </w:r>
      <w:r w:rsidR="00EB214A" w:rsidRPr="00EB214A">
        <w:rPr>
          <w:rStyle w:val="longtext"/>
          <w:i/>
          <w:sz w:val="20"/>
          <w:szCs w:val="20"/>
          <w:lang w:val="fr-FR"/>
        </w:rPr>
        <w:t xml:space="preserve"> </w:t>
      </w:r>
      <w:r w:rsidRPr="005738FE">
        <w:rPr>
          <w:rStyle w:val="longtext"/>
          <w:sz w:val="20"/>
          <w:szCs w:val="20"/>
          <w:lang w:val="fr-FR"/>
        </w:rPr>
        <w:t>Auteurs</w:t>
      </w:r>
      <w:r w:rsidR="00EB214A" w:rsidRPr="00EB214A">
        <w:rPr>
          <w:rStyle w:val="longtext"/>
          <w:lang w:val="fr-FR"/>
        </w:rPr>
        <w:t>.</w:t>
      </w:r>
      <w:r w:rsidR="00EB214A" w:rsidRPr="00EB214A">
        <w:rPr>
          <w:rStyle w:val="longtext"/>
          <w:b/>
          <w:lang w:val="fr-FR"/>
        </w:rPr>
        <w:t xml:space="preserve"> </w:t>
      </w:r>
    </w:p>
    <w:p w:rsidR="00A66260" w:rsidRPr="00577EB1" w:rsidRDefault="00A66260" w:rsidP="00E52A30">
      <w:pPr>
        <w:numPr>
          <w:ilvl w:val="0"/>
          <w:numId w:val="2"/>
        </w:numPr>
        <w:tabs>
          <w:tab w:val="clear" w:pos="709"/>
        </w:tabs>
        <w:ind w:left="0" w:firstLine="0"/>
        <w:rPr>
          <w:szCs w:val="24"/>
          <w:lang w:val="fr-FR"/>
        </w:rPr>
      </w:pPr>
      <w:r w:rsidRPr="00577EB1">
        <w:rPr>
          <w:rStyle w:val="longtext"/>
          <w:b/>
          <w:lang w:val="fr-FR"/>
        </w:rPr>
        <w:t xml:space="preserve">Les dépenses dans les filets sociaux ont augmenté de manière constante </w:t>
      </w:r>
      <w:r w:rsidRPr="00577EB1">
        <w:rPr>
          <w:rStyle w:val="longtext"/>
          <w:lang w:val="fr-FR"/>
        </w:rPr>
        <w:t xml:space="preserve">(Tableau 10 et Figure </w:t>
      </w:r>
      <w:r w:rsidR="00EE4747">
        <w:rPr>
          <w:rStyle w:val="longtext"/>
          <w:lang w:val="fr-FR"/>
        </w:rPr>
        <w:t>8</w:t>
      </w:r>
      <w:r w:rsidRPr="00577EB1">
        <w:rPr>
          <w:rStyle w:val="longtext"/>
          <w:lang w:val="fr-FR"/>
        </w:rPr>
        <w:t xml:space="preserve">). Les dépenses dans les filets sociaux sont passées de 0,3 % du PIB en 2005 à </w:t>
      </w:r>
      <w:r w:rsidR="0014214A">
        <w:rPr>
          <w:rStyle w:val="longtext"/>
          <w:lang w:val="fr-FR"/>
        </w:rPr>
        <w:t>environ 0,9 %</w:t>
      </w:r>
      <w:r w:rsidRPr="00577EB1">
        <w:rPr>
          <w:rStyle w:val="longtext"/>
          <w:lang w:val="fr-FR"/>
        </w:rPr>
        <w:t xml:space="preserve"> du PIB en 2009, subventions non comprises. </w:t>
      </w:r>
      <w:r w:rsidRPr="00577EB1">
        <w:rPr>
          <w:rStyle w:val="longtext"/>
          <w:shd w:val="clear" w:color="auto" w:fill="FFFFFF"/>
          <w:lang w:val="fr-FR"/>
        </w:rPr>
        <w:t xml:space="preserve">Avec les exonérations fiscales et douanières sur les importations de carburant, et les exemptions fiscales temporaires de 2008 sur les importations de produits alimentaires, les dépenses dans les filets sociaux ont atteint 1,4 % et 1,5 % du PIB en 2008 et 2009 respectivement. </w:t>
      </w:r>
      <w:r w:rsidRPr="00577EB1">
        <w:rPr>
          <w:rStyle w:val="longtext"/>
          <w:lang w:val="fr-FR"/>
        </w:rPr>
        <w:t xml:space="preserve">Les exonérations fiscales pour diverses importations de vivres en réponse à la flambée des cours des produits alimentaires ont atteint environ 0,1 % du PIB en 2008. </w:t>
      </w:r>
      <w:r w:rsidRPr="00577EB1">
        <w:rPr>
          <w:rStyle w:val="longtext"/>
          <w:shd w:val="clear" w:color="auto" w:fill="FFFFFF"/>
          <w:lang w:val="fr-FR"/>
        </w:rPr>
        <w:t>Ainsi, le coût de la subvention générale des produits alimentaires a absorbé moins de 8 % des dépenses totales dans les filets sociaux en 2008. Toutefois, en 2008, le coût de cette subvention générale des produits alimentaires représentait près de 13 % de l’ensemble des filets sociaux financés par l’État.</w:t>
      </w:r>
    </w:p>
    <w:p w:rsidR="00A66260" w:rsidRPr="00577EB1" w:rsidRDefault="00A66260" w:rsidP="00E52A30">
      <w:pPr>
        <w:numPr>
          <w:ilvl w:val="0"/>
          <w:numId w:val="2"/>
        </w:numPr>
        <w:tabs>
          <w:tab w:val="clear" w:pos="709"/>
        </w:tabs>
        <w:ind w:left="0" w:firstLine="0"/>
        <w:rPr>
          <w:rStyle w:val="longtext"/>
          <w:szCs w:val="24"/>
          <w:lang w:val="fr-FR"/>
        </w:rPr>
      </w:pPr>
      <w:r w:rsidRPr="00577EB1">
        <w:rPr>
          <w:rStyle w:val="longtext"/>
          <w:b/>
          <w:lang w:val="fr-FR"/>
        </w:rPr>
        <w:t>La hausse générale du niveau des filets sociaux en valeur réelle montre la rapidité de la réponse de l’État et des bailleurs de fonds aux crises alimentaire et pétrolière de 2008</w:t>
      </w:r>
      <w:r w:rsidRPr="00577EB1">
        <w:rPr>
          <w:rStyle w:val="longtext"/>
          <w:lang w:val="fr-FR"/>
        </w:rPr>
        <w:t xml:space="preserve">. Les dépenses totales dans les filets sociaux, mesurées en francs CFA </w:t>
      </w:r>
      <w:r w:rsidRPr="00577EB1">
        <w:rPr>
          <w:rStyle w:val="longtext"/>
          <w:lang w:val="fr-FR"/>
        </w:rPr>
        <w:lastRenderedPageBreak/>
        <w:t xml:space="preserve">de 2005, ont enregistré une hausse de 10 % en 2007 contre 2 9% en 2008, et 10 % en 2009. La croissance est, toutefois, </w:t>
      </w:r>
      <w:r w:rsidRPr="00577EB1">
        <w:rPr>
          <w:rStyle w:val="longtext"/>
          <w:shd w:val="clear" w:color="auto" w:fill="FFFFFF"/>
          <w:lang w:val="fr-FR"/>
        </w:rPr>
        <w:t>beaucoup plus spectaculaire</w:t>
      </w:r>
      <w:r w:rsidRPr="00577EB1">
        <w:rPr>
          <w:rStyle w:val="longtext"/>
          <w:lang w:val="fr-FR"/>
        </w:rPr>
        <w:t xml:space="preserve"> sans les </w:t>
      </w:r>
      <w:r w:rsidRPr="00577EB1">
        <w:rPr>
          <w:rStyle w:val="longtext"/>
          <w:shd w:val="clear" w:color="auto" w:fill="FFFFFF"/>
          <w:lang w:val="fr-FR"/>
        </w:rPr>
        <w:t>subventions universelles</w:t>
      </w:r>
      <w:r w:rsidR="0007340F">
        <w:rPr>
          <w:rStyle w:val="longtext"/>
          <w:shd w:val="clear" w:color="auto" w:fill="FFFFFF"/>
          <w:lang w:val="fr-FR"/>
        </w:rPr>
        <w:t xml:space="preserve"> </w:t>
      </w:r>
      <w:r w:rsidRPr="00577EB1">
        <w:rPr>
          <w:rStyle w:val="longtext"/>
          <w:shd w:val="clear" w:color="auto" w:fill="FFFFFF"/>
          <w:lang w:val="fr-FR"/>
        </w:rPr>
        <w:t>18 % en 2007 contre 63 % en 2008 et 42 % en 2009.</w:t>
      </w:r>
      <w:r w:rsidRPr="00577EB1">
        <w:rPr>
          <w:szCs w:val="24"/>
          <w:lang w:val="fr-FR"/>
        </w:rPr>
        <w:t xml:space="preserve"> </w:t>
      </w:r>
    </w:p>
    <w:p w:rsidR="00A66260" w:rsidRPr="00577EB1" w:rsidRDefault="00A66260" w:rsidP="00E52A30">
      <w:pPr>
        <w:numPr>
          <w:ilvl w:val="0"/>
          <w:numId w:val="2"/>
        </w:numPr>
        <w:tabs>
          <w:tab w:val="clear" w:pos="709"/>
        </w:tabs>
        <w:ind w:left="0" w:firstLine="0"/>
        <w:rPr>
          <w:szCs w:val="24"/>
          <w:lang w:val="fr-FR"/>
        </w:rPr>
      </w:pPr>
      <w:r w:rsidRPr="00577EB1">
        <w:rPr>
          <w:rStyle w:val="longtext"/>
          <w:b/>
          <w:shd w:val="clear" w:color="auto" w:fill="FFFFFF"/>
          <w:lang w:val="fr-FR"/>
        </w:rPr>
        <w:t>L’augmentation des dépenses dans les filets sociaux s’explique en grande partie par les efforts importants réalisés dans les programmes de transferts alimentaires, notamment les ventes de produits alimentaires à des prix subventionnés, les programmes nutritionnels et la distribution ciblée de vivres</w:t>
      </w:r>
      <w:r w:rsidRPr="00577EB1">
        <w:rPr>
          <w:rStyle w:val="longtext"/>
          <w:shd w:val="clear" w:color="auto" w:fill="FFFFFF"/>
          <w:lang w:val="fr-FR"/>
        </w:rPr>
        <w:t>. Un programme de transferts monétaires et un autre de travaux publics, impliquant tous deux des décaissements importants en 2008, ont compromis la croissance des filets sociaux de cette année. En revanche, les subventions aux consommateurs des produits pétroliers (exonération de la TVA) n’ont enregistré qu’une hausse marginale en 2008, même si elles restent néanmoins, la composante la plus importante des filets sociaux financés par l’État, soit 65% (voir ci-dessous pour plus de détails).</w:t>
      </w:r>
      <w:r w:rsidR="0007340F">
        <w:rPr>
          <w:szCs w:val="24"/>
          <w:lang w:val="fr-FR"/>
        </w:rPr>
        <w:t xml:space="preserve"> </w:t>
      </w:r>
    </w:p>
    <w:p w:rsidR="00A66260" w:rsidRPr="00577EB1" w:rsidRDefault="00EE4747" w:rsidP="0014214A">
      <w:pPr>
        <w:pStyle w:val="Heading8"/>
      </w:pPr>
      <w:bookmarkStart w:id="94" w:name="_Ref135727016"/>
      <w:bookmarkStart w:id="95" w:name="_Toc262170063"/>
      <w:bookmarkStart w:id="96" w:name="_Toc269722137"/>
      <w:r w:rsidRPr="00577EB1">
        <w:t xml:space="preserve">Figure </w:t>
      </w:r>
      <w:r w:rsidR="00725419">
        <w:fldChar w:fldCharType="begin"/>
      </w:r>
      <w:r>
        <w:instrText xml:space="preserve"> SEQ Figure \* ARABIC </w:instrText>
      </w:r>
      <w:r w:rsidR="00725419">
        <w:fldChar w:fldCharType="separate"/>
      </w:r>
      <w:r w:rsidR="00EF56B2">
        <w:rPr>
          <w:noProof/>
        </w:rPr>
        <w:t>8</w:t>
      </w:r>
      <w:r w:rsidR="00725419">
        <w:fldChar w:fldCharType="end"/>
      </w:r>
      <w:bookmarkEnd w:id="94"/>
      <w:r w:rsidR="0023017C">
        <w:t> :</w:t>
      </w:r>
      <w:r w:rsidR="0007340F">
        <w:t xml:space="preserve"> </w:t>
      </w:r>
      <w:r w:rsidR="00A66260" w:rsidRPr="00577EB1">
        <w:t xml:space="preserve">Évolution des dépenses dans les filets sociaux </w:t>
      </w:r>
      <w:r w:rsidR="00EB214A" w:rsidRPr="00EB214A">
        <w:rPr>
          <w:iCs/>
        </w:rPr>
        <w:t>au cours du</w:t>
      </w:r>
      <w:r w:rsidR="00A66260" w:rsidRPr="0014214A">
        <w:t xml:space="preserve"> temps</w:t>
      </w:r>
      <w:r w:rsidR="00A66260" w:rsidRPr="00577EB1">
        <w:t>, 2005-2009</w:t>
      </w:r>
      <w:bookmarkEnd w:id="95"/>
      <w:bookmarkEnd w:id="96"/>
    </w:p>
    <w:p w:rsidR="004B3541" w:rsidRDefault="004B3541">
      <w:pPr>
        <w:keepNext/>
        <w:keepLines/>
        <w:autoSpaceDE w:val="0"/>
        <w:autoSpaceDN w:val="0"/>
        <w:adjustRightInd w:val="0"/>
        <w:spacing w:before="120" w:after="0"/>
        <w:ind w:left="-567" w:right="-567"/>
        <w:jc w:val="center"/>
        <w:rPr>
          <w:i/>
          <w:sz w:val="20"/>
          <w:szCs w:val="24"/>
        </w:rPr>
      </w:pPr>
      <w:r>
        <w:rPr>
          <w:i/>
          <w:noProof/>
          <w:sz w:val="20"/>
          <w:szCs w:val="24"/>
        </w:rPr>
        <w:drawing>
          <wp:inline distT="0" distB="0" distL="0" distR="0">
            <wp:extent cx="6269607" cy="2150254"/>
            <wp:effectExtent l="19050" t="0" r="16893" b="2396"/>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B3541" w:rsidRDefault="00EB214A">
      <w:pPr>
        <w:keepLines/>
        <w:tabs>
          <w:tab w:val="clear" w:pos="709"/>
          <w:tab w:val="left" w:pos="-426"/>
        </w:tabs>
        <w:autoSpaceDE w:val="0"/>
        <w:autoSpaceDN w:val="0"/>
        <w:adjustRightInd w:val="0"/>
        <w:spacing w:before="120" w:after="120"/>
        <w:ind w:left="-567"/>
        <w:jc w:val="left"/>
        <w:rPr>
          <w:sz w:val="20"/>
          <w:lang w:val="fr-FR"/>
        </w:rPr>
      </w:pPr>
      <w:r w:rsidRPr="00EB214A">
        <w:rPr>
          <w:sz w:val="20"/>
          <w:lang w:val="fr-FR"/>
        </w:rPr>
        <w:t xml:space="preserve">NB : Les </w:t>
      </w:r>
      <w:r w:rsidR="0014214A">
        <w:rPr>
          <w:sz w:val="20"/>
          <w:lang w:val="fr-FR"/>
        </w:rPr>
        <w:t>données de 2010 sont présentées à titre purement indicatif.</w:t>
      </w:r>
    </w:p>
    <w:p w:rsidR="004B3541" w:rsidRDefault="00A66260">
      <w:pPr>
        <w:keepLines/>
        <w:tabs>
          <w:tab w:val="clear" w:pos="709"/>
          <w:tab w:val="left" w:pos="-426"/>
        </w:tabs>
        <w:autoSpaceDE w:val="0"/>
        <w:autoSpaceDN w:val="0"/>
        <w:adjustRightInd w:val="0"/>
        <w:spacing w:before="120" w:after="480"/>
        <w:ind w:left="-567"/>
        <w:jc w:val="left"/>
        <w:rPr>
          <w:sz w:val="20"/>
          <w:szCs w:val="24"/>
          <w:lang w:val="fr-FR"/>
        </w:rPr>
      </w:pPr>
      <w:r w:rsidRPr="00577EB1">
        <w:rPr>
          <w:i/>
          <w:sz w:val="20"/>
          <w:szCs w:val="24"/>
          <w:lang w:val="fr-FR"/>
        </w:rPr>
        <w:t>Source:</w:t>
      </w:r>
      <w:r w:rsidRPr="00577EB1">
        <w:rPr>
          <w:sz w:val="20"/>
          <w:szCs w:val="24"/>
          <w:lang w:val="fr-FR"/>
        </w:rPr>
        <w:t xml:space="preserve"> Auteurs.</w:t>
      </w:r>
    </w:p>
    <w:p w:rsidR="00A66260" w:rsidRPr="00577EB1" w:rsidRDefault="00A66260" w:rsidP="00E52A30">
      <w:pPr>
        <w:numPr>
          <w:ilvl w:val="0"/>
          <w:numId w:val="2"/>
        </w:numPr>
        <w:tabs>
          <w:tab w:val="clear" w:pos="709"/>
        </w:tabs>
        <w:ind w:left="0" w:firstLine="0"/>
        <w:rPr>
          <w:szCs w:val="24"/>
          <w:lang w:val="fr-FR"/>
        </w:rPr>
      </w:pPr>
      <w:r w:rsidRPr="00577EB1">
        <w:rPr>
          <w:rStyle w:val="longtext"/>
          <w:b/>
          <w:shd w:val="clear" w:color="auto" w:fill="FFFFFF"/>
          <w:lang w:val="fr-FR"/>
        </w:rPr>
        <w:t>Les dépenses</w:t>
      </w:r>
      <w:r w:rsidRPr="00577EB1">
        <w:rPr>
          <w:rStyle w:val="longtext"/>
          <w:shd w:val="clear" w:color="auto" w:fill="FFFFFF"/>
          <w:lang w:val="fr-FR"/>
        </w:rPr>
        <w:t xml:space="preserve"> </w:t>
      </w:r>
      <w:r w:rsidRPr="00577EB1">
        <w:rPr>
          <w:rStyle w:val="longtext"/>
          <w:b/>
          <w:shd w:val="clear" w:color="auto" w:fill="FFFFFF"/>
          <w:lang w:val="fr-FR"/>
        </w:rPr>
        <w:t>dans les filets sociaux sont diminuées par la combinaison de celles dans la santé et l’éducation ainsi que celles dans les autres secteurs sociaux</w:t>
      </w:r>
      <w:r w:rsidRPr="00577EB1">
        <w:rPr>
          <w:rStyle w:val="longtext"/>
          <w:shd w:val="clear" w:color="auto" w:fill="FFFFFF"/>
          <w:lang w:val="fr-FR"/>
        </w:rPr>
        <w:t xml:space="preserve"> (toutes les activités définies comme contribuant à la réduction de la pauvreté</w:t>
      </w:r>
      <w:r w:rsidRPr="00577EB1">
        <w:rPr>
          <w:rStyle w:val="FootnoteReference"/>
          <w:szCs w:val="24"/>
          <w:lang w:val="fr-FR"/>
        </w:rPr>
        <w:footnoteReference w:id="19"/>
      </w:r>
      <w:r w:rsidRPr="00577EB1">
        <w:rPr>
          <w:rStyle w:val="longtext"/>
          <w:shd w:val="clear" w:color="auto" w:fill="FFFFFF"/>
          <w:lang w:val="fr-FR"/>
        </w:rPr>
        <w:t xml:space="preserve">) (Tableau 11). Les montants consacrés aux filets sociaux semblent dérisoires au regard de l’importance de toutes les dépenses sociales dans le budget (y compris la santé et l’éducation). Étant donné l’importance de l’ensemble des dépenses sociales dans le budget (y compris la santé et l’éducation), les montants consacrés aux filets sociaux semble insignifiants. </w:t>
      </w:r>
      <w:r w:rsidRPr="00577EB1">
        <w:rPr>
          <w:rStyle w:val="longtext"/>
          <w:lang w:val="fr-FR"/>
        </w:rPr>
        <w:t xml:space="preserve">Les dépenses combinées de santé et d’éducation en 2008 représentaient près de 14 fois les montants consacrés aux filets sociaux, hors subventions alimentaires. Cependant, les dépenses financées par </w:t>
      </w:r>
      <w:r w:rsidRPr="00577EB1">
        <w:rPr>
          <w:rStyle w:val="longtext"/>
          <w:shd w:val="clear" w:color="auto" w:fill="FFFFFF"/>
          <w:lang w:val="fr-FR"/>
        </w:rPr>
        <w:t>des ressources nationales</w:t>
      </w:r>
      <w:r w:rsidRPr="00577EB1" w:rsidDel="00A66D47">
        <w:rPr>
          <w:rStyle w:val="longtext"/>
          <w:lang w:val="fr-FR"/>
        </w:rPr>
        <w:t xml:space="preserve"> </w:t>
      </w:r>
      <w:r w:rsidRPr="00577EB1">
        <w:rPr>
          <w:rStyle w:val="longtext"/>
          <w:lang w:val="fr-FR"/>
        </w:rPr>
        <w:t xml:space="preserve">dans </w:t>
      </w:r>
      <w:r w:rsidRPr="00577EB1">
        <w:rPr>
          <w:rStyle w:val="longtext"/>
          <w:shd w:val="clear" w:color="auto" w:fill="FFFFFF"/>
          <w:lang w:val="fr-FR"/>
        </w:rPr>
        <w:t xml:space="preserve">la santé, l’éducation et les filets sociaux, en dépit d’une nette progression en valeur nominale et en pourcentage du PIB entre 2005 et 2009, comme indiqué au Tableau 11, n’ont pas progressé de la même </w:t>
      </w:r>
      <w:r w:rsidRPr="00577EB1">
        <w:rPr>
          <w:rStyle w:val="longtext"/>
          <w:shd w:val="clear" w:color="auto" w:fill="FFFFFF"/>
          <w:lang w:val="fr-FR"/>
        </w:rPr>
        <w:lastRenderedPageBreak/>
        <w:t>manière que les dépenses totales financées par les ressources nationales (financement PPTE compris</w:t>
      </w:r>
      <w:r w:rsidRPr="00577EB1">
        <w:rPr>
          <w:rStyle w:val="longtext"/>
          <w:lang w:val="fr-FR"/>
        </w:rPr>
        <w:t xml:space="preserve">). </w:t>
      </w:r>
      <w:r w:rsidRPr="00577EB1">
        <w:rPr>
          <w:rStyle w:val="longtext"/>
          <w:shd w:val="clear" w:color="auto" w:fill="FFFFFF"/>
          <w:lang w:val="fr-FR"/>
        </w:rPr>
        <w:t>Les dépenses en faveur de l’enseignement fondamental</w:t>
      </w:r>
      <w:r w:rsidR="0007340F">
        <w:rPr>
          <w:rStyle w:val="longtext"/>
          <w:shd w:val="clear" w:color="auto" w:fill="FFFFFF"/>
          <w:lang w:val="fr-FR"/>
        </w:rPr>
        <w:t xml:space="preserve"> </w:t>
      </w:r>
      <w:r w:rsidRPr="00577EB1">
        <w:rPr>
          <w:rStyle w:val="longtext"/>
          <w:shd w:val="clear" w:color="auto" w:fill="FFFFFF"/>
          <w:lang w:val="fr-FR"/>
        </w:rPr>
        <w:t>sont restées en moyenne légèrement supérieures à 14 % du total des dépenses financées par des ressources nationales. Les dépenses de santé sont tombées juste en dessous de 10 %, contre moins de 1 % des dépenses totales pour les ressources nationales consacrées aux filets sociaux, ce qui suggère que l’augmentation des dépenses dans ces secteurs est proportionnelle à la croissance de l’ensemble des ressources nationales.</w:t>
      </w:r>
    </w:p>
    <w:p w:rsidR="00A66260" w:rsidRPr="00577EB1" w:rsidRDefault="00A66260" w:rsidP="00E52A30">
      <w:pPr>
        <w:numPr>
          <w:ilvl w:val="0"/>
          <w:numId w:val="2"/>
        </w:numPr>
        <w:tabs>
          <w:tab w:val="clear" w:pos="709"/>
        </w:tabs>
        <w:ind w:left="0" w:firstLine="0"/>
        <w:rPr>
          <w:szCs w:val="24"/>
          <w:lang w:val="fr-FR"/>
        </w:rPr>
      </w:pPr>
      <w:r w:rsidRPr="00577EB1">
        <w:rPr>
          <w:rStyle w:val="longtext"/>
          <w:b/>
          <w:lang w:val="fr-FR"/>
        </w:rPr>
        <w:t>Plus précisément, ce qui précède implique que l’importance des secteurs sociaux (éducation, santé, et filets sociaux) est restée pratiquement inchangée dans l’agenda des priorités de l’État.</w:t>
      </w:r>
      <w:r w:rsidRPr="00577EB1">
        <w:rPr>
          <w:rStyle w:val="longtext"/>
          <w:lang w:val="fr-FR"/>
        </w:rPr>
        <w:t xml:space="preserve"> </w:t>
      </w:r>
      <w:r w:rsidRPr="00577EB1">
        <w:rPr>
          <w:rStyle w:val="longtext"/>
          <w:shd w:val="clear" w:color="auto" w:fill="FFFFFF"/>
          <w:lang w:val="fr-FR"/>
        </w:rPr>
        <w:t xml:space="preserve">L’aide extérieure à la santé et à l’éducation a subi des variations (Figure </w:t>
      </w:r>
      <w:r w:rsidR="00847527">
        <w:rPr>
          <w:rStyle w:val="longtext"/>
          <w:shd w:val="clear" w:color="auto" w:fill="FFFFFF"/>
          <w:lang w:val="fr-FR"/>
        </w:rPr>
        <w:t>9</w:t>
      </w:r>
      <w:r w:rsidRPr="00577EB1">
        <w:rPr>
          <w:rStyle w:val="longtext"/>
          <w:shd w:val="clear" w:color="auto" w:fill="FFFFFF"/>
          <w:lang w:val="fr-FR"/>
        </w:rPr>
        <w:t xml:space="preserve">). Les trois secteurs se caractérisent par une </w:t>
      </w:r>
      <w:r w:rsidRPr="00577EB1">
        <w:rPr>
          <w:rStyle w:val="longtext"/>
          <w:lang w:val="fr-FR"/>
        </w:rPr>
        <w:t xml:space="preserve">forte dépendance aux financements extérieurs, mais celui des filets sociaux semble dépendre de plus en plus des bailleurs de fonds. </w:t>
      </w:r>
    </w:p>
    <w:p w:rsidR="00A66260" w:rsidRPr="00577EB1" w:rsidRDefault="001F3001" w:rsidP="0014214A">
      <w:pPr>
        <w:pStyle w:val="Heading7"/>
        <w:rPr>
          <w:lang w:val="fr-FR"/>
        </w:rPr>
      </w:pPr>
      <w:bookmarkStart w:id="97" w:name="_Ref135727046"/>
      <w:bookmarkStart w:id="98" w:name="_Toc262170042"/>
      <w:bookmarkStart w:id="99" w:name="_Toc284528585"/>
      <w:bookmarkStart w:id="100" w:name="_Toc284530522"/>
      <w:r w:rsidRPr="00577EB1">
        <w:rPr>
          <w:lang w:val="fr-FR"/>
        </w:rPr>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11</w:t>
      </w:r>
      <w:r w:rsidR="00725419" w:rsidRPr="00577EB1">
        <w:rPr>
          <w:lang w:val="fr-FR"/>
        </w:rPr>
        <w:fldChar w:fldCharType="end"/>
      </w:r>
      <w:bookmarkEnd w:id="97"/>
      <w:r w:rsidR="00837FC9">
        <w:rPr>
          <w:lang w:val="fr-FR"/>
        </w:rPr>
        <w:t> :</w:t>
      </w:r>
      <w:r w:rsidR="0007340F">
        <w:rPr>
          <w:lang w:val="fr-FR"/>
        </w:rPr>
        <w:t xml:space="preserve"> </w:t>
      </w:r>
      <w:r w:rsidR="00A66260" w:rsidRPr="00577EB1">
        <w:rPr>
          <w:lang w:val="fr-FR"/>
        </w:rPr>
        <w:t>Dépenses sociales (y compris les financements PPTE</w:t>
      </w:r>
      <w:r w:rsidR="00EB214A" w:rsidRPr="00EB214A">
        <w:rPr>
          <w:vertAlign w:val="superscript"/>
          <w:lang w:val="fr-FR"/>
        </w:rPr>
        <w:footnoteReference w:id="20"/>
      </w:r>
      <w:r w:rsidR="00A66260" w:rsidRPr="00577EB1">
        <w:rPr>
          <w:lang w:val="fr-FR"/>
        </w:rPr>
        <w:t xml:space="preserve"> et hors financements extérieurs)</w:t>
      </w:r>
      <w:bookmarkEnd w:id="98"/>
      <w:bookmarkEnd w:id="99"/>
      <w:bookmarkEnd w:id="100"/>
    </w:p>
    <w:tbl>
      <w:tblPr>
        <w:tblW w:w="9403" w:type="dxa"/>
        <w:tblLook w:val="01E0"/>
      </w:tblPr>
      <w:tblGrid>
        <w:gridCol w:w="4219"/>
        <w:gridCol w:w="841"/>
        <w:gridCol w:w="860"/>
        <w:gridCol w:w="851"/>
        <w:gridCol w:w="850"/>
        <w:gridCol w:w="842"/>
        <w:gridCol w:w="940"/>
      </w:tblGrid>
      <w:tr w:rsidR="00A66260" w:rsidRPr="00EE4747" w:rsidTr="00EE4747">
        <w:tc>
          <w:tcPr>
            <w:tcW w:w="4219" w:type="dxa"/>
            <w:tcBorders>
              <w:top w:val="single" w:sz="4" w:space="0" w:color="auto"/>
              <w:bottom w:val="single" w:sz="4" w:space="0" w:color="auto"/>
            </w:tcBorders>
            <w:shd w:val="clear" w:color="auto" w:fill="auto"/>
          </w:tcPr>
          <w:p w:rsidR="004B3541" w:rsidRDefault="004B3541">
            <w:pPr>
              <w:keepNext/>
              <w:keepLines/>
              <w:spacing w:after="0"/>
              <w:jc w:val="left"/>
              <w:rPr>
                <w:sz w:val="20"/>
                <w:szCs w:val="20"/>
                <w:lang w:val="fr-FR"/>
              </w:rPr>
            </w:pPr>
          </w:p>
        </w:tc>
        <w:tc>
          <w:tcPr>
            <w:tcW w:w="841" w:type="dxa"/>
            <w:tcBorders>
              <w:top w:val="single" w:sz="4" w:space="0" w:color="auto"/>
              <w:bottom w:val="single" w:sz="4" w:space="0" w:color="auto"/>
            </w:tcBorders>
            <w:shd w:val="clear" w:color="auto" w:fill="auto"/>
          </w:tcPr>
          <w:p w:rsidR="004B3541" w:rsidRDefault="00EB214A">
            <w:pPr>
              <w:keepNext/>
              <w:keepLines/>
              <w:spacing w:after="0"/>
              <w:jc w:val="right"/>
              <w:rPr>
                <w:b/>
                <w:sz w:val="20"/>
                <w:szCs w:val="20"/>
                <w:lang w:val="fr-FR"/>
              </w:rPr>
            </w:pPr>
            <w:r w:rsidRPr="00EB214A">
              <w:rPr>
                <w:b/>
                <w:sz w:val="20"/>
                <w:szCs w:val="20"/>
                <w:lang w:val="fr-FR"/>
              </w:rPr>
              <w:t>2005</w:t>
            </w:r>
          </w:p>
        </w:tc>
        <w:tc>
          <w:tcPr>
            <w:tcW w:w="860" w:type="dxa"/>
            <w:tcBorders>
              <w:top w:val="single" w:sz="4" w:space="0" w:color="auto"/>
              <w:bottom w:val="single" w:sz="4" w:space="0" w:color="auto"/>
            </w:tcBorders>
            <w:shd w:val="clear" w:color="auto" w:fill="auto"/>
          </w:tcPr>
          <w:p w:rsidR="004B3541" w:rsidRDefault="00EB214A">
            <w:pPr>
              <w:keepNext/>
              <w:keepLines/>
              <w:spacing w:after="0"/>
              <w:jc w:val="right"/>
              <w:rPr>
                <w:b/>
                <w:sz w:val="20"/>
                <w:szCs w:val="20"/>
                <w:lang w:val="fr-FR"/>
              </w:rPr>
            </w:pPr>
            <w:r w:rsidRPr="00EB214A">
              <w:rPr>
                <w:b/>
                <w:sz w:val="20"/>
                <w:szCs w:val="20"/>
                <w:lang w:val="fr-FR"/>
              </w:rPr>
              <w:t>2006</w:t>
            </w:r>
          </w:p>
        </w:tc>
        <w:tc>
          <w:tcPr>
            <w:tcW w:w="851" w:type="dxa"/>
            <w:tcBorders>
              <w:top w:val="single" w:sz="4" w:space="0" w:color="auto"/>
              <w:bottom w:val="single" w:sz="4" w:space="0" w:color="auto"/>
            </w:tcBorders>
            <w:shd w:val="clear" w:color="auto" w:fill="auto"/>
          </w:tcPr>
          <w:p w:rsidR="004B3541" w:rsidRDefault="00EB214A">
            <w:pPr>
              <w:keepNext/>
              <w:keepLines/>
              <w:spacing w:after="0"/>
              <w:jc w:val="right"/>
              <w:rPr>
                <w:b/>
                <w:sz w:val="20"/>
                <w:szCs w:val="20"/>
                <w:lang w:val="fr-FR"/>
              </w:rPr>
            </w:pPr>
            <w:r w:rsidRPr="00EB214A">
              <w:rPr>
                <w:b/>
                <w:sz w:val="20"/>
                <w:szCs w:val="20"/>
                <w:lang w:val="fr-FR"/>
              </w:rPr>
              <w:t>2007</w:t>
            </w:r>
          </w:p>
        </w:tc>
        <w:tc>
          <w:tcPr>
            <w:tcW w:w="850" w:type="dxa"/>
            <w:tcBorders>
              <w:top w:val="single" w:sz="4" w:space="0" w:color="auto"/>
              <w:bottom w:val="single" w:sz="4" w:space="0" w:color="auto"/>
            </w:tcBorders>
            <w:shd w:val="clear" w:color="auto" w:fill="auto"/>
          </w:tcPr>
          <w:p w:rsidR="004B3541" w:rsidRDefault="00EB214A">
            <w:pPr>
              <w:keepNext/>
              <w:keepLines/>
              <w:spacing w:after="0"/>
              <w:jc w:val="right"/>
              <w:rPr>
                <w:b/>
                <w:sz w:val="20"/>
                <w:szCs w:val="20"/>
                <w:lang w:val="fr-FR"/>
              </w:rPr>
            </w:pPr>
            <w:r w:rsidRPr="00EB214A">
              <w:rPr>
                <w:b/>
                <w:sz w:val="20"/>
                <w:szCs w:val="20"/>
                <w:lang w:val="fr-FR"/>
              </w:rPr>
              <w:t>2008</w:t>
            </w:r>
          </w:p>
        </w:tc>
        <w:tc>
          <w:tcPr>
            <w:tcW w:w="842" w:type="dxa"/>
            <w:tcBorders>
              <w:top w:val="single" w:sz="4" w:space="0" w:color="auto"/>
              <w:bottom w:val="single" w:sz="4" w:space="0" w:color="auto"/>
            </w:tcBorders>
            <w:shd w:val="clear" w:color="auto" w:fill="auto"/>
          </w:tcPr>
          <w:p w:rsidR="004B3541" w:rsidRDefault="00EB214A">
            <w:pPr>
              <w:keepNext/>
              <w:keepLines/>
              <w:spacing w:after="0"/>
              <w:jc w:val="right"/>
              <w:rPr>
                <w:b/>
                <w:sz w:val="20"/>
                <w:szCs w:val="20"/>
                <w:lang w:val="fr-FR"/>
              </w:rPr>
            </w:pPr>
            <w:r w:rsidRPr="00EB214A">
              <w:rPr>
                <w:b/>
                <w:sz w:val="20"/>
                <w:szCs w:val="20"/>
                <w:lang w:val="fr-FR"/>
              </w:rPr>
              <w:t>2009</w:t>
            </w:r>
            <w:r w:rsidRPr="00EB214A">
              <w:rPr>
                <w:sz w:val="20"/>
                <w:szCs w:val="20"/>
                <w:vertAlign w:val="superscript"/>
                <w:lang w:val="fr-FR"/>
              </w:rPr>
              <w:t>(*)</w:t>
            </w:r>
          </w:p>
        </w:tc>
        <w:tc>
          <w:tcPr>
            <w:tcW w:w="940" w:type="dxa"/>
            <w:tcBorders>
              <w:top w:val="single" w:sz="4" w:space="0" w:color="auto"/>
              <w:bottom w:val="single" w:sz="4" w:space="0" w:color="auto"/>
            </w:tcBorders>
            <w:shd w:val="clear" w:color="auto" w:fill="auto"/>
          </w:tcPr>
          <w:p w:rsidR="004B3541" w:rsidRDefault="00EB214A">
            <w:pPr>
              <w:keepNext/>
              <w:keepLines/>
              <w:spacing w:after="0"/>
              <w:jc w:val="right"/>
              <w:rPr>
                <w:b/>
                <w:sz w:val="20"/>
                <w:szCs w:val="20"/>
                <w:lang w:val="fr-FR"/>
              </w:rPr>
            </w:pPr>
            <w:r w:rsidRPr="00EB214A">
              <w:rPr>
                <w:b/>
                <w:sz w:val="20"/>
                <w:szCs w:val="20"/>
                <w:lang w:val="fr-FR"/>
              </w:rPr>
              <w:t>2010</w:t>
            </w:r>
            <w:r w:rsidRPr="00EB214A">
              <w:rPr>
                <w:sz w:val="20"/>
                <w:szCs w:val="20"/>
                <w:vertAlign w:val="superscript"/>
                <w:lang w:val="fr-FR"/>
              </w:rPr>
              <w:t>(**)</w:t>
            </w:r>
          </w:p>
        </w:tc>
      </w:tr>
      <w:tr w:rsidR="00A66260" w:rsidRPr="00EE4747" w:rsidTr="00EE4747">
        <w:tc>
          <w:tcPr>
            <w:tcW w:w="4219" w:type="dxa"/>
            <w:tcBorders>
              <w:top w:val="single" w:sz="4" w:space="0" w:color="auto"/>
            </w:tcBorders>
            <w:shd w:val="clear" w:color="auto" w:fill="auto"/>
          </w:tcPr>
          <w:p w:rsidR="004B3541" w:rsidRDefault="00EB214A">
            <w:pPr>
              <w:keepNext/>
              <w:keepLines/>
              <w:spacing w:after="0"/>
              <w:jc w:val="left"/>
              <w:rPr>
                <w:b/>
                <w:sz w:val="20"/>
                <w:szCs w:val="20"/>
                <w:lang w:val="fr-FR"/>
              </w:rPr>
            </w:pPr>
            <w:r w:rsidRPr="00EB214A">
              <w:rPr>
                <w:b/>
                <w:sz w:val="20"/>
                <w:szCs w:val="20"/>
                <w:lang w:val="fr-FR"/>
              </w:rPr>
              <w:t>Enseignement fondamental (en milliards de francs CFA)</w:t>
            </w:r>
          </w:p>
        </w:tc>
        <w:tc>
          <w:tcPr>
            <w:tcW w:w="841" w:type="dxa"/>
            <w:tcBorders>
              <w:top w:val="single" w:sz="4" w:space="0" w:color="auto"/>
            </w:tcBorders>
            <w:shd w:val="clear" w:color="auto" w:fill="auto"/>
          </w:tcPr>
          <w:p w:rsidR="004B3541" w:rsidRDefault="00EB214A">
            <w:pPr>
              <w:keepNext/>
              <w:keepLines/>
              <w:spacing w:after="0"/>
              <w:jc w:val="right"/>
              <w:rPr>
                <w:b/>
                <w:sz w:val="20"/>
                <w:szCs w:val="20"/>
                <w:lang w:val="fr-FR"/>
              </w:rPr>
            </w:pPr>
            <w:r w:rsidRPr="00EB214A">
              <w:rPr>
                <w:b/>
                <w:sz w:val="20"/>
                <w:szCs w:val="20"/>
                <w:lang w:val="fr-FR"/>
              </w:rPr>
              <w:t>59,6</w:t>
            </w:r>
          </w:p>
        </w:tc>
        <w:tc>
          <w:tcPr>
            <w:tcW w:w="860" w:type="dxa"/>
            <w:tcBorders>
              <w:top w:val="single" w:sz="4" w:space="0" w:color="auto"/>
            </w:tcBorders>
            <w:shd w:val="clear" w:color="auto" w:fill="auto"/>
          </w:tcPr>
          <w:p w:rsidR="004B3541" w:rsidRDefault="00EB214A">
            <w:pPr>
              <w:keepNext/>
              <w:keepLines/>
              <w:spacing w:after="0"/>
              <w:jc w:val="right"/>
              <w:rPr>
                <w:b/>
                <w:sz w:val="20"/>
                <w:szCs w:val="20"/>
                <w:lang w:val="fr-FR"/>
              </w:rPr>
            </w:pPr>
            <w:r w:rsidRPr="00EB214A">
              <w:rPr>
                <w:b/>
                <w:sz w:val="20"/>
                <w:szCs w:val="20"/>
                <w:lang w:val="fr-FR"/>
              </w:rPr>
              <w:t>74,7</w:t>
            </w:r>
          </w:p>
        </w:tc>
        <w:tc>
          <w:tcPr>
            <w:tcW w:w="851" w:type="dxa"/>
            <w:tcBorders>
              <w:top w:val="single" w:sz="4" w:space="0" w:color="auto"/>
            </w:tcBorders>
            <w:shd w:val="clear" w:color="auto" w:fill="auto"/>
          </w:tcPr>
          <w:p w:rsidR="004B3541" w:rsidRDefault="00EB214A">
            <w:pPr>
              <w:keepNext/>
              <w:keepLines/>
              <w:spacing w:after="0"/>
              <w:jc w:val="right"/>
              <w:rPr>
                <w:b/>
                <w:sz w:val="20"/>
                <w:szCs w:val="20"/>
                <w:lang w:val="fr-FR"/>
              </w:rPr>
            </w:pPr>
            <w:r w:rsidRPr="00EB214A">
              <w:rPr>
                <w:b/>
                <w:sz w:val="20"/>
                <w:szCs w:val="20"/>
                <w:lang w:val="fr-FR"/>
              </w:rPr>
              <w:t>74,9</w:t>
            </w:r>
          </w:p>
        </w:tc>
        <w:tc>
          <w:tcPr>
            <w:tcW w:w="850" w:type="dxa"/>
            <w:tcBorders>
              <w:top w:val="single" w:sz="4" w:space="0" w:color="auto"/>
            </w:tcBorders>
            <w:shd w:val="clear" w:color="auto" w:fill="auto"/>
          </w:tcPr>
          <w:p w:rsidR="004B3541" w:rsidRDefault="00EB214A">
            <w:pPr>
              <w:keepNext/>
              <w:keepLines/>
              <w:spacing w:after="0"/>
              <w:jc w:val="right"/>
              <w:rPr>
                <w:b/>
                <w:sz w:val="20"/>
                <w:szCs w:val="20"/>
                <w:lang w:val="fr-FR"/>
              </w:rPr>
            </w:pPr>
            <w:r w:rsidRPr="00EB214A">
              <w:rPr>
                <w:b/>
                <w:sz w:val="20"/>
                <w:szCs w:val="20"/>
                <w:lang w:val="fr-FR"/>
              </w:rPr>
              <w:t>81,9</w:t>
            </w:r>
          </w:p>
        </w:tc>
        <w:tc>
          <w:tcPr>
            <w:tcW w:w="842" w:type="dxa"/>
            <w:tcBorders>
              <w:top w:val="single" w:sz="4" w:space="0" w:color="auto"/>
            </w:tcBorders>
            <w:shd w:val="clear" w:color="auto" w:fill="auto"/>
          </w:tcPr>
          <w:p w:rsidR="004B3541" w:rsidRDefault="00EB214A">
            <w:pPr>
              <w:keepNext/>
              <w:keepLines/>
              <w:spacing w:after="0"/>
              <w:jc w:val="right"/>
              <w:rPr>
                <w:b/>
                <w:sz w:val="20"/>
                <w:szCs w:val="20"/>
                <w:lang w:val="fr-FR"/>
              </w:rPr>
            </w:pPr>
            <w:r w:rsidRPr="00EB214A">
              <w:rPr>
                <w:b/>
                <w:sz w:val="20"/>
                <w:szCs w:val="20"/>
                <w:lang w:val="fr-FR"/>
              </w:rPr>
              <w:t>98,5</w:t>
            </w:r>
          </w:p>
        </w:tc>
        <w:tc>
          <w:tcPr>
            <w:tcW w:w="940" w:type="dxa"/>
            <w:tcBorders>
              <w:top w:val="single" w:sz="4" w:space="0" w:color="auto"/>
            </w:tcBorders>
            <w:shd w:val="clear" w:color="auto" w:fill="auto"/>
          </w:tcPr>
          <w:p w:rsidR="004B3541" w:rsidRDefault="00EB214A">
            <w:pPr>
              <w:keepNext/>
              <w:keepLines/>
              <w:spacing w:after="0"/>
              <w:jc w:val="right"/>
              <w:rPr>
                <w:b/>
                <w:sz w:val="20"/>
                <w:szCs w:val="20"/>
                <w:lang w:val="fr-FR"/>
              </w:rPr>
            </w:pPr>
            <w:r w:rsidRPr="00EB214A">
              <w:rPr>
                <w:b/>
                <w:sz w:val="20"/>
                <w:szCs w:val="20"/>
                <w:lang w:val="fr-FR"/>
              </w:rPr>
              <w:t>109,2</w:t>
            </w:r>
          </w:p>
        </w:tc>
      </w:tr>
      <w:tr w:rsidR="00A66260" w:rsidRPr="00EE4747" w:rsidTr="00EE4747">
        <w:tc>
          <w:tcPr>
            <w:tcW w:w="4219" w:type="dxa"/>
            <w:shd w:val="clear" w:color="auto" w:fill="auto"/>
          </w:tcPr>
          <w:p w:rsidR="004B3541" w:rsidRDefault="00EB214A">
            <w:pPr>
              <w:keepNext/>
              <w:keepLines/>
              <w:spacing w:after="0"/>
              <w:jc w:val="left"/>
              <w:rPr>
                <w:sz w:val="20"/>
                <w:szCs w:val="20"/>
                <w:lang w:val="fr-FR"/>
              </w:rPr>
            </w:pPr>
            <w:r w:rsidRPr="00EB214A">
              <w:rPr>
                <w:sz w:val="20"/>
                <w:szCs w:val="20"/>
                <w:lang w:val="fr-FR"/>
              </w:rPr>
              <w:t>en pourcentage du PIB</w:t>
            </w:r>
          </w:p>
        </w:tc>
        <w:tc>
          <w:tcPr>
            <w:tcW w:w="841" w:type="dxa"/>
            <w:shd w:val="clear" w:color="auto" w:fill="auto"/>
          </w:tcPr>
          <w:p w:rsidR="004B3541" w:rsidRDefault="00EB214A">
            <w:pPr>
              <w:keepNext/>
              <w:keepLines/>
              <w:spacing w:after="0"/>
              <w:jc w:val="right"/>
              <w:rPr>
                <w:sz w:val="20"/>
                <w:szCs w:val="20"/>
                <w:lang w:val="fr-FR"/>
              </w:rPr>
            </w:pPr>
            <w:r w:rsidRPr="00EB214A">
              <w:rPr>
                <w:sz w:val="20"/>
                <w:szCs w:val="20"/>
                <w:lang w:val="fr-FR"/>
              </w:rPr>
              <w:t>21 %</w:t>
            </w:r>
          </w:p>
        </w:tc>
        <w:tc>
          <w:tcPr>
            <w:tcW w:w="860" w:type="dxa"/>
            <w:shd w:val="clear" w:color="auto" w:fill="auto"/>
          </w:tcPr>
          <w:p w:rsidR="004B3541" w:rsidRDefault="00EB214A">
            <w:pPr>
              <w:keepNext/>
              <w:keepLines/>
              <w:spacing w:after="0"/>
              <w:jc w:val="right"/>
              <w:rPr>
                <w:sz w:val="20"/>
                <w:szCs w:val="20"/>
                <w:lang w:val="fr-FR"/>
              </w:rPr>
            </w:pPr>
            <w:r w:rsidRPr="00EB214A">
              <w:rPr>
                <w:sz w:val="20"/>
                <w:szCs w:val="20"/>
                <w:lang w:val="fr-FR"/>
              </w:rPr>
              <w:t>2,5 %</w:t>
            </w:r>
          </w:p>
        </w:tc>
        <w:tc>
          <w:tcPr>
            <w:tcW w:w="851" w:type="dxa"/>
            <w:shd w:val="clear" w:color="auto" w:fill="auto"/>
          </w:tcPr>
          <w:p w:rsidR="004B3541" w:rsidRDefault="00EB214A">
            <w:pPr>
              <w:keepNext/>
              <w:keepLines/>
              <w:spacing w:after="0"/>
              <w:jc w:val="right"/>
              <w:rPr>
                <w:sz w:val="20"/>
                <w:szCs w:val="20"/>
                <w:lang w:val="fr-FR"/>
              </w:rPr>
            </w:pPr>
            <w:r w:rsidRPr="00EB214A">
              <w:rPr>
                <w:sz w:val="20"/>
                <w:szCs w:val="20"/>
                <w:lang w:val="fr-FR"/>
              </w:rPr>
              <w:t>2,3 %</w:t>
            </w:r>
          </w:p>
        </w:tc>
        <w:tc>
          <w:tcPr>
            <w:tcW w:w="850" w:type="dxa"/>
            <w:shd w:val="clear" w:color="auto" w:fill="auto"/>
          </w:tcPr>
          <w:p w:rsidR="004B3541" w:rsidRDefault="00EB214A">
            <w:pPr>
              <w:keepNext/>
              <w:keepLines/>
              <w:spacing w:after="0"/>
              <w:jc w:val="right"/>
              <w:rPr>
                <w:sz w:val="20"/>
                <w:szCs w:val="20"/>
                <w:lang w:val="fr-FR"/>
              </w:rPr>
            </w:pPr>
            <w:r w:rsidRPr="00EB214A">
              <w:rPr>
                <w:sz w:val="20"/>
                <w:szCs w:val="20"/>
                <w:lang w:val="fr-FR"/>
              </w:rPr>
              <w:t>2,2 %</w:t>
            </w:r>
          </w:p>
        </w:tc>
        <w:tc>
          <w:tcPr>
            <w:tcW w:w="842" w:type="dxa"/>
            <w:shd w:val="clear" w:color="auto" w:fill="auto"/>
          </w:tcPr>
          <w:p w:rsidR="004B3541" w:rsidRDefault="00EB214A">
            <w:pPr>
              <w:keepNext/>
              <w:keepLines/>
              <w:spacing w:after="0"/>
              <w:jc w:val="right"/>
              <w:rPr>
                <w:sz w:val="20"/>
                <w:szCs w:val="20"/>
                <w:lang w:val="fr-FR"/>
              </w:rPr>
            </w:pPr>
            <w:r w:rsidRPr="00EB214A">
              <w:rPr>
                <w:sz w:val="20"/>
                <w:szCs w:val="20"/>
                <w:lang w:val="fr-FR"/>
              </w:rPr>
              <w:t>2,6 %</w:t>
            </w:r>
          </w:p>
        </w:tc>
        <w:tc>
          <w:tcPr>
            <w:tcW w:w="940" w:type="dxa"/>
            <w:shd w:val="clear" w:color="auto" w:fill="auto"/>
          </w:tcPr>
          <w:p w:rsidR="004B3541" w:rsidRDefault="00EB214A">
            <w:pPr>
              <w:keepNext/>
              <w:keepLines/>
              <w:spacing w:after="0"/>
              <w:jc w:val="right"/>
              <w:rPr>
                <w:sz w:val="20"/>
                <w:szCs w:val="20"/>
                <w:lang w:val="fr-FR"/>
              </w:rPr>
            </w:pPr>
            <w:r w:rsidRPr="00EB214A">
              <w:rPr>
                <w:sz w:val="20"/>
                <w:szCs w:val="20"/>
                <w:lang w:val="fr-FR"/>
              </w:rPr>
              <w:t>2,7 %</w:t>
            </w:r>
          </w:p>
        </w:tc>
      </w:tr>
      <w:tr w:rsidR="00A66260" w:rsidRPr="00EE4747" w:rsidTr="00EE4747">
        <w:tc>
          <w:tcPr>
            <w:tcW w:w="4219" w:type="dxa"/>
            <w:shd w:val="clear" w:color="auto" w:fill="auto"/>
          </w:tcPr>
          <w:p w:rsidR="004B3541" w:rsidRDefault="00EB214A">
            <w:pPr>
              <w:keepNext/>
              <w:keepLines/>
              <w:spacing w:after="0"/>
              <w:jc w:val="left"/>
              <w:rPr>
                <w:sz w:val="20"/>
                <w:szCs w:val="20"/>
                <w:lang w:val="fr-FR"/>
              </w:rPr>
            </w:pPr>
            <w:r w:rsidRPr="00EB214A">
              <w:rPr>
                <w:sz w:val="20"/>
                <w:szCs w:val="20"/>
                <w:lang w:val="fr-FR"/>
              </w:rPr>
              <w:t xml:space="preserve">en pourcentage des dépenses financées par les ressources nationales et PPTE </w:t>
            </w:r>
          </w:p>
        </w:tc>
        <w:tc>
          <w:tcPr>
            <w:tcW w:w="841" w:type="dxa"/>
            <w:shd w:val="clear" w:color="auto" w:fill="auto"/>
          </w:tcPr>
          <w:p w:rsidR="004B3541" w:rsidRDefault="00EB214A">
            <w:pPr>
              <w:keepNext/>
              <w:keepLines/>
              <w:spacing w:after="0"/>
              <w:jc w:val="right"/>
              <w:rPr>
                <w:sz w:val="20"/>
                <w:szCs w:val="20"/>
                <w:lang w:val="fr-FR"/>
              </w:rPr>
            </w:pPr>
            <w:r w:rsidRPr="00EB214A">
              <w:rPr>
                <w:sz w:val="20"/>
                <w:szCs w:val="20"/>
                <w:lang w:val="fr-FR"/>
              </w:rPr>
              <w:t>14,5 %</w:t>
            </w:r>
          </w:p>
        </w:tc>
        <w:tc>
          <w:tcPr>
            <w:tcW w:w="860" w:type="dxa"/>
            <w:shd w:val="clear" w:color="auto" w:fill="auto"/>
          </w:tcPr>
          <w:p w:rsidR="004B3541" w:rsidRDefault="00EB214A">
            <w:pPr>
              <w:keepNext/>
              <w:keepLines/>
              <w:spacing w:after="0"/>
              <w:jc w:val="right"/>
              <w:rPr>
                <w:sz w:val="20"/>
                <w:szCs w:val="20"/>
                <w:lang w:val="fr-FR"/>
              </w:rPr>
            </w:pPr>
            <w:r w:rsidRPr="00EB214A">
              <w:rPr>
                <w:sz w:val="20"/>
                <w:szCs w:val="20"/>
                <w:lang w:val="fr-FR"/>
              </w:rPr>
              <w:t>15,9 %</w:t>
            </w:r>
          </w:p>
        </w:tc>
        <w:tc>
          <w:tcPr>
            <w:tcW w:w="851" w:type="dxa"/>
            <w:shd w:val="clear" w:color="auto" w:fill="auto"/>
          </w:tcPr>
          <w:p w:rsidR="004B3541" w:rsidRDefault="00EB214A">
            <w:pPr>
              <w:keepNext/>
              <w:keepLines/>
              <w:spacing w:after="0"/>
              <w:jc w:val="right"/>
              <w:rPr>
                <w:sz w:val="20"/>
                <w:szCs w:val="20"/>
                <w:lang w:val="fr-FR"/>
              </w:rPr>
            </w:pPr>
            <w:r w:rsidRPr="00EB214A">
              <w:rPr>
                <w:sz w:val="20"/>
                <w:szCs w:val="20"/>
                <w:lang w:val="fr-FR"/>
              </w:rPr>
              <w:t>13,7 %</w:t>
            </w:r>
          </w:p>
        </w:tc>
        <w:tc>
          <w:tcPr>
            <w:tcW w:w="850" w:type="dxa"/>
            <w:shd w:val="clear" w:color="auto" w:fill="auto"/>
          </w:tcPr>
          <w:p w:rsidR="004B3541" w:rsidRDefault="00EB214A">
            <w:pPr>
              <w:keepNext/>
              <w:keepLines/>
              <w:spacing w:after="0"/>
              <w:jc w:val="right"/>
              <w:rPr>
                <w:sz w:val="20"/>
                <w:szCs w:val="20"/>
                <w:lang w:val="fr-FR"/>
              </w:rPr>
            </w:pPr>
            <w:r w:rsidRPr="00EB214A">
              <w:rPr>
                <w:sz w:val="20"/>
                <w:szCs w:val="20"/>
                <w:lang w:val="fr-FR"/>
              </w:rPr>
              <w:t>13,4 %</w:t>
            </w:r>
          </w:p>
        </w:tc>
        <w:tc>
          <w:tcPr>
            <w:tcW w:w="842" w:type="dxa"/>
            <w:shd w:val="clear" w:color="auto" w:fill="auto"/>
          </w:tcPr>
          <w:p w:rsidR="004B3541" w:rsidRDefault="00EB214A">
            <w:pPr>
              <w:keepNext/>
              <w:keepLines/>
              <w:spacing w:after="0"/>
              <w:jc w:val="right"/>
              <w:rPr>
                <w:sz w:val="20"/>
                <w:szCs w:val="20"/>
                <w:lang w:val="fr-FR"/>
              </w:rPr>
            </w:pPr>
            <w:r w:rsidRPr="00EB214A">
              <w:rPr>
                <w:sz w:val="20"/>
                <w:szCs w:val="20"/>
                <w:lang w:val="fr-FR"/>
              </w:rPr>
              <w:t>14 %</w:t>
            </w:r>
          </w:p>
        </w:tc>
        <w:tc>
          <w:tcPr>
            <w:tcW w:w="940" w:type="dxa"/>
            <w:shd w:val="clear" w:color="auto" w:fill="auto"/>
          </w:tcPr>
          <w:p w:rsidR="004B3541" w:rsidRDefault="00EB214A">
            <w:pPr>
              <w:keepNext/>
              <w:keepLines/>
              <w:spacing w:after="0"/>
              <w:jc w:val="right"/>
              <w:rPr>
                <w:sz w:val="20"/>
                <w:szCs w:val="20"/>
                <w:lang w:val="fr-FR"/>
              </w:rPr>
            </w:pPr>
            <w:r w:rsidRPr="00EB214A">
              <w:rPr>
                <w:sz w:val="20"/>
                <w:szCs w:val="20"/>
                <w:lang w:val="fr-FR"/>
              </w:rPr>
              <w:t>15,3 %</w:t>
            </w:r>
          </w:p>
        </w:tc>
      </w:tr>
      <w:tr w:rsidR="00A66260" w:rsidRPr="00EE4747" w:rsidTr="00EE4747">
        <w:tc>
          <w:tcPr>
            <w:tcW w:w="4219" w:type="dxa"/>
            <w:shd w:val="clear" w:color="auto" w:fill="auto"/>
          </w:tcPr>
          <w:p w:rsidR="004B3541" w:rsidRDefault="00EB214A">
            <w:pPr>
              <w:keepNext/>
              <w:keepLines/>
              <w:spacing w:after="0"/>
              <w:jc w:val="left"/>
              <w:rPr>
                <w:b/>
                <w:sz w:val="20"/>
                <w:szCs w:val="20"/>
                <w:lang w:val="fr-FR"/>
              </w:rPr>
            </w:pPr>
            <w:r w:rsidRPr="00EB214A">
              <w:rPr>
                <w:b/>
                <w:sz w:val="20"/>
                <w:szCs w:val="20"/>
                <w:lang w:val="fr-FR"/>
              </w:rPr>
              <w:t>Santé (en milliards de francs CFA)</w:t>
            </w:r>
          </w:p>
        </w:tc>
        <w:tc>
          <w:tcPr>
            <w:tcW w:w="841"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37,1</w:t>
            </w:r>
          </w:p>
        </w:tc>
        <w:tc>
          <w:tcPr>
            <w:tcW w:w="860"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47,9</w:t>
            </w:r>
          </w:p>
        </w:tc>
        <w:tc>
          <w:tcPr>
            <w:tcW w:w="851"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56,9</w:t>
            </w:r>
          </w:p>
        </w:tc>
        <w:tc>
          <w:tcPr>
            <w:tcW w:w="850"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57,7</w:t>
            </w:r>
          </w:p>
        </w:tc>
        <w:tc>
          <w:tcPr>
            <w:tcW w:w="842"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69,8</w:t>
            </w:r>
          </w:p>
        </w:tc>
        <w:tc>
          <w:tcPr>
            <w:tcW w:w="940"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83,8</w:t>
            </w:r>
          </w:p>
        </w:tc>
      </w:tr>
      <w:tr w:rsidR="00A66260" w:rsidRPr="00EE4747" w:rsidTr="00EE4747">
        <w:tc>
          <w:tcPr>
            <w:tcW w:w="4219" w:type="dxa"/>
            <w:shd w:val="clear" w:color="auto" w:fill="auto"/>
          </w:tcPr>
          <w:p w:rsidR="004B3541" w:rsidRDefault="00EB214A">
            <w:pPr>
              <w:keepNext/>
              <w:keepLines/>
              <w:spacing w:after="0"/>
              <w:jc w:val="left"/>
              <w:rPr>
                <w:sz w:val="20"/>
                <w:szCs w:val="20"/>
                <w:lang w:val="fr-FR"/>
              </w:rPr>
            </w:pPr>
            <w:r w:rsidRPr="00EB214A">
              <w:rPr>
                <w:sz w:val="20"/>
                <w:szCs w:val="20"/>
                <w:lang w:val="fr-FR"/>
              </w:rPr>
              <w:t>en pourcentage du PIB</w:t>
            </w:r>
          </w:p>
        </w:tc>
        <w:tc>
          <w:tcPr>
            <w:tcW w:w="841" w:type="dxa"/>
            <w:shd w:val="clear" w:color="auto" w:fill="auto"/>
          </w:tcPr>
          <w:p w:rsidR="004B3541" w:rsidRDefault="00EB214A">
            <w:pPr>
              <w:keepNext/>
              <w:keepLines/>
              <w:spacing w:after="0"/>
              <w:jc w:val="right"/>
              <w:rPr>
                <w:sz w:val="20"/>
                <w:szCs w:val="20"/>
                <w:lang w:val="fr-FR"/>
              </w:rPr>
            </w:pPr>
            <w:r w:rsidRPr="00EB214A">
              <w:rPr>
                <w:sz w:val="20"/>
                <w:szCs w:val="20"/>
                <w:lang w:val="fr-FR"/>
              </w:rPr>
              <w:t>1,3 %</w:t>
            </w:r>
          </w:p>
        </w:tc>
        <w:tc>
          <w:tcPr>
            <w:tcW w:w="860" w:type="dxa"/>
            <w:shd w:val="clear" w:color="auto" w:fill="auto"/>
          </w:tcPr>
          <w:p w:rsidR="004B3541" w:rsidRDefault="00EB214A">
            <w:pPr>
              <w:keepNext/>
              <w:keepLines/>
              <w:spacing w:after="0"/>
              <w:jc w:val="right"/>
              <w:rPr>
                <w:sz w:val="20"/>
                <w:szCs w:val="20"/>
                <w:lang w:val="fr-FR"/>
              </w:rPr>
            </w:pPr>
            <w:r w:rsidRPr="00EB214A">
              <w:rPr>
                <w:sz w:val="20"/>
                <w:szCs w:val="20"/>
                <w:lang w:val="fr-FR"/>
              </w:rPr>
              <w:t>1,6 %</w:t>
            </w:r>
          </w:p>
        </w:tc>
        <w:tc>
          <w:tcPr>
            <w:tcW w:w="851" w:type="dxa"/>
            <w:shd w:val="clear" w:color="auto" w:fill="auto"/>
          </w:tcPr>
          <w:p w:rsidR="004B3541" w:rsidRDefault="00EB214A">
            <w:pPr>
              <w:keepNext/>
              <w:keepLines/>
              <w:spacing w:after="0"/>
              <w:jc w:val="right"/>
              <w:rPr>
                <w:sz w:val="20"/>
                <w:szCs w:val="20"/>
                <w:lang w:val="fr-FR"/>
              </w:rPr>
            </w:pPr>
            <w:r w:rsidRPr="00EB214A">
              <w:rPr>
                <w:sz w:val="20"/>
                <w:szCs w:val="20"/>
                <w:lang w:val="fr-FR"/>
              </w:rPr>
              <w:t>1,8 %</w:t>
            </w:r>
          </w:p>
        </w:tc>
        <w:tc>
          <w:tcPr>
            <w:tcW w:w="850" w:type="dxa"/>
            <w:shd w:val="clear" w:color="auto" w:fill="auto"/>
          </w:tcPr>
          <w:p w:rsidR="004B3541" w:rsidRDefault="00EB214A">
            <w:pPr>
              <w:keepNext/>
              <w:keepLines/>
              <w:spacing w:after="0"/>
              <w:jc w:val="right"/>
              <w:rPr>
                <w:sz w:val="20"/>
                <w:szCs w:val="20"/>
                <w:lang w:val="fr-FR"/>
              </w:rPr>
            </w:pPr>
            <w:r w:rsidRPr="00EB214A">
              <w:rPr>
                <w:sz w:val="20"/>
                <w:szCs w:val="20"/>
                <w:lang w:val="fr-FR"/>
              </w:rPr>
              <w:t>1,6 %</w:t>
            </w:r>
          </w:p>
        </w:tc>
        <w:tc>
          <w:tcPr>
            <w:tcW w:w="842" w:type="dxa"/>
            <w:shd w:val="clear" w:color="auto" w:fill="auto"/>
          </w:tcPr>
          <w:p w:rsidR="004B3541" w:rsidRDefault="00EB214A">
            <w:pPr>
              <w:keepNext/>
              <w:keepLines/>
              <w:spacing w:after="0"/>
              <w:jc w:val="right"/>
              <w:rPr>
                <w:sz w:val="20"/>
                <w:szCs w:val="20"/>
                <w:lang w:val="fr-FR"/>
              </w:rPr>
            </w:pPr>
            <w:r w:rsidRPr="00EB214A">
              <w:rPr>
                <w:sz w:val="20"/>
                <w:szCs w:val="20"/>
                <w:lang w:val="fr-FR"/>
              </w:rPr>
              <w:t>1,8 %</w:t>
            </w:r>
          </w:p>
        </w:tc>
        <w:tc>
          <w:tcPr>
            <w:tcW w:w="940" w:type="dxa"/>
            <w:shd w:val="clear" w:color="auto" w:fill="auto"/>
          </w:tcPr>
          <w:p w:rsidR="004B3541" w:rsidRDefault="00EB214A">
            <w:pPr>
              <w:keepNext/>
              <w:keepLines/>
              <w:spacing w:after="0"/>
              <w:jc w:val="right"/>
              <w:rPr>
                <w:sz w:val="20"/>
                <w:szCs w:val="20"/>
                <w:lang w:val="fr-FR"/>
              </w:rPr>
            </w:pPr>
            <w:r w:rsidRPr="00EB214A">
              <w:rPr>
                <w:sz w:val="20"/>
                <w:szCs w:val="20"/>
                <w:lang w:val="fr-FR"/>
              </w:rPr>
              <w:t>2,1 %</w:t>
            </w:r>
          </w:p>
        </w:tc>
      </w:tr>
      <w:tr w:rsidR="00A66260" w:rsidRPr="00EE4747" w:rsidTr="00EE4747">
        <w:tc>
          <w:tcPr>
            <w:tcW w:w="4219" w:type="dxa"/>
            <w:shd w:val="clear" w:color="auto" w:fill="auto"/>
          </w:tcPr>
          <w:p w:rsidR="004B3541" w:rsidRDefault="00EB214A">
            <w:pPr>
              <w:keepNext/>
              <w:keepLines/>
              <w:spacing w:after="0"/>
              <w:jc w:val="left"/>
              <w:rPr>
                <w:sz w:val="20"/>
                <w:szCs w:val="20"/>
                <w:lang w:val="fr-FR"/>
              </w:rPr>
            </w:pPr>
            <w:r w:rsidRPr="00EB214A">
              <w:rPr>
                <w:sz w:val="20"/>
                <w:szCs w:val="20"/>
                <w:lang w:val="fr-FR"/>
              </w:rPr>
              <w:t xml:space="preserve">en pourcentage des dépenses financées par les ressources nationales et PPTE </w:t>
            </w:r>
          </w:p>
        </w:tc>
        <w:tc>
          <w:tcPr>
            <w:tcW w:w="841" w:type="dxa"/>
            <w:shd w:val="clear" w:color="auto" w:fill="auto"/>
          </w:tcPr>
          <w:p w:rsidR="004B3541" w:rsidRDefault="00EB214A">
            <w:pPr>
              <w:keepNext/>
              <w:keepLines/>
              <w:spacing w:after="0"/>
              <w:jc w:val="right"/>
              <w:rPr>
                <w:sz w:val="20"/>
                <w:szCs w:val="20"/>
                <w:lang w:val="fr-FR"/>
              </w:rPr>
            </w:pPr>
            <w:r w:rsidRPr="00EB214A">
              <w:rPr>
                <w:sz w:val="20"/>
                <w:szCs w:val="20"/>
                <w:lang w:val="fr-FR"/>
              </w:rPr>
              <w:t>9 %</w:t>
            </w:r>
          </w:p>
        </w:tc>
        <w:tc>
          <w:tcPr>
            <w:tcW w:w="860" w:type="dxa"/>
            <w:shd w:val="clear" w:color="auto" w:fill="auto"/>
          </w:tcPr>
          <w:p w:rsidR="004B3541" w:rsidRDefault="00EB214A">
            <w:pPr>
              <w:keepNext/>
              <w:keepLines/>
              <w:spacing w:after="0"/>
              <w:jc w:val="right"/>
              <w:rPr>
                <w:sz w:val="20"/>
                <w:szCs w:val="20"/>
                <w:lang w:val="fr-FR"/>
              </w:rPr>
            </w:pPr>
            <w:r w:rsidRPr="00EB214A">
              <w:rPr>
                <w:sz w:val="20"/>
                <w:szCs w:val="20"/>
                <w:lang w:val="fr-FR"/>
              </w:rPr>
              <w:t>10,2 %</w:t>
            </w:r>
          </w:p>
        </w:tc>
        <w:tc>
          <w:tcPr>
            <w:tcW w:w="851" w:type="dxa"/>
            <w:shd w:val="clear" w:color="auto" w:fill="auto"/>
          </w:tcPr>
          <w:p w:rsidR="004B3541" w:rsidRDefault="00EB214A">
            <w:pPr>
              <w:keepNext/>
              <w:keepLines/>
              <w:spacing w:after="0"/>
              <w:jc w:val="right"/>
              <w:rPr>
                <w:sz w:val="20"/>
                <w:szCs w:val="20"/>
                <w:lang w:val="fr-FR"/>
              </w:rPr>
            </w:pPr>
            <w:r w:rsidRPr="00EB214A">
              <w:rPr>
                <w:sz w:val="20"/>
                <w:szCs w:val="20"/>
                <w:lang w:val="fr-FR"/>
              </w:rPr>
              <w:t>10,4 %</w:t>
            </w:r>
          </w:p>
        </w:tc>
        <w:tc>
          <w:tcPr>
            <w:tcW w:w="850" w:type="dxa"/>
            <w:shd w:val="clear" w:color="auto" w:fill="auto"/>
          </w:tcPr>
          <w:p w:rsidR="004B3541" w:rsidRDefault="00EB214A">
            <w:pPr>
              <w:keepNext/>
              <w:keepLines/>
              <w:spacing w:after="0"/>
              <w:jc w:val="right"/>
              <w:rPr>
                <w:sz w:val="20"/>
                <w:szCs w:val="20"/>
                <w:lang w:val="fr-FR"/>
              </w:rPr>
            </w:pPr>
            <w:r w:rsidRPr="00EB214A">
              <w:rPr>
                <w:sz w:val="20"/>
                <w:szCs w:val="20"/>
                <w:lang w:val="fr-FR"/>
              </w:rPr>
              <w:t>9,5 %</w:t>
            </w:r>
          </w:p>
        </w:tc>
        <w:tc>
          <w:tcPr>
            <w:tcW w:w="842" w:type="dxa"/>
            <w:shd w:val="clear" w:color="auto" w:fill="auto"/>
          </w:tcPr>
          <w:p w:rsidR="004B3541" w:rsidRDefault="00EB214A">
            <w:pPr>
              <w:keepNext/>
              <w:keepLines/>
              <w:spacing w:after="0"/>
              <w:jc w:val="right"/>
              <w:rPr>
                <w:sz w:val="20"/>
                <w:szCs w:val="20"/>
                <w:lang w:val="fr-FR"/>
              </w:rPr>
            </w:pPr>
            <w:r w:rsidRPr="00EB214A">
              <w:rPr>
                <w:sz w:val="20"/>
                <w:szCs w:val="20"/>
                <w:lang w:val="fr-FR"/>
              </w:rPr>
              <w:t>9,9 %</w:t>
            </w:r>
          </w:p>
        </w:tc>
        <w:tc>
          <w:tcPr>
            <w:tcW w:w="940" w:type="dxa"/>
            <w:shd w:val="clear" w:color="auto" w:fill="auto"/>
          </w:tcPr>
          <w:p w:rsidR="004B3541" w:rsidRDefault="00EB214A">
            <w:pPr>
              <w:keepNext/>
              <w:keepLines/>
              <w:spacing w:after="0"/>
              <w:jc w:val="right"/>
              <w:rPr>
                <w:sz w:val="20"/>
                <w:szCs w:val="20"/>
                <w:lang w:val="fr-FR"/>
              </w:rPr>
            </w:pPr>
            <w:r w:rsidRPr="00EB214A">
              <w:rPr>
                <w:sz w:val="20"/>
                <w:szCs w:val="20"/>
                <w:lang w:val="fr-FR"/>
              </w:rPr>
              <w:t>11,8 %</w:t>
            </w:r>
          </w:p>
        </w:tc>
      </w:tr>
      <w:tr w:rsidR="00A66260" w:rsidRPr="00EE4747" w:rsidTr="00EE4747">
        <w:tc>
          <w:tcPr>
            <w:tcW w:w="4219" w:type="dxa"/>
            <w:shd w:val="clear" w:color="auto" w:fill="auto"/>
          </w:tcPr>
          <w:p w:rsidR="004B3541" w:rsidRDefault="00EB214A">
            <w:pPr>
              <w:keepNext/>
              <w:keepLines/>
              <w:spacing w:after="0"/>
              <w:jc w:val="left"/>
              <w:rPr>
                <w:b/>
                <w:sz w:val="20"/>
                <w:szCs w:val="20"/>
                <w:lang w:val="fr-FR"/>
              </w:rPr>
            </w:pPr>
            <w:r w:rsidRPr="00EB214A">
              <w:rPr>
                <w:b/>
                <w:sz w:val="20"/>
                <w:szCs w:val="20"/>
                <w:lang w:val="fr-FR"/>
              </w:rPr>
              <w:t>Autres dépenses sociales (en milliards de francs CFA)</w:t>
            </w:r>
          </w:p>
        </w:tc>
        <w:tc>
          <w:tcPr>
            <w:tcW w:w="841"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65</w:t>
            </w:r>
            <w:r w:rsidR="00EE4747">
              <w:rPr>
                <w:b/>
                <w:sz w:val="20"/>
                <w:szCs w:val="20"/>
                <w:lang w:val="fr-FR"/>
              </w:rPr>
              <w:t>,</w:t>
            </w:r>
            <w:r w:rsidRPr="00EB214A">
              <w:rPr>
                <w:b/>
                <w:sz w:val="20"/>
                <w:szCs w:val="20"/>
                <w:lang w:val="fr-FR"/>
              </w:rPr>
              <w:t>1</w:t>
            </w:r>
          </w:p>
        </w:tc>
        <w:tc>
          <w:tcPr>
            <w:tcW w:w="860"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44,6</w:t>
            </w:r>
          </w:p>
        </w:tc>
        <w:tc>
          <w:tcPr>
            <w:tcW w:w="851"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50,8</w:t>
            </w:r>
          </w:p>
        </w:tc>
        <w:tc>
          <w:tcPr>
            <w:tcW w:w="850"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58,9</w:t>
            </w:r>
          </w:p>
        </w:tc>
        <w:tc>
          <w:tcPr>
            <w:tcW w:w="842"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91,2</w:t>
            </w:r>
          </w:p>
        </w:tc>
        <w:tc>
          <w:tcPr>
            <w:tcW w:w="940"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81,5</w:t>
            </w:r>
          </w:p>
        </w:tc>
      </w:tr>
      <w:tr w:rsidR="00A66260" w:rsidRPr="00EE4747" w:rsidTr="00EE4747">
        <w:tc>
          <w:tcPr>
            <w:tcW w:w="4219" w:type="dxa"/>
            <w:shd w:val="clear" w:color="auto" w:fill="auto"/>
          </w:tcPr>
          <w:p w:rsidR="004B3541" w:rsidRDefault="00EB214A">
            <w:pPr>
              <w:keepNext/>
              <w:keepLines/>
              <w:spacing w:after="0"/>
              <w:ind w:left="142"/>
              <w:jc w:val="left"/>
              <w:rPr>
                <w:sz w:val="20"/>
                <w:szCs w:val="20"/>
                <w:lang w:val="fr-FR"/>
              </w:rPr>
            </w:pPr>
            <w:r w:rsidRPr="00EB214A">
              <w:rPr>
                <w:sz w:val="20"/>
                <w:szCs w:val="20"/>
                <w:lang w:val="fr-FR"/>
              </w:rPr>
              <w:t xml:space="preserve">o/w Routes rurales </w:t>
            </w:r>
          </w:p>
        </w:tc>
        <w:tc>
          <w:tcPr>
            <w:tcW w:w="841" w:type="dxa"/>
            <w:shd w:val="clear" w:color="auto" w:fill="auto"/>
          </w:tcPr>
          <w:p w:rsidR="004B3541" w:rsidRDefault="00EB214A">
            <w:pPr>
              <w:keepNext/>
              <w:keepLines/>
              <w:spacing w:after="0"/>
              <w:jc w:val="right"/>
              <w:rPr>
                <w:sz w:val="20"/>
                <w:szCs w:val="20"/>
                <w:lang w:val="fr-FR"/>
              </w:rPr>
            </w:pPr>
            <w:r w:rsidRPr="00EB214A">
              <w:rPr>
                <w:sz w:val="20"/>
                <w:szCs w:val="20"/>
                <w:lang w:val="fr-FR"/>
              </w:rPr>
              <w:t>3,7</w:t>
            </w:r>
          </w:p>
        </w:tc>
        <w:tc>
          <w:tcPr>
            <w:tcW w:w="860" w:type="dxa"/>
            <w:shd w:val="clear" w:color="auto" w:fill="auto"/>
          </w:tcPr>
          <w:p w:rsidR="004B3541" w:rsidRDefault="00EB214A">
            <w:pPr>
              <w:keepNext/>
              <w:keepLines/>
              <w:spacing w:after="0"/>
              <w:jc w:val="right"/>
              <w:rPr>
                <w:sz w:val="20"/>
                <w:szCs w:val="20"/>
                <w:lang w:val="fr-FR"/>
              </w:rPr>
            </w:pPr>
            <w:r w:rsidRPr="00EB214A">
              <w:rPr>
                <w:sz w:val="20"/>
                <w:szCs w:val="20"/>
                <w:lang w:val="fr-FR"/>
              </w:rPr>
              <w:t>3,9</w:t>
            </w:r>
          </w:p>
        </w:tc>
        <w:tc>
          <w:tcPr>
            <w:tcW w:w="851" w:type="dxa"/>
            <w:shd w:val="clear" w:color="auto" w:fill="auto"/>
          </w:tcPr>
          <w:p w:rsidR="004B3541" w:rsidRDefault="00EB214A">
            <w:pPr>
              <w:keepNext/>
              <w:keepLines/>
              <w:spacing w:after="0"/>
              <w:jc w:val="right"/>
              <w:rPr>
                <w:sz w:val="20"/>
                <w:szCs w:val="20"/>
                <w:lang w:val="fr-FR"/>
              </w:rPr>
            </w:pPr>
            <w:r w:rsidRPr="00EB214A">
              <w:rPr>
                <w:sz w:val="20"/>
                <w:szCs w:val="20"/>
                <w:lang w:val="fr-FR"/>
              </w:rPr>
              <w:t>2,7</w:t>
            </w:r>
          </w:p>
        </w:tc>
        <w:tc>
          <w:tcPr>
            <w:tcW w:w="850" w:type="dxa"/>
            <w:shd w:val="clear" w:color="auto" w:fill="auto"/>
          </w:tcPr>
          <w:p w:rsidR="004B3541" w:rsidRDefault="00EB214A">
            <w:pPr>
              <w:keepNext/>
              <w:keepLines/>
              <w:spacing w:after="0"/>
              <w:jc w:val="right"/>
              <w:rPr>
                <w:sz w:val="20"/>
                <w:szCs w:val="20"/>
                <w:lang w:val="fr-FR"/>
              </w:rPr>
            </w:pPr>
            <w:r w:rsidRPr="00EB214A">
              <w:rPr>
                <w:sz w:val="20"/>
                <w:szCs w:val="20"/>
                <w:lang w:val="fr-FR"/>
              </w:rPr>
              <w:t>3,8</w:t>
            </w:r>
          </w:p>
        </w:tc>
        <w:tc>
          <w:tcPr>
            <w:tcW w:w="842" w:type="dxa"/>
            <w:shd w:val="clear" w:color="auto" w:fill="auto"/>
          </w:tcPr>
          <w:p w:rsidR="004B3541" w:rsidRDefault="00EB214A">
            <w:pPr>
              <w:keepNext/>
              <w:keepLines/>
              <w:spacing w:after="0"/>
              <w:jc w:val="right"/>
              <w:rPr>
                <w:sz w:val="20"/>
                <w:szCs w:val="20"/>
                <w:lang w:val="fr-FR"/>
              </w:rPr>
            </w:pPr>
            <w:r w:rsidRPr="00EB214A">
              <w:rPr>
                <w:sz w:val="20"/>
                <w:szCs w:val="20"/>
                <w:lang w:val="fr-FR"/>
              </w:rPr>
              <w:t>3,4</w:t>
            </w:r>
          </w:p>
        </w:tc>
        <w:tc>
          <w:tcPr>
            <w:tcW w:w="940" w:type="dxa"/>
            <w:shd w:val="clear" w:color="auto" w:fill="auto"/>
          </w:tcPr>
          <w:p w:rsidR="004B3541" w:rsidRDefault="00EB214A">
            <w:pPr>
              <w:keepNext/>
              <w:keepLines/>
              <w:spacing w:after="0"/>
              <w:jc w:val="right"/>
              <w:rPr>
                <w:sz w:val="20"/>
                <w:szCs w:val="20"/>
                <w:lang w:val="fr-FR"/>
              </w:rPr>
            </w:pPr>
            <w:r w:rsidRPr="00EB214A">
              <w:rPr>
                <w:sz w:val="20"/>
                <w:szCs w:val="20"/>
                <w:lang w:val="fr-FR"/>
              </w:rPr>
              <w:t>4,1</w:t>
            </w:r>
          </w:p>
        </w:tc>
      </w:tr>
      <w:tr w:rsidR="00A66260" w:rsidRPr="00EE4747" w:rsidTr="00EE4747">
        <w:tc>
          <w:tcPr>
            <w:tcW w:w="4219" w:type="dxa"/>
            <w:shd w:val="clear" w:color="auto" w:fill="auto"/>
          </w:tcPr>
          <w:p w:rsidR="004B3541" w:rsidRDefault="00EB214A">
            <w:pPr>
              <w:keepNext/>
              <w:keepLines/>
              <w:spacing w:after="0"/>
              <w:ind w:left="142"/>
              <w:jc w:val="left"/>
              <w:rPr>
                <w:sz w:val="20"/>
                <w:szCs w:val="20"/>
                <w:lang w:val="fr-FR"/>
              </w:rPr>
            </w:pPr>
            <w:r w:rsidRPr="00EB214A">
              <w:rPr>
                <w:sz w:val="20"/>
                <w:szCs w:val="20"/>
                <w:lang w:val="fr-FR"/>
              </w:rPr>
              <w:t xml:space="preserve">o/w ministère de l’Action sociale et de la Solidarité nationale </w:t>
            </w:r>
          </w:p>
        </w:tc>
        <w:tc>
          <w:tcPr>
            <w:tcW w:w="841" w:type="dxa"/>
            <w:shd w:val="clear" w:color="auto" w:fill="auto"/>
          </w:tcPr>
          <w:p w:rsidR="004B3541" w:rsidRDefault="00EB214A">
            <w:pPr>
              <w:keepNext/>
              <w:keepLines/>
              <w:spacing w:after="0"/>
              <w:jc w:val="right"/>
              <w:rPr>
                <w:sz w:val="20"/>
                <w:szCs w:val="20"/>
                <w:lang w:val="fr-FR"/>
              </w:rPr>
            </w:pPr>
            <w:r w:rsidRPr="00EB214A">
              <w:rPr>
                <w:sz w:val="20"/>
                <w:szCs w:val="20"/>
                <w:lang w:val="fr-FR"/>
              </w:rPr>
              <w:t>5.1</w:t>
            </w:r>
          </w:p>
        </w:tc>
        <w:tc>
          <w:tcPr>
            <w:tcW w:w="860" w:type="dxa"/>
            <w:shd w:val="clear" w:color="auto" w:fill="auto"/>
          </w:tcPr>
          <w:p w:rsidR="004B3541" w:rsidRDefault="00EB214A">
            <w:pPr>
              <w:keepNext/>
              <w:keepLines/>
              <w:spacing w:after="0"/>
              <w:jc w:val="right"/>
              <w:rPr>
                <w:sz w:val="20"/>
                <w:szCs w:val="20"/>
                <w:lang w:val="fr-FR"/>
              </w:rPr>
            </w:pPr>
            <w:r w:rsidRPr="00EB214A">
              <w:rPr>
                <w:sz w:val="20"/>
                <w:szCs w:val="20"/>
                <w:lang w:val="fr-FR"/>
              </w:rPr>
              <w:t>5,1</w:t>
            </w:r>
          </w:p>
        </w:tc>
        <w:tc>
          <w:tcPr>
            <w:tcW w:w="851" w:type="dxa"/>
            <w:shd w:val="clear" w:color="auto" w:fill="auto"/>
          </w:tcPr>
          <w:p w:rsidR="004B3541" w:rsidRDefault="00EB214A">
            <w:pPr>
              <w:keepNext/>
              <w:keepLines/>
              <w:spacing w:after="0"/>
              <w:jc w:val="right"/>
              <w:rPr>
                <w:sz w:val="20"/>
                <w:szCs w:val="20"/>
                <w:lang w:val="fr-FR"/>
              </w:rPr>
            </w:pPr>
            <w:r w:rsidRPr="00EB214A">
              <w:rPr>
                <w:sz w:val="20"/>
                <w:szCs w:val="20"/>
                <w:lang w:val="fr-FR"/>
              </w:rPr>
              <w:t>5,4</w:t>
            </w:r>
          </w:p>
        </w:tc>
        <w:tc>
          <w:tcPr>
            <w:tcW w:w="850" w:type="dxa"/>
            <w:shd w:val="clear" w:color="auto" w:fill="auto"/>
          </w:tcPr>
          <w:p w:rsidR="004B3541" w:rsidRDefault="00EB214A">
            <w:pPr>
              <w:keepNext/>
              <w:keepLines/>
              <w:spacing w:after="0"/>
              <w:jc w:val="right"/>
              <w:rPr>
                <w:sz w:val="20"/>
                <w:szCs w:val="20"/>
                <w:lang w:val="fr-FR"/>
              </w:rPr>
            </w:pPr>
            <w:r w:rsidRPr="00EB214A">
              <w:rPr>
                <w:sz w:val="20"/>
                <w:szCs w:val="20"/>
                <w:lang w:val="fr-FR"/>
              </w:rPr>
              <w:t>5,4</w:t>
            </w:r>
          </w:p>
        </w:tc>
        <w:tc>
          <w:tcPr>
            <w:tcW w:w="842" w:type="dxa"/>
            <w:shd w:val="clear" w:color="auto" w:fill="auto"/>
          </w:tcPr>
          <w:p w:rsidR="004B3541" w:rsidRDefault="00EB214A">
            <w:pPr>
              <w:keepNext/>
              <w:keepLines/>
              <w:spacing w:after="0"/>
              <w:jc w:val="right"/>
              <w:rPr>
                <w:sz w:val="20"/>
                <w:szCs w:val="20"/>
                <w:lang w:val="fr-FR"/>
              </w:rPr>
            </w:pPr>
            <w:r w:rsidRPr="00EB214A">
              <w:rPr>
                <w:sz w:val="20"/>
                <w:szCs w:val="20"/>
                <w:lang w:val="fr-FR"/>
              </w:rPr>
              <w:t>n/a</w:t>
            </w:r>
          </w:p>
        </w:tc>
        <w:tc>
          <w:tcPr>
            <w:tcW w:w="940" w:type="dxa"/>
            <w:shd w:val="clear" w:color="auto" w:fill="auto"/>
          </w:tcPr>
          <w:p w:rsidR="004B3541" w:rsidRDefault="00EB214A">
            <w:pPr>
              <w:keepNext/>
              <w:keepLines/>
              <w:spacing w:after="0"/>
              <w:jc w:val="right"/>
              <w:rPr>
                <w:sz w:val="20"/>
                <w:szCs w:val="20"/>
                <w:lang w:val="fr-FR"/>
              </w:rPr>
            </w:pPr>
            <w:r w:rsidRPr="00EB214A">
              <w:rPr>
                <w:sz w:val="20"/>
                <w:szCs w:val="20"/>
                <w:lang w:val="fr-FR"/>
              </w:rPr>
              <w:t>n/a</w:t>
            </w:r>
          </w:p>
        </w:tc>
      </w:tr>
      <w:tr w:rsidR="00A66260" w:rsidRPr="00EE4747" w:rsidTr="00EE4747">
        <w:tc>
          <w:tcPr>
            <w:tcW w:w="4219" w:type="dxa"/>
            <w:shd w:val="clear" w:color="auto" w:fill="auto"/>
          </w:tcPr>
          <w:p w:rsidR="004B3541" w:rsidRDefault="00EB214A">
            <w:pPr>
              <w:keepNext/>
              <w:keepLines/>
              <w:spacing w:after="0"/>
              <w:jc w:val="left"/>
              <w:rPr>
                <w:sz w:val="20"/>
                <w:szCs w:val="20"/>
                <w:lang w:val="fr-FR"/>
              </w:rPr>
            </w:pPr>
            <w:r w:rsidRPr="00EB214A">
              <w:rPr>
                <w:sz w:val="20"/>
                <w:szCs w:val="20"/>
                <w:lang w:val="fr-FR"/>
              </w:rPr>
              <w:t>en pourcentage du PIB</w:t>
            </w:r>
          </w:p>
        </w:tc>
        <w:tc>
          <w:tcPr>
            <w:tcW w:w="841" w:type="dxa"/>
            <w:shd w:val="clear" w:color="auto" w:fill="auto"/>
          </w:tcPr>
          <w:p w:rsidR="004B3541" w:rsidRDefault="00EB214A">
            <w:pPr>
              <w:keepNext/>
              <w:keepLines/>
              <w:spacing w:after="0"/>
              <w:jc w:val="right"/>
              <w:rPr>
                <w:sz w:val="20"/>
                <w:szCs w:val="20"/>
                <w:lang w:val="fr-FR"/>
              </w:rPr>
            </w:pPr>
            <w:r w:rsidRPr="00EB214A">
              <w:rPr>
                <w:sz w:val="20"/>
                <w:szCs w:val="20"/>
                <w:lang w:val="fr-FR"/>
              </w:rPr>
              <w:t>2.3 %</w:t>
            </w:r>
          </w:p>
        </w:tc>
        <w:tc>
          <w:tcPr>
            <w:tcW w:w="860" w:type="dxa"/>
            <w:shd w:val="clear" w:color="auto" w:fill="auto"/>
          </w:tcPr>
          <w:p w:rsidR="004B3541" w:rsidRDefault="00EB214A">
            <w:pPr>
              <w:keepNext/>
              <w:keepLines/>
              <w:spacing w:after="0"/>
              <w:jc w:val="right"/>
              <w:rPr>
                <w:sz w:val="20"/>
                <w:szCs w:val="20"/>
                <w:lang w:val="fr-FR"/>
              </w:rPr>
            </w:pPr>
            <w:r w:rsidRPr="00EB214A">
              <w:rPr>
                <w:sz w:val="20"/>
                <w:szCs w:val="20"/>
                <w:lang w:val="fr-FR"/>
              </w:rPr>
              <w:t>1,5 %</w:t>
            </w:r>
          </w:p>
        </w:tc>
        <w:tc>
          <w:tcPr>
            <w:tcW w:w="851" w:type="dxa"/>
            <w:shd w:val="clear" w:color="auto" w:fill="auto"/>
          </w:tcPr>
          <w:p w:rsidR="004B3541" w:rsidRDefault="00EB214A">
            <w:pPr>
              <w:keepNext/>
              <w:keepLines/>
              <w:spacing w:after="0"/>
              <w:jc w:val="right"/>
              <w:rPr>
                <w:sz w:val="20"/>
                <w:szCs w:val="20"/>
                <w:lang w:val="fr-FR"/>
              </w:rPr>
            </w:pPr>
            <w:r w:rsidRPr="00EB214A">
              <w:rPr>
                <w:sz w:val="20"/>
                <w:szCs w:val="20"/>
                <w:lang w:val="fr-FR"/>
              </w:rPr>
              <w:t>1,6 %</w:t>
            </w:r>
          </w:p>
        </w:tc>
        <w:tc>
          <w:tcPr>
            <w:tcW w:w="850" w:type="dxa"/>
            <w:shd w:val="clear" w:color="auto" w:fill="auto"/>
          </w:tcPr>
          <w:p w:rsidR="004B3541" w:rsidRDefault="00EB214A">
            <w:pPr>
              <w:keepNext/>
              <w:keepLines/>
              <w:spacing w:after="0"/>
              <w:jc w:val="right"/>
              <w:rPr>
                <w:sz w:val="20"/>
                <w:szCs w:val="20"/>
                <w:lang w:val="fr-FR"/>
              </w:rPr>
            </w:pPr>
            <w:r w:rsidRPr="00EB214A">
              <w:rPr>
                <w:sz w:val="20"/>
                <w:szCs w:val="20"/>
                <w:lang w:val="fr-FR"/>
              </w:rPr>
              <w:t>1,6 %</w:t>
            </w:r>
          </w:p>
        </w:tc>
        <w:tc>
          <w:tcPr>
            <w:tcW w:w="842" w:type="dxa"/>
            <w:shd w:val="clear" w:color="auto" w:fill="auto"/>
          </w:tcPr>
          <w:p w:rsidR="004B3541" w:rsidRDefault="00EB214A">
            <w:pPr>
              <w:keepNext/>
              <w:keepLines/>
              <w:spacing w:after="0"/>
              <w:jc w:val="right"/>
              <w:rPr>
                <w:sz w:val="20"/>
                <w:szCs w:val="20"/>
                <w:lang w:val="fr-FR"/>
              </w:rPr>
            </w:pPr>
            <w:r w:rsidRPr="00EB214A">
              <w:rPr>
                <w:sz w:val="20"/>
                <w:szCs w:val="20"/>
                <w:lang w:val="fr-FR"/>
              </w:rPr>
              <w:t>2,4 %</w:t>
            </w:r>
          </w:p>
        </w:tc>
        <w:tc>
          <w:tcPr>
            <w:tcW w:w="940" w:type="dxa"/>
            <w:shd w:val="clear" w:color="auto" w:fill="auto"/>
          </w:tcPr>
          <w:p w:rsidR="004B3541" w:rsidRDefault="00EB214A">
            <w:pPr>
              <w:keepNext/>
              <w:keepLines/>
              <w:spacing w:after="0"/>
              <w:jc w:val="right"/>
              <w:rPr>
                <w:sz w:val="20"/>
                <w:szCs w:val="20"/>
                <w:lang w:val="fr-FR"/>
              </w:rPr>
            </w:pPr>
            <w:r w:rsidRPr="00EB214A">
              <w:rPr>
                <w:sz w:val="20"/>
                <w:szCs w:val="20"/>
                <w:lang w:val="fr-FR"/>
              </w:rPr>
              <w:t>2 %</w:t>
            </w:r>
          </w:p>
        </w:tc>
      </w:tr>
      <w:tr w:rsidR="00A66260" w:rsidRPr="00EE4747" w:rsidTr="00EE4747">
        <w:tc>
          <w:tcPr>
            <w:tcW w:w="4219" w:type="dxa"/>
            <w:shd w:val="clear" w:color="auto" w:fill="auto"/>
          </w:tcPr>
          <w:p w:rsidR="004B3541" w:rsidRDefault="00EB214A">
            <w:pPr>
              <w:keepNext/>
              <w:keepLines/>
              <w:spacing w:after="0"/>
              <w:jc w:val="left"/>
              <w:rPr>
                <w:sz w:val="20"/>
                <w:szCs w:val="20"/>
                <w:lang w:val="fr-FR"/>
              </w:rPr>
            </w:pPr>
            <w:r w:rsidRPr="00EB214A">
              <w:rPr>
                <w:sz w:val="20"/>
                <w:szCs w:val="20"/>
                <w:lang w:val="fr-FR"/>
              </w:rPr>
              <w:t xml:space="preserve">en pourcentage des dépenses financées par les ressources nationales et PPTE </w:t>
            </w:r>
          </w:p>
        </w:tc>
        <w:tc>
          <w:tcPr>
            <w:tcW w:w="841" w:type="dxa"/>
            <w:shd w:val="clear" w:color="auto" w:fill="auto"/>
          </w:tcPr>
          <w:p w:rsidR="004B3541" w:rsidRDefault="00EB214A">
            <w:pPr>
              <w:keepNext/>
              <w:keepLines/>
              <w:spacing w:after="0"/>
              <w:jc w:val="right"/>
              <w:rPr>
                <w:sz w:val="20"/>
                <w:szCs w:val="20"/>
                <w:lang w:val="fr-FR"/>
              </w:rPr>
            </w:pPr>
            <w:r w:rsidRPr="00EB214A">
              <w:rPr>
                <w:sz w:val="20"/>
                <w:szCs w:val="20"/>
                <w:lang w:val="fr-FR"/>
              </w:rPr>
              <w:t>15.9 %</w:t>
            </w:r>
          </w:p>
        </w:tc>
        <w:tc>
          <w:tcPr>
            <w:tcW w:w="860" w:type="dxa"/>
            <w:shd w:val="clear" w:color="auto" w:fill="auto"/>
          </w:tcPr>
          <w:p w:rsidR="004B3541" w:rsidRDefault="00EB214A">
            <w:pPr>
              <w:keepNext/>
              <w:keepLines/>
              <w:spacing w:after="0"/>
              <w:jc w:val="right"/>
              <w:rPr>
                <w:sz w:val="20"/>
                <w:szCs w:val="20"/>
                <w:lang w:val="fr-FR"/>
              </w:rPr>
            </w:pPr>
            <w:r w:rsidRPr="00EB214A">
              <w:rPr>
                <w:sz w:val="20"/>
                <w:szCs w:val="20"/>
                <w:lang w:val="fr-FR"/>
              </w:rPr>
              <w:t>9,5 %</w:t>
            </w:r>
          </w:p>
        </w:tc>
        <w:tc>
          <w:tcPr>
            <w:tcW w:w="851" w:type="dxa"/>
            <w:shd w:val="clear" w:color="auto" w:fill="auto"/>
          </w:tcPr>
          <w:p w:rsidR="004B3541" w:rsidRDefault="00EB214A">
            <w:pPr>
              <w:keepNext/>
              <w:keepLines/>
              <w:spacing w:after="0"/>
              <w:jc w:val="right"/>
              <w:rPr>
                <w:sz w:val="20"/>
                <w:szCs w:val="20"/>
                <w:lang w:val="fr-FR"/>
              </w:rPr>
            </w:pPr>
            <w:r w:rsidRPr="00EB214A">
              <w:rPr>
                <w:sz w:val="20"/>
                <w:szCs w:val="20"/>
                <w:lang w:val="fr-FR"/>
              </w:rPr>
              <w:t>9,3 %</w:t>
            </w:r>
          </w:p>
        </w:tc>
        <w:tc>
          <w:tcPr>
            <w:tcW w:w="850" w:type="dxa"/>
            <w:shd w:val="clear" w:color="auto" w:fill="auto"/>
          </w:tcPr>
          <w:p w:rsidR="004B3541" w:rsidRDefault="00EB214A">
            <w:pPr>
              <w:keepNext/>
              <w:keepLines/>
              <w:spacing w:after="0"/>
              <w:jc w:val="right"/>
              <w:rPr>
                <w:sz w:val="20"/>
                <w:szCs w:val="20"/>
                <w:lang w:val="fr-FR"/>
              </w:rPr>
            </w:pPr>
            <w:r w:rsidRPr="00EB214A">
              <w:rPr>
                <w:sz w:val="20"/>
                <w:szCs w:val="20"/>
                <w:lang w:val="fr-FR"/>
              </w:rPr>
              <w:t>9,7 %</w:t>
            </w:r>
          </w:p>
        </w:tc>
        <w:tc>
          <w:tcPr>
            <w:tcW w:w="842" w:type="dxa"/>
            <w:shd w:val="clear" w:color="auto" w:fill="auto"/>
          </w:tcPr>
          <w:p w:rsidR="004B3541" w:rsidRDefault="00EB214A">
            <w:pPr>
              <w:keepNext/>
              <w:keepLines/>
              <w:spacing w:after="0"/>
              <w:jc w:val="right"/>
              <w:rPr>
                <w:sz w:val="20"/>
                <w:szCs w:val="20"/>
                <w:lang w:val="fr-FR"/>
              </w:rPr>
            </w:pPr>
            <w:r w:rsidRPr="00EB214A">
              <w:rPr>
                <w:sz w:val="20"/>
                <w:szCs w:val="20"/>
                <w:lang w:val="fr-FR"/>
              </w:rPr>
              <w:t>13 %</w:t>
            </w:r>
          </w:p>
        </w:tc>
        <w:tc>
          <w:tcPr>
            <w:tcW w:w="940" w:type="dxa"/>
            <w:shd w:val="clear" w:color="auto" w:fill="auto"/>
          </w:tcPr>
          <w:p w:rsidR="004B3541" w:rsidRDefault="00EB214A">
            <w:pPr>
              <w:keepNext/>
              <w:keepLines/>
              <w:spacing w:after="0"/>
              <w:jc w:val="right"/>
              <w:rPr>
                <w:sz w:val="20"/>
                <w:szCs w:val="20"/>
                <w:lang w:val="fr-FR"/>
              </w:rPr>
            </w:pPr>
            <w:r w:rsidRPr="00EB214A">
              <w:rPr>
                <w:sz w:val="20"/>
                <w:szCs w:val="20"/>
                <w:lang w:val="fr-FR"/>
              </w:rPr>
              <w:t>11,4 %</w:t>
            </w:r>
          </w:p>
        </w:tc>
      </w:tr>
      <w:tr w:rsidR="00A66260" w:rsidRPr="00EE4747" w:rsidTr="00EE4747">
        <w:tc>
          <w:tcPr>
            <w:tcW w:w="4219" w:type="dxa"/>
            <w:shd w:val="clear" w:color="auto" w:fill="auto"/>
          </w:tcPr>
          <w:p w:rsidR="004B3541" w:rsidRDefault="00EB214A">
            <w:pPr>
              <w:keepNext/>
              <w:keepLines/>
              <w:spacing w:after="0"/>
              <w:jc w:val="left"/>
              <w:rPr>
                <w:b/>
                <w:sz w:val="20"/>
                <w:szCs w:val="20"/>
                <w:lang w:val="fr-FR"/>
              </w:rPr>
            </w:pPr>
            <w:r w:rsidRPr="00EB214A">
              <w:rPr>
                <w:b/>
                <w:sz w:val="20"/>
                <w:szCs w:val="20"/>
                <w:lang w:val="fr-FR"/>
              </w:rPr>
              <w:t>Filets sociaux financés par les ressources nationales (hors subventions universelles) (en millions de francs CFA)</w:t>
            </w:r>
          </w:p>
        </w:tc>
        <w:tc>
          <w:tcPr>
            <w:tcW w:w="841"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2,8</w:t>
            </w:r>
          </w:p>
        </w:tc>
        <w:tc>
          <w:tcPr>
            <w:tcW w:w="860" w:type="dxa"/>
            <w:shd w:val="clear" w:color="auto" w:fill="auto"/>
          </w:tcPr>
          <w:p w:rsidR="004B3541" w:rsidRDefault="00EB214A">
            <w:pPr>
              <w:keepNext/>
              <w:keepLines/>
              <w:spacing w:after="0"/>
              <w:ind w:left="-240" w:firstLine="240"/>
              <w:jc w:val="right"/>
              <w:rPr>
                <w:b/>
                <w:sz w:val="20"/>
                <w:szCs w:val="20"/>
                <w:lang w:val="fr-FR"/>
              </w:rPr>
            </w:pPr>
            <w:r w:rsidRPr="00EB214A">
              <w:rPr>
                <w:b/>
                <w:sz w:val="20"/>
                <w:szCs w:val="20"/>
                <w:lang w:val="fr-FR"/>
              </w:rPr>
              <w:t>3</w:t>
            </w:r>
            <w:r w:rsidR="00EE4747">
              <w:rPr>
                <w:b/>
                <w:sz w:val="20"/>
                <w:szCs w:val="20"/>
                <w:lang w:val="fr-FR"/>
              </w:rPr>
              <w:t>,</w:t>
            </w:r>
            <w:r w:rsidRPr="00EB214A">
              <w:rPr>
                <w:b/>
                <w:sz w:val="20"/>
                <w:szCs w:val="20"/>
                <w:lang w:val="fr-FR"/>
              </w:rPr>
              <w:t>7</w:t>
            </w:r>
          </w:p>
        </w:tc>
        <w:tc>
          <w:tcPr>
            <w:tcW w:w="851"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4,1</w:t>
            </w:r>
          </w:p>
        </w:tc>
        <w:tc>
          <w:tcPr>
            <w:tcW w:w="850"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5,9</w:t>
            </w:r>
          </w:p>
        </w:tc>
        <w:tc>
          <w:tcPr>
            <w:tcW w:w="842"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7,2</w:t>
            </w:r>
          </w:p>
        </w:tc>
        <w:tc>
          <w:tcPr>
            <w:tcW w:w="940" w:type="dxa"/>
            <w:shd w:val="clear" w:color="auto" w:fill="auto"/>
          </w:tcPr>
          <w:p w:rsidR="004B3541" w:rsidRDefault="00EB214A">
            <w:pPr>
              <w:keepNext/>
              <w:keepLines/>
              <w:spacing w:after="0"/>
              <w:jc w:val="right"/>
              <w:rPr>
                <w:b/>
                <w:sz w:val="20"/>
                <w:szCs w:val="20"/>
                <w:lang w:val="fr-FR"/>
              </w:rPr>
            </w:pPr>
            <w:r w:rsidRPr="00EB214A">
              <w:rPr>
                <w:b/>
                <w:sz w:val="20"/>
                <w:szCs w:val="20"/>
                <w:lang w:val="fr-FR"/>
              </w:rPr>
              <w:t>4,5</w:t>
            </w:r>
          </w:p>
        </w:tc>
      </w:tr>
      <w:tr w:rsidR="00A66260" w:rsidRPr="00EE4747" w:rsidTr="00EE4747">
        <w:tc>
          <w:tcPr>
            <w:tcW w:w="4219" w:type="dxa"/>
          </w:tcPr>
          <w:p w:rsidR="004B3541" w:rsidRDefault="00EB214A">
            <w:pPr>
              <w:keepNext/>
              <w:keepLines/>
              <w:spacing w:after="0"/>
              <w:jc w:val="left"/>
              <w:rPr>
                <w:sz w:val="20"/>
                <w:szCs w:val="20"/>
                <w:lang w:val="fr-FR"/>
              </w:rPr>
            </w:pPr>
            <w:r w:rsidRPr="00EB214A">
              <w:rPr>
                <w:sz w:val="20"/>
                <w:szCs w:val="20"/>
                <w:lang w:val="fr-FR"/>
              </w:rPr>
              <w:t>en pourcentage du PIB</w:t>
            </w:r>
          </w:p>
        </w:tc>
        <w:tc>
          <w:tcPr>
            <w:tcW w:w="841" w:type="dxa"/>
          </w:tcPr>
          <w:p w:rsidR="004B3541" w:rsidRDefault="00EB214A">
            <w:pPr>
              <w:keepNext/>
              <w:keepLines/>
              <w:spacing w:after="0"/>
              <w:jc w:val="right"/>
              <w:rPr>
                <w:sz w:val="20"/>
                <w:szCs w:val="20"/>
                <w:lang w:val="fr-FR"/>
              </w:rPr>
            </w:pPr>
            <w:r w:rsidRPr="00EB214A">
              <w:rPr>
                <w:sz w:val="20"/>
                <w:szCs w:val="20"/>
                <w:lang w:val="fr-FR"/>
              </w:rPr>
              <w:t>0,1 %</w:t>
            </w:r>
          </w:p>
        </w:tc>
        <w:tc>
          <w:tcPr>
            <w:tcW w:w="860" w:type="dxa"/>
          </w:tcPr>
          <w:p w:rsidR="004B3541" w:rsidRDefault="00EB214A">
            <w:pPr>
              <w:keepNext/>
              <w:keepLines/>
              <w:spacing w:after="0"/>
              <w:jc w:val="right"/>
              <w:rPr>
                <w:sz w:val="20"/>
                <w:szCs w:val="20"/>
                <w:lang w:val="fr-FR"/>
              </w:rPr>
            </w:pPr>
            <w:r w:rsidRPr="00EB214A">
              <w:rPr>
                <w:sz w:val="20"/>
                <w:szCs w:val="20"/>
                <w:lang w:val="fr-FR"/>
              </w:rPr>
              <w:t>0,1 %</w:t>
            </w:r>
          </w:p>
        </w:tc>
        <w:tc>
          <w:tcPr>
            <w:tcW w:w="851" w:type="dxa"/>
          </w:tcPr>
          <w:p w:rsidR="004B3541" w:rsidRDefault="00EB214A">
            <w:pPr>
              <w:keepNext/>
              <w:keepLines/>
              <w:spacing w:after="0"/>
              <w:jc w:val="right"/>
              <w:rPr>
                <w:sz w:val="20"/>
                <w:szCs w:val="20"/>
                <w:lang w:val="fr-FR"/>
              </w:rPr>
            </w:pPr>
            <w:r w:rsidRPr="00EB214A">
              <w:rPr>
                <w:sz w:val="20"/>
                <w:szCs w:val="20"/>
                <w:lang w:val="fr-FR"/>
              </w:rPr>
              <w:t>0,1 %</w:t>
            </w:r>
          </w:p>
        </w:tc>
        <w:tc>
          <w:tcPr>
            <w:tcW w:w="850" w:type="dxa"/>
          </w:tcPr>
          <w:p w:rsidR="004B3541" w:rsidRDefault="00EB214A">
            <w:pPr>
              <w:keepNext/>
              <w:keepLines/>
              <w:spacing w:after="0"/>
              <w:jc w:val="right"/>
              <w:rPr>
                <w:sz w:val="20"/>
                <w:szCs w:val="20"/>
                <w:lang w:val="fr-FR"/>
              </w:rPr>
            </w:pPr>
            <w:r w:rsidRPr="00EB214A">
              <w:rPr>
                <w:sz w:val="20"/>
                <w:szCs w:val="20"/>
                <w:lang w:val="fr-FR"/>
              </w:rPr>
              <w:t>0,2 %</w:t>
            </w:r>
          </w:p>
        </w:tc>
        <w:tc>
          <w:tcPr>
            <w:tcW w:w="842" w:type="dxa"/>
          </w:tcPr>
          <w:p w:rsidR="004B3541" w:rsidRDefault="00EB214A">
            <w:pPr>
              <w:keepNext/>
              <w:keepLines/>
              <w:spacing w:after="0"/>
              <w:jc w:val="right"/>
              <w:rPr>
                <w:sz w:val="20"/>
                <w:szCs w:val="20"/>
                <w:lang w:val="fr-FR"/>
              </w:rPr>
            </w:pPr>
            <w:r w:rsidRPr="00EB214A">
              <w:rPr>
                <w:sz w:val="20"/>
                <w:szCs w:val="20"/>
                <w:lang w:val="fr-FR"/>
              </w:rPr>
              <w:t>0,2 %</w:t>
            </w:r>
          </w:p>
        </w:tc>
        <w:tc>
          <w:tcPr>
            <w:tcW w:w="940" w:type="dxa"/>
          </w:tcPr>
          <w:p w:rsidR="004B3541" w:rsidRDefault="00EB214A">
            <w:pPr>
              <w:keepNext/>
              <w:keepLines/>
              <w:spacing w:after="0"/>
              <w:jc w:val="right"/>
              <w:rPr>
                <w:sz w:val="20"/>
                <w:szCs w:val="20"/>
                <w:lang w:val="fr-FR"/>
              </w:rPr>
            </w:pPr>
            <w:r w:rsidRPr="00EB214A">
              <w:rPr>
                <w:sz w:val="20"/>
                <w:szCs w:val="20"/>
                <w:lang w:val="fr-FR"/>
              </w:rPr>
              <w:t>0,1 %</w:t>
            </w:r>
          </w:p>
        </w:tc>
      </w:tr>
      <w:tr w:rsidR="00A66260" w:rsidRPr="00EE4747" w:rsidTr="00EE4747">
        <w:tc>
          <w:tcPr>
            <w:tcW w:w="4219" w:type="dxa"/>
            <w:tcBorders>
              <w:bottom w:val="single" w:sz="4" w:space="0" w:color="auto"/>
            </w:tcBorders>
          </w:tcPr>
          <w:p w:rsidR="004B3541" w:rsidRDefault="00EB214A">
            <w:pPr>
              <w:keepNext/>
              <w:keepLines/>
              <w:spacing w:after="0"/>
              <w:jc w:val="left"/>
              <w:rPr>
                <w:sz w:val="20"/>
                <w:szCs w:val="20"/>
                <w:lang w:val="fr-FR"/>
              </w:rPr>
            </w:pPr>
            <w:r w:rsidRPr="00EB214A">
              <w:rPr>
                <w:sz w:val="20"/>
                <w:szCs w:val="20"/>
                <w:lang w:val="fr-FR"/>
              </w:rPr>
              <w:t xml:space="preserve">en pourcentage des dépenses financées par les ressources nationales et PPTE </w:t>
            </w:r>
          </w:p>
        </w:tc>
        <w:tc>
          <w:tcPr>
            <w:tcW w:w="841" w:type="dxa"/>
            <w:tcBorders>
              <w:bottom w:val="single" w:sz="4" w:space="0" w:color="auto"/>
            </w:tcBorders>
          </w:tcPr>
          <w:p w:rsidR="004B3541" w:rsidRDefault="00EB214A">
            <w:pPr>
              <w:keepNext/>
              <w:keepLines/>
              <w:spacing w:after="0"/>
              <w:jc w:val="right"/>
              <w:rPr>
                <w:sz w:val="20"/>
                <w:szCs w:val="20"/>
                <w:lang w:val="fr-FR"/>
              </w:rPr>
            </w:pPr>
            <w:r w:rsidRPr="00EB214A">
              <w:rPr>
                <w:sz w:val="20"/>
                <w:szCs w:val="20"/>
                <w:lang w:val="fr-FR"/>
              </w:rPr>
              <w:t>0,7 %</w:t>
            </w:r>
          </w:p>
        </w:tc>
        <w:tc>
          <w:tcPr>
            <w:tcW w:w="860" w:type="dxa"/>
            <w:tcBorders>
              <w:bottom w:val="single" w:sz="4" w:space="0" w:color="auto"/>
            </w:tcBorders>
          </w:tcPr>
          <w:p w:rsidR="004B3541" w:rsidRDefault="00EB214A">
            <w:pPr>
              <w:keepNext/>
              <w:keepLines/>
              <w:spacing w:after="0"/>
              <w:jc w:val="right"/>
              <w:rPr>
                <w:sz w:val="20"/>
                <w:szCs w:val="20"/>
                <w:lang w:val="fr-FR"/>
              </w:rPr>
            </w:pPr>
            <w:r w:rsidRPr="00EB214A">
              <w:rPr>
                <w:sz w:val="20"/>
                <w:szCs w:val="20"/>
                <w:lang w:val="fr-FR"/>
              </w:rPr>
              <w:t>0,8 %</w:t>
            </w:r>
          </w:p>
        </w:tc>
        <w:tc>
          <w:tcPr>
            <w:tcW w:w="851" w:type="dxa"/>
            <w:tcBorders>
              <w:bottom w:val="single" w:sz="4" w:space="0" w:color="auto"/>
            </w:tcBorders>
          </w:tcPr>
          <w:p w:rsidR="004B3541" w:rsidRDefault="00EB214A">
            <w:pPr>
              <w:keepNext/>
              <w:keepLines/>
              <w:spacing w:after="0"/>
              <w:jc w:val="right"/>
              <w:rPr>
                <w:sz w:val="20"/>
                <w:szCs w:val="20"/>
                <w:lang w:val="fr-FR"/>
              </w:rPr>
            </w:pPr>
            <w:r w:rsidRPr="00EB214A">
              <w:rPr>
                <w:sz w:val="20"/>
                <w:szCs w:val="20"/>
                <w:lang w:val="fr-FR"/>
              </w:rPr>
              <w:t>0,8 %</w:t>
            </w:r>
          </w:p>
        </w:tc>
        <w:tc>
          <w:tcPr>
            <w:tcW w:w="850" w:type="dxa"/>
            <w:tcBorders>
              <w:bottom w:val="single" w:sz="4" w:space="0" w:color="auto"/>
            </w:tcBorders>
          </w:tcPr>
          <w:p w:rsidR="004B3541" w:rsidRDefault="00EB214A">
            <w:pPr>
              <w:keepNext/>
              <w:keepLines/>
              <w:spacing w:after="0"/>
              <w:jc w:val="right"/>
              <w:rPr>
                <w:sz w:val="20"/>
                <w:szCs w:val="20"/>
                <w:lang w:val="fr-FR"/>
              </w:rPr>
            </w:pPr>
            <w:r w:rsidRPr="00EB214A">
              <w:rPr>
                <w:sz w:val="20"/>
                <w:szCs w:val="20"/>
                <w:lang w:val="fr-FR"/>
              </w:rPr>
              <w:t>1 %</w:t>
            </w:r>
          </w:p>
        </w:tc>
        <w:tc>
          <w:tcPr>
            <w:tcW w:w="842" w:type="dxa"/>
            <w:tcBorders>
              <w:bottom w:val="single" w:sz="4" w:space="0" w:color="auto"/>
            </w:tcBorders>
          </w:tcPr>
          <w:p w:rsidR="004B3541" w:rsidRDefault="00EB214A">
            <w:pPr>
              <w:keepNext/>
              <w:keepLines/>
              <w:spacing w:after="0"/>
              <w:jc w:val="right"/>
              <w:rPr>
                <w:sz w:val="20"/>
                <w:szCs w:val="20"/>
                <w:lang w:val="fr-FR"/>
              </w:rPr>
            </w:pPr>
            <w:r w:rsidRPr="00EB214A">
              <w:rPr>
                <w:sz w:val="20"/>
                <w:szCs w:val="20"/>
                <w:lang w:val="fr-FR"/>
              </w:rPr>
              <w:t>1 %</w:t>
            </w:r>
          </w:p>
        </w:tc>
        <w:tc>
          <w:tcPr>
            <w:tcW w:w="940" w:type="dxa"/>
            <w:tcBorders>
              <w:bottom w:val="single" w:sz="4" w:space="0" w:color="auto"/>
            </w:tcBorders>
          </w:tcPr>
          <w:p w:rsidR="004B3541" w:rsidRDefault="00EB214A">
            <w:pPr>
              <w:keepNext/>
              <w:keepLines/>
              <w:spacing w:after="0"/>
              <w:jc w:val="right"/>
              <w:rPr>
                <w:sz w:val="20"/>
                <w:szCs w:val="20"/>
                <w:lang w:val="fr-FR"/>
              </w:rPr>
            </w:pPr>
            <w:r w:rsidRPr="00EB214A">
              <w:rPr>
                <w:sz w:val="20"/>
                <w:szCs w:val="20"/>
                <w:lang w:val="fr-FR"/>
              </w:rPr>
              <w:t>0,6 %</w:t>
            </w:r>
          </w:p>
        </w:tc>
      </w:tr>
    </w:tbl>
    <w:p w:rsidR="00A66260" w:rsidRPr="00577EB1" w:rsidRDefault="00EB214A" w:rsidP="0014214A">
      <w:pPr>
        <w:keepNext/>
        <w:keepLines/>
        <w:spacing w:after="0"/>
        <w:rPr>
          <w:sz w:val="20"/>
          <w:szCs w:val="20"/>
          <w:lang w:val="fr-FR"/>
        </w:rPr>
      </w:pPr>
      <w:r w:rsidRPr="00EB214A">
        <w:rPr>
          <w:sz w:val="20"/>
          <w:szCs w:val="20"/>
          <w:vertAlign w:val="superscript"/>
          <w:lang w:val="fr-FR"/>
        </w:rPr>
        <w:t>(*)</w:t>
      </w:r>
      <w:r w:rsidR="00A66260" w:rsidRPr="00577EB1">
        <w:rPr>
          <w:sz w:val="20"/>
          <w:szCs w:val="20"/>
          <w:lang w:val="fr-FR"/>
        </w:rPr>
        <w:t xml:space="preserve"> prévu, </w:t>
      </w:r>
      <w:r w:rsidRPr="00EB214A">
        <w:rPr>
          <w:sz w:val="20"/>
          <w:szCs w:val="20"/>
          <w:vertAlign w:val="superscript"/>
          <w:lang w:val="fr-FR"/>
        </w:rPr>
        <w:t>(**)</w:t>
      </w:r>
      <w:r w:rsidR="00A66260" w:rsidRPr="00577EB1">
        <w:rPr>
          <w:sz w:val="20"/>
          <w:szCs w:val="20"/>
          <w:lang w:val="fr-FR"/>
        </w:rPr>
        <w:t xml:space="preserve"> budgétisé</w:t>
      </w:r>
    </w:p>
    <w:p w:rsidR="00A66260" w:rsidRPr="00577EB1" w:rsidRDefault="00A66260" w:rsidP="0014214A">
      <w:pPr>
        <w:keepLines/>
        <w:autoSpaceDE w:val="0"/>
        <w:autoSpaceDN w:val="0"/>
        <w:adjustRightInd w:val="0"/>
        <w:spacing w:before="120" w:after="480"/>
        <w:jc w:val="left"/>
        <w:rPr>
          <w:sz w:val="20"/>
          <w:szCs w:val="24"/>
          <w:lang w:val="fr-FR"/>
        </w:rPr>
      </w:pPr>
      <w:r w:rsidRPr="00577EB1">
        <w:rPr>
          <w:i/>
          <w:sz w:val="20"/>
          <w:szCs w:val="24"/>
          <w:lang w:val="fr-FR"/>
        </w:rPr>
        <w:t>Sources</w:t>
      </w:r>
      <w:r w:rsidR="0014214A">
        <w:rPr>
          <w:i/>
          <w:sz w:val="20"/>
          <w:szCs w:val="24"/>
          <w:lang w:val="fr-FR"/>
        </w:rPr>
        <w:t> :</w:t>
      </w:r>
      <w:r w:rsidR="0007340F">
        <w:rPr>
          <w:i/>
          <w:sz w:val="20"/>
          <w:szCs w:val="24"/>
          <w:lang w:val="fr-FR"/>
        </w:rPr>
        <w:t xml:space="preserve"> </w:t>
      </w:r>
      <w:r w:rsidRPr="00577EB1">
        <w:rPr>
          <w:sz w:val="20"/>
          <w:szCs w:val="24"/>
          <w:lang w:val="fr-FR"/>
        </w:rPr>
        <w:t>Revue des dépenses publiques, Banque mondiale, 2009</w:t>
      </w:r>
      <w:r w:rsidR="0007340F">
        <w:rPr>
          <w:sz w:val="20"/>
          <w:szCs w:val="24"/>
          <w:lang w:val="fr-FR"/>
        </w:rPr>
        <w:t xml:space="preserve"> </w:t>
      </w:r>
      <w:r w:rsidRPr="00577EB1">
        <w:rPr>
          <w:sz w:val="20"/>
          <w:szCs w:val="24"/>
          <w:lang w:val="fr-FR"/>
        </w:rPr>
        <w:t>FMI</w:t>
      </w:r>
      <w:r w:rsidR="0007340F">
        <w:rPr>
          <w:sz w:val="20"/>
          <w:szCs w:val="24"/>
          <w:lang w:val="fr-FR"/>
        </w:rPr>
        <w:t xml:space="preserve"> </w:t>
      </w:r>
      <w:r w:rsidRPr="00577EB1">
        <w:rPr>
          <w:sz w:val="20"/>
          <w:szCs w:val="24"/>
          <w:lang w:val="fr-FR"/>
        </w:rPr>
        <w:t>auteurs.</w:t>
      </w:r>
    </w:p>
    <w:p w:rsidR="00A66260" w:rsidRPr="00577EB1" w:rsidRDefault="00847527" w:rsidP="00A66260">
      <w:pPr>
        <w:pStyle w:val="Heading8"/>
      </w:pPr>
      <w:bookmarkStart w:id="101" w:name="_Ref135727071"/>
      <w:bookmarkStart w:id="102" w:name="_Toc269722138"/>
      <w:bookmarkStart w:id="103" w:name="_Toc262170064"/>
      <w:r w:rsidRPr="00577EB1">
        <w:lastRenderedPageBreak/>
        <w:t xml:space="preserve">Figure </w:t>
      </w:r>
      <w:r w:rsidR="00725419">
        <w:fldChar w:fldCharType="begin"/>
      </w:r>
      <w:r>
        <w:instrText xml:space="preserve"> SEQ Figure \* ARABIC </w:instrText>
      </w:r>
      <w:r w:rsidR="00725419">
        <w:fldChar w:fldCharType="separate"/>
      </w:r>
      <w:r w:rsidR="00EF56B2">
        <w:rPr>
          <w:noProof/>
        </w:rPr>
        <w:t>9</w:t>
      </w:r>
      <w:r w:rsidR="00725419">
        <w:fldChar w:fldCharType="end"/>
      </w:r>
      <w:bookmarkEnd w:id="101"/>
      <w:r w:rsidR="0023017C">
        <w:t> :</w:t>
      </w:r>
      <w:r w:rsidR="0007340F">
        <w:t xml:space="preserve"> </w:t>
      </w:r>
      <w:r w:rsidR="00A66260" w:rsidRPr="00577EB1">
        <w:t>Part de l’enseignement fondamental, de la santé et des filets sociaux dans le total des dépenses financées par des ressources intérieures et extérieures</w:t>
      </w:r>
      <w:bookmarkEnd w:id="102"/>
      <w:r w:rsidR="0007340F">
        <w:t xml:space="preserve"> </w:t>
      </w:r>
      <w:bookmarkEnd w:id="103"/>
    </w:p>
    <w:p w:rsidR="00A66260" w:rsidRPr="00577EB1" w:rsidRDefault="00A66260" w:rsidP="00A66260">
      <w:pPr>
        <w:keepNext/>
        <w:keepLines/>
        <w:spacing w:after="0"/>
        <w:jc w:val="center"/>
        <w:rPr>
          <w:lang w:val="fr-FR"/>
        </w:rPr>
      </w:pPr>
      <w:r w:rsidRPr="00577EB1">
        <w:rPr>
          <w:noProof/>
        </w:rPr>
        <w:drawing>
          <wp:inline distT="0" distB="0" distL="0" distR="0">
            <wp:extent cx="4248150" cy="2362200"/>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4248150" cy="2362200"/>
                    </a:xfrm>
                    <a:prstGeom prst="rect">
                      <a:avLst/>
                    </a:prstGeom>
                    <a:noFill/>
                    <a:ln w="9525">
                      <a:noFill/>
                      <a:miter lim="800000"/>
                      <a:headEnd/>
                      <a:tailEnd/>
                    </a:ln>
                  </pic:spPr>
                </pic:pic>
              </a:graphicData>
            </a:graphic>
          </wp:inline>
        </w:drawing>
      </w:r>
    </w:p>
    <w:p w:rsidR="004B3541" w:rsidRDefault="00A66260">
      <w:pPr>
        <w:keepLines/>
        <w:tabs>
          <w:tab w:val="clear" w:pos="709"/>
          <w:tab w:val="left" w:pos="1134"/>
        </w:tabs>
        <w:autoSpaceDE w:val="0"/>
        <w:autoSpaceDN w:val="0"/>
        <w:adjustRightInd w:val="0"/>
        <w:spacing w:before="120" w:after="480"/>
        <w:ind w:left="1134"/>
        <w:jc w:val="left"/>
        <w:rPr>
          <w:i/>
          <w:sz w:val="20"/>
          <w:szCs w:val="24"/>
          <w:lang w:val="fr-FR"/>
        </w:rPr>
      </w:pPr>
      <w:r w:rsidRPr="00577EB1">
        <w:rPr>
          <w:i/>
          <w:sz w:val="20"/>
          <w:szCs w:val="24"/>
          <w:lang w:val="fr-FR"/>
        </w:rPr>
        <w:t xml:space="preserve">Source: </w:t>
      </w:r>
      <w:r w:rsidRPr="00577EB1">
        <w:rPr>
          <w:sz w:val="20"/>
          <w:szCs w:val="24"/>
          <w:lang w:val="fr-FR"/>
        </w:rPr>
        <w:t>Auteurs.</w:t>
      </w:r>
    </w:p>
    <w:p w:rsidR="00A66260" w:rsidRPr="00577EB1" w:rsidRDefault="00A66260" w:rsidP="00A66260">
      <w:pPr>
        <w:pStyle w:val="Style3"/>
        <w:rPr>
          <w:lang w:val="fr-FR"/>
        </w:rPr>
      </w:pPr>
      <w:r w:rsidRPr="00577EB1">
        <w:rPr>
          <w:lang w:val="fr-FR"/>
        </w:rPr>
        <w:t xml:space="preserve">Structure du financement des filets sociaux </w:t>
      </w:r>
    </w:p>
    <w:p w:rsidR="00A66260" w:rsidRPr="00577EB1" w:rsidRDefault="00A66260" w:rsidP="00E52A30">
      <w:pPr>
        <w:numPr>
          <w:ilvl w:val="0"/>
          <w:numId w:val="2"/>
        </w:numPr>
        <w:tabs>
          <w:tab w:val="clear" w:pos="709"/>
        </w:tabs>
        <w:ind w:left="0" w:firstLine="0"/>
        <w:rPr>
          <w:szCs w:val="24"/>
          <w:lang w:val="fr-FR"/>
        </w:rPr>
      </w:pPr>
      <w:r w:rsidRPr="00577EB1">
        <w:rPr>
          <w:rStyle w:val="longtext"/>
          <w:b/>
          <w:shd w:val="clear" w:color="auto" w:fill="FFFFFF"/>
          <w:lang w:val="fr-FR"/>
        </w:rPr>
        <w:t>Le financement des programmes de filets sociaux dépend largement et de plus en plus des bailleurs de fonds</w:t>
      </w:r>
      <w:r w:rsidRPr="00577EB1">
        <w:rPr>
          <w:rStyle w:val="longtext"/>
          <w:shd w:val="clear" w:color="auto" w:fill="FFFFFF"/>
          <w:lang w:val="fr-FR"/>
        </w:rPr>
        <w:t xml:space="preserve">. Hors subventions universelles, la part des financements extérieurs consacrés aux filets sociaux est passée de 57 % environ en 2005 à 69 % en 2008 et 76 % en 2009. En incluant les subventions des produits alimentaires et pétroliers, cette hausse des dépenses extérieures dans les filets sociaux était de moins de 20 % du total des dépenses en 2006 contre plus de 48 % en 2009. Lorsqu’on exclut les subventions pour les produits alimentaires et pétroliers, on note entre 2005 et 2009, une légère hausse des dépenses publiques en pourcentage du PIB, de 0,1 à 0,2 % du PIB. </w:t>
      </w:r>
    </w:p>
    <w:p w:rsidR="00A66260" w:rsidRPr="00577EB1" w:rsidRDefault="00A66260" w:rsidP="00E52A30">
      <w:pPr>
        <w:numPr>
          <w:ilvl w:val="0"/>
          <w:numId w:val="2"/>
        </w:numPr>
        <w:tabs>
          <w:tab w:val="clear" w:pos="709"/>
        </w:tabs>
        <w:ind w:left="0" w:firstLine="0"/>
        <w:rPr>
          <w:rStyle w:val="longtext"/>
          <w:szCs w:val="24"/>
          <w:lang w:val="fr-FR"/>
        </w:rPr>
      </w:pPr>
      <w:r w:rsidRPr="00577EB1">
        <w:rPr>
          <w:rStyle w:val="longtext"/>
          <w:b/>
          <w:shd w:val="clear" w:color="auto" w:fill="FFFFFF"/>
          <w:lang w:val="fr-FR"/>
        </w:rPr>
        <w:t>Les bailleurs de fonds font preuve d’un engagement clair en faveur d’un financement accru des filets sociaux.</w:t>
      </w:r>
      <w:r w:rsidRPr="00577EB1">
        <w:rPr>
          <w:rStyle w:val="longtext"/>
          <w:shd w:val="clear" w:color="auto" w:fill="FFFFFF"/>
          <w:lang w:val="fr-FR"/>
        </w:rPr>
        <w:t xml:space="preserve"> Le financement des bailleurs de fonds a enregistré une forte hausse (comme indiqué dans les chiffres susmentionnés), passant de près de 0,2 % du PIB en 2005 à 0,7 % en 2009, soit une augmentation en valeur réelle (francs CFA de 2005) à peu près multipliée par cinq. </w:t>
      </w:r>
    </w:p>
    <w:p w:rsidR="00A66260" w:rsidRPr="00577EB1" w:rsidRDefault="00A66260" w:rsidP="00E52A30">
      <w:pPr>
        <w:numPr>
          <w:ilvl w:val="0"/>
          <w:numId w:val="2"/>
        </w:numPr>
        <w:tabs>
          <w:tab w:val="clear" w:pos="709"/>
        </w:tabs>
        <w:ind w:left="0" w:firstLine="0"/>
        <w:rPr>
          <w:rStyle w:val="longtext"/>
          <w:szCs w:val="24"/>
          <w:lang w:val="fr-FR"/>
        </w:rPr>
      </w:pPr>
      <w:r w:rsidRPr="00577EB1">
        <w:rPr>
          <w:rStyle w:val="longtext"/>
          <w:b/>
          <w:shd w:val="clear" w:color="auto" w:fill="FFFFFF"/>
          <w:lang w:val="fr-FR"/>
        </w:rPr>
        <w:t>En dehors de la subvention des produits alimentaires et pétroliers, la priorité des bailleurs de fonds et des États va aux programmes à caractère alimentaire.</w:t>
      </w:r>
      <w:r w:rsidRPr="00577EB1">
        <w:rPr>
          <w:rStyle w:val="longtext"/>
          <w:shd w:val="clear" w:color="auto" w:fill="FFFFFF"/>
          <w:lang w:val="fr-FR"/>
        </w:rPr>
        <w:t xml:space="preserve"> Sur la base des données disponibles, les programmes de distribution et de vente ciblées de vivres, de nutrition et de cantines scolaires (tous des programmes à caractère alimentaire) représentaient 90 % des dépenses totales dans les filets sociaux en 2005 et tournaient toujours autour de 70 % en 2009. Au titre de ces programmes, les bailleurs de fonds ont massivement investi dans les cantines scolaires et la nutrition tandis que les pouvoirs publics dépensaient dans les cantines scolaires mais à peine dans la nutrition. Si les données sur les ventes et distribution de vivres étaient finalisées, ce tableau s’en trouverait sans doute quelque peu modifié. Il est intéressant de noter l’apparition des transferts monétaires et quasi-monétaires en 2008 au Burkina alors que les dépenses dans les travaux publics, exclusivement financés par les bailleurs de fonds, enregistraient une baisse d’environ 10 % du total en 2005 à 2 % en 2009. </w:t>
      </w:r>
    </w:p>
    <w:p w:rsidR="00A66260" w:rsidRPr="00577EB1" w:rsidRDefault="00A66260" w:rsidP="00E52A30">
      <w:pPr>
        <w:numPr>
          <w:ilvl w:val="0"/>
          <w:numId w:val="2"/>
        </w:numPr>
        <w:tabs>
          <w:tab w:val="clear" w:pos="709"/>
        </w:tabs>
        <w:ind w:left="0" w:firstLine="0"/>
        <w:rPr>
          <w:rStyle w:val="longtext"/>
          <w:szCs w:val="24"/>
          <w:lang w:val="fr-FR"/>
        </w:rPr>
      </w:pPr>
      <w:r w:rsidRPr="00577EB1">
        <w:rPr>
          <w:rStyle w:val="longtext"/>
          <w:b/>
          <w:shd w:val="clear" w:color="auto" w:fill="FFFFFF"/>
          <w:lang w:val="fr-FR"/>
        </w:rPr>
        <w:lastRenderedPageBreak/>
        <w:t>La structure des dépenses révèle des priorités différentes entre l’État et les bailleurs de fonds.</w:t>
      </w:r>
      <w:r w:rsidRPr="00577EB1">
        <w:rPr>
          <w:rStyle w:val="longtext"/>
          <w:shd w:val="clear" w:color="auto" w:fill="FFFFFF"/>
          <w:lang w:val="fr-FR"/>
        </w:rPr>
        <w:t xml:space="preserve"> </w:t>
      </w:r>
      <w:r w:rsidRPr="00577EB1">
        <w:rPr>
          <w:rStyle w:val="longtext"/>
          <w:lang w:val="fr-FR"/>
        </w:rPr>
        <w:t xml:space="preserve">Pour les années dont les données sont disponibles (2005 à 2009), les priorités des pouvoirs publics ont essentiellement porté sur les subventions universelles. </w:t>
      </w:r>
      <w:r w:rsidRPr="00577EB1">
        <w:rPr>
          <w:rStyle w:val="longtext"/>
          <w:shd w:val="clear" w:color="auto" w:fill="FFFFFF"/>
          <w:lang w:val="fr-FR"/>
        </w:rPr>
        <w:t xml:space="preserve">Les dépenses pour la subvention des produits pétroliers ont augmenté en 2008 suite à la flambée des cours du pétrole. En 2005, la part de subvention dans le montant total des filets sociaux financés par l’État représentait plus de 80 %, et atteignait encore 77 % en </w:t>
      </w:r>
      <w:r w:rsidRPr="00577EB1">
        <w:rPr>
          <w:rStyle w:val="longtext"/>
          <w:lang w:val="fr-FR"/>
        </w:rPr>
        <w:t>2008 (Tableau 12)</w:t>
      </w:r>
    </w:p>
    <w:p w:rsidR="00A66260" w:rsidRPr="00577EB1" w:rsidRDefault="001F3001" w:rsidP="00A66260">
      <w:pPr>
        <w:pStyle w:val="Heading7"/>
        <w:rPr>
          <w:lang w:val="fr-FR"/>
        </w:rPr>
      </w:pPr>
      <w:bookmarkStart w:id="104" w:name="_Ref135727103"/>
      <w:bookmarkStart w:id="105" w:name="_Toc262170043"/>
      <w:bookmarkStart w:id="106" w:name="_Toc284528586"/>
      <w:bookmarkStart w:id="107" w:name="_Toc284530523"/>
      <w:r w:rsidRPr="00577EB1">
        <w:rPr>
          <w:lang w:val="fr-FR"/>
        </w:rPr>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12</w:t>
      </w:r>
      <w:r w:rsidR="00725419" w:rsidRPr="00577EB1">
        <w:rPr>
          <w:lang w:val="fr-FR"/>
        </w:rPr>
        <w:fldChar w:fldCharType="end"/>
      </w:r>
      <w:bookmarkEnd w:id="104"/>
      <w:r w:rsidR="00837FC9">
        <w:rPr>
          <w:lang w:val="fr-FR"/>
        </w:rPr>
        <w:t> :</w:t>
      </w:r>
      <w:r w:rsidR="0007340F">
        <w:rPr>
          <w:lang w:val="fr-FR"/>
        </w:rPr>
        <w:t xml:space="preserve"> </w:t>
      </w:r>
      <w:r w:rsidR="00A66260" w:rsidRPr="00577EB1">
        <w:rPr>
          <w:lang w:val="fr-FR"/>
        </w:rPr>
        <w:t>Priorités de l’État et des bailleurs de fonds par programme en 2008</w:t>
      </w:r>
      <w:bookmarkEnd w:id="105"/>
      <w:bookmarkEnd w:id="106"/>
      <w:bookmarkEnd w:id="107"/>
    </w:p>
    <w:tbl>
      <w:tblPr>
        <w:tblW w:w="7479" w:type="dxa"/>
        <w:jc w:val="center"/>
        <w:tblInd w:w="-67" w:type="dxa"/>
        <w:tblLook w:val="04A0"/>
      </w:tblPr>
      <w:tblGrid>
        <w:gridCol w:w="4968"/>
        <w:gridCol w:w="1235"/>
        <w:gridCol w:w="1276"/>
      </w:tblGrid>
      <w:tr w:rsidR="00A66260" w:rsidRPr="00577EB1" w:rsidTr="002E752D">
        <w:trPr>
          <w:trHeight w:val="285"/>
          <w:jc w:val="center"/>
        </w:trPr>
        <w:tc>
          <w:tcPr>
            <w:tcW w:w="4968" w:type="dxa"/>
            <w:tcBorders>
              <w:top w:val="single" w:sz="4" w:space="0" w:color="auto"/>
            </w:tcBorders>
          </w:tcPr>
          <w:p w:rsidR="00A66260" w:rsidRPr="00577EB1" w:rsidRDefault="00A66260" w:rsidP="002E752D">
            <w:pPr>
              <w:keepNext/>
              <w:keepLines/>
              <w:tabs>
                <w:tab w:val="clear" w:pos="709"/>
              </w:tabs>
              <w:spacing w:after="0"/>
              <w:jc w:val="left"/>
              <w:rPr>
                <w:bCs/>
                <w:sz w:val="20"/>
                <w:lang w:val="fr-FR"/>
              </w:rPr>
            </w:pPr>
          </w:p>
        </w:tc>
        <w:tc>
          <w:tcPr>
            <w:tcW w:w="1235" w:type="dxa"/>
            <w:tcBorders>
              <w:top w:val="single" w:sz="4" w:space="0" w:color="auto"/>
            </w:tcBorders>
            <w:noWrap/>
          </w:tcPr>
          <w:p w:rsidR="00A66260" w:rsidRPr="00577EB1" w:rsidRDefault="00A66260" w:rsidP="002E752D">
            <w:pPr>
              <w:keepNext/>
              <w:keepLines/>
              <w:tabs>
                <w:tab w:val="clear" w:pos="709"/>
              </w:tabs>
              <w:spacing w:after="0"/>
              <w:jc w:val="right"/>
              <w:rPr>
                <w:b/>
                <w:sz w:val="20"/>
                <w:lang w:val="fr-FR"/>
              </w:rPr>
            </w:pPr>
            <w:r w:rsidRPr="00577EB1">
              <w:rPr>
                <w:b/>
                <w:sz w:val="20"/>
                <w:lang w:val="fr-FR"/>
              </w:rPr>
              <w:t>État (%)</w:t>
            </w:r>
          </w:p>
        </w:tc>
        <w:tc>
          <w:tcPr>
            <w:tcW w:w="1276" w:type="dxa"/>
            <w:tcBorders>
              <w:top w:val="single" w:sz="4" w:space="0" w:color="auto"/>
            </w:tcBorders>
            <w:noWrap/>
          </w:tcPr>
          <w:p w:rsidR="00A66260" w:rsidRPr="00577EB1" w:rsidRDefault="00A66260" w:rsidP="002E752D">
            <w:pPr>
              <w:keepNext/>
              <w:keepLines/>
              <w:tabs>
                <w:tab w:val="clear" w:pos="709"/>
              </w:tabs>
              <w:spacing w:after="0"/>
              <w:jc w:val="right"/>
              <w:rPr>
                <w:b/>
                <w:sz w:val="20"/>
                <w:lang w:val="fr-FR"/>
              </w:rPr>
            </w:pPr>
            <w:r w:rsidRPr="00577EB1">
              <w:rPr>
                <w:b/>
                <w:sz w:val="20"/>
                <w:lang w:val="fr-FR"/>
              </w:rPr>
              <w:t>Bailleurs de fonds (%)</w:t>
            </w:r>
          </w:p>
        </w:tc>
      </w:tr>
      <w:tr w:rsidR="00A66260" w:rsidRPr="00577EB1" w:rsidTr="002E752D">
        <w:trPr>
          <w:trHeight w:val="285"/>
          <w:jc w:val="center"/>
        </w:trPr>
        <w:tc>
          <w:tcPr>
            <w:tcW w:w="4968" w:type="dxa"/>
            <w:tcBorders>
              <w:top w:val="single" w:sz="4" w:space="0" w:color="auto"/>
            </w:tcBorders>
          </w:tcPr>
          <w:p w:rsidR="00A66260" w:rsidRPr="00577EB1" w:rsidRDefault="00A66260" w:rsidP="002E752D">
            <w:pPr>
              <w:keepNext/>
              <w:keepLines/>
              <w:tabs>
                <w:tab w:val="clear" w:pos="709"/>
              </w:tabs>
              <w:spacing w:after="0"/>
              <w:jc w:val="left"/>
              <w:rPr>
                <w:bCs/>
                <w:sz w:val="20"/>
                <w:lang w:val="fr-FR"/>
              </w:rPr>
            </w:pPr>
            <w:r w:rsidRPr="00577EB1">
              <w:rPr>
                <w:bCs/>
                <w:sz w:val="20"/>
                <w:lang w:val="fr-FR"/>
              </w:rPr>
              <w:t>1. Transferts monétaires et quasi-monétaires</w:t>
            </w:r>
          </w:p>
        </w:tc>
        <w:tc>
          <w:tcPr>
            <w:tcW w:w="1235" w:type="dxa"/>
            <w:tcBorders>
              <w:top w:val="single" w:sz="4" w:space="0" w:color="auto"/>
            </w:tcBorders>
            <w:noWrap/>
          </w:tcPr>
          <w:p w:rsidR="00A66260" w:rsidRPr="00577EB1" w:rsidRDefault="00A66260" w:rsidP="002E752D">
            <w:pPr>
              <w:keepNext/>
              <w:keepLines/>
              <w:tabs>
                <w:tab w:val="clear" w:pos="709"/>
              </w:tabs>
              <w:spacing w:after="0"/>
              <w:jc w:val="right"/>
              <w:rPr>
                <w:sz w:val="20"/>
                <w:lang w:val="fr-FR"/>
              </w:rPr>
            </w:pPr>
            <w:r w:rsidRPr="00577EB1">
              <w:rPr>
                <w:sz w:val="20"/>
                <w:lang w:val="fr-FR"/>
              </w:rPr>
              <w:t>n/a</w:t>
            </w:r>
          </w:p>
        </w:tc>
        <w:tc>
          <w:tcPr>
            <w:tcW w:w="1276" w:type="dxa"/>
            <w:tcBorders>
              <w:top w:val="single" w:sz="4" w:space="0" w:color="auto"/>
            </w:tcBorders>
            <w:noWrap/>
          </w:tcPr>
          <w:p w:rsidR="00A66260" w:rsidRPr="00577EB1" w:rsidRDefault="00A66260" w:rsidP="002E752D">
            <w:pPr>
              <w:keepNext/>
              <w:keepLines/>
              <w:tabs>
                <w:tab w:val="clear" w:pos="709"/>
              </w:tabs>
              <w:spacing w:after="0"/>
              <w:jc w:val="right"/>
              <w:rPr>
                <w:sz w:val="20"/>
                <w:lang w:val="fr-FR"/>
              </w:rPr>
            </w:pPr>
            <w:r w:rsidRPr="00577EB1">
              <w:rPr>
                <w:sz w:val="20"/>
                <w:lang w:val="fr-FR"/>
              </w:rPr>
              <w:t>2</w:t>
            </w:r>
          </w:p>
        </w:tc>
      </w:tr>
      <w:tr w:rsidR="00A66260" w:rsidRPr="00577EB1" w:rsidTr="002E752D">
        <w:trPr>
          <w:trHeight w:val="285"/>
          <w:jc w:val="center"/>
        </w:trPr>
        <w:tc>
          <w:tcPr>
            <w:tcW w:w="4968" w:type="dxa"/>
          </w:tcPr>
          <w:p w:rsidR="00A66260" w:rsidRPr="00577EB1" w:rsidRDefault="00A66260" w:rsidP="002E752D">
            <w:pPr>
              <w:keepNext/>
              <w:keepLines/>
              <w:tabs>
                <w:tab w:val="clear" w:pos="709"/>
              </w:tabs>
              <w:spacing w:after="0"/>
              <w:jc w:val="left"/>
              <w:rPr>
                <w:bCs/>
                <w:sz w:val="20"/>
                <w:lang w:val="fr-FR"/>
              </w:rPr>
            </w:pPr>
            <w:r w:rsidRPr="00577EB1">
              <w:rPr>
                <w:bCs/>
                <w:sz w:val="20"/>
                <w:lang w:val="fr-FR"/>
              </w:rPr>
              <w:t>2. Transferts alimentaires</w:t>
            </w:r>
          </w:p>
        </w:tc>
        <w:tc>
          <w:tcPr>
            <w:tcW w:w="1235"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19</w:t>
            </w:r>
          </w:p>
        </w:tc>
        <w:tc>
          <w:tcPr>
            <w:tcW w:w="1276"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92</w:t>
            </w:r>
          </w:p>
        </w:tc>
      </w:tr>
      <w:tr w:rsidR="00A66260" w:rsidRPr="00577EB1" w:rsidTr="002E752D">
        <w:trPr>
          <w:trHeight w:val="285"/>
          <w:jc w:val="center"/>
        </w:trPr>
        <w:tc>
          <w:tcPr>
            <w:tcW w:w="4968" w:type="dxa"/>
          </w:tcPr>
          <w:p w:rsidR="00A66260" w:rsidRPr="00577EB1" w:rsidRDefault="00A66260" w:rsidP="002E752D">
            <w:pPr>
              <w:keepNext/>
              <w:keepLines/>
              <w:tabs>
                <w:tab w:val="clear" w:pos="709"/>
              </w:tabs>
              <w:spacing w:after="0"/>
              <w:ind w:firstLineChars="220" w:firstLine="440"/>
              <w:jc w:val="left"/>
              <w:rPr>
                <w:sz w:val="20"/>
                <w:lang w:val="fr-FR"/>
              </w:rPr>
            </w:pPr>
            <w:r w:rsidRPr="00577EB1">
              <w:rPr>
                <w:sz w:val="20"/>
                <w:lang w:val="fr-FR"/>
              </w:rPr>
              <w:t xml:space="preserve">2.1 Vente ciblée d’aliments à des prix subventionnés </w:t>
            </w:r>
          </w:p>
        </w:tc>
        <w:tc>
          <w:tcPr>
            <w:tcW w:w="1235"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5</w:t>
            </w:r>
          </w:p>
        </w:tc>
        <w:tc>
          <w:tcPr>
            <w:tcW w:w="1276"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n/a</w:t>
            </w:r>
          </w:p>
        </w:tc>
      </w:tr>
      <w:tr w:rsidR="00A66260" w:rsidRPr="00577EB1" w:rsidTr="002E752D">
        <w:trPr>
          <w:trHeight w:val="285"/>
          <w:jc w:val="center"/>
        </w:trPr>
        <w:tc>
          <w:tcPr>
            <w:tcW w:w="4968" w:type="dxa"/>
          </w:tcPr>
          <w:p w:rsidR="00A66260" w:rsidRPr="00577EB1" w:rsidRDefault="00A66260" w:rsidP="002E752D">
            <w:pPr>
              <w:keepNext/>
              <w:keepLines/>
              <w:tabs>
                <w:tab w:val="clear" w:pos="709"/>
              </w:tabs>
              <w:spacing w:after="0"/>
              <w:ind w:firstLineChars="220" w:firstLine="440"/>
              <w:jc w:val="left"/>
              <w:rPr>
                <w:sz w:val="20"/>
                <w:lang w:val="fr-FR"/>
              </w:rPr>
            </w:pPr>
            <w:r w:rsidRPr="00577EB1">
              <w:rPr>
                <w:sz w:val="20"/>
                <w:lang w:val="fr-FR"/>
              </w:rPr>
              <w:t xml:space="preserve">2.2 Distribution ciblée de vivres </w:t>
            </w:r>
          </w:p>
        </w:tc>
        <w:tc>
          <w:tcPr>
            <w:tcW w:w="1235"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0</w:t>
            </w:r>
          </w:p>
        </w:tc>
        <w:tc>
          <w:tcPr>
            <w:tcW w:w="1276"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2</w:t>
            </w:r>
          </w:p>
        </w:tc>
      </w:tr>
      <w:tr w:rsidR="00A66260" w:rsidRPr="00577EB1" w:rsidTr="002E752D">
        <w:trPr>
          <w:trHeight w:val="285"/>
          <w:jc w:val="center"/>
        </w:trPr>
        <w:tc>
          <w:tcPr>
            <w:tcW w:w="4968" w:type="dxa"/>
          </w:tcPr>
          <w:p w:rsidR="00A66260" w:rsidRPr="00577EB1" w:rsidRDefault="00A66260" w:rsidP="002E752D">
            <w:pPr>
              <w:keepNext/>
              <w:keepLines/>
              <w:tabs>
                <w:tab w:val="clear" w:pos="709"/>
              </w:tabs>
              <w:spacing w:after="0"/>
              <w:ind w:firstLineChars="220" w:firstLine="440"/>
              <w:jc w:val="left"/>
              <w:rPr>
                <w:sz w:val="20"/>
                <w:lang w:val="fr-FR"/>
              </w:rPr>
            </w:pPr>
            <w:r w:rsidRPr="00577EB1">
              <w:rPr>
                <w:sz w:val="20"/>
                <w:lang w:val="fr-FR"/>
              </w:rPr>
              <w:t>2.3 Nutrition</w:t>
            </w:r>
          </w:p>
        </w:tc>
        <w:tc>
          <w:tcPr>
            <w:tcW w:w="1235"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1</w:t>
            </w:r>
          </w:p>
        </w:tc>
        <w:tc>
          <w:tcPr>
            <w:tcW w:w="1276"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67</w:t>
            </w:r>
          </w:p>
        </w:tc>
      </w:tr>
      <w:tr w:rsidR="00A66260" w:rsidRPr="00577EB1" w:rsidTr="002E752D">
        <w:trPr>
          <w:trHeight w:val="285"/>
          <w:jc w:val="center"/>
        </w:trPr>
        <w:tc>
          <w:tcPr>
            <w:tcW w:w="4968" w:type="dxa"/>
          </w:tcPr>
          <w:p w:rsidR="00A66260" w:rsidRPr="00577EB1" w:rsidRDefault="00A66260" w:rsidP="002E752D">
            <w:pPr>
              <w:keepNext/>
              <w:keepLines/>
              <w:tabs>
                <w:tab w:val="clear" w:pos="709"/>
              </w:tabs>
              <w:spacing w:after="0"/>
              <w:ind w:firstLineChars="220" w:firstLine="440"/>
              <w:jc w:val="left"/>
              <w:rPr>
                <w:sz w:val="20"/>
                <w:lang w:val="fr-FR"/>
              </w:rPr>
            </w:pPr>
            <w:r w:rsidRPr="00577EB1">
              <w:rPr>
                <w:sz w:val="20"/>
                <w:lang w:val="fr-FR"/>
              </w:rPr>
              <w:t>2.4 Cantine scolaire</w:t>
            </w:r>
          </w:p>
        </w:tc>
        <w:tc>
          <w:tcPr>
            <w:tcW w:w="1235"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13</w:t>
            </w:r>
          </w:p>
        </w:tc>
        <w:tc>
          <w:tcPr>
            <w:tcW w:w="1276"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23</w:t>
            </w:r>
          </w:p>
        </w:tc>
      </w:tr>
      <w:tr w:rsidR="00A66260" w:rsidRPr="00577EB1" w:rsidTr="002E752D">
        <w:trPr>
          <w:trHeight w:val="285"/>
          <w:jc w:val="center"/>
        </w:trPr>
        <w:tc>
          <w:tcPr>
            <w:tcW w:w="4968" w:type="dxa"/>
          </w:tcPr>
          <w:p w:rsidR="00A66260" w:rsidRPr="00577EB1" w:rsidRDefault="00A66260" w:rsidP="002E752D">
            <w:pPr>
              <w:keepNext/>
              <w:keepLines/>
              <w:tabs>
                <w:tab w:val="clear" w:pos="709"/>
              </w:tabs>
              <w:spacing w:after="0"/>
              <w:jc w:val="left"/>
              <w:rPr>
                <w:bCs/>
                <w:sz w:val="20"/>
                <w:lang w:val="fr-FR"/>
              </w:rPr>
            </w:pPr>
            <w:r w:rsidRPr="00577EB1">
              <w:rPr>
                <w:bCs/>
                <w:sz w:val="20"/>
                <w:lang w:val="fr-FR"/>
              </w:rPr>
              <w:t xml:space="preserve">3. Subventions universelles </w:t>
            </w:r>
          </w:p>
        </w:tc>
        <w:tc>
          <w:tcPr>
            <w:tcW w:w="1235"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77</w:t>
            </w:r>
          </w:p>
        </w:tc>
        <w:tc>
          <w:tcPr>
            <w:tcW w:w="1276"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0</w:t>
            </w:r>
          </w:p>
        </w:tc>
      </w:tr>
      <w:tr w:rsidR="00A66260" w:rsidRPr="00577EB1" w:rsidTr="002E752D">
        <w:trPr>
          <w:trHeight w:val="285"/>
          <w:jc w:val="center"/>
        </w:trPr>
        <w:tc>
          <w:tcPr>
            <w:tcW w:w="4968" w:type="dxa"/>
          </w:tcPr>
          <w:p w:rsidR="00A66260" w:rsidRPr="00577EB1" w:rsidRDefault="00A66260" w:rsidP="002E752D">
            <w:pPr>
              <w:keepNext/>
              <w:keepLines/>
              <w:tabs>
                <w:tab w:val="clear" w:pos="709"/>
              </w:tabs>
              <w:spacing w:after="0"/>
              <w:ind w:firstLineChars="200" w:firstLine="400"/>
              <w:jc w:val="left"/>
              <w:rPr>
                <w:sz w:val="20"/>
                <w:lang w:val="fr-FR"/>
              </w:rPr>
            </w:pPr>
            <w:r w:rsidRPr="00577EB1">
              <w:rPr>
                <w:sz w:val="20"/>
                <w:lang w:val="fr-FR"/>
              </w:rPr>
              <w:t xml:space="preserve">3.1 Subventions universelles des produits alimentaires </w:t>
            </w:r>
          </w:p>
        </w:tc>
        <w:tc>
          <w:tcPr>
            <w:tcW w:w="1235"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13</w:t>
            </w:r>
          </w:p>
        </w:tc>
        <w:tc>
          <w:tcPr>
            <w:tcW w:w="1276"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0</w:t>
            </w:r>
          </w:p>
        </w:tc>
      </w:tr>
      <w:tr w:rsidR="00A66260" w:rsidRPr="00577EB1" w:rsidTr="002E752D">
        <w:trPr>
          <w:trHeight w:val="285"/>
          <w:jc w:val="center"/>
        </w:trPr>
        <w:tc>
          <w:tcPr>
            <w:tcW w:w="4968" w:type="dxa"/>
          </w:tcPr>
          <w:p w:rsidR="00A66260" w:rsidRPr="00577EB1" w:rsidRDefault="00A66260" w:rsidP="002E752D">
            <w:pPr>
              <w:keepNext/>
              <w:keepLines/>
              <w:tabs>
                <w:tab w:val="clear" w:pos="709"/>
              </w:tabs>
              <w:spacing w:after="0"/>
              <w:ind w:firstLineChars="200" w:firstLine="400"/>
              <w:jc w:val="left"/>
              <w:rPr>
                <w:sz w:val="20"/>
                <w:lang w:val="fr-FR"/>
              </w:rPr>
            </w:pPr>
            <w:r w:rsidRPr="00577EB1">
              <w:rPr>
                <w:sz w:val="20"/>
                <w:lang w:val="fr-FR"/>
              </w:rPr>
              <w:t>3.2 Subventions universelles des produits pétroliers</w:t>
            </w:r>
          </w:p>
        </w:tc>
        <w:tc>
          <w:tcPr>
            <w:tcW w:w="1235"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65</w:t>
            </w:r>
          </w:p>
        </w:tc>
        <w:tc>
          <w:tcPr>
            <w:tcW w:w="1276"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0</w:t>
            </w:r>
          </w:p>
        </w:tc>
      </w:tr>
      <w:tr w:rsidR="00A66260" w:rsidRPr="00577EB1" w:rsidTr="002E752D">
        <w:trPr>
          <w:trHeight w:val="285"/>
          <w:jc w:val="center"/>
        </w:trPr>
        <w:tc>
          <w:tcPr>
            <w:tcW w:w="4968" w:type="dxa"/>
          </w:tcPr>
          <w:p w:rsidR="00A66260" w:rsidRPr="00577EB1" w:rsidRDefault="00A66260" w:rsidP="002E752D">
            <w:pPr>
              <w:keepNext/>
              <w:keepLines/>
              <w:tabs>
                <w:tab w:val="clear" w:pos="709"/>
              </w:tabs>
              <w:spacing w:after="0"/>
              <w:jc w:val="left"/>
              <w:rPr>
                <w:bCs/>
                <w:sz w:val="20"/>
                <w:lang w:val="fr-FR"/>
              </w:rPr>
            </w:pPr>
            <w:r w:rsidRPr="00577EB1">
              <w:rPr>
                <w:bCs/>
                <w:sz w:val="20"/>
                <w:lang w:val="fr-FR"/>
              </w:rPr>
              <w:t>4. Travaux publics</w:t>
            </w:r>
          </w:p>
        </w:tc>
        <w:tc>
          <w:tcPr>
            <w:tcW w:w="1235"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n/a</w:t>
            </w:r>
          </w:p>
        </w:tc>
        <w:tc>
          <w:tcPr>
            <w:tcW w:w="1276"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6</w:t>
            </w:r>
          </w:p>
        </w:tc>
      </w:tr>
      <w:tr w:rsidR="00A66260" w:rsidRPr="00577EB1" w:rsidTr="002E752D">
        <w:trPr>
          <w:trHeight w:val="285"/>
          <w:jc w:val="center"/>
        </w:trPr>
        <w:tc>
          <w:tcPr>
            <w:tcW w:w="4968" w:type="dxa"/>
          </w:tcPr>
          <w:p w:rsidR="00A66260" w:rsidRPr="00577EB1" w:rsidRDefault="00A66260" w:rsidP="002E752D">
            <w:pPr>
              <w:keepNext/>
              <w:keepLines/>
              <w:tabs>
                <w:tab w:val="clear" w:pos="709"/>
              </w:tabs>
              <w:spacing w:after="0"/>
              <w:jc w:val="left"/>
              <w:rPr>
                <w:bCs/>
                <w:sz w:val="20"/>
                <w:lang w:val="fr-FR"/>
              </w:rPr>
            </w:pPr>
            <w:r w:rsidRPr="00577EB1">
              <w:rPr>
                <w:bCs/>
                <w:sz w:val="20"/>
                <w:lang w:val="fr-FR"/>
              </w:rPr>
              <w:t>5. Exemption des frais (santé)</w:t>
            </w:r>
          </w:p>
        </w:tc>
        <w:tc>
          <w:tcPr>
            <w:tcW w:w="1235"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3</w:t>
            </w:r>
          </w:p>
        </w:tc>
        <w:tc>
          <w:tcPr>
            <w:tcW w:w="1276" w:type="dxa"/>
            <w:noWrap/>
          </w:tcPr>
          <w:p w:rsidR="00A66260" w:rsidRPr="00577EB1" w:rsidRDefault="00A66260" w:rsidP="002E752D">
            <w:pPr>
              <w:keepNext/>
              <w:keepLines/>
              <w:tabs>
                <w:tab w:val="clear" w:pos="709"/>
              </w:tabs>
              <w:spacing w:after="0"/>
              <w:jc w:val="right"/>
              <w:rPr>
                <w:sz w:val="20"/>
                <w:lang w:val="fr-FR"/>
              </w:rPr>
            </w:pPr>
            <w:r w:rsidRPr="00577EB1">
              <w:rPr>
                <w:sz w:val="20"/>
                <w:lang w:val="fr-FR"/>
              </w:rPr>
              <w:t>40</w:t>
            </w:r>
          </w:p>
        </w:tc>
      </w:tr>
      <w:tr w:rsidR="00A66260" w:rsidRPr="00577EB1" w:rsidTr="002E752D">
        <w:trPr>
          <w:trHeight w:val="285"/>
          <w:jc w:val="center"/>
        </w:trPr>
        <w:tc>
          <w:tcPr>
            <w:tcW w:w="4968" w:type="dxa"/>
          </w:tcPr>
          <w:p w:rsidR="00A66260" w:rsidRPr="00577EB1" w:rsidRDefault="00A66260" w:rsidP="002E752D">
            <w:pPr>
              <w:keepNext/>
              <w:keepLines/>
              <w:tabs>
                <w:tab w:val="clear" w:pos="709"/>
              </w:tabs>
              <w:spacing w:after="0"/>
              <w:jc w:val="left"/>
              <w:rPr>
                <w:sz w:val="20"/>
                <w:lang w:val="fr-FR"/>
              </w:rPr>
            </w:pPr>
          </w:p>
        </w:tc>
        <w:tc>
          <w:tcPr>
            <w:tcW w:w="1235" w:type="dxa"/>
            <w:noWrap/>
          </w:tcPr>
          <w:p w:rsidR="00A66260" w:rsidRPr="00577EB1" w:rsidRDefault="00A66260" w:rsidP="002E752D">
            <w:pPr>
              <w:keepNext/>
              <w:keepLines/>
              <w:tabs>
                <w:tab w:val="clear" w:pos="709"/>
              </w:tabs>
              <w:spacing w:after="0"/>
              <w:jc w:val="right"/>
              <w:rPr>
                <w:sz w:val="20"/>
                <w:lang w:val="fr-FR"/>
              </w:rPr>
            </w:pPr>
          </w:p>
        </w:tc>
        <w:tc>
          <w:tcPr>
            <w:tcW w:w="1276" w:type="dxa"/>
            <w:noWrap/>
          </w:tcPr>
          <w:p w:rsidR="00A66260" w:rsidRPr="00577EB1" w:rsidRDefault="00A66260" w:rsidP="002E752D">
            <w:pPr>
              <w:keepNext/>
              <w:keepLines/>
              <w:tabs>
                <w:tab w:val="clear" w:pos="709"/>
              </w:tabs>
              <w:spacing w:after="0"/>
              <w:jc w:val="right"/>
              <w:rPr>
                <w:sz w:val="20"/>
                <w:lang w:val="fr-FR"/>
              </w:rPr>
            </w:pPr>
          </w:p>
        </w:tc>
      </w:tr>
      <w:tr w:rsidR="00A66260" w:rsidRPr="00577EB1" w:rsidTr="002E752D">
        <w:trPr>
          <w:trHeight w:val="285"/>
          <w:jc w:val="center"/>
        </w:trPr>
        <w:tc>
          <w:tcPr>
            <w:tcW w:w="4968" w:type="dxa"/>
            <w:tcBorders>
              <w:bottom w:val="single" w:sz="4" w:space="0" w:color="auto"/>
            </w:tcBorders>
          </w:tcPr>
          <w:p w:rsidR="00A66260" w:rsidRPr="00577EB1" w:rsidRDefault="00A66260" w:rsidP="002E752D">
            <w:pPr>
              <w:keepNext/>
              <w:keepLines/>
              <w:tabs>
                <w:tab w:val="clear" w:pos="709"/>
              </w:tabs>
              <w:spacing w:after="0"/>
              <w:jc w:val="left"/>
              <w:rPr>
                <w:sz w:val="20"/>
                <w:lang w:val="fr-FR"/>
              </w:rPr>
            </w:pPr>
            <w:r w:rsidRPr="00577EB1">
              <w:rPr>
                <w:sz w:val="20"/>
                <w:lang w:val="fr-FR"/>
              </w:rPr>
              <w:t>Total</w:t>
            </w:r>
          </w:p>
        </w:tc>
        <w:tc>
          <w:tcPr>
            <w:tcW w:w="1235" w:type="dxa"/>
            <w:tcBorders>
              <w:bottom w:val="single" w:sz="4" w:space="0" w:color="auto"/>
            </w:tcBorders>
            <w:noWrap/>
          </w:tcPr>
          <w:p w:rsidR="00A66260" w:rsidRPr="00577EB1" w:rsidRDefault="00A66260" w:rsidP="002E752D">
            <w:pPr>
              <w:keepNext/>
              <w:keepLines/>
              <w:tabs>
                <w:tab w:val="clear" w:pos="709"/>
              </w:tabs>
              <w:spacing w:after="0"/>
              <w:jc w:val="right"/>
              <w:rPr>
                <w:sz w:val="20"/>
                <w:lang w:val="fr-FR"/>
              </w:rPr>
            </w:pPr>
            <w:r w:rsidRPr="00577EB1">
              <w:rPr>
                <w:sz w:val="20"/>
                <w:lang w:val="fr-FR"/>
              </w:rPr>
              <w:t>100</w:t>
            </w:r>
          </w:p>
        </w:tc>
        <w:tc>
          <w:tcPr>
            <w:tcW w:w="1276" w:type="dxa"/>
            <w:tcBorders>
              <w:bottom w:val="single" w:sz="4" w:space="0" w:color="auto"/>
            </w:tcBorders>
            <w:noWrap/>
          </w:tcPr>
          <w:p w:rsidR="00A66260" w:rsidRPr="00577EB1" w:rsidRDefault="00A66260" w:rsidP="002E752D">
            <w:pPr>
              <w:keepNext/>
              <w:keepLines/>
              <w:tabs>
                <w:tab w:val="clear" w:pos="709"/>
              </w:tabs>
              <w:spacing w:after="0"/>
              <w:jc w:val="right"/>
              <w:rPr>
                <w:sz w:val="20"/>
                <w:lang w:val="fr-FR"/>
              </w:rPr>
            </w:pPr>
            <w:r w:rsidRPr="00577EB1">
              <w:rPr>
                <w:sz w:val="20"/>
                <w:lang w:val="fr-FR"/>
              </w:rPr>
              <w:t>100</w:t>
            </w:r>
          </w:p>
        </w:tc>
      </w:tr>
    </w:tbl>
    <w:p w:rsidR="004B3541" w:rsidRDefault="00A66260">
      <w:pPr>
        <w:keepLines/>
        <w:autoSpaceDE w:val="0"/>
        <w:autoSpaceDN w:val="0"/>
        <w:adjustRightInd w:val="0"/>
        <w:spacing w:before="120" w:after="480"/>
        <w:ind w:left="851"/>
        <w:jc w:val="left"/>
        <w:rPr>
          <w:i/>
          <w:sz w:val="20"/>
          <w:szCs w:val="24"/>
          <w:lang w:val="fr-FR"/>
        </w:rPr>
      </w:pPr>
      <w:r w:rsidRPr="00577EB1">
        <w:rPr>
          <w:i/>
          <w:sz w:val="20"/>
          <w:szCs w:val="24"/>
          <w:lang w:val="fr-FR"/>
        </w:rPr>
        <w:t xml:space="preserve">Source: </w:t>
      </w:r>
      <w:r w:rsidRPr="00577EB1">
        <w:rPr>
          <w:sz w:val="20"/>
          <w:szCs w:val="24"/>
          <w:lang w:val="fr-FR"/>
        </w:rPr>
        <w:t>Auteurs.</w:t>
      </w:r>
    </w:p>
    <w:p w:rsidR="00A66260" w:rsidRPr="00577EB1" w:rsidRDefault="005738FE" w:rsidP="00A66260">
      <w:pPr>
        <w:pStyle w:val="Heading9"/>
      </w:pPr>
      <w:bookmarkStart w:id="108" w:name="_Toc262170076"/>
      <w:bookmarkStart w:id="109" w:name="_Toc269723977"/>
      <w:bookmarkStart w:id="110" w:name="_Toc269724017"/>
      <w:bookmarkStart w:id="111" w:name="_Toc269724123"/>
      <w:bookmarkStart w:id="112" w:name="_Toc284613564"/>
      <w:r w:rsidRPr="005738FE">
        <w:t xml:space="preserve">Encadré </w:t>
      </w:r>
      <w:r w:rsidR="00725419">
        <w:fldChar w:fldCharType="begin"/>
      </w:r>
      <w:r w:rsidRPr="005738FE">
        <w:instrText xml:space="preserve"> SEQ Encadré \* ARABIC </w:instrText>
      </w:r>
      <w:r w:rsidR="00725419">
        <w:fldChar w:fldCharType="separate"/>
      </w:r>
      <w:r w:rsidR="00EF56B2">
        <w:rPr>
          <w:noProof/>
        </w:rPr>
        <w:t>4</w:t>
      </w:r>
      <w:r w:rsidR="00725419">
        <w:fldChar w:fldCharType="end"/>
      </w:r>
      <w:r w:rsidR="00837FC9">
        <w:t> :</w:t>
      </w:r>
      <w:r w:rsidR="0007340F">
        <w:t xml:space="preserve"> </w:t>
      </w:r>
      <w:r w:rsidR="00A66260" w:rsidRPr="00577EB1">
        <w:t>Problèmes de gestion budgétaire au Burkina Faso</w:t>
      </w:r>
      <w:bookmarkEnd w:id="108"/>
      <w:bookmarkEnd w:id="109"/>
      <w:bookmarkEnd w:id="110"/>
      <w:bookmarkEnd w:id="111"/>
      <w:bookmarkEnd w:id="11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5"/>
      </w:tblGrid>
      <w:tr w:rsidR="00A66260" w:rsidRPr="000A70E6" w:rsidTr="002E752D">
        <w:tc>
          <w:tcPr>
            <w:tcW w:w="5000" w:type="pct"/>
          </w:tcPr>
          <w:p w:rsidR="00A66260" w:rsidRPr="00577EB1" w:rsidRDefault="00A66260" w:rsidP="002E752D">
            <w:pPr>
              <w:spacing w:before="120" w:after="120"/>
              <w:rPr>
                <w:sz w:val="20"/>
                <w:szCs w:val="20"/>
                <w:lang w:val="fr-FR"/>
              </w:rPr>
            </w:pPr>
            <w:r w:rsidRPr="00577EB1">
              <w:rPr>
                <w:b/>
                <w:sz w:val="20"/>
                <w:szCs w:val="20"/>
                <w:lang w:val="fr-FR"/>
              </w:rPr>
              <w:t>Indépendamment du niveau de financement des filets sociaux, des problèmes de décaissement des fonds, de suivi, de surveillance, d’évaluation et de redevabilité ont été évoqués dans d’autres rapports</w:t>
            </w:r>
            <w:r w:rsidRPr="00577EB1">
              <w:rPr>
                <w:sz w:val="20"/>
                <w:szCs w:val="20"/>
                <w:lang w:val="fr-FR"/>
              </w:rPr>
              <w:t xml:space="preserve">. Le décaissement des fonds publics est entravé par la lenteur et l’extrême longueur d’un processus marqué par de multiples contrôles </w:t>
            </w:r>
            <w:r w:rsidRPr="00577EB1">
              <w:rPr>
                <w:i/>
                <w:sz w:val="20"/>
                <w:szCs w:val="20"/>
                <w:lang w:val="fr-FR"/>
              </w:rPr>
              <w:t>ex-ante</w:t>
            </w:r>
            <w:r w:rsidRPr="00577EB1">
              <w:rPr>
                <w:sz w:val="20"/>
                <w:szCs w:val="20"/>
                <w:lang w:val="fr-FR"/>
              </w:rPr>
              <w:t>, en partie responsable des taux d’exécution irréguliers, même s’il s’améliore. C, comme le montre le tableau ci-dessous, pour le ministère de la Santé, le ministère de l’enseignement fondamental et le ministère de l’Action sociale et de la Solidarité nationale. Les problèmes de décaissement semblent aussi prévaloir dans le cas du budget complémentaire de 2009 comprenant 25,7 milliards de francs CFA de mesures sociales, dont 8,4 milliards non encore décaissés en avril 2010. Il est intéressant de noter en particulier la lenteur des décaissements sur les investissements financés par des ressources extérieures, avec une moyenne d’un peu plus de 60 % entre 2004 et 2008. Il s’agit là d’une préoccupation importante dans les secteurs tels que les filets sociaux où le financement extérieur domine largement.</w:t>
            </w:r>
          </w:p>
          <w:p w:rsidR="00A66260" w:rsidRPr="00577EB1" w:rsidRDefault="00A66260" w:rsidP="002E752D">
            <w:pPr>
              <w:pStyle w:val="Caption"/>
              <w:keepNext/>
              <w:keepLines/>
              <w:spacing w:before="0" w:after="0"/>
              <w:outlineLvl w:val="1"/>
              <w:rPr>
                <w:sz w:val="18"/>
                <w:lang w:val="fr-FR"/>
              </w:rPr>
            </w:pPr>
            <w:r w:rsidRPr="00577EB1">
              <w:rPr>
                <w:sz w:val="18"/>
                <w:lang w:val="fr-FR"/>
              </w:rPr>
              <w:t>Taux d’exécution budgétaire 2004-2008</w:t>
            </w:r>
          </w:p>
          <w:tbl>
            <w:tblPr>
              <w:tblW w:w="8964" w:type="dxa"/>
              <w:tblInd w:w="108" w:type="dxa"/>
              <w:tblLayout w:type="fixed"/>
              <w:tblLook w:val="04A0"/>
            </w:tblPr>
            <w:tblGrid>
              <w:gridCol w:w="4957"/>
              <w:gridCol w:w="801"/>
              <w:gridCol w:w="801"/>
              <w:gridCol w:w="802"/>
              <w:gridCol w:w="801"/>
              <w:gridCol w:w="802"/>
            </w:tblGrid>
            <w:tr w:rsidR="00A66260" w:rsidRPr="00577EB1" w:rsidTr="002E752D">
              <w:trPr>
                <w:trHeight w:val="300"/>
              </w:trPr>
              <w:tc>
                <w:tcPr>
                  <w:tcW w:w="4957" w:type="dxa"/>
                  <w:tcBorders>
                    <w:top w:val="single" w:sz="4" w:space="0" w:color="auto"/>
                    <w:left w:val="nil"/>
                    <w:bottom w:val="single" w:sz="4" w:space="0" w:color="auto"/>
                    <w:right w:val="nil"/>
                  </w:tcBorders>
                  <w:noWrap/>
                  <w:vAlign w:val="bottom"/>
                </w:tcPr>
                <w:p w:rsidR="00A66260" w:rsidRPr="00577EB1" w:rsidRDefault="00A66260" w:rsidP="002E752D">
                  <w:pPr>
                    <w:keepNext/>
                    <w:keepLines/>
                    <w:tabs>
                      <w:tab w:val="clear" w:pos="709"/>
                    </w:tabs>
                    <w:spacing w:before="240" w:after="0"/>
                    <w:jc w:val="left"/>
                    <w:rPr>
                      <w:sz w:val="18"/>
                      <w:szCs w:val="18"/>
                      <w:lang w:val="fr-FR"/>
                    </w:rPr>
                  </w:pPr>
                </w:p>
              </w:tc>
              <w:tc>
                <w:tcPr>
                  <w:tcW w:w="801" w:type="dxa"/>
                  <w:tcBorders>
                    <w:top w:val="single" w:sz="4" w:space="0" w:color="auto"/>
                    <w:left w:val="nil"/>
                    <w:bottom w:val="single" w:sz="4" w:space="0" w:color="auto"/>
                    <w:right w:val="nil"/>
                  </w:tcBorders>
                  <w:noWrap/>
                  <w:vAlign w:val="bottom"/>
                </w:tcPr>
                <w:p w:rsidR="00A66260" w:rsidRPr="00577EB1" w:rsidRDefault="00A66260" w:rsidP="002E752D">
                  <w:pPr>
                    <w:keepNext/>
                    <w:keepLines/>
                    <w:tabs>
                      <w:tab w:val="clear" w:pos="709"/>
                    </w:tabs>
                    <w:spacing w:after="0"/>
                    <w:jc w:val="right"/>
                    <w:rPr>
                      <w:bCs/>
                      <w:sz w:val="18"/>
                      <w:szCs w:val="18"/>
                      <w:lang w:val="fr-FR"/>
                    </w:rPr>
                  </w:pPr>
                  <w:r w:rsidRPr="00577EB1">
                    <w:rPr>
                      <w:bCs/>
                      <w:sz w:val="18"/>
                      <w:szCs w:val="18"/>
                      <w:lang w:val="fr-FR"/>
                    </w:rPr>
                    <w:t>2004 (%)</w:t>
                  </w:r>
                </w:p>
              </w:tc>
              <w:tc>
                <w:tcPr>
                  <w:tcW w:w="801" w:type="dxa"/>
                  <w:tcBorders>
                    <w:top w:val="single" w:sz="4" w:space="0" w:color="auto"/>
                    <w:left w:val="nil"/>
                    <w:bottom w:val="single" w:sz="4" w:space="0" w:color="auto"/>
                    <w:right w:val="nil"/>
                  </w:tcBorders>
                  <w:noWrap/>
                  <w:vAlign w:val="bottom"/>
                </w:tcPr>
                <w:p w:rsidR="00A66260" w:rsidRPr="00577EB1" w:rsidRDefault="00A66260" w:rsidP="002E752D">
                  <w:pPr>
                    <w:keepNext/>
                    <w:keepLines/>
                    <w:tabs>
                      <w:tab w:val="clear" w:pos="709"/>
                    </w:tabs>
                    <w:spacing w:after="0"/>
                    <w:jc w:val="right"/>
                    <w:rPr>
                      <w:bCs/>
                      <w:sz w:val="18"/>
                      <w:szCs w:val="18"/>
                      <w:lang w:val="fr-FR"/>
                    </w:rPr>
                  </w:pPr>
                  <w:r w:rsidRPr="00577EB1">
                    <w:rPr>
                      <w:bCs/>
                      <w:sz w:val="18"/>
                      <w:szCs w:val="18"/>
                      <w:lang w:val="fr-FR"/>
                    </w:rPr>
                    <w:t>2005 (%)</w:t>
                  </w:r>
                </w:p>
              </w:tc>
              <w:tc>
                <w:tcPr>
                  <w:tcW w:w="802" w:type="dxa"/>
                  <w:tcBorders>
                    <w:top w:val="single" w:sz="4" w:space="0" w:color="auto"/>
                    <w:left w:val="nil"/>
                    <w:bottom w:val="single" w:sz="4" w:space="0" w:color="auto"/>
                    <w:right w:val="nil"/>
                  </w:tcBorders>
                  <w:noWrap/>
                  <w:vAlign w:val="bottom"/>
                </w:tcPr>
                <w:p w:rsidR="00A66260" w:rsidRPr="00577EB1" w:rsidRDefault="00A66260" w:rsidP="002E752D">
                  <w:pPr>
                    <w:keepNext/>
                    <w:keepLines/>
                    <w:tabs>
                      <w:tab w:val="clear" w:pos="709"/>
                    </w:tabs>
                    <w:spacing w:after="0"/>
                    <w:jc w:val="right"/>
                    <w:rPr>
                      <w:bCs/>
                      <w:sz w:val="18"/>
                      <w:szCs w:val="18"/>
                      <w:lang w:val="fr-FR"/>
                    </w:rPr>
                  </w:pPr>
                  <w:r w:rsidRPr="00577EB1">
                    <w:rPr>
                      <w:bCs/>
                      <w:sz w:val="18"/>
                      <w:szCs w:val="18"/>
                      <w:lang w:val="fr-FR"/>
                    </w:rPr>
                    <w:t>2006 (%)</w:t>
                  </w:r>
                </w:p>
              </w:tc>
              <w:tc>
                <w:tcPr>
                  <w:tcW w:w="801" w:type="dxa"/>
                  <w:tcBorders>
                    <w:top w:val="single" w:sz="4" w:space="0" w:color="auto"/>
                    <w:left w:val="nil"/>
                    <w:bottom w:val="single" w:sz="4" w:space="0" w:color="auto"/>
                    <w:right w:val="nil"/>
                  </w:tcBorders>
                  <w:noWrap/>
                  <w:vAlign w:val="bottom"/>
                </w:tcPr>
                <w:p w:rsidR="00A66260" w:rsidRPr="00577EB1" w:rsidRDefault="00A66260" w:rsidP="002E752D">
                  <w:pPr>
                    <w:keepNext/>
                    <w:keepLines/>
                    <w:tabs>
                      <w:tab w:val="clear" w:pos="709"/>
                    </w:tabs>
                    <w:spacing w:after="0"/>
                    <w:jc w:val="right"/>
                    <w:rPr>
                      <w:bCs/>
                      <w:sz w:val="18"/>
                      <w:szCs w:val="18"/>
                      <w:lang w:val="fr-FR"/>
                    </w:rPr>
                  </w:pPr>
                  <w:r w:rsidRPr="00577EB1">
                    <w:rPr>
                      <w:bCs/>
                      <w:sz w:val="18"/>
                      <w:szCs w:val="18"/>
                      <w:lang w:val="fr-FR"/>
                    </w:rPr>
                    <w:t>2007 (%)</w:t>
                  </w:r>
                </w:p>
              </w:tc>
              <w:tc>
                <w:tcPr>
                  <w:tcW w:w="802" w:type="dxa"/>
                  <w:tcBorders>
                    <w:top w:val="single" w:sz="4" w:space="0" w:color="auto"/>
                    <w:left w:val="nil"/>
                    <w:bottom w:val="single" w:sz="4" w:space="0" w:color="auto"/>
                    <w:right w:val="nil"/>
                  </w:tcBorders>
                  <w:noWrap/>
                  <w:vAlign w:val="bottom"/>
                </w:tcPr>
                <w:p w:rsidR="00A66260" w:rsidRPr="00577EB1" w:rsidRDefault="00A66260" w:rsidP="002E752D">
                  <w:pPr>
                    <w:keepNext/>
                    <w:keepLines/>
                    <w:tabs>
                      <w:tab w:val="clear" w:pos="709"/>
                    </w:tabs>
                    <w:spacing w:after="0"/>
                    <w:jc w:val="right"/>
                    <w:rPr>
                      <w:bCs/>
                      <w:sz w:val="18"/>
                      <w:szCs w:val="18"/>
                      <w:lang w:val="fr-FR"/>
                    </w:rPr>
                  </w:pPr>
                  <w:r w:rsidRPr="00577EB1">
                    <w:rPr>
                      <w:bCs/>
                      <w:sz w:val="18"/>
                      <w:szCs w:val="18"/>
                      <w:lang w:val="fr-FR"/>
                    </w:rPr>
                    <w:t>2008 (%)</w:t>
                  </w:r>
                </w:p>
              </w:tc>
            </w:tr>
            <w:tr w:rsidR="00A66260" w:rsidRPr="00577EB1" w:rsidTr="002E752D">
              <w:trPr>
                <w:trHeight w:val="300"/>
              </w:trPr>
              <w:tc>
                <w:tcPr>
                  <w:tcW w:w="4957" w:type="dxa"/>
                  <w:tcBorders>
                    <w:top w:val="single" w:sz="4" w:space="0" w:color="auto"/>
                    <w:left w:val="nil"/>
                    <w:bottom w:val="nil"/>
                    <w:right w:val="nil"/>
                  </w:tcBorders>
                  <w:noWrap/>
                </w:tcPr>
                <w:p w:rsidR="00A66260" w:rsidRPr="00577EB1" w:rsidRDefault="00A66260" w:rsidP="002E752D">
                  <w:pPr>
                    <w:keepNext/>
                    <w:keepLines/>
                    <w:tabs>
                      <w:tab w:val="clear" w:pos="709"/>
                    </w:tabs>
                    <w:spacing w:before="40" w:after="40"/>
                    <w:jc w:val="left"/>
                    <w:rPr>
                      <w:sz w:val="18"/>
                      <w:szCs w:val="18"/>
                      <w:lang w:val="fr-FR"/>
                    </w:rPr>
                  </w:pPr>
                  <w:r w:rsidRPr="00577EB1">
                    <w:rPr>
                      <w:sz w:val="18"/>
                      <w:szCs w:val="18"/>
                      <w:lang w:val="fr-FR"/>
                    </w:rPr>
                    <w:t>Budget total (y compris financement extérieur et PPTE)</w:t>
                  </w:r>
                </w:p>
              </w:tc>
              <w:tc>
                <w:tcPr>
                  <w:tcW w:w="801" w:type="dxa"/>
                  <w:tcBorders>
                    <w:top w:val="single" w:sz="4" w:space="0" w:color="auto"/>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95</w:t>
                  </w:r>
                </w:p>
              </w:tc>
              <w:tc>
                <w:tcPr>
                  <w:tcW w:w="801" w:type="dxa"/>
                  <w:tcBorders>
                    <w:top w:val="single" w:sz="4" w:space="0" w:color="auto"/>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93</w:t>
                  </w:r>
                </w:p>
              </w:tc>
              <w:tc>
                <w:tcPr>
                  <w:tcW w:w="802" w:type="dxa"/>
                  <w:tcBorders>
                    <w:top w:val="single" w:sz="4" w:space="0" w:color="auto"/>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96</w:t>
                  </w:r>
                </w:p>
              </w:tc>
              <w:tc>
                <w:tcPr>
                  <w:tcW w:w="801" w:type="dxa"/>
                  <w:tcBorders>
                    <w:top w:val="single" w:sz="4" w:space="0" w:color="auto"/>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98</w:t>
                  </w:r>
                </w:p>
              </w:tc>
              <w:tc>
                <w:tcPr>
                  <w:tcW w:w="802" w:type="dxa"/>
                  <w:tcBorders>
                    <w:top w:val="single" w:sz="4" w:space="0" w:color="auto"/>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97</w:t>
                  </w:r>
                </w:p>
              </w:tc>
            </w:tr>
            <w:tr w:rsidR="00A66260" w:rsidRPr="00577EB1" w:rsidTr="002E752D">
              <w:trPr>
                <w:trHeight w:val="300"/>
              </w:trPr>
              <w:tc>
                <w:tcPr>
                  <w:tcW w:w="4957" w:type="dxa"/>
                  <w:tcBorders>
                    <w:top w:val="nil"/>
                    <w:left w:val="nil"/>
                    <w:bottom w:val="nil"/>
                    <w:right w:val="nil"/>
                  </w:tcBorders>
                  <w:noWrap/>
                </w:tcPr>
                <w:p w:rsidR="00A66260" w:rsidRPr="00577EB1" w:rsidRDefault="00A66260" w:rsidP="002E752D">
                  <w:pPr>
                    <w:keepNext/>
                    <w:keepLines/>
                    <w:tabs>
                      <w:tab w:val="clear" w:pos="709"/>
                    </w:tabs>
                    <w:spacing w:before="40" w:after="40"/>
                    <w:jc w:val="left"/>
                    <w:rPr>
                      <w:sz w:val="18"/>
                      <w:szCs w:val="18"/>
                      <w:lang w:val="fr-FR"/>
                    </w:rPr>
                  </w:pPr>
                  <w:r w:rsidRPr="00577EB1">
                    <w:rPr>
                      <w:sz w:val="18"/>
                      <w:szCs w:val="18"/>
                      <w:lang w:val="fr-FR"/>
                    </w:rPr>
                    <w:t>Budget d’investissement total financé par des ressources extérieures</w:t>
                  </w:r>
                </w:p>
              </w:tc>
              <w:tc>
                <w:tcPr>
                  <w:tcW w:w="801" w:type="dxa"/>
                  <w:tcBorders>
                    <w:top w:val="nil"/>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66</w:t>
                  </w:r>
                </w:p>
              </w:tc>
              <w:tc>
                <w:tcPr>
                  <w:tcW w:w="801" w:type="dxa"/>
                  <w:tcBorders>
                    <w:top w:val="nil"/>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60</w:t>
                  </w:r>
                </w:p>
              </w:tc>
              <w:tc>
                <w:tcPr>
                  <w:tcW w:w="802" w:type="dxa"/>
                  <w:tcBorders>
                    <w:top w:val="nil"/>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70</w:t>
                  </w:r>
                </w:p>
              </w:tc>
              <w:tc>
                <w:tcPr>
                  <w:tcW w:w="801" w:type="dxa"/>
                  <w:tcBorders>
                    <w:top w:val="nil"/>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74</w:t>
                  </w:r>
                </w:p>
              </w:tc>
              <w:tc>
                <w:tcPr>
                  <w:tcW w:w="802" w:type="dxa"/>
                  <w:tcBorders>
                    <w:top w:val="nil"/>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43</w:t>
                  </w:r>
                </w:p>
              </w:tc>
            </w:tr>
            <w:tr w:rsidR="00A66260" w:rsidRPr="00577EB1" w:rsidTr="002E752D">
              <w:trPr>
                <w:trHeight w:val="300"/>
              </w:trPr>
              <w:tc>
                <w:tcPr>
                  <w:tcW w:w="4957" w:type="dxa"/>
                  <w:tcBorders>
                    <w:top w:val="nil"/>
                    <w:left w:val="nil"/>
                    <w:bottom w:val="nil"/>
                    <w:right w:val="nil"/>
                  </w:tcBorders>
                  <w:noWrap/>
                </w:tcPr>
                <w:p w:rsidR="00A66260" w:rsidRPr="00577EB1" w:rsidRDefault="00A66260" w:rsidP="002E752D">
                  <w:pPr>
                    <w:keepNext/>
                    <w:keepLines/>
                    <w:tabs>
                      <w:tab w:val="clear" w:pos="709"/>
                    </w:tabs>
                    <w:spacing w:before="40" w:after="40"/>
                    <w:jc w:val="left"/>
                    <w:rPr>
                      <w:sz w:val="18"/>
                      <w:szCs w:val="18"/>
                      <w:lang w:val="fr-FR"/>
                    </w:rPr>
                  </w:pPr>
                  <w:r w:rsidRPr="00577EB1">
                    <w:rPr>
                      <w:sz w:val="18"/>
                      <w:szCs w:val="18"/>
                      <w:lang w:val="fr-FR"/>
                    </w:rPr>
                    <w:t>Ministère de l’Enseignement fondamental et de</w:t>
                  </w:r>
                  <w:r w:rsidR="0007340F">
                    <w:rPr>
                      <w:sz w:val="18"/>
                      <w:szCs w:val="18"/>
                      <w:lang w:val="fr-FR"/>
                    </w:rPr>
                    <w:t xml:space="preserve"> </w:t>
                  </w:r>
                  <w:r w:rsidRPr="00577EB1">
                    <w:rPr>
                      <w:sz w:val="18"/>
                      <w:szCs w:val="18"/>
                      <w:lang w:val="fr-FR"/>
                    </w:rPr>
                    <w:t>l’Alphabétisation (y compris financement extérieur et PPTE)</w:t>
                  </w:r>
                </w:p>
              </w:tc>
              <w:tc>
                <w:tcPr>
                  <w:tcW w:w="801" w:type="dxa"/>
                  <w:tcBorders>
                    <w:top w:val="nil"/>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83</w:t>
                  </w:r>
                </w:p>
              </w:tc>
              <w:tc>
                <w:tcPr>
                  <w:tcW w:w="801" w:type="dxa"/>
                  <w:tcBorders>
                    <w:top w:val="nil"/>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78</w:t>
                  </w:r>
                </w:p>
              </w:tc>
              <w:tc>
                <w:tcPr>
                  <w:tcW w:w="802" w:type="dxa"/>
                  <w:tcBorders>
                    <w:top w:val="nil"/>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120</w:t>
                  </w:r>
                </w:p>
              </w:tc>
              <w:tc>
                <w:tcPr>
                  <w:tcW w:w="801" w:type="dxa"/>
                  <w:tcBorders>
                    <w:top w:val="nil"/>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112</w:t>
                  </w:r>
                </w:p>
              </w:tc>
              <w:tc>
                <w:tcPr>
                  <w:tcW w:w="802" w:type="dxa"/>
                  <w:tcBorders>
                    <w:top w:val="nil"/>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93</w:t>
                  </w:r>
                </w:p>
              </w:tc>
            </w:tr>
            <w:tr w:rsidR="00A66260" w:rsidRPr="00577EB1" w:rsidTr="002E752D">
              <w:trPr>
                <w:trHeight w:val="300"/>
              </w:trPr>
              <w:tc>
                <w:tcPr>
                  <w:tcW w:w="4957" w:type="dxa"/>
                  <w:tcBorders>
                    <w:top w:val="nil"/>
                    <w:left w:val="nil"/>
                    <w:bottom w:val="nil"/>
                    <w:right w:val="nil"/>
                  </w:tcBorders>
                  <w:noWrap/>
                </w:tcPr>
                <w:p w:rsidR="00A66260" w:rsidRPr="00577EB1" w:rsidRDefault="00A66260" w:rsidP="002E752D">
                  <w:pPr>
                    <w:keepNext/>
                    <w:keepLines/>
                    <w:tabs>
                      <w:tab w:val="clear" w:pos="709"/>
                    </w:tabs>
                    <w:spacing w:before="40" w:after="40"/>
                    <w:jc w:val="left"/>
                    <w:rPr>
                      <w:sz w:val="18"/>
                      <w:szCs w:val="18"/>
                      <w:lang w:val="fr-FR"/>
                    </w:rPr>
                  </w:pPr>
                  <w:r w:rsidRPr="00577EB1">
                    <w:rPr>
                      <w:sz w:val="18"/>
                      <w:szCs w:val="18"/>
                      <w:lang w:val="fr-FR"/>
                    </w:rPr>
                    <w:t>Ministère de la Santé (y compris financement extérieur et PPTE)</w:t>
                  </w:r>
                </w:p>
              </w:tc>
              <w:tc>
                <w:tcPr>
                  <w:tcW w:w="801" w:type="dxa"/>
                  <w:tcBorders>
                    <w:top w:val="nil"/>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99</w:t>
                  </w:r>
                </w:p>
              </w:tc>
              <w:tc>
                <w:tcPr>
                  <w:tcW w:w="801" w:type="dxa"/>
                  <w:tcBorders>
                    <w:top w:val="nil"/>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100</w:t>
                  </w:r>
                </w:p>
              </w:tc>
              <w:tc>
                <w:tcPr>
                  <w:tcW w:w="802" w:type="dxa"/>
                  <w:tcBorders>
                    <w:top w:val="nil"/>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104</w:t>
                  </w:r>
                </w:p>
              </w:tc>
              <w:tc>
                <w:tcPr>
                  <w:tcW w:w="801" w:type="dxa"/>
                  <w:tcBorders>
                    <w:top w:val="nil"/>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102</w:t>
                  </w:r>
                </w:p>
              </w:tc>
              <w:tc>
                <w:tcPr>
                  <w:tcW w:w="802" w:type="dxa"/>
                  <w:tcBorders>
                    <w:top w:val="nil"/>
                    <w:left w:val="nil"/>
                    <w:bottom w:val="nil"/>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96</w:t>
                  </w:r>
                </w:p>
              </w:tc>
            </w:tr>
            <w:tr w:rsidR="00A66260" w:rsidRPr="000A70E6" w:rsidTr="002E752D">
              <w:trPr>
                <w:trHeight w:val="300"/>
              </w:trPr>
              <w:tc>
                <w:tcPr>
                  <w:tcW w:w="4957" w:type="dxa"/>
                  <w:tcBorders>
                    <w:top w:val="nil"/>
                    <w:left w:val="nil"/>
                    <w:bottom w:val="single" w:sz="4" w:space="0" w:color="auto"/>
                    <w:right w:val="nil"/>
                  </w:tcBorders>
                  <w:noWrap/>
                </w:tcPr>
                <w:p w:rsidR="00A66260" w:rsidRPr="00577EB1" w:rsidRDefault="00A66260" w:rsidP="002E752D">
                  <w:pPr>
                    <w:keepNext/>
                    <w:keepLines/>
                    <w:tabs>
                      <w:tab w:val="clear" w:pos="709"/>
                    </w:tabs>
                    <w:spacing w:before="40" w:after="40"/>
                    <w:jc w:val="left"/>
                    <w:rPr>
                      <w:sz w:val="18"/>
                      <w:szCs w:val="18"/>
                      <w:lang w:val="fr-FR"/>
                    </w:rPr>
                  </w:pPr>
                  <w:r w:rsidRPr="00577EB1">
                    <w:rPr>
                      <w:sz w:val="18"/>
                      <w:szCs w:val="18"/>
                      <w:lang w:val="fr-FR"/>
                    </w:rPr>
                    <w:t>Ministère des Affaires sociales et de la Solidarité nationale (ressources nationales uniquement)</w:t>
                  </w:r>
                </w:p>
              </w:tc>
              <w:tc>
                <w:tcPr>
                  <w:tcW w:w="801" w:type="dxa"/>
                  <w:tcBorders>
                    <w:top w:val="nil"/>
                    <w:left w:val="nil"/>
                    <w:bottom w:val="single" w:sz="4" w:space="0" w:color="auto"/>
                    <w:right w:val="nil"/>
                  </w:tcBorders>
                  <w:noWrap/>
                </w:tcPr>
                <w:p w:rsidR="00A66260" w:rsidRPr="00577EB1" w:rsidRDefault="00A66260" w:rsidP="002E752D">
                  <w:pPr>
                    <w:keepNext/>
                    <w:keepLines/>
                    <w:tabs>
                      <w:tab w:val="clear" w:pos="709"/>
                    </w:tabs>
                    <w:spacing w:before="40" w:after="40"/>
                    <w:jc w:val="right"/>
                    <w:rPr>
                      <w:sz w:val="18"/>
                      <w:szCs w:val="18"/>
                      <w:lang w:val="fr-FR"/>
                    </w:rPr>
                  </w:pPr>
                  <w:r w:rsidRPr="00577EB1">
                    <w:rPr>
                      <w:sz w:val="18"/>
                      <w:szCs w:val="18"/>
                      <w:lang w:val="fr-FR"/>
                    </w:rPr>
                    <w:t>n.d.</w:t>
                  </w:r>
                </w:p>
              </w:tc>
              <w:tc>
                <w:tcPr>
                  <w:tcW w:w="801" w:type="dxa"/>
                  <w:tcBorders>
                    <w:top w:val="nil"/>
                    <w:left w:val="nil"/>
                    <w:bottom w:val="single" w:sz="4" w:space="0" w:color="auto"/>
                    <w:right w:val="nil"/>
                  </w:tcBorders>
                  <w:noWrap/>
                </w:tcPr>
                <w:p w:rsidR="00A66260" w:rsidRPr="00577EB1" w:rsidRDefault="00A66260" w:rsidP="002E752D">
                  <w:pPr>
                    <w:keepNext/>
                    <w:keepLines/>
                    <w:tabs>
                      <w:tab w:val="clear" w:pos="709"/>
                    </w:tabs>
                    <w:spacing w:before="40" w:after="40"/>
                    <w:jc w:val="right"/>
                    <w:rPr>
                      <w:bCs/>
                      <w:sz w:val="18"/>
                      <w:szCs w:val="18"/>
                      <w:lang w:val="fr-FR"/>
                    </w:rPr>
                  </w:pPr>
                  <w:r w:rsidRPr="00577EB1">
                    <w:rPr>
                      <w:bCs/>
                      <w:sz w:val="18"/>
                      <w:szCs w:val="18"/>
                      <w:lang w:val="fr-FR"/>
                    </w:rPr>
                    <w:t>98</w:t>
                  </w:r>
                </w:p>
              </w:tc>
              <w:tc>
                <w:tcPr>
                  <w:tcW w:w="802" w:type="dxa"/>
                  <w:tcBorders>
                    <w:top w:val="nil"/>
                    <w:left w:val="nil"/>
                    <w:bottom w:val="single" w:sz="4" w:space="0" w:color="auto"/>
                    <w:right w:val="nil"/>
                  </w:tcBorders>
                  <w:noWrap/>
                </w:tcPr>
                <w:p w:rsidR="00A66260" w:rsidRPr="00577EB1" w:rsidRDefault="00A66260" w:rsidP="002E752D">
                  <w:pPr>
                    <w:keepNext/>
                    <w:keepLines/>
                    <w:tabs>
                      <w:tab w:val="clear" w:pos="709"/>
                    </w:tabs>
                    <w:spacing w:before="40" w:after="40"/>
                    <w:jc w:val="right"/>
                    <w:rPr>
                      <w:bCs/>
                      <w:sz w:val="18"/>
                      <w:szCs w:val="18"/>
                      <w:lang w:val="fr-FR"/>
                    </w:rPr>
                  </w:pPr>
                  <w:r w:rsidRPr="00577EB1">
                    <w:rPr>
                      <w:bCs/>
                      <w:sz w:val="18"/>
                      <w:szCs w:val="18"/>
                      <w:lang w:val="fr-FR"/>
                    </w:rPr>
                    <w:t>100</w:t>
                  </w:r>
                </w:p>
              </w:tc>
              <w:tc>
                <w:tcPr>
                  <w:tcW w:w="801" w:type="dxa"/>
                  <w:tcBorders>
                    <w:top w:val="nil"/>
                    <w:left w:val="nil"/>
                    <w:bottom w:val="single" w:sz="4" w:space="0" w:color="auto"/>
                    <w:right w:val="nil"/>
                  </w:tcBorders>
                  <w:noWrap/>
                </w:tcPr>
                <w:p w:rsidR="00A66260" w:rsidRPr="00577EB1" w:rsidRDefault="00A66260" w:rsidP="002E752D">
                  <w:pPr>
                    <w:keepNext/>
                    <w:keepLines/>
                    <w:tabs>
                      <w:tab w:val="clear" w:pos="709"/>
                    </w:tabs>
                    <w:spacing w:before="40" w:after="40"/>
                    <w:jc w:val="right"/>
                    <w:rPr>
                      <w:bCs/>
                      <w:sz w:val="18"/>
                      <w:szCs w:val="18"/>
                      <w:lang w:val="fr-FR"/>
                    </w:rPr>
                  </w:pPr>
                  <w:r w:rsidRPr="00577EB1">
                    <w:rPr>
                      <w:bCs/>
                      <w:sz w:val="18"/>
                      <w:szCs w:val="18"/>
                      <w:lang w:val="fr-FR"/>
                    </w:rPr>
                    <w:t>98</w:t>
                  </w:r>
                </w:p>
              </w:tc>
              <w:tc>
                <w:tcPr>
                  <w:tcW w:w="802" w:type="dxa"/>
                  <w:tcBorders>
                    <w:top w:val="nil"/>
                    <w:left w:val="nil"/>
                    <w:bottom w:val="single" w:sz="4" w:space="0" w:color="auto"/>
                    <w:right w:val="nil"/>
                  </w:tcBorders>
                  <w:noWrap/>
                </w:tcPr>
                <w:p w:rsidR="00A66260" w:rsidRPr="00577EB1" w:rsidRDefault="00A66260" w:rsidP="002E752D">
                  <w:pPr>
                    <w:keepNext/>
                    <w:keepLines/>
                    <w:tabs>
                      <w:tab w:val="clear" w:pos="709"/>
                    </w:tabs>
                    <w:spacing w:before="40" w:after="40"/>
                    <w:jc w:val="right"/>
                    <w:rPr>
                      <w:bCs/>
                      <w:sz w:val="18"/>
                      <w:szCs w:val="18"/>
                      <w:lang w:val="fr-FR"/>
                    </w:rPr>
                  </w:pPr>
                  <w:r w:rsidRPr="00577EB1">
                    <w:rPr>
                      <w:bCs/>
                      <w:sz w:val="18"/>
                      <w:szCs w:val="18"/>
                      <w:lang w:val="fr-FR"/>
                    </w:rPr>
                    <w:t>95</w:t>
                  </w:r>
                </w:p>
              </w:tc>
            </w:tr>
          </w:tbl>
          <w:p w:rsidR="00A66260" w:rsidRPr="00577EB1" w:rsidRDefault="00A66260" w:rsidP="002E752D">
            <w:pPr>
              <w:spacing w:before="120" w:after="0"/>
              <w:rPr>
                <w:sz w:val="20"/>
                <w:szCs w:val="20"/>
                <w:lang w:val="fr-FR"/>
              </w:rPr>
            </w:pPr>
            <w:r w:rsidRPr="00577EB1">
              <w:rPr>
                <w:b/>
                <w:sz w:val="20"/>
                <w:szCs w:val="20"/>
                <w:lang w:val="fr-FR"/>
              </w:rPr>
              <w:t xml:space="preserve">La nomenclature budgétaire ne permet pas de suivre les dépenses liées aux filets sociaux, et aucun </w:t>
            </w:r>
            <w:r w:rsidRPr="00577EB1">
              <w:rPr>
                <w:b/>
                <w:sz w:val="20"/>
                <w:szCs w:val="20"/>
                <w:lang w:val="fr-FR"/>
              </w:rPr>
              <w:lastRenderedPageBreak/>
              <w:t>mécanisme n’est actuellement en place pour le suivi des dépenses de protection sociale et de filets sociaux</w:t>
            </w:r>
            <w:r w:rsidRPr="00577EB1">
              <w:rPr>
                <w:sz w:val="20"/>
                <w:szCs w:val="20"/>
                <w:lang w:val="fr-FR"/>
              </w:rPr>
              <w:t>. La nomenclature budgétaire est basée sur la directive de 1998 de l’UEMOA. Même si une nouvelle classification fonctionnelle a été introduite en 2007 (sur la base du Manuel international de statistiques financières), elle ne permet pas de faire la distinction entre les programmes de filets sociaux. Il s’agit d’une responsabilité partagée de différents ministères, y compris de petits ministères comme le MASSN, qui n’ont ni la capacité ni les ressources nécessaires pour suivre et encore moins évaluer les programmes de filets sociaux.</w:t>
            </w:r>
          </w:p>
          <w:p w:rsidR="00A66260" w:rsidRPr="00577EB1" w:rsidRDefault="00A66260" w:rsidP="002E752D">
            <w:pPr>
              <w:spacing w:before="120" w:after="0"/>
              <w:rPr>
                <w:sz w:val="20"/>
                <w:szCs w:val="20"/>
                <w:lang w:val="fr-FR"/>
              </w:rPr>
            </w:pPr>
            <w:r w:rsidRPr="00577EB1">
              <w:rPr>
                <w:b/>
                <w:sz w:val="20"/>
                <w:szCs w:val="20"/>
                <w:lang w:val="fr-FR"/>
              </w:rPr>
              <w:t>Par ailleurs, comme indiqué dans d’autres rapports, les préoccupations fiduciaires restent importantes au Burkina, en raison de la faiblesse des mécanismes de contrôle</w:t>
            </w:r>
            <w:r w:rsidRPr="00577EB1">
              <w:rPr>
                <w:sz w:val="20"/>
                <w:szCs w:val="20"/>
                <w:lang w:val="fr-FR"/>
              </w:rPr>
              <w:t>. Comme mentionné dans l’Examen des dépenses publiques, l’efficience et l’efficacité des contrôles internes réalisés par l’Inspection générale des finances (IGF) et l’Autorité supérieure du contrôle d’État sont affectées par le manque de moyens et, dans le cas de l’IGF, une indépendance insuffisante. La Cour des Comptes, créée en 2000, n’a pas encore réussi à fonctionner au plein de son potentiel à cause de ses ressources limitées et du fait qu’elle dépend du ministère des Finances pour sa dotation en personnel. À l’issue de l’évaluation 2007 des dépenses publiques et de la responsabilité financière (PEFA), la notation du pays en ce qui concerne le contrôle interne des ressources publiques montre que des défis continuent à empêcher la création d’un environnement à faible risque fiduciaire au Burkina.</w:t>
            </w:r>
          </w:p>
          <w:p w:rsidR="00A66260" w:rsidRPr="00577EB1" w:rsidRDefault="00A66260" w:rsidP="002E752D">
            <w:pPr>
              <w:spacing w:after="0"/>
              <w:rPr>
                <w:sz w:val="20"/>
                <w:szCs w:val="20"/>
                <w:lang w:val="fr-FR"/>
              </w:rPr>
            </w:pPr>
          </w:p>
          <w:tbl>
            <w:tblPr>
              <w:tblW w:w="8642" w:type="dxa"/>
              <w:tblBorders>
                <w:top w:val="single" w:sz="4" w:space="0" w:color="auto"/>
                <w:left w:val="single" w:sz="4" w:space="0" w:color="auto"/>
                <w:bottom w:val="single" w:sz="4" w:space="0" w:color="auto"/>
                <w:right w:val="single" w:sz="4" w:space="0" w:color="auto"/>
              </w:tblBorders>
              <w:tblLayout w:type="fixed"/>
              <w:tblCellMar>
                <w:top w:w="227" w:type="dxa"/>
                <w:left w:w="227" w:type="dxa"/>
                <w:bottom w:w="227" w:type="dxa"/>
                <w:right w:w="227" w:type="dxa"/>
              </w:tblCellMar>
              <w:tblLook w:val="01E0"/>
            </w:tblPr>
            <w:tblGrid>
              <w:gridCol w:w="8642"/>
            </w:tblGrid>
            <w:tr w:rsidR="00A66260" w:rsidRPr="000A70E6" w:rsidTr="00837FC9">
              <w:trPr>
                <w:trHeight w:val="3044"/>
              </w:trPr>
              <w:tc>
                <w:tcPr>
                  <w:tcW w:w="8642" w:type="dxa"/>
                  <w:tcBorders>
                    <w:top w:val="single" w:sz="4" w:space="0" w:color="auto"/>
                    <w:left w:val="single" w:sz="4" w:space="0" w:color="auto"/>
                    <w:bottom w:val="single" w:sz="4" w:space="0" w:color="auto"/>
                    <w:right w:val="single" w:sz="4" w:space="0" w:color="auto"/>
                  </w:tcBorders>
                </w:tcPr>
                <w:p w:rsidR="00A66260" w:rsidRPr="00577EB1" w:rsidRDefault="00A66260" w:rsidP="002E752D">
                  <w:pPr>
                    <w:keepNext/>
                    <w:keepLines/>
                    <w:tabs>
                      <w:tab w:val="clear" w:pos="709"/>
                    </w:tabs>
                    <w:autoSpaceDE w:val="0"/>
                    <w:autoSpaceDN w:val="0"/>
                    <w:adjustRightInd w:val="0"/>
                    <w:spacing w:after="120"/>
                    <w:jc w:val="center"/>
                    <w:rPr>
                      <w:b/>
                      <w:sz w:val="18"/>
                      <w:szCs w:val="18"/>
                      <w:lang w:val="fr-FR"/>
                    </w:rPr>
                  </w:pPr>
                  <w:r w:rsidRPr="00577EB1">
                    <w:rPr>
                      <w:b/>
                      <w:sz w:val="18"/>
                      <w:szCs w:val="18"/>
                      <w:lang w:val="fr-FR"/>
                    </w:rPr>
                    <w:t>Contrôle interne des dépenses publiques</w:t>
                  </w:r>
                </w:p>
                <w:p w:rsidR="00A66260" w:rsidRPr="00577EB1" w:rsidRDefault="00A66260" w:rsidP="00E52A30">
                  <w:pPr>
                    <w:pStyle w:val="Paragraphedeliste1"/>
                    <w:keepNext/>
                    <w:keepLines/>
                    <w:numPr>
                      <w:ilvl w:val="0"/>
                      <w:numId w:val="20"/>
                    </w:numPr>
                    <w:tabs>
                      <w:tab w:val="clear" w:pos="709"/>
                    </w:tabs>
                    <w:autoSpaceDE w:val="0"/>
                    <w:autoSpaceDN w:val="0"/>
                    <w:adjustRightInd w:val="0"/>
                    <w:spacing w:after="0"/>
                    <w:ind w:left="0"/>
                    <w:rPr>
                      <w:sz w:val="18"/>
                      <w:szCs w:val="18"/>
                      <w:lang w:val="fr-FR"/>
                    </w:rPr>
                  </w:pPr>
                  <w:r w:rsidRPr="00577EB1">
                    <w:rPr>
                      <w:b/>
                      <w:i/>
                      <w:sz w:val="18"/>
                      <w:szCs w:val="18"/>
                      <w:lang w:val="fr-FR"/>
                    </w:rPr>
                    <w:t>Contrôle du paiement des salaires (note C +)</w:t>
                  </w:r>
                  <w:r w:rsidR="0007340F">
                    <w:rPr>
                      <w:sz w:val="18"/>
                      <w:szCs w:val="18"/>
                      <w:lang w:val="fr-FR"/>
                    </w:rPr>
                    <w:t xml:space="preserve"> </w:t>
                  </w:r>
                  <w:r w:rsidRPr="00577EB1">
                    <w:rPr>
                      <w:sz w:val="18"/>
                      <w:szCs w:val="18"/>
                      <w:lang w:val="fr-FR"/>
                    </w:rPr>
                    <w:t>Même lorsque les dossiers d’emploi et les données des paiements sont bien synchronisés et que les changements sont bien documentés, les retards dans les ajustements de l’emploi ou les rémunérations entraînent de nombreux ajustements rétroactifs</w:t>
                  </w:r>
                  <w:r w:rsidR="0007340F">
                    <w:rPr>
                      <w:sz w:val="18"/>
                      <w:szCs w:val="18"/>
                      <w:lang w:val="fr-FR"/>
                    </w:rPr>
                    <w:t xml:space="preserve"> </w:t>
                  </w:r>
                  <w:r w:rsidRPr="00577EB1">
                    <w:rPr>
                      <w:sz w:val="18"/>
                      <w:szCs w:val="18"/>
                      <w:lang w:val="fr-FR"/>
                    </w:rPr>
                    <w:t>et les vérifications des paiements effectifs sont partielles.</w:t>
                  </w:r>
                </w:p>
                <w:p w:rsidR="00A66260" w:rsidRPr="00577EB1" w:rsidRDefault="00A66260" w:rsidP="00E52A30">
                  <w:pPr>
                    <w:pStyle w:val="Paragraphedeliste1"/>
                    <w:keepNext/>
                    <w:keepLines/>
                    <w:numPr>
                      <w:ilvl w:val="0"/>
                      <w:numId w:val="20"/>
                    </w:numPr>
                    <w:tabs>
                      <w:tab w:val="clear" w:pos="709"/>
                    </w:tabs>
                    <w:autoSpaceDE w:val="0"/>
                    <w:autoSpaceDN w:val="0"/>
                    <w:adjustRightInd w:val="0"/>
                    <w:spacing w:after="0"/>
                    <w:ind w:left="0"/>
                    <w:rPr>
                      <w:sz w:val="18"/>
                      <w:szCs w:val="18"/>
                      <w:lang w:val="fr-FR"/>
                    </w:rPr>
                  </w:pPr>
                  <w:r w:rsidRPr="00577EB1">
                    <w:rPr>
                      <w:b/>
                      <w:i/>
                      <w:sz w:val="18"/>
                      <w:szCs w:val="18"/>
                      <w:lang w:val="fr-FR"/>
                    </w:rPr>
                    <w:t>Contrôle des dépenses non salariales: (Note C +)</w:t>
                  </w:r>
                  <w:r w:rsidR="0007340F">
                    <w:rPr>
                      <w:b/>
                      <w:i/>
                      <w:sz w:val="18"/>
                      <w:szCs w:val="18"/>
                      <w:lang w:val="fr-FR"/>
                    </w:rPr>
                    <w:t xml:space="preserve"> </w:t>
                  </w:r>
                  <w:r w:rsidRPr="00577EB1">
                    <w:rPr>
                      <w:sz w:val="18"/>
                      <w:szCs w:val="18"/>
                      <w:lang w:val="fr-FR"/>
                    </w:rPr>
                    <w:t>Les mécanismes de contrôle des engagements existent, mais ne sont pas exhaustifs. Même si les règles sont généralement bien comprises et appliquées, des simplifications et des procédures d’urgence sont utilisées sans justification, suscitant des inquiétudes par rapport à leur régularité.</w:t>
                  </w:r>
                </w:p>
                <w:p w:rsidR="00A66260" w:rsidRPr="00577EB1" w:rsidRDefault="00A66260" w:rsidP="00E52A30">
                  <w:pPr>
                    <w:pStyle w:val="Paragraphedeliste1"/>
                    <w:keepNext/>
                    <w:keepLines/>
                    <w:numPr>
                      <w:ilvl w:val="0"/>
                      <w:numId w:val="20"/>
                    </w:numPr>
                    <w:tabs>
                      <w:tab w:val="clear" w:pos="709"/>
                    </w:tabs>
                    <w:autoSpaceDE w:val="0"/>
                    <w:autoSpaceDN w:val="0"/>
                    <w:adjustRightInd w:val="0"/>
                    <w:spacing w:after="0"/>
                    <w:ind w:left="0"/>
                    <w:rPr>
                      <w:sz w:val="18"/>
                      <w:szCs w:val="18"/>
                      <w:lang w:val="fr-FR"/>
                    </w:rPr>
                  </w:pPr>
                  <w:r w:rsidRPr="00577EB1">
                    <w:rPr>
                      <w:b/>
                      <w:i/>
                      <w:sz w:val="18"/>
                      <w:szCs w:val="18"/>
                      <w:lang w:val="fr-FR"/>
                    </w:rPr>
                    <w:t>Transparence de la passation des marchés publics (Note C +)</w:t>
                  </w:r>
                  <w:r w:rsidR="0007340F">
                    <w:rPr>
                      <w:sz w:val="18"/>
                      <w:szCs w:val="18"/>
                      <w:lang w:val="fr-FR"/>
                    </w:rPr>
                    <w:t xml:space="preserve"> </w:t>
                  </w:r>
                  <w:r w:rsidRPr="00577EB1">
                    <w:rPr>
                      <w:sz w:val="18"/>
                      <w:szCs w:val="18"/>
                      <w:lang w:val="fr-FR"/>
                    </w:rPr>
                    <w:t>Bien que des mécanismes efficaces soient en place pour les</w:t>
                  </w:r>
                  <w:r w:rsidR="0007340F">
                    <w:rPr>
                      <w:sz w:val="18"/>
                      <w:szCs w:val="18"/>
                      <w:lang w:val="fr-FR"/>
                    </w:rPr>
                    <w:t xml:space="preserve"> </w:t>
                  </w:r>
                  <w:r w:rsidRPr="00577EB1">
                    <w:rPr>
                      <w:sz w:val="18"/>
                      <w:szCs w:val="18"/>
                      <w:lang w:val="fr-FR"/>
                    </w:rPr>
                    <w:t>plaintes, il y a peu d’informations disponibles pour évaluer les processus de passation des marchés, et les justifications du recours à des méthodes moins concurrentielles sont insuffisantes.</w:t>
                  </w:r>
                </w:p>
                <w:p w:rsidR="00A66260" w:rsidRPr="00577EB1" w:rsidRDefault="00A66260" w:rsidP="00E52A30">
                  <w:pPr>
                    <w:pStyle w:val="Paragraphedeliste1"/>
                    <w:keepNext/>
                    <w:keepLines/>
                    <w:numPr>
                      <w:ilvl w:val="0"/>
                      <w:numId w:val="20"/>
                    </w:numPr>
                    <w:tabs>
                      <w:tab w:val="clear" w:pos="709"/>
                    </w:tabs>
                    <w:autoSpaceDE w:val="0"/>
                    <w:autoSpaceDN w:val="0"/>
                    <w:adjustRightInd w:val="0"/>
                    <w:spacing w:after="0"/>
                    <w:ind w:left="0"/>
                    <w:rPr>
                      <w:sz w:val="18"/>
                      <w:szCs w:val="18"/>
                      <w:lang w:val="fr-FR"/>
                    </w:rPr>
                  </w:pPr>
                  <w:r w:rsidRPr="00577EB1">
                    <w:rPr>
                      <w:b/>
                      <w:i/>
                      <w:sz w:val="18"/>
                      <w:szCs w:val="18"/>
                      <w:lang w:val="fr-FR"/>
                    </w:rPr>
                    <w:t>Efficacité des contrôles internes (Note D +)</w:t>
                  </w:r>
                  <w:r w:rsidR="0007340F">
                    <w:rPr>
                      <w:sz w:val="18"/>
                      <w:szCs w:val="18"/>
                      <w:lang w:val="fr-FR"/>
                    </w:rPr>
                    <w:t xml:space="preserve"> </w:t>
                  </w:r>
                  <w:r w:rsidRPr="00577EB1">
                    <w:rPr>
                      <w:sz w:val="18"/>
                      <w:szCs w:val="18"/>
                      <w:lang w:val="fr-FR"/>
                    </w:rPr>
                    <w:t>La couverture des contrôles est partielle et ne répond pas aux normes internationales. En outre, les rapports sont peu nombreux et strictement internes. Les recommandations résultant des contrôles internes sont habituellement ignorées.</w:t>
                  </w:r>
                </w:p>
                <w:p w:rsidR="00A66260" w:rsidRPr="00577EB1" w:rsidRDefault="00A66260" w:rsidP="00E52A30">
                  <w:pPr>
                    <w:pStyle w:val="Paragraphedeliste1"/>
                    <w:keepNext/>
                    <w:keepLines/>
                    <w:numPr>
                      <w:ilvl w:val="0"/>
                      <w:numId w:val="20"/>
                    </w:numPr>
                    <w:tabs>
                      <w:tab w:val="clear" w:pos="709"/>
                    </w:tabs>
                    <w:autoSpaceDE w:val="0"/>
                    <w:autoSpaceDN w:val="0"/>
                    <w:adjustRightInd w:val="0"/>
                    <w:spacing w:after="0"/>
                    <w:ind w:left="0"/>
                    <w:rPr>
                      <w:sz w:val="18"/>
                      <w:szCs w:val="18"/>
                      <w:lang w:val="fr-FR"/>
                    </w:rPr>
                  </w:pPr>
                  <w:r w:rsidRPr="00577EB1">
                    <w:rPr>
                      <w:sz w:val="18"/>
                      <w:szCs w:val="18"/>
                      <w:shd w:val="clear" w:color="auto" w:fill="FFFFFF"/>
                      <w:lang w:val="fr-FR"/>
                    </w:rPr>
                    <w:br/>
                  </w:r>
                  <w:r w:rsidRPr="00577EB1">
                    <w:rPr>
                      <w:sz w:val="18"/>
                      <w:szCs w:val="18"/>
                      <w:lang w:val="fr-FR"/>
                    </w:rPr>
                    <w:t>Note</w:t>
                  </w:r>
                  <w:r w:rsidR="00837FC9">
                    <w:rPr>
                      <w:sz w:val="18"/>
                      <w:szCs w:val="18"/>
                      <w:lang w:val="fr-FR"/>
                    </w:rPr>
                    <w:t> :</w:t>
                  </w:r>
                  <w:r w:rsidR="0007340F">
                    <w:rPr>
                      <w:sz w:val="18"/>
                      <w:szCs w:val="18"/>
                      <w:lang w:val="fr-FR"/>
                    </w:rPr>
                    <w:t xml:space="preserve"> </w:t>
                  </w:r>
                  <w:r w:rsidRPr="00577EB1">
                    <w:rPr>
                      <w:sz w:val="18"/>
                      <w:szCs w:val="18"/>
                      <w:lang w:val="fr-FR"/>
                    </w:rPr>
                    <w:t>Évaluation des dépenses publiques et de la responsabilité financière (2007).</w:t>
                  </w:r>
                </w:p>
                <w:p w:rsidR="00A66260" w:rsidRPr="00577EB1" w:rsidRDefault="00A66260" w:rsidP="00E52A30">
                  <w:pPr>
                    <w:pStyle w:val="Paragraphedeliste1"/>
                    <w:keepNext/>
                    <w:keepLines/>
                    <w:numPr>
                      <w:ilvl w:val="0"/>
                      <w:numId w:val="20"/>
                    </w:numPr>
                    <w:tabs>
                      <w:tab w:val="clear" w:pos="709"/>
                    </w:tabs>
                    <w:autoSpaceDE w:val="0"/>
                    <w:autoSpaceDN w:val="0"/>
                    <w:adjustRightInd w:val="0"/>
                    <w:spacing w:after="0"/>
                    <w:ind w:left="0"/>
                    <w:rPr>
                      <w:sz w:val="18"/>
                      <w:szCs w:val="18"/>
                      <w:lang w:val="fr-FR"/>
                    </w:rPr>
                  </w:pPr>
                  <w:r w:rsidRPr="00577EB1">
                    <w:rPr>
                      <w:sz w:val="18"/>
                      <w:szCs w:val="18"/>
                      <w:lang w:val="fr-FR"/>
                    </w:rPr>
                    <w:t>(Les notes vont de A à D, A étant la meilleure et D la moins bonne)</w:t>
                  </w:r>
                </w:p>
              </w:tc>
            </w:tr>
          </w:tbl>
          <w:p w:rsidR="00A66260" w:rsidRPr="00577EB1" w:rsidRDefault="00A66260" w:rsidP="002E752D">
            <w:pPr>
              <w:keepLines/>
              <w:spacing w:after="120"/>
              <w:rPr>
                <w:sz w:val="16"/>
                <w:szCs w:val="16"/>
                <w:lang w:val="fr-FR"/>
              </w:rPr>
            </w:pPr>
          </w:p>
        </w:tc>
      </w:tr>
    </w:tbl>
    <w:p w:rsidR="004B3541" w:rsidRDefault="00EB214A">
      <w:pPr>
        <w:pStyle w:val="Style3"/>
        <w:spacing w:before="120" w:after="480"/>
        <w:rPr>
          <w:b w:val="0"/>
          <w:sz w:val="32"/>
          <w:lang w:val="fr-FR"/>
        </w:rPr>
      </w:pPr>
      <w:r w:rsidRPr="00EB214A">
        <w:rPr>
          <w:b w:val="0"/>
          <w:i/>
          <w:sz w:val="20"/>
          <w:szCs w:val="16"/>
          <w:lang w:val="fr-FR"/>
        </w:rPr>
        <w:lastRenderedPageBreak/>
        <w:t xml:space="preserve">Source : </w:t>
      </w:r>
      <w:r w:rsidRPr="00EB214A">
        <w:rPr>
          <w:b w:val="0"/>
          <w:sz w:val="20"/>
          <w:szCs w:val="16"/>
          <w:lang w:val="fr-FR"/>
        </w:rPr>
        <w:t>GovBF PER, Banque mondiale, 2009 et Évaluation des dépenses publiques et de la responsabilité financière (GovBF 2007).</w:t>
      </w:r>
    </w:p>
    <w:p w:rsidR="00A66260" w:rsidRPr="00577EB1" w:rsidRDefault="00A66260" w:rsidP="00E52A30">
      <w:pPr>
        <w:numPr>
          <w:ilvl w:val="0"/>
          <w:numId w:val="2"/>
        </w:numPr>
        <w:ind w:left="0" w:firstLine="0"/>
        <w:rPr>
          <w:b/>
          <w:bCs/>
          <w:sz w:val="20"/>
          <w:szCs w:val="20"/>
          <w:lang w:val="fr-FR"/>
        </w:rPr>
      </w:pPr>
      <w:r w:rsidRPr="00577EB1">
        <w:rPr>
          <w:b/>
          <w:lang w:val="fr-FR"/>
        </w:rPr>
        <w:t>La couverture des programmes de filets sociaux actuels est limitée par rapport aux besoins.</w:t>
      </w:r>
      <w:r w:rsidRPr="00577EB1">
        <w:rPr>
          <w:lang w:val="fr-FR"/>
        </w:rPr>
        <w:t xml:space="preserve"> L’estimation théorique du nombre des bénéficiaires des programmes de filets sociaux (en faisant l’hypothèse qu’il n’y a aucun chevauchement entre les programmes et en excluant les subventions générales) dépassait les </w:t>
      </w:r>
      <w:r w:rsidR="0016389C">
        <w:rPr>
          <w:lang w:val="fr-FR"/>
        </w:rPr>
        <w:t>3</w:t>
      </w:r>
      <w:r w:rsidRPr="00577EB1">
        <w:rPr>
          <w:lang w:val="fr-FR"/>
        </w:rPr>
        <w:t>,</w:t>
      </w:r>
      <w:r w:rsidR="0016389C">
        <w:rPr>
          <w:lang w:val="fr-FR"/>
        </w:rPr>
        <w:t>9</w:t>
      </w:r>
      <w:r w:rsidR="0016389C" w:rsidRPr="00577EB1">
        <w:rPr>
          <w:lang w:val="fr-FR"/>
        </w:rPr>
        <w:t xml:space="preserve"> </w:t>
      </w:r>
      <w:r w:rsidRPr="00577EB1">
        <w:rPr>
          <w:lang w:val="fr-FR"/>
        </w:rPr>
        <w:t xml:space="preserve">millions de personnes en 2009, soit près de </w:t>
      </w:r>
      <w:r w:rsidR="0016389C">
        <w:rPr>
          <w:lang w:val="fr-FR"/>
        </w:rPr>
        <w:t>25</w:t>
      </w:r>
      <w:r w:rsidR="0016389C" w:rsidRPr="00577EB1">
        <w:rPr>
          <w:lang w:val="fr-FR"/>
        </w:rPr>
        <w:t> </w:t>
      </w:r>
      <w:r w:rsidRPr="00577EB1">
        <w:rPr>
          <w:lang w:val="fr-FR"/>
        </w:rPr>
        <w:t>% de la population totale du Burkina Faso</w:t>
      </w:r>
      <w:r w:rsidRPr="00577EB1">
        <w:rPr>
          <w:vertAlign w:val="superscript"/>
          <w:lang w:val="fr-FR"/>
        </w:rPr>
        <w:footnoteReference w:id="21"/>
      </w:r>
      <w:r w:rsidRPr="00577EB1">
        <w:rPr>
          <w:lang w:val="fr-FR"/>
        </w:rPr>
        <w:t xml:space="preserve">. </w:t>
      </w:r>
      <w:r w:rsidR="0016389C">
        <w:rPr>
          <w:lang w:val="fr-FR"/>
        </w:rPr>
        <w:t xml:space="preserve">Ce pourcentage est toutefois trompeur. </w:t>
      </w:r>
      <w:r w:rsidRPr="00577EB1">
        <w:rPr>
          <w:lang w:val="fr-FR"/>
        </w:rPr>
        <w:t>La plupart des bénéficiaires sont concernés par la vente de produits alimentaires à des prix subventionnés</w:t>
      </w:r>
      <w:r w:rsidR="0007340F">
        <w:rPr>
          <w:lang w:val="fr-FR"/>
        </w:rPr>
        <w:t xml:space="preserve"> </w:t>
      </w:r>
      <w:r w:rsidRPr="00577EB1">
        <w:rPr>
          <w:lang w:val="fr-FR"/>
        </w:rPr>
        <w:t xml:space="preserve">(Figure </w:t>
      </w:r>
      <w:r w:rsidR="00847527">
        <w:rPr>
          <w:lang w:val="fr-FR"/>
        </w:rPr>
        <w:t>10</w:t>
      </w:r>
      <w:r w:rsidRPr="00577EB1">
        <w:rPr>
          <w:lang w:val="fr-FR"/>
        </w:rPr>
        <w:t xml:space="preserve">). </w:t>
      </w:r>
      <w:r w:rsidR="0016389C">
        <w:rPr>
          <w:lang w:val="fr-FR"/>
        </w:rPr>
        <w:t xml:space="preserve">Et la couverture de ces ventes subventionnées n’est que temporaire et le niveau des prestations est très faible </w:t>
      </w:r>
      <w:r w:rsidR="0016389C" w:rsidRPr="00577EB1">
        <w:rPr>
          <w:lang w:val="fr-FR"/>
        </w:rPr>
        <w:t>(Tableau 13)</w:t>
      </w:r>
      <w:r w:rsidR="0016389C">
        <w:rPr>
          <w:lang w:val="fr-FR"/>
        </w:rPr>
        <w:t xml:space="preserve">. Ainsi, </w:t>
      </w:r>
      <w:r w:rsidR="008D3AA4">
        <w:rPr>
          <w:lang w:val="fr-FR"/>
        </w:rPr>
        <w:t xml:space="preserve">ces </w:t>
      </w:r>
      <w:r w:rsidRPr="00577EB1">
        <w:rPr>
          <w:lang w:val="fr-FR"/>
        </w:rPr>
        <w:t xml:space="preserve"> questions doivent</w:t>
      </w:r>
      <w:r w:rsidR="0016389C">
        <w:rPr>
          <w:lang w:val="fr-FR"/>
        </w:rPr>
        <w:t xml:space="preserve"> </w:t>
      </w:r>
      <w:r w:rsidRPr="00577EB1">
        <w:rPr>
          <w:lang w:val="fr-FR"/>
        </w:rPr>
        <w:t>être prises en compte dans l’estimation de la couverture réelle des programmes de filets sociaux existants</w:t>
      </w:r>
      <w:r w:rsidR="0016389C">
        <w:rPr>
          <w:lang w:val="fr-FR"/>
        </w:rPr>
        <w:t>.</w:t>
      </w:r>
      <w:r w:rsidRPr="00577EB1">
        <w:rPr>
          <w:lang w:val="fr-FR"/>
        </w:rPr>
        <w:t xml:space="preserve"> </w:t>
      </w:r>
    </w:p>
    <w:p w:rsidR="00A66260" w:rsidRDefault="00847527" w:rsidP="00A66260">
      <w:pPr>
        <w:pStyle w:val="Heading8"/>
      </w:pPr>
      <w:bookmarkStart w:id="113" w:name="_Ref262137640"/>
      <w:bookmarkStart w:id="114" w:name="_Toc262170065"/>
      <w:bookmarkStart w:id="115" w:name="_Toc269722139"/>
      <w:r w:rsidRPr="00577EB1">
        <w:lastRenderedPageBreak/>
        <w:t xml:space="preserve">Figure </w:t>
      </w:r>
      <w:r w:rsidR="00725419">
        <w:fldChar w:fldCharType="begin"/>
      </w:r>
      <w:r>
        <w:instrText xml:space="preserve"> SEQ Figure \* ARABIC </w:instrText>
      </w:r>
      <w:r w:rsidR="00725419">
        <w:fldChar w:fldCharType="separate"/>
      </w:r>
      <w:r w:rsidR="00EF56B2">
        <w:rPr>
          <w:noProof/>
        </w:rPr>
        <w:t>10</w:t>
      </w:r>
      <w:r w:rsidR="00725419">
        <w:fldChar w:fldCharType="end"/>
      </w:r>
      <w:bookmarkEnd w:id="113"/>
      <w:r w:rsidR="0023017C">
        <w:t> :</w:t>
      </w:r>
      <w:r w:rsidR="0007340F">
        <w:t xml:space="preserve"> </w:t>
      </w:r>
      <w:r w:rsidR="00A66260" w:rsidRPr="00577EB1">
        <w:t>Nombre indicatif des bénéficiaires des programmes de filets sociaux par an, 2009</w:t>
      </w:r>
      <w:bookmarkEnd w:id="114"/>
      <w:bookmarkEnd w:id="115"/>
    </w:p>
    <w:p w:rsidR="004B3541" w:rsidRDefault="004B3541">
      <w:pPr>
        <w:pStyle w:val="Paragraphedeliste1"/>
        <w:tabs>
          <w:tab w:val="clear" w:pos="709"/>
        </w:tabs>
        <w:spacing w:after="0"/>
        <w:ind w:left="0"/>
        <w:jc w:val="center"/>
        <w:rPr>
          <w:szCs w:val="24"/>
          <w:lang w:val="fr-FR"/>
        </w:rPr>
      </w:pPr>
      <w:r>
        <w:rPr>
          <w:noProof/>
          <w:szCs w:val="24"/>
        </w:rPr>
        <w:drawing>
          <wp:inline distT="0" distB="0" distL="0" distR="0">
            <wp:extent cx="5575315" cy="2754420"/>
            <wp:effectExtent l="19050" t="0" r="25385" b="7830"/>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B3541" w:rsidRDefault="00EB214A">
      <w:pPr>
        <w:pStyle w:val="Heading7"/>
        <w:spacing w:before="120" w:after="480"/>
        <w:jc w:val="left"/>
        <w:rPr>
          <w:b w:val="0"/>
          <w:lang w:val="fr-FR"/>
        </w:rPr>
      </w:pPr>
      <w:bookmarkStart w:id="116" w:name="_Toc284528587"/>
      <w:bookmarkStart w:id="117" w:name="_Ref262139410"/>
      <w:bookmarkStart w:id="118" w:name="_Toc262170044"/>
      <w:r w:rsidRPr="00EB214A">
        <w:rPr>
          <w:b w:val="0"/>
          <w:i/>
          <w:lang w:val="fr-FR"/>
        </w:rPr>
        <w:t>Source :</w:t>
      </w:r>
      <w:r w:rsidRPr="00EB214A">
        <w:rPr>
          <w:b w:val="0"/>
          <w:lang w:val="fr-FR"/>
        </w:rPr>
        <w:t xml:space="preserve"> Auteurs.</w:t>
      </w:r>
      <w:bookmarkEnd w:id="116"/>
    </w:p>
    <w:p w:rsidR="00A66260" w:rsidRPr="00577EB1" w:rsidRDefault="00A66260" w:rsidP="00A66260">
      <w:pPr>
        <w:pStyle w:val="Heading7"/>
        <w:rPr>
          <w:i/>
          <w:szCs w:val="18"/>
          <w:lang w:val="fr-FR"/>
        </w:rPr>
      </w:pPr>
      <w:bookmarkStart w:id="119" w:name="_Toc284528588"/>
      <w:bookmarkStart w:id="120" w:name="_Toc284530524"/>
      <w:r w:rsidRPr="00577EB1">
        <w:rPr>
          <w:lang w:val="fr-FR"/>
        </w:rPr>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13</w:t>
      </w:r>
      <w:r w:rsidR="00725419" w:rsidRPr="00577EB1">
        <w:rPr>
          <w:lang w:val="fr-FR"/>
        </w:rPr>
        <w:fldChar w:fldCharType="end"/>
      </w:r>
      <w:r w:rsidR="00837FC9">
        <w:rPr>
          <w:lang w:val="fr-FR"/>
        </w:rPr>
        <w:t> :</w:t>
      </w:r>
      <w:r w:rsidR="0007340F">
        <w:rPr>
          <w:lang w:val="fr-FR"/>
        </w:rPr>
        <w:t xml:space="preserve"> </w:t>
      </w:r>
      <w:r w:rsidRPr="00577EB1">
        <w:rPr>
          <w:lang w:val="fr-FR"/>
        </w:rPr>
        <w:t>Bénéficiaires et allocation budgétaire par programme au Burkina Faso, 2009</w:t>
      </w:r>
      <w:bookmarkEnd w:id="117"/>
      <w:bookmarkEnd w:id="118"/>
      <w:bookmarkEnd w:id="119"/>
      <w:bookmarkEnd w:id="120"/>
      <w:r w:rsidR="0007340F">
        <w:rPr>
          <w:lang w:val="fr-FR"/>
        </w:rPr>
        <w:t xml:space="preserve"> </w:t>
      </w:r>
    </w:p>
    <w:tbl>
      <w:tblPr>
        <w:tblW w:w="5000" w:type="pct"/>
        <w:tblLayout w:type="fixed"/>
        <w:tblLook w:val="04A0"/>
      </w:tblPr>
      <w:tblGrid>
        <w:gridCol w:w="4000"/>
        <w:gridCol w:w="1392"/>
        <w:gridCol w:w="1252"/>
        <w:gridCol w:w="1250"/>
        <w:gridCol w:w="1111"/>
      </w:tblGrid>
      <w:tr w:rsidR="0016389C" w:rsidRPr="00577EB1" w:rsidTr="0016389C">
        <w:trPr>
          <w:trHeight w:val="945"/>
        </w:trPr>
        <w:tc>
          <w:tcPr>
            <w:tcW w:w="2221" w:type="pct"/>
            <w:tcBorders>
              <w:top w:val="single" w:sz="4" w:space="0" w:color="auto"/>
              <w:bottom w:val="single" w:sz="4" w:space="0" w:color="auto"/>
            </w:tcBorders>
            <w:noWrap/>
            <w:vAlign w:val="center"/>
          </w:tcPr>
          <w:p w:rsidR="00A66260" w:rsidRPr="00577EB1" w:rsidRDefault="00A66260" w:rsidP="002E752D">
            <w:pPr>
              <w:tabs>
                <w:tab w:val="clear" w:pos="709"/>
              </w:tabs>
              <w:spacing w:after="0"/>
              <w:jc w:val="left"/>
              <w:rPr>
                <w:b/>
                <w:bCs/>
                <w:color w:val="FFFFFF"/>
                <w:sz w:val="20"/>
                <w:szCs w:val="20"/>
                <w:lang w:val="fr-FR"/>
              </w:rPr>
            </w:pPr>
            <w:r w:rsidRPr="00577EB1">
              <w:rPr>
                <w:b/>
                <w:bCs/>
                <w:color w:val="FFFFFF"/>
                <w:sz w:val="20"/>
                <w:szCs w:val="20"/>
                <w:lang w:val="fr-FR"/>
              </w:rPr>
              <w:t xml:space="preserve">Type </w:t>
            </w:r>
            <w:r w:rsidRPr="00577EB1">
              <w:rPr>
                <w:b/>
                <w:bCs/>
                <w:sz w:val="20"/>
                <w:szCs w:val="20"/>
                <w:lang w:val="fr-FR"/>
              </w:rPr>
              <w:t>Programmes</w:t>
            </w:r>
          </w:p>
        </w:tc>
        <w:tc>
          <w:tcPr>
            <w:tcW w:w="773" w:type="pct"/>
            <w:tcBorders>
              <w:top w:val="single" w:sz="4" w:space="0" w:color="auto"/>
              <w:bottom w:val="single" w:sz="4" w:space="0" w:color="auto"/>
            </w:tcBorders>
            <w:vAlign w:val="center"/>
          </w:tcPr>
          <w:p w:rsidR="00A66260" w:rsidRPr="00577EB1" w:rsidRDefault="00A66260" w:rsidP="002E752D">
            <w:pPr>
              <w:tabs>
                <w:tab w:val="clear" w:pos="709"/>
              </w:tabs>
              <w:spacing w:after="0"/>
              <w:jc w:val="center"/>
              <w:rPr>
                <w:b/>
                <w:bCs/>
                <w:sz w:val="20"/>
                <w:szCs w:val="20"/>
                <w:lang w:val="fr-FR"/>
              </w:rPr>
            </w:pPr>
            <w:r w:rsidRPr="00577EB1">
              <w:rPr>
                <w:b/>
                <w:bCs/>
                <w:sz w:val="20"/>
                <w:szCs w:val="20"/>
                <w:lang w:val="fr-FR"/>
              </w:rPr>
              <w:t>Nombre de</w:t>
            </w:r>
            <w:r w:rsidR="0007340F">
              <w:rPr>
                <w:b/>
                <w:bCs/>
                <w:sz w:val="20"/>
                <w:szCs w:val="20"/>
                <w:lang w:val="fr-FR"/>
              </w:rPr>
              <w:t xml:space="preserve"> </w:t>
            </w:r>
            <w:r w:rsidRPr="00577EB1">
              <w:rPr>
                <w:b/>
                <w:bCs/>
                <w:sz w:val="20"/>
                <w:szCs w:val="20"/>
                <w:lang w:val="fr-FR"/>
              </w:rPr>
              <w:t>bénéficiaires</w:t>
            </w:r>
          </w:p>
        </w:tc>
        <w:tc>
          <w:tcPr>
            <w:tcW w:w="695" w:type="pct"/>
            <w:tcBorders>
              <w:top w:val="single" w:sz="4" w:space="0" w:color="auto"/>
              <w:bottom w:val="single" w:sz="4" w:space="0" w:color="auto"/>
            </w:tcBorders>
            <w:vAlign w:val="center"/>
          </w:tcPr>
          <w:p w:rsidR="00A66260" w:rsidRPr="00577EB1" w:rsidRDefault="00A66260" w:rsidP="002E752D">
            <w:pPr>
              <w:tabs>
                <w:tab w:val="clear" w:pos="709"/>
              </w:tabs>
              <w:spacing w:after="0"/>
              <w:jc w:val="center"/>
              <w:rPr>
                <w:b/>
                <w:bCs/>
                <w:sz w:val="20"/>
                <w:szCs w:val="20"/>
                <w:lang w:val="fr-FR"/>
              </w:rPr>
            </w:pPr>
            <w:r w:rsidRPr="00577EB1">
              <w:rPr>
                <w:b/>
                <w:bCs/>
                <w:sz w:val="20"/>
                <w:szCs w:val="20"/>
                <w:lang w:val="fr-FR"/>
              </w:rPr>
              <w:t>Budget annuel en millions de francs CFA</w:t>
            </w:r>
          </w:p>
        </w:tc>
        <w:tc>
          <w:tcPr>
            <w:tcW w:w="694" w:type="pct"/>
            <w:tcBorders>
              <w:top w:val="single" w:sz="4" w:space="0" w:color="auto"/>
              <w:bottom w:val="single" w:sz="4" w:space="0" w:color="auto"/>
            </w:tcBorders>
            <w:vAlign w:val="center"/>
          </w:tcPr>
          <w:p w:rsidR="00A66260" w:rsidRPr="00577EB1" w:rsidRDefault="00A66260" w:rsidP="002E752D">
            <w:pPr>
              <w:tabs>
                <w:tab w:val="clear" w:pos="709"/>
              </w:tabs>
              <w:spacing w:after="0"/>
              <w:jc w:val="center"/>
              <w:rPr>
                <w:b/>
                <w:bCs/>
                <w:sz w:val="20"/>
                <w:szCs w:val="20"/>
                <w:lang w:val="fr-FR"/>
              </w:rPr>
            </w:pPr>
            <w:r w:rsidRPr="00577EB1">
              <w:rPr>
                <w:b/>
                <w:bCs/>
                <w:sz w:val="20"/>
                <w:szCs w:val="20"/>
                <w:lang w:val="fr-FR"/>
              </w:rPr>
              <w:t>francs CFA par bénéficiaire et par an</w:t>
            </w:r>
          </w:p>
        </w:tc>
        <w:tc>
          <w:tcPr>
            <w:tcW w:w="617" w:type="pct"/>
            <w:tcBorders>
              <w:top w:val="single" w:sz="4" w:space="0" w:color="auto"/>
              <w:bottom w:val="single" w:sz="4" w:space="0" w:color="auto"/>
            </w:tcBorders>
            <w:vAlign w:val="center"/>
          </w:tcPr>
          <w:p w:rsidR="00A66260" w:rsidRPr="00577EB1" w:rsidRDefault="00A66260" w:rsidP="002E752D">
            <w:pPr>
              <w:tabs>
                <w:tab w:val="clear" w:pos="709"/>
              </w:tabs>
              <w:spacing w:after="0"/>
              <w:jc w:val="center"/>
              <w:rPr>
                <w:b/>
                <w:bCs/>
                <w:sz w:val="20"/>
                <w:szCs w:val="20"/>
                <w:lang w:val="fr-FR"/>
              </w:rPr>
            </w:pPr>
            <w:r w:rsidRPr="00577EB1">
              <w:rPr>
                <w:b/>
                <w:bCs/>
                <w:sz w:val="20"/>
                <w:szCs w:val="20"/>
                <w:lang w:val="fr-FR"/>
              </w:rPr>
              <w:t xml:space="preserve"> % du seuil de pauvreté </w:t>
            </w:r>
          </w:p>
        </w:tc>
      </w:tr>
      <w:tr w:rsidR="0016389C" w:rsidRPr="00577EB1" w:rsidTr="0016389C">
        <w:trPr>
          <w:trHeight w:val="315"/>
        </w:trPr>
        <w:tc>
          <w:tcPr>
            <w:tcW w:w="2221" w:type="pct"/>
            <w:tcBorders>
              <w:top w:val="single" w:sz="4" w:space="0" w:color="auto"/>
            </w:tcBorders>
          </w:tcPr>
          <w:p w:rsidR="00D52FC2" w:rsidRPr="00577EB1" w:rsidRDefault="00D52FC2" w:rsidP="002E752D">
            <w:pPr>
              <w:tabs>
                <w:tab w:val="clear" w:pos="709"/>
              </w:tabs>
              <w:spacing w:after="0"/>
              <w:jc w:val="left"/>
              <w:rPr>
                <w:bCs/>
                <w:sz w:val="20"/>
                <w:szCs w:val="20"/>
                <w:lang w:val="fr-FR"/>
              </w:rPr>
            </w:pPr>
            <w:r w:rsidRPr="00577EB1">
              <w:rPr>
                <w:bCs/>
                <w:sz w:val="20"/>
                <w:szCs w:val="20"/>
                <w:lang w:val="fr-FR"/>
              </w:rPr>
              <w:t xml:space="preserve">1. Transferts monétaires et quasi-monétaires </w:t>
            </w:r>
          </w:p>
        </w:tc>
        <w:tc>
          <w:tcPr>
            <w:tcW w:w="773" w:type="pct"/>
            <w:tcBorders>
              <w:top w:val="single" w:sz="4" w:space="0" w:color="auto"/>
            </w:tcBorders>
            <w:noWrap/>
            <w:vAlign w:val="center"/>
          </w:tcPr>
          <w:p w:rsidR="00E31F15" w:rsidRDefault="00D52FC2">
            <w:pPr>
              <w:tabs>
                <w:tab w:val="clear" w:pos="709"/>
              </w:tabs>
              <w:spacing w:after="0"/>
              <w:jc w:val="right"/>
              <w:rPr>
                <w:color w:val="000000"/>
                <w:sz w:val="20"/>
                <w:szCs w:val="20"/>
                <w:lang w:val="fr-FR"/>
              </w:rPr>
            </w:pPr>
            <w:r w:rsidRPr="00C82B02">
              <w:rPr>
                <w:rFonts w:eastAsia="Times New Roman"/>
                <w:color w:val="000000"/>
                <w:sz w:val="20"/>
                <w:szCs w:val="20"/>
              </w:rPr>
              <w:t>359</w:t>
            </w:r>
            <w:r>
              <w:rPr>
                <w:rFonts w:eastAsia="Times New Roman"/>
                <w:color w:val="000000"/>
                <w:sz w:val="20"/>
                <w:szCs w:val="20"/>
              </w:rPr>
              <w:t xml:space="preserve"> </w:t>
            </w:r>
            <w:r w:rsidRPr="00C82B02">
              <w:rPr>
                <w:rFonts w:eastAsia="Times New Roman"/>
                <w:color w:val="000000"/>
                <w:sz w:val="20"/>
                <w:szCs w:val="20"/>
              </w:rPr>
              <w:t xml:space="preserve">062 </w:t>
            </w:r>
          </w:p>
        </w:tc>
        <w:tc>
          <w:tcPr>
            <w:tcW w:w="695" w:type="pct"/>
            <w:tcBorders>
              <w:top w:val="single" w:sz="4" w:space="0" w:color="auto"/>
            </w:tcBorders>
            <w:noWrap/>
            <w:vAlign w:val="center"/>
          </w:tcPr>
          <w:p w:rsidR="00D52FC2" w:rsidRPr="00577EB1" w:rsidRDefault="00D52FC2" w:rsidP="002E752D">
            <w:pPr>
              <w:tabs>
                <w:tab w:val="clear" w:pos="709"/>
              </w:tabs>
              <w:spacing w:after="0"/>
              <w:jc w:val="right"/>
              <w:rPr>
                <w:color w:val="000000"/>
                <w:sz w:val="20"/>
                <w:szCs w:val="20"/>
                <w:lang w:val="fr-FR"/>
              </w:rPr>
            </w:pPr>
            <w:r>
              <w:rPr>
                <w:rFonts w:eastAsia="Times New Roman"/>
                <w:color w:val="000000"/>
                <w:sz w:val="20"/>
                <w:szCs w:val="20"/>
              </w:rPr>
              <w:t xml:space="preserve">9 </w:t>
            </w:r>
            <w:r w:rsidRPr="00C82B02">
              <w:rPr>
                <w:rFonts w:eastAsia="Times New Roman"/>
                <w:color w:val="000000"/>
                <w:sz w:val="20"/>
                <w:szCs w:val="20"/>
              </w:rPr>
              <w:t>021</w:t>
            </w:r>
          </w:p>
        </w:tc>
        <w:tc>
          <w:tcPr>
            <w:tcW w:w="694" w:type="pct"/>
            <w:tcBorders>
              <w:top w:val="single" w:sz="4" w:space="0" w:color="auto"/>
            </w:tcBorders>
            <w:noWrap/>
            <w:vAlign w:val="center"/>
          </w:tcPr>
          <w:p w:rsidR="00D52FC2" w:rsidRPr="00577EB1" w:rsidRDefault="00D52FC2" w:rsidP="002E752D">
            <w:pPr>
              <w:tabs>
                <w:tab w:val="clear" w:pos="709"/>
              </w:tabs>
              <w:spacing w:after="0"/>
              <w:jc w:val="right"/>
              <w:rPr>
                <w:sz w:val="20"/>
                <w:szCs w:val="20"/>
                <w:lang w:val="fr-FR"/>
              </w:rPr>
            </w:pPr>
            <w:r>
              <w:rPr>
                <w:rFonts w:eastAsia="Times New Roman"/>
                <w:sz w:val="20"/>
                <w:szCs w:val="20"/>
              </w:rPr>
              <w:t xml:space="preserve">25 </w:t>
            </w:r>
            <w:r w:rsidRPr="00C82B02">
              <w:rPr>
                <w:rFonts w:eastAsia="Times New Roman"/>
                <w:sz w:val="20"/>
                <w:szCs w:val="20"/>
              </w:rPr>
              <w:t>12</w:t>
            </w:r>
            <w:r>
              <w:rPr>
                <w:rFonts w:eastAsia="Times New Roman"/>
                <w:sz w:val="20"/>
                <w:szCs w:val="20"/>
              </w:rPr>
              <w:t>8</w:t>
            </w:r>
          </w:p>
        </w:tc>
        <w:tc>
          <w:tcPr>
            <w:tcW w:w="617" w:type="pct"/>
            <w:tcBorders>
              <w:top w:val="single" w:sz="4" w:space="0" w:color="auto"/>
            </w:tcBorders>
            <w:noWrap/>
            <w:vAlign w:val="center"/>
          </w:tcPr>
          <w:p w:rsidR="00D52FC2" w:rsidRPr="00577EB1" w:rsidRDefault="00D52FC2" w:rsidP="002E752D">
            <w:pPr>
              <w:tabs>
                <w:tab w:val="clear" w:pos="709"/>
              </w:tabs>
              <w:spacing w:after="0"/>
              <w:jc w:val="right"/>
              <w:rPr>
                <w:sz w:val="20"/>
                <w:szCs w:val="20"/>
                <w:lang w:val="fr-FR"/>
              </w:rPr>
            </w:pPr>
            <w:r w:rsidRPr="00C82B02">
              <w:rPr>
                <w:rFonts w:eastAsia="Times New Roman"/>
                <w:sz w:val="20"/>
                <w:szCs w:val="20"/>
              </w:rPr>
              <w:t>27%</w:t>
            </w:r>
          </w:p>
        </w:tc>
      </w:tr>
      <w:tr w:rsidR="00D52FC2" w:rsidRPr="00577EB1" w:rsidTr="0016389C">
        <w:trPr>
          <w:trHeight w:val="300"/>
        </w:trPr>
        <w:tc>
          <w:tcPr>
            <w:tcW w:w="2221" w:type="pct"/>
          </w:tcPr>
          <w:p w:rsidR="00D52FC2" w:rsidRPr="0016389C" w:rsidRDefault="00EB214A" w:rsidP="002E752D">
            <w:pPr>
              <w:tabs>
                <w:tab w:val="clear" w:pos="709"/>
              </w:tabs>
              <w:spacing w:after="0"/>
              <w:jc w:val="left"/>
              <w:rPr>
                <w:bCs/>
                <w:iCs/>
                <w:sz w:val="20"/>
                <w:szCs w:val="20"/>
                <w:lang w:val="fr-FR"/>
              </w:rPr>
            </w:pPr>
            <w:r w:rsidRPr="00EB214A">
              <w:rPr>
                <w:bCs/>
                <w:iCs/>
                <w:sz w:val="20"/>
                <w:szCs w:val="20"/>
                <w:lang w:val="fr-FR"/>
              </w:rPr>
              <w:t xml:space="preserve">2.1 Ventes d’aliments à des prix subventionnés </w:t>
            </w:r>
          </w:p>
        </w:tc>
        <w:tc>
          <w:tcPr>
            <w:tcW w:w="773" w:type="pct"/>
            <w:noWrap/>
            <w:vAlign w:val="center"/>
          </w:tcPr>
          <w:p w:rsidR="00D52FC2" w:rsidRPr="00577EB1" w:rsidRDefault="00D52FC2" w:rsidP="002E752D">
            <w:pPr>
              <w:tabs>
                <w:tab w:val="clear" w:pos="709"/>
              </w:tabs>
              <w:spacing w:after="0"/>
              <w:jc w:val="right"/>
              <w:rPr>
                <w:color w:val="000000"/>
                <w:sz w:val="20"/>
                <w:szCs w:val="20"/>
                <w:lang w:val="fr-FR"/>
              </w:rPr>
            </w:pPr>
            <w:r>
              <w:rPr>
                <w:rFonts w:eastAsia="Times New Roman"/>
                <w:color w:val="000000"/>
                <w:sz w:val="20"/>
                <w:szCs w:val="20"/>
              </w:rPr>
              <w:t xml:space="preserve">1 800 </w:t>
            </w:r>
            <w:r w:rsidRPr="00C82B02">
              <w:rPr>
                <w:rFonts w:eastAsia="Times New Roman"/>
                <w:color w:val="000000"/>
                <w:sz w:val="20"/>
                <w:szCs w:val="20"/>
              </w:rPr>
              <w:t>000</w:t>
            </w:r>
          </w:p>
        </w:tc>
        <w:tc>
          <w:tcPr>
            <w:tcW w:w="695" w:type="pct"/>
            <w:noWrap/>
            <w:vAlign w:val="center"/>
          </w:tcPr>
          <w:p w:rsidR="00D52FC2" w:rsidRPr="00577EB1" w:rsidRDefault="00D52FC2" w:rsidP="002E752D">
            <w:pPr>
              <w:tabs>
                <w:tab w:val="clear" w:pos="709"/>
              </w:tabs>
              <w:spacing w:after="0"/>
              <w:jc w:val="right"/>
              <w:rPr>
                <w:color w:val="000000"/>
                <w:sz w:val="20"/>
                <w:szCs w:val="20"/>
                <w:lang w:val="fr-FR"/>
              </w:rPr>
            </w:pPr>
            <w:r>
              <w:rPr>
                <w:rFonts w:eastAsia="Times New Roman"/>
                <w:color w:val="000000"/>
                <w:sz w:val="20"/>
                <w:szCs w:val="20"/>
              </w:rPr>
              <w:t xml:space="preserve">2 </w:t>
            </w:r>
            <w:r w:rsidRPr="00C82B02">
              <w:rPr>
                <w:rFonts w:eastAsia="Times New Roman"/>
                <w:color w:val="000000"/>
                <w:sz w:val="20"/>
                <w:szCs w:val="20"/>
              </w:rPr>
              <w:t>144</w:t>
            </w:r>
          </w:p>
        </w:tc>
        <w:tc>
          <w:tcPr>
            <w:tcW w:w="694" w:type="pct"/>
            <w:noWrap/>
            <w:vAlign w:val="center"/>
          </w:tcPr>
          <w:p w:rsidR="00D52FC2" w:rsidRPr="00577EB1" w:rsidRDefault="00D52FC2" w:rsidP="002E752D">
            <w:pPr>
              <w:tabs>
                <w:tab w:val="clear" w:pos="709"/>
              </w:tabs>
              <w:spacing w:after="0"/>
              <w:jc w:val="right"/>
              <w:rPr>
                <w:sz w:val="20"/>
                <w:szCs w:val="20"/>
                <w:lang w:val="fr-FR"/>
              </w:rPr>
            </w:pPr>
            <w:r>
              <w:rPr>
                <w:rFonts w:eastAsia="Times New Roman"/>
                <w:sz w:val="20"/>
                <w:szCs w:val="20"/>
              </w:rPr>
              <w:t>1 191</w:t>
            </w:r>
          </w:p>
        </w:tc>
        <w:tc>
          <w:tcPr>
            <w:tcW w:w="617" w:type="pct"/>
            <w:noWrap/>
            <w:vAlign w:val="center"/>
          </w:tcPr>
          <w:p w:rsidR="00D52FC2" w:rsidRPr="00577EB1" w:rsidRDefault="00D52FC2" w:rsidP="002E752D">
            <w:pPr>
              <w:tabs>
                <w:tab w:val="clear" w:pos="709"/>
              </w:tabs>
              <w:spacing w:after="0"/>
              <w:jc w:val="right"/>
              <w:rPr>
                <w:sz w:val="20"/>
                <w:szCs w:val="20"/>
                <w:lang w:val="fr-FR"/>
              </w:rPr>
            </w:pPr>
            <w:r>
              <w:rPr>
                <w:rFonts w:eastAsia="Times New Roman"/>
                <w:sz w:val="20"/>
                <w:szCs w:val="20"/>
              </w:rPr>
              <w:t>1</w:t>
            </w:r>
            <w:r w:rsidRPr="00C82B02">
              <w:rPr>
                <w:rFonts w:eastAsia="Times New Roman"/>
                <w:sz w:val="20"/>
                <w:szCs w:val="20"/>
              </w:rPr>
              <w:t>%</w:t>
            </w:r>
          </w:p>
        </w:tc>
      </w:tr>
      <w:tr w:rsidR="00D52FC2" w:rsidRPr="00577EB1" w:rsidTr="0016389C">
        <w:trPr>
          <w:trHeight w:val="300"/>
        </w:trPr>
        <w:tc>
          <w:tcPr>
            <w:tcW w:w="2221" w:type="pct"/>
          </w:tcPr>
          <w:p w:rsidR="00D52FC2" w:rsidRPr="0016389C" w:rsidRDefault="00EB214A" w:rsidP="002E752D">
            <w:pPr>
              <w:tabs>
                <w:tab w:val="clear" w:pos="709"/>
              </w:tabs>
              <w:spacing w:after="0"/>
              <w:jc w:val="left"/>
              <w:rPr>
                <w:bCs/>
                <w:iCs/>
                <w:sz w:val="20"/>
                <w:szCs w:val="20"/>
                <w:lang w:val="fr-FR"/>
              </w:rPr>
            </w:pPr>
            <w:r w:rsidRPr="00EB214A">
              <w:rPr>
                <w:bCs/>
                <w:iCs/>
                <w:sz w:val="20"/>
                <w:szCs w:val="20"/>
                <w:lang w:val="fr-FR"/>
              </w:rPr>
              <w:t xml:space="preserve">2.2 Distributions ciblées de vivres </w:t>
            </w:r>
          </w:p>
        </w:tc>
        <w:tc>
          <w:tcPr>
            <w:tcW w:w="773" w:type="pct"/>
            <w:noWrap/>
            <w:vAlign w:val="center"/>
          </w:tcPr>
          <w:p w:rsidR="00E31F15" w:rsidRDefault="00D52FC2">
            <w:pPr>
              <w:tabs>
                <w:tab w:val="clear" w:pos="709"/>
              </w:tabs>
              <w:spacing w:after="0"/>
              <w:jc w:val="right"/>
              <w:rPr>
                <w:color w:val="000000"/>
                <w:sz w:val="20"/>
                <w:szCs w:val="20"/>
                <w:lang w:val="fr-FR"/>
              </w:rPr>
            </w:pPr>
            <w:r>
              <w:rPr>
                <w:rFonts w:eastAsia="Times New Roman"/>
                <w:color w:val="000000"/>
                <w:sz w:val="20"/>
                <w:szCs w:val="20"/>
              </w:rPr>
              <w:t>95 878</w:t>
            </w:r>
            <w:r w:rsidRPr="00C82B02">
              <w:rPr>
                <w:rFonts w:eastAsia="Times New Roman"/>
                <w:color w:val="000000"/>
                <w:sz w:val="20"/>
                <w:szCs w:val="20"/>
              </w:rPr>
              <w:t xml:space="preserve"> </w:t>
            </w:r>
          </w:p>
        </w:tc>
        <w:tc>
          <w:tcPr>
            <w:tcW w:w="695" w:type="pct"/>
            <w:noWrap/>
            <w:vAlign w:val="center"/>
          </w:tcPr>
          <w:p w:rsidR="00D52FC2" w:rsidRPr="00577EB1" w:rsidRDefault="00D52FC2" w:rsidP="002E752D">
            <w:pPr>
              <w:tabs>
                <w:tab w:val="clear" w:pos="709"/>
              </w:tabs>
              <w:spacing w:after="0"/>
              <w:jc w:val="right"/>
              <w:rPr>
                <w:color w:val="000000"/>
                <w:sz w:val="20"/>
                <w:szCs w:val="20"/>
                <w:lang w:val="fr-FR"/>
              </w:rPr>
            </w:pPr>
            <w:r w:rsidRPr="00C82B02">
              <w:rPr>
                <w:rFonts w:eastAsia="Times New Roman"/>
                <w:color w:val="000000"/>
                <w:sz w:val="20"/>
                <w:szCs w:val="20"/>
              </w:rPr>
              <w:t>497</w:t>
            </w:r>
          </w:p>
        </w:tc>
        <w:tc>
          <w:tcPr>
            <w:tcW w:w="694" w:type="pct"/>
            <w:noWrap/>
            <w:vAlign w:val="center"/>
          </w:tcPr>
          <w:p w:rsidR="00E31F15" w:rsidRDefault="00D52FC2">
            <w:pPr>
              <w:tabs>
                <w:tab w:val="clear" w:pos="709"/>
              </w:tabs>
              <w:spacing w:after="0"/>
              <w:jc w:val="right"/>
              <w:rPr>
                <w:sz w:val="20"/>
                <w:szCs w:val="20"/>
                <w:lang w:val="fr-FR"/>
              </w:rPr>
            </w:pPr>
            <w:r>
              <w:rPr>
                <w:rFonts w:eastAsia="Times New Roman"/>
                <w:sz w:val="20"/>
                <w:szCs w:val="20"/>
              </w:rPr>
              <w:t>5 184</w:t>
            </w:r>
          </w:p>
        </w:tc>
        <w:tc>
          <w:tcPr>
            <w:tcW w:w="617" w:type="pct"/>
            <w:noWrap/>
            <w:vAlign w:val="center"/>
          </w:tcPr>
          <w:p w:rsidR="00D52FC2" w:rsidRPr="00577EB1" w:rsidRDefault="00D52FC2" w:rsidP="002E752D">
            <w:pPr>
              <w:tabs>
                <w:tab w:val="clear" w:pos="709"/>
              </w:tabs>
              <w:spacing w:after="0"/>
              <w:jc w:val="right"/>
              <w:rPr>
                <w:sz w:val="20"/>
                <w:szCs w:val="20"/>
                <w:lang w:val="fr-FR"/>
              </w:rPr>
            </w:pPr>
            <w:r>
              <w:rPr>
                <w:rFonts w:eastAsia="Times New Roman"/>
                <w:sz w:val="20"/>
                <w:szCs w:val="20"/>
              </w:rPr>
              <w:t>6</w:t>
            </w:r>
            <w:r w:rsidRPr="00C82B02">
              <w:rPr>
                <w:rFonts w:eastAsia="Times New Roman"/>
                <w:sz w:val="20"/>
                <w:szCs w:val="20"/>
              </w:rPr>
              <w:t>%</w:t>
            </w:r>
          </w:p>
        </w:tc>
      </w:tr>
      <w:tr w:rsidR="00D52FC2" w:rsidRPr="00577EB1" w:rsidTr="0016389C">
        <w:trPr>
          <w:trHeight w:val="300"/>
        </w:trPr>
        <w:tc>
          <w:tcPr>
            <w:tcW w:w="2221" w:type="pct"/>
          </w:tcPr>
          <w:p w:rsidR="00D52FC2" w:rsidRPr="0016389C" w:rsidRDefault="00EB214A" w:rsidP="002E752D">
            <w:pPr>
              <w:tabs>
                <w:tab w:val="clear" w:pos="709"/>
              </w:tabs>
              <w:spacing w:after="0"/>
              <w:jc w:val="left"/>
              <w:rPr>
                <w:bCs/>
                <w:iCs/>
                <w:sz w:val="20"/>
                <w:szCs w:val="20"/>
                <w:lang w:val="fr-FR"/>
              </w:rPr>
            </w:pPr>
            <w:r w:rsidRPr="00EB214A">
              <w:rPr>
                <w:bCs/>
                <w:iCs/>
                <w:sz w:val="20"/>
                <w:szCs w:val="20"/>
                <w:lang w:val="fr-FR"/>
              </w:rPr>
              <w:t>2.3 Nutrition</w:t>
            </w:r>
          </w:p>
        </w:tc>
        <w:tc>
          <w:tcPr>
            <w:tcW w:w="773" w:type="pct"/>
            <w:noWrap/>
            <w:vAlign w:val="center"/>
          </w:tcPr>
          <w:p w:rsidR="00D52FC2" w:rsidRPr="00577EB1" w:rsidRDefault="00D52FC2" w:rsidP="002E752D">
            <w:pPr>
              <w:tabs>
                <w:tab w:val="clear" w:pos="709"/>
              </w:tabs>
              <w:spacing w:after="0"/>
              <w:jc w:val="right"/>
              <w:rPr>
                <w:color w:val="000000"/>
                <w:sz w:val="20"/>
                <w:szCs w:val="20"/>
                <w:lang w:val="fr-FR"/>
              </w:rPr>
            </w:pPr>
            <w:r>
              <w:rPr>
                <w:rFonts w:eastAsia="Times New Roman"/>
                <w:color w:val="000000"/>
                <w:sz w:val="20"/>
                <w:szCs w:val="20"/>
              </w:rPr>
              <w:t xml:space="preserve">377 </w:t>
            </w:r>
            <w:r w:rsidRPr="00C82B02">
              <w:rPr>
                <w:rFonts w:eastAsia="Times New Roman"/>
                <w:color w:val="000000"/>
                <w:sz w:val="20"/>
                <w:szCs w:val="20"/>
              </w:rPr>
              <w:t>362</w:t>
            </w:r>
          </w:p>
        </w:tc>
        <w:tc>
          <w:tcPr>
            <w:tcW w:w="695" w:type="pct"/>
            <w:noWrap/>
            <w:vAlign w:val="center"/>
          </w:tcPr>
          <w:p w:rsidR="00D52FC2" w:rsidRPr="00577EB1" w:rsidRDefault="00D52FC2" w:rsidP="002E752D">
            <w:pPr>
              <w:tabs>
                <w:tab w:val="clear" w:pos="709"/>
              </w:tabs>
              <w:spacing w:after="0"/>
              <w:jc w:val="right"/>
              <w:rPr>
                <w:color w:val="000000"/>
                <w:sz w:val="20"/>
                <w:szCs w:val="20"/>
                <w:lang w:val="fr-FR"/>
              </w:rPr>
            </w:pPr>
            <w:r>
              <w:rPr>
                <w:rFonts w:eastAsia="Times New Roman"/>
                <w:color w:val="000000"/>
                <w:sz w:val="20"/>
                <w:szCs w:val="20"/>
              </w:rPr>
              <w:t xml:space="preserve">13 </w:t>
            </w:r>
            <w:r w:rsidRPr="00C82B02">
              <w:rPr>
                <w:rFonts w:eastAsia="Times New Roman"/>
                <w:color w:val="000000"/>
                <w:sz w:val="20"/>
                <w:szCs w:val="20"/>
              </w:rPr>
              <w:t>771</w:t>
            </w:r>
          </w:p>
        </w:tc>
        <w:tc>
          <w:tcPr>
            <w:tcW w:w="694" w:type="pct"/>
            <w:noWrap/>
            <w:vAlign w:val="center"/>
          </w:tcPr>
          <w:p w:rsidR="00D52FC2" w:rsidRPr="00577EB1" w:rsidRDefault="00D52FC2" w:rsidP="002E752D">
            <w:pPr>
              <w:tabs>
                <w:tab w:val="clear" w:pos="709"/>
              </w:tabs>
              <w:spacing w:after="0"/>
              <w:jc w:val="right"/>
              <w:rPr>
                <w:sz w:val="20"/>
                <w:szCs w:val="20"/>
                <w:lang w:val="fr-FR"/>
              </w:rPr>
            </w:pPr>
            <w:r>
              <w:rPr>
                <w:rFonts w:eastAsia="Times New Roman"/>
                <w:sz w:val="20"/>
                <w:szCs w:val="20"/>
              </w:rPr>
              <w:t xml:space="preserve">36 </w:t>
            </w:r>
            <w:r w:rsidRPr="00C82B02">
              <w:rPr>
                <w:rFonts w:eastAsia="Times New Roman"/>
                <w:sz w:val="20"/>
                <w:szCs w:val="20"/>
              </w:rPr>
              <w:t>49</w:t>
            </w:r>
            <w:r>
              <w:rPr>
                <w:rFonts w:eastAsia="Times New Roman"/>
                <w:sz w:val="20"/>
                <w:szCs w:val="20"/>
              </w:rPr>
              <w:t>3</w:t>
            </w:r>
          </w:p>
        </w:tc>
        <w:tc>
          <w:tcPr>
            <w:tcW w:w="617" w:type="pct"/>
            <w:noWrap/>
            <w:vAlign w:val="center"/>
          </w:tcPr>
          <w:p w:rsidR="00D52FC2" w:rsidRPr="00577EB1" w:rsidRDefault="00D52FC2" w:rsidP="002E752D">
            <w:pPr>
              <w:tabs>
                <w:tab w:val="clear" w:pos="709"/>
              </w:tabs>
              <w:spacing w:after="0"/>
              <w:jc w:val="right"/>
              <w:rPr>
                <w:sz w:val="20"/>
                <w:szCs w:val="20"/>
                <w:lang w:val="fr-FR"/>
              </w:rPr>
            </w:pPr>
            <w:r w:rsidRPr="00C82B02">
              <w:rPr>
                <w:rFonts w:eastAsia="Times New Roman"/>
                <w:sz w:val="20"/>
                <w:szCs w:val="20"/>
              </w:rPr>
              <w:t>39%</w:t>
            </w:r>
          </w:p>
        </w:tc>
      </w:tr>
      <w:tr w:rsidR="00D52FC2" w:rsidRPr="00577EB1" w:rsidTr="0016389C">
        <w:trPr>
          <w:trHeight w:val="300"/>
        </w:trPr>
        <w:tc>
          <w:tcPr>
            <w:tcW w:w="2221" w:type="pct"/>
          </w:tcPr>
          <w:p w:rsidR="00D52FC2" w:rsidRPr="0016389C" w:rsidRDefault="00EB214A" w:rsidP="002E752D">
            <w:pPr>
              <w:tabs>
                <w:tab w:val="clear" w:pos="709"/>
              </w:tabs>
              <w:spacing w:after="0"/>
              <w:jc w:val="left"/>
              <w:rPr>
                <w:bCs/>
                <w:iCs/>
                <w:sz w:val="20"/>
                <w:szCs w:val="20"/>
                <w:lang w:val="fr-FR"/>
              </w:rPr>
            </w:pPr>
            <w:r w:rsidRPr="00EB214A">
              <w:rPr>
                <w:bCs/>
                <w:iCs/>
                <w:sz w:val="20"/>
                <w:szCs w:val="20"/>
                <w:lang w:val="fr-FR"/>
              </w:rPr>
              <w:t xml:space="preserve">2.4 Cantines scolaires </w:t>
            </w:r>
          </w:p>
        </w:tc>
        <w:tc>
          <w:tcPr>
            <w:tcW w:w="773" w:type="pct"/>
            <w:noWrap/>
            <w:vAlign w:val="center"/>
          </w:tcPr>
          <w:p w:rsidR="00D52FC2" w:rsidRPr="00577EB1" w:rsidRDefault="00D52FC2" w:rsidP="002E752D">
            <w:pPr>
              <w:tabs>
                <w:tab w:val="clear" w:pos="709"/>
              </w:tabs>
              <w:spacing w:after="0"/>
              <w:jc w:val="right"/>
              <w:rPr>
                <w:color w:val="000000"/>
                <w:sz w:val="20"/>
                <w:szCs w:val="20"/>
                <w:lang w:val="fr-FR"/>
              </w:rPr>
            </w:pPr>
            <w:r>
              <w:rPr>
                <w:rFonts w:eastAsia="Times New Roman"/>
                <w:color w:val="000000"/>
                <w:sz w:val="20"/>
                <w:szCs w:val="20"/>
              </w:rPr>
              <w:t xml:space="preserve">1 070 </w:t>
            </w:r>
            <w:r w:rsidRPr="00C82B02">
              <w:rPr>
                <w:rFonts w:eastAsia="Times New Roman"/>
                <w:color w:val="000000"/>
                <w:sz w:val="20"/>
                <w:szCs w:val="20"/>
              </w:rPr>
              <w:t>649</w:t>
            </w:r>
          </w:p>
        </w:tc>
        <w:tc>
          <w:tcPr>
            <w:tcW w:w="695" w:type="pct"/>
            <w:noWrap/>
            <w:vAlign w:val="center"/>
          </w:tcPr>
          <w:p w:rsidR="00D52FC2" w:rsidRPr="00577EB1" w:rsidRDefault="00D52FC2" w:rsidP="002E752D">
            <w:pPr>
              <w:tabs>
                <w:tab w:val="clear" w:pos="709"/>
              </w:tabs>
              <w:spacing w:after="0"/>
              <w:jc w:val="right"/>
              <w:rPr>
                <w:color w:val="000000"/>
                <w:sz w:val="20"/>
                <w:szCs w:val="20"/>
                <w:lang w:val="fr-FR"/>
              </w:rPr>
            </w:pPr>
            <w:r>
              <w:rPr>
                <w:rFonts w:eastAsia="Times New Roman"/>
                <w:color w:val="000000"/>
                <w:sz w:val="20"/>
                <w:szCs w:val="20"/>
              </w:rPr>
              <w:t xml:space="preserve">8 </w:t>
            </w:r>
            <w:r w:rsidRPr="00C82B02">
              <w:rPr>
                <w:rFonts w:eastAsia="Times New Roman"/>
                <w:color w:val="000000"/>
                <w:sz w:val="20"/>
                <w:szCs w:val="20"/>
              </w:rPr>
              <w:t>635</w:t>
            </w:r>
          </w:p>
        </w:tc>
        <w:tc>
          <w:tcPr>
            <w:tcW w:w="694" w:type="pct"/>
            <w:noWrap/>
            <w:vAlign w:val="center"/>
          </w:tcPr>
          <w:p w:rsidR="00D52FC2" w:rsidRPr="00577EB1" w:rsidRDefault="00D52FC2" w:rsidP="002E752D">
            <w:pPr>
              <w:tabs>
                <w:tab w:val="clear" w:pos="709"/>
              </w:tabs>
              <w:spacing w:after="0"/>
              <w:jc w:val="right"/>
              <w:rPr>
                <w:sz w:val="20"/>
                <w:szCs w:val="20"/>
                <w:lang w:val="fr-FR"/>
              </w:rPr>
            </w:pPr>
            <w:r>
              <w:rPr>
                <w:rFonts w:eastAsia="Times New Roman"/>
                <w:sz w:val="20"/>
                <w:szCs w:val="20"/>
              </w:rPr>
              <w:t xml:space="preserve">8 </w:t>
            </w:r>
            <w:r w:rsidRPr="00C82B02">
              <w:rPr>
                <w:rFonts w:eastAsia="Times New Roman"/>
                <w:sz w:val="20"/>
                <w:szCs w:val="20"/>
              </w:rPr>
              <w:t>065</w:t>
            </w:r>
          </w:p>
        </w:tc>
        <w:tc>
          <w:tcPr>
            <w:tcW w:w="617" w:type="pct"/>
            <w:noWrap/>
            <w:vAlign w:val="center"/>
          </w:tcPr>
          <w:p w:rsidR="00D52FC2" w:rsidRPr="00577EB1" w:rsidRDefault="00D52FC2" w:rsidP="002E752D">
            <w:pPr>
              <w:tabs>
                <w:tab w:val="clear" w:pos="709"/>
              </w:tabs>
              <w:spacing w:after="0"/>
              <w:jc w:val="right"/>
              <w:rPr>
                <w:sz w:val="20"/>
                <w:szCs w:val="20"/>
                <w:lang w:val="fr-FR"/>
              </w:rPr>
            </w:pPr>
            <w:r w:rsidRPr="00C82B02">
              <w:rPr>
                <w:rFonts w:eastAsia="Times New Roman"/>
                <w:sz w:val="20"/>
                <w:szCs w:val="20"/>
              </w:rPr>
              <w:t>9%</w:t>
            </w:r>
          </w:p>
        </w:tc>
      </w:tr>
      <w:tr w:rsidR="00D52FC2" w:rsidRPr="00577EB1" w:rsidTr="0016389C">
        <w:trPr>
          <w:trHeight w:val="315"/>
        </w:trPr>
        <w:tc>
          <w:tcPr>
            <w:tcW w:w="2221" w:type="pct"/>
          </w:tcPr>
          <w:p w:rsidR="00D52FC2" w:rsidRPr="0016389C" w:rsidRDefault="00D52FC2" w:rsidP="002E752D">
            <w:pPr>
              <w:tabs>
                <w:tab w:val="clear" w:pos="709"/>
              </w:tabs>
              <w:spacing w:after="0"/>
              <w:jc w:val="left"/>
              <w:rPr>
                <w:bCs/>
                <w:sz w:val="20"/>
                <w:szCs w:val="20"/>
                <w:lang w:val="fr-FR"/>
              </w:rPr>
            </w:pPr>
            <w:r w:rsidRPr="0016389C">
              <w:rPr>
                <w:bCs/>
                <w:sz w:val="20"/>
                <w:szCs w:val="20"/>
                <w:lang w:val="fr-FR"/>
              </w:rPr>
              <w:t xml:space="preserve">4. Travaux publics </w:t>
            </w:r>
          </w:p>
        </w:tc>
        <w:tc>
          <w:tcPr>
            <w:tcW w:w="773" w:type="pct"/>
            <w:noWrap/>
            <w:vAlign w:val="center"/>
          </w:tcPr>
          <w:p w:rsidR="00E31F15" w:rsidRDefault="00D52FC2">
            <w:pPr>
              <w:tabs>
                <w:tab w:val="clear" w:pos="709"/>
              </w:tabs>
              <w:spacing w:after="0"/>
              <w:jc w:val="right"/>
              <w:rPr>
                <w:color w:val="000000"/>
                <w:sz w:val="20"/>
                <w:szCs w:val="20"/>
                <w:lang w:val="fr-FR"/>
              </w:rPr>
            </w:pPr>
            <w:r w:rsidRPr="00C82B02">
              <w:rPr>
                <w:rFonts w:eastAsia="Times New Roman"/>
                <w:color w:val="000000"/>
                <w:sz w:val="20"/>
                <w:szCs w:val="20"/>
              </w:rPr>
              <w:t>63</w:t>
            </w:r>
            <w:r>
              <w:rPr>
                <w:rFonts w:eastAsia="Times New Roman"/>
                <w:color w:val="000000"/>
                <w:sz w:val="20"/>
                <w:szCs w:val="20"/>
              </w:rPr>
              <w:t xml:space="preserve"> </w:t>
            </w:r>
            <w:r w:rsidRPr="00C82B02">
              <w:rPr>
                <w:rFonts w:eastAsia="Times New Roman"/>
                <w:color w:val="000000"/>
                <w:sz w:val="20"/>
                <w:szCs w:val="20"/>
              </w:rPr>
              <w:t>065</w:t>
            </w:r>
          </w:p>
        </w:tc>
        <w:tc>
          <w:tcPr>
            <w:tcW w:w="695" w:type="pct"/>
            <w:noWrap/>
            <w:vAlign w:val="center"/>
          </w:tcPr>
          <w:p w:rsidR="00D52FC2" w:rsidRPr="00577EB1" w:rsidRDefault="00D52FC2" w:rsidP="002E752D">
            <w:pPr>
              <w:tabs>
                <w:tab w:val="clear" w:pos="709"/>
              </w:tabs>
              <w:spacing w:after="0"/>
              <w:jc w:val="right"/>
              <w:rPr>
                <w:color w:val="000000"/>
                <w:sz w:val="20"/>
                <w:szCs w:val="20"/>
                <w:lang w:val="fr-FR"/>
              </w:rPr>
            </w:pPr>
            <w:r w:rsidRPr="00C82B02">
              <w:rPr>
                <w:rFonts w:eastAsia="Times New Roman"/>
                <w:color w:val="000000"/>
                <w:sz w:val="20"/>
                <w:szCs w:val="20"/>
              </w:rPr>
              <w:t>772</w:t>
            </w:r>
          </w:p>
        </w:tc>
        <w:tc>
          <w:tcPr>
            <w:tcW w:w="694" w:type="pct"/>
            <w:noWrap/>
            <w:vAlign w:val="center"/>
          </w:tcPr>
          <w:p w:rsidR="00D52FC2" w:rsidRPr="00577EB1" w:rsidRDefault="00D52FC2" w:rsidP="002E752D">
            <w:pPr>
              <w:tabs>
                <w:tab w:val="clear" w:pos="709"/>
              </w:tabs>
              <w:spacing w:after="0"/>
              <w:jc w:val="right"/>
              <w:rPr>
                <w:sz w:val="20"/>
                <w:szCs w:val="20"/>
                <w:lang w:val="fr-FR"/>
              </w:rPr>
            </w:pPr>
            <w:r>
              <w:rPr>
                <w:rFonts w:eastAsia="Times New Roman"/>
                <w:sz w:val="20"/>
                <w:szCs w:val="20"/>
              </w:rPr>
              <w:t xml:space="preserve">12 </w:t>
            </w:r>
            <w:r w:rsidRPr="00C82B02">
              <w:rPr>
                <w:rFonts w:eastAsia="Times New Roman"/>
                <w:sz w:val="20"/>
                <w:szCs w:val="20"/>
              </w:rPr>
              <w:t>2</w:t>
            </w:r>
            <w:r>
              <w:rPr>
                <w:rFonts w:eastAsia="Times New Roman"/>
                <w:sz w:val="20"/>
                <w:szCs w:val="20"/>
              </w:rPr>
              <w:t>41</w:t>
            </w:r>
          </w:p>
        </w:tc>
        <w:tc>
          <w:tcPr>
            <w:tcW w:w="617" w:type="pct"/>
            <w:noWrap/>
            <w:vAlign w:val="center"/>
          </w:tcPr>
          <w:p w:rsidR="00D52FC2" w:rsidRPr="00577EB1" w:rsidRDefault="00D52FC2" w:rsidP="002E752D">
            <w:pPr>
              <w:tabs>
                <w:tab w:val="clear" w:pos="709"/>
              </w:tabs>
              <w:spacing w:after="0"/>
              <w:jc w:val="right"/>
              <w:rPr>
                <w:sz w:val="20"/>
                <w:szCs w:val="20"/>
                <w:lang w:val="fr-FR"/>
              </w:rPr>
            </w:pPr>
            <w:r w:rsidRPr="00C82B02">
              <w:rPr>
                <w:rFonts w:eastAsia="Times New Roman"/>
                <w:sz w:val="20"/>
                <w:szCs w:val="20"/>
              </w:rPr>
              <w:t>13%</w:t>
            </w:r>
          </w:p>
        </w:tc>
      </w:tr>
      <w:tr w:rsidR="00D52FC2" w:rsidRPr="00577EB1" w:rsidTr="0016389C">
        <w:trPr>
          <w:trHeight w:val="300"/>
        </w:trPr>
        <w:tc>
          <w:tcPr>
            <w:tcW w:w="2221" w:type="pct"/>
          </w:tcPr>
          <w:p w:rsidR="00D52FC2" w:rsidRPr="0016389C" w:rsidRDefault="00EB214A" w:rsidP="002E752D">
            <w:pPr>
              <w:tabs>
                <w:tab w:val="clear" w:pos="709"/>
              </w:tabs>
              <w:spacing w:after="0"/>
              <w:jc w:val="left"/>
              <w:rPr>
                <w:bCs/>
                <w:iCs/>
                <w:sz w:val="20"/>
                <w:szCs w:val="20"/>
                <w:lang w:val="fr-FR"/>
              </w:rPr>
            </w:pPr>
            <w:r w:rsidRPr="00EB214A">
              <w:rPr>
                <w:bCs/>
                <w:iCs/>
                <w:sz w:val="20"/>
                <w:szCs w:val="20"/>
                <w:lang w:val="fr-FR"/>
              </w:rPr>
              <w:t xml:space="preserve">5.1 Exemption des frais de santé </w:t>
            </w:r>
          </w:p>
        </w:tc>
        <w:tc>
          <w:tcPr>
            <w:tcW w:w="773" w:type="pct"/>
            <w:noWrap/>
            <w:vAlign w:val="center"/>
          </w:tcPr>
          <w:p w:rsidR="00D52FC2" w:rsidRPr="00577EB1" w:rsidRDefault="00D52FC2" w:rsidP="002E752D">
            <w:pPr>
              <w:tabs>
                <w:tab w:val="clear" w:pos="709"/>
              </w:tabs>
              <w:spacing w:after="0"/>
              <w:jc w:val="right"/>
              <w:rPr>
                <w:color w:val="000000"/>
                <w:sz w:val="20"/>
                <w:szCs w:val="20"/>
                <w:lang w:val="fr-FR"/>
              </w:rPr>
            </w:pPr>
            <w:r w:rsidRPr="00C82B02">
              <w:rPr>
                <w:rFonts w:eastAsia="Times New Roman"/>
                <w:color w:val="000000"/>
                <w:sz w:val="20"/>
                <w:szCs w:val="20"/>
              </w:rPr>
              <w:t>1</w:t>
            </w:r>
            <w:r>
              <w:rPr>
                <w:rFonts w:eastAsia="Times New Roman"/>
                <w:color w:val="000000"/>
                <w:sz w:val="20"/>
                <w:szCs w:val="20"/>
              </w:rPr>
              <w:t xml:space="preserve">40 </w:t>
            </w:r>
            <w:r w:rsidRPr="00C82B02">
              <w:rPr>
                <w:rFonts w:eastAsia="Times New Roman"/>
                <w:color w:val="000000"/>
                <w:sz w:val="20"/>
                <w:szCs w:val="20"/>
              </w:rPr>
              <w:t>200</w:t>
            </w:r>
          </w:p>
        </w:tc>
        <w:tc>
          <w:tcPr>
            <w:tcW w:w="695" w:type="pct"/>
            <w:noWrap/>
            <w:vAlign w:val="center"/>
          </w:tcPr>
          <w:p w:rsidR="00D52FC2" w:rsidRPr="00577EB1" w:rsidRDefault="00D52FC2" w:rsidP="002E752D">
            <w:pPr>
              <w:tabs>
                <w:tab w:val="clear" w:pos="709"/>
              </w:tabs>
              <w:spacing w:after="0"/>
              <w:jc w:val="right"/>
              <w:rPr>
                <w:color w:val="000000"/>
                <w:sz w:val="20"/>
                <w:szCs w:val="20"/>
                <w:lang w:val="fr-FR"/>
              </w:rPr>
            </w:pPr>
            <w:r>
              <w:rPr>
                <w:rFonts w:eastAsia="Times New Roman"/>
                <w:color w:val="000000"/>
                <w:sz w:val="20"/>
                <w:szCs w:val="20"/>
              </w:rPr>
              <w:t xml:space="preserve">1 </w:t>
            </w:r>
            <w:r w:rsidRPr="00C82B02">
              <w:rPr>
                <w:rFonts w:eastAsia="Times New Roman"/>
                <w:color w:val="000000"/>
                <w:sz w:val="20"/>
                <w:szCs w:val="20"/>
              </w:rPr>
              <w:t>249</w:t>
            </w:r>
          </w:p>
        </w:tc>
        <w:tc>
          <w:tcPr>
            <w:tcW w:w="694" w:type="pct"/>
            <w:noWrap/>
            <w:vAlign w:val="center"/>
          </w:tcPr>
          <w:p w:rsidR="00D52FC2" w:rsidRPr="00577EB1" w:rsidRDefault="00D52FC2" w:rsidP="002E752D">
            <w:pPr>
              <w:tabs>
                <w:tab w:val="clear" w:pos="709"/>
              </w:tabs>
              <w:spacing w:after="0"/>
              <w:jc w:val="right"/>
              <w:rPr>
                <w:sz w:val="20"/>
                <w:szCs w:val="20"/>
                <w:lang w:val="fr-FR"/>
              </w:rPr>
            </w:pPr>
            <w:r>
              <w:rPr>
                <w:rFonts w:eastAsia="Times New Roman"/>
                <w:sz w:val="20"/>
                <w:szCs w:val="20"/>
              </w:rPr>
              <w:t>8 909</w:t>
            </w:r>
          </w:p>
        </w:tc>
        <w:tc>
          <w:tcPr>
            <w:tcW w:w="617" w:type="pct"/>
            <w:noWrap/>
            <w:vAlign w:val="center"/>
          </w:tcPr>
          <w:p w:rsidR="00D52FC2" w:rsidRPr="00577EB1" w:rsidRDefault="00D52FC2" w:rsidP="002E752D">
            <w:pPr>
              <w:tabs>
                <w:tab w:val="clear" w:pos="709"/>
              </w:tabs>
              <w:spacing w:after="0"/>
              <w:jc w:val="right"/>
              <w:rPr>
                <w:sz w:val="20"/>
                <w:szCs w:val="20"/>
                <w:lang w:val="fr-FR"/>
              </w:rPr>
            </w:pPr>
            <w:r>
              <w:rPr>
                <w:rFonts w:eastAsia="Times New Roman"/>
                <w:sz w:val="20"/>
                <w:szCs w:val="20"/>
              </w:rPr>
              <w:t>9</w:t>
            </w:r>
            <w:r w:rsidRPr="00C82B02">
              <w:rPr>
                <w:rFonts w:eastAsia="Times New Roman"/>
                <w:sz w:val="20"/>
                <w:szCs w:val="20"/>
              </w:rPr>
              <w:t>%</w:t>
            </w:r>
          </w:p>
        </w:tc>
      </w:tr>
      <w:tr w:rsidR="00D52FC2" w:rsidRPr="00577EB1" w:rsidTr="0016389C">
        <w:trPr>
          <w:trHeight w:val="300"/>
        </w:trPr>
        <w:tc>
          <w:tcPr>
            <w:tcW w:w="2221" w:type="pct"/>
            <w:noWrap/>
            <w:vAlign w:val="bottom"/>
          </w:tcPr>
          <w:p w:rsidR="00D52FC2" w:rsidRPr="00577EB1" w:rsidRDefault="00D52FC2" w:rsidP="002E752D">
            <w:pPr>
              <w:tabs>
                <w:tab w:val="clear" w:pos="709"/>
              </w:tabs>
              <w:spacing w:after="0"/>
              <w:jc w:val="left"/>
              <w:rPr>
                <w:color w:val="000000"/>
                <w:sz w:val="20"/>
                <w:szCs w:val="20"/>
                <w:lang w:val="fr-FR"/>
              </w:rPr>
            </w:pPr>
            <w:r w:rsidRPr="00577EB1">
              <w:rPr>
                <w:b/>
                <w:color w:val="000000"/>
                <w:sz w:val="20"/>
                <w:szCs w:val="20"/>
                <w:lang w:val="fr-FR"/>
              </w:rPr>
              <w:t>Total</w:t>
            </w:r>
            <w:r w:rsidRPr="00577EB1">
              <w:rPr>
                <w:color w:val="000000"/>
                <w:sz w:val="20"/>
                <w:szCs w:val="20"/>
                <w:lang w:val="fr-FR"/>
              </w:rPr>
              <w:t xml:space="preserve"> (couverture potentielle)</w:t>
            </w:r>
          </w:p>
        </w:tc>
        <w:tc>
          <w:tcPr>
            <w:tcW w:w="773" w:type="pct"/>
            <w:noWrap/>
            <w:vAlign w:val="center"/>
          </w:tcPr>
          <w:p w:rsidR="00E31F15" w:rsidRDefault="00D52FC2">
            <w:pPr>
              <w:tabs>
                <w:tab w:val="clear" w:pos="709"/>
              </w:tabs>
              <w:spacing w:after="0"/>
              <w:jc w:val="right"/>
              <w:rPr>
                <w:b/>
                <w:bCs/>
                <w:color w:val="000000"/>
                <w:sz w:val="20"/>
                <w:szCs w:val="20"/>
                <w:lang w:val="fr-FR"/>
              </w:rPr>
            </w:pPr>
            <w:r>
              <w:rPr>
                <w:rFonts w:eastAsia="Times New Roman"/>
                <w:b/>
                <w:bCs/>
                <w:color w:val="000000"/>
                <w:sz w:val="20"/>
                <w:szCs w:val="20"/>
              </w:rPr>
              <w:t>3 906 21</w:t>
            </w:r>
            <w:r w:rsidRPr="00C82B02">
              <w:rPr>
                <w:rFonts w:eastAsia="Times New Roman"/>
                <w:b/>
                <w:bCs/>
                <w:color w:val="000000"/>
                <w:sz w:val="20"/>
                <w:szCs w:val="20"/>
              </w:rPr>
              <w:t>6</w:t>
            </w:r>
          </w:p>
        </w:tc>
        <w:tc>
          <w:tcPr>
            <w:tcW w:w="695" w:type="pct"/>
            <w:noWrap/>
            <w:vAlign w:val="center"/>
          </w:tcPr>
          <w:p w:rsidR="00D52FC2" w:rsidRPr="00577EB1" w:rsidRDefault="00D52FC2" w:rsidP="002E752D">
            <w:pPr>
              <w:tabs>
                <w:tab w:val="clear" w:pos="709"/>
              </w:tabs>
              <w:spacing w:after="0"/>
              <w:jc w:val="right"/>
              <w:rPr>
                <w:b/>
                <w:bCs/>
                <w:color w:val="000000"/>
                <w:sz w:val="20"/>
                <w:szCs w:val="20"/>
                <w:lang w:val="fr-FR"/>
              </w:rPr>
            </w:pPr>
            <w:r>
              <w:rPr>
                <w:rFonts w:eastAsia="Times New Roman"/>
                <w:b/>
                <w:bCs/>
                <w:color w:val="000000"/>
                <w:sz w:val="20"/>
                <w:szCs w:val="20"/>
              </w:rPr>
              <w:t xml:space="preserve">36 </w:t>
            </w:r>
            <w:r w:rsidRPr="00C82B02">
              <w:rPr>
                <w:rFonts w:eastAsia="Times New Roman"/>
                <w:b/>
                <w:bCs/>
                <w:color w:val="000000"/>
                <w:sz w:val="20"/>
                <w:szCs w:val="20"/>
              </w:rPr>
              <w:t>08</w:t>
            </w:r>
            <w:r>
              <w:rPr>
                <w:rFonts w:eastAsia="Times New Roman"/>
                <w:b/>
                <w:bCs/>
                <w:color w:val="000000"/>
                <w:sz w:val="20"/>
                <w:szCs w:val="20"/>
              </w:rPr>
              <w:t>9</w:t>
            </w:r>
          </w:p>
        </w:tc>
        <w:tc>
          <w:tcPr>
            <w:tcW w:w="694" w:type="pct"/>
            <w:noWrap/>
            <w:vAlign w:val="center"/>
          </w:tcPr>
          <w:p w:rsidR="00D52FC2" w:rsidRPr="00577EB1" w:rsidRDefault="00D52FC2" w:rsidP="002E752D">
            <w:pPr>
              <w:tabs>
                <w:tab w:val="clear" w:pos="709"/>
              </w:tabs>
              <w:spacing w:after="0"/>
              <w:jc w:val="right"/>
              <w:rPr>
                <w:sz w:val="20"/>
                <w:szCs w:val="20"/>
                <w:lang w:val="fr-FR"/>
              </w:rPr>
            </w:pPr>
            <w:r>
              <w:rPr>
                <w:rFonts w:eastAsia="Times New Roman"/>
                <w:sz w:val="20"/>
                <w:szCs w:val="20"/>
              </w:rPr>
              <w:t>9 239</w:t>
            </w:r>
          </w:p>
        </w:tc>
        <w:tc>
          <w:tcPr>
            <w:tcW w:w="617" w:type="pct"/>
            <w:noWrap/>
            <w:vAlign w:val="center"/>
          </w:tcPr>
          <w:p w:rsidR="00D52FC2" w:rsidRPr="00577EB1" w:rsidRDefault="00D52FC2" w:rsidP="002E752D">
            <w:pPr>
              <w:tabs>
                <w:tab w:val="clear" w:pos="709"/>
              </w:tabs>
              <w:spacing w:after="0"/>
              <w:jc w:val="right"/>
              <w:rPr>
                <w:sz w:val="20"/>
                <w:szCs w:val="20"/>
                <w:lang w:val="fr-FR"/>
              </w:rPr>
            </w:pPr>
            <w:r w:rsidRPr="00C82B02">
              <w:rPr>
                <w:rFonts w:eastAsia="Times New Roman"/>
                <w:sz w:val="20"/>
                <w:szCs w:val="20"/>
              </w:rPr>
              <w:t>1</w:t>
            </w:r>
            <w:r>
              <w:rPr>
                <w:rFonts w:eastAsia="Times New Roman"/>
                <w:sz w:val="20"/>
                <w:szCs w:val="20"/>
              </w:rPr>
              <w:t>0</w:t>
            </w:r>
            <w:r w:rsidRPr="00C82B02">
              <w:rPr>
                <w:rFonts w:eastAsia="Times New Roman"/>
                <w:sz w:val="20"/>
                <w:szCs w:val="20"/>
              </w:rPr>
              <w:t>%</w:t>
            </w:r>
          </w:p>
        </w:tc>
      </w:tr>
      <w:tr w:rsidR="00D52FC2" w:rsidRPr="00577EB1" w:rsidTr="0016389C">
        <w:trPr>
          <w:trHeight w:val="300"/>
        </w:trPr>
        <w:tc>
          <w:tcPr>
            <w:tcW w:w="2221" w:type="pct"/>
            <w:noWrap/>
            <w:vAlign w:val="bottom"/>
          </w:tcPr>
          <w:p w:rsidR="00D52FC2" w:rsidRPr="00577EB1" w:rsidRDefault="00D52FC2" w:rsidP="002E752D">
            <w:pPr>
              <w:tabs>
                <w:tab w:val="clear" w:pos="709"/>
              </w:tabs>
              <w:spacing w:after="0"/>
              <w:jc w:val="left"/>
              <w:rPr>
                <w:color w:val="000000"/>
                <w:sz w:val="20"/>
                <w:szCs w:val="20"/>
                <w:lang w:val="fr-FR"/>
              </w:rPr>
            </w:pPr>
            <w:r w:rsidRPr="00577EB1">
              <w:rPr>
                <w:color w:val="000000"/>
                <w:sz w:val="20"/>
                <w:szCs w:val="20"/>
                <w:lang w:val="fr-FR"/>
              </w:rPr>
              <w:t xml:space="preserve">% de la population couverte </w:t>
            </w:r>
          </w:p>
        </w:tc>
        <w:tc>
          <w:tcPr>
            <w:tcW w:w="773" w:type="pct"/>
            <w:noWrap/>
            <w:vAlign w:val="center"/>
          </w:tcPr>
          <w:p w:rsidR="00D52FC2" w:rsidRPr="00577EB1" w:rsidRDefault="00D52FC2" w:rsidP="002E752D">
            <w:pPr>
              <w:tabs>
                <w:tab w:val="clear" w:pos="709"/>
              </w:tabs>
              <w:spacing w:after="0"/>
              <w:jc w:val="right"/>
              <w:rPr>
                <w:color w:val="000000"/>
                <w:sz w:val="20"/>
                <w:szCs w:val="20"/>
                <w:lang w:val="fr-FR"/>
              </w:rPr>
            </w:pPr>
            <w:r>
              <w:rPr>
                <w:rFonts w:eastAsia="Times New Roman"/>
                <w:color w:val="000000"/>
                <w:sz w:val="20"/>
                <w:szCs w:val="20"/>
              </w:rPr>
              <w:t>25</w:t>
            </w:r>
            <w:r w:rsidRPr="00C82B02">
              <w:rPr>
                <w:rFonts w:eastAsia="Times New Roman"/>
                <w:color w:val="000000"/>
                <w:sz w:val="20"/>
                <w:szCs w:val="20"/>
              </w:rPr>
              <w:t>%</w:t>
            </w:r>
          </w:p>
        </w:tc>
        <w:tc>
          <w:tcPr>
            <w:tcW w:w="695" w:type="pct"/>
            <w:noWrap/>
            <w:vAlign w:val="center"/>
          </w:tcPr>
          <w:p w:rsidR="00D52FC2" w:rsidRPr="00577EB1" w:rsidRDefault="00D52FC2" w:rsidP="002E752D">
            <w:pPr>
              <w:tabs>
                <w:tab w:val="clear" w:pos="709"/>
              </w:tabs>
              <w:spacing w:after="0"/>
              <w:jc w:val="right"/>
              <w:rPr>
                <w:b/>
                <w:bCs/>
                <w:color w:val="000000"/>
                <w:sz w:val="20"/>
                <w:szCs w:val="20"/>
                <w:lang w:val="fr-FR"/>
              </w:rPr>
            </w:pPr>
            <w:r w:rsidRPr="00C82B02">
              <w:rPr>
                <w:rFonts w:eastAsia="Times New Roman"/>
                <w:b/>
                <w:bCs/>
                <w:color w:val="000000"/>
                <w:sz w:val="20"/>
                <w:szCs w:val="20"/>
              </w:rPr>
              <w:t> </w:t>
            </w:r>
          </w:p>
        </w:tc>
        <w:tc>
          <w:tcPr>
            <w:tcW w:w="694" w:type="pct"/>
            <w:noWrap/>
            <w:vAlign w:val="center"/>
          </w:tcPr>
          <w:p w:rsidR="00D52FC2" w:rsidRPr="00577EB1" w:rsidRDefault="00D52FC2" w:rsidP="002E752D">
            <w:pPr>
              <w:tabs>
                <w:tab w:val="clear" w:pos="709"/>
              </w:tabs>
              <w:spacing w:after="0"/>
              <w:jc w:val="right"/>
              <w:rPr>
                <w:sz w:val="20"/>
                <w:szCs w:val="20"/>
                <w:lang w:val="fr-FR"/>
              </w:rPr>
            </w:pPr>
            <w:r w:rsidRPr="00C82B02">
              <w:rPr>
                <w:rFonts w:eastAsia="Times New Roman"/>
                <w:sz w:val="20"/>
                <w:szCs w:val="20"/>
              </w:rPr>
              <w:t> </w:t>
            </w:r>
          </w:p>
        </w:tc>
        <w:tc>
          <w:tcPr>
            <w:tcW w:w="617" w:type="pct"/>
            <w:noWrap/>
            <w:vAlign w:val="center"/>
          </w:tcPr>
          <w:p w:rsidR="00D52FC2" w:rsidRPr="00577EB1" w:rsidRDefault="00D52FC2" w:rsidP="002E752D">
            <w:pPr>
              <w:tabs>
                <w:tab w:val="clear" w:pos="709"/>
              </w:tabs>
              <w:spacing w:after="0"/>
              <w:jc w:val="right"/>
              <w:rPr>
                <w:sz w:val="20"/>
                <w:szCs w:val="20"/>
                <w:lang w:val="fr-FR"/>
              </w:rPr>
            </w:pPr>
            <w:r w:rsidRPr="00C82B02">
              <w:rPr>
                <w:rFonts w:eastAsia="Times New Roman"/>
                <w:sz w:val="20"/>
                <w:szCs w:val="20"/>
              </w:rPr>
              <w:t> </w:t>
            </w:r>
          </w:p>
        </w:tc>
      </w:tr>
      <w:tr w:rsidR="00D52FC2" w:rsidRPr="00577EB1" w:rsidTr="0016389C">
        <w:trPr>
          <w:trHeight w:val="300"/>
        </w:trPr>
        <w:tc>
          <w:tcPr>
            <w:tcW w:w="2221" w:type="pct"/>
            <w:noWrap/>
            <w:vAlign w:val="bottom"/>
          </w:tcPr>
          <w:p w:rsidR="00D52FC2" w:rsidRPr="00577EB1" w:rsidRDefault="00D52FC2" w:rsidP="002E752D">
            <w:pPr>
              <w:tabs>
                <w:tab w:val="clear" w:pos="709"/>
              </w:tabs>
              <w:spacing w:after="0"/>
              <w:jc w:val="left"/>
              <w:rPr>
                <w:color w:val="000000"/>
                <w:sz w:val="20"/>
                <w:szCs w:val="20"/>
                <w:lang w:val="fr-FR"/>
              </w:rPr>
            </w:pPr>
            <w:r w:rsidRPr="00577EB1">
              <w:rPr>
                <w:b/>
                <w:color w:val="000000"/>
                <w:sz w:val="20"/>
                <w:szCs w:val="20"/>
                <w:lang w:val="fr-FR"/>
              </w:rPr>
              <w:t>Total</w:t>
            </w:r>
            <w:r w:rsidRPr="00577EB1">
              <w:rPr>
                <w:color w:val="000000"/>
                <w:sz w:val="20"/>
                <w:szCs w:val="20"/>
                <w:lang w:val="fr-FR"/>
              </w:rPr>
              <w:t xml:space="preserve"> (couverture potentielle)</w:t>
            </w:r>
            <w:r>
              <w:rPr>
                <w:color w:val="000000"/>
                <w:sz w:val="20"/>
                <w:szCs w:val="20"/>
                <w:lang w:val="fr-FR"/>
              </w:rPr>
              <w:t xml:space="preserve"> </w:t>
            </w:r>
            <w:r w:rsidRPr="00577EB1">
              <w:rPr>
                <w:color w:val="000000"/>
                <w:sz w:val="20"/>
                <w:szCs w:val="20"/>
                <w:lang w:val="fr-FR"/>
              </w:rPr>
              <w:t xml:space="preserve">hors ventes subventionnées </w:t>
            </w:r>
          </w:p>
        </w:tc>
        <w:tc>
          <w:tcPr>
            <w:tcW w:w="773" w:type="pct"/>
            <w:noWrap/>
            <w:vAlign w:val="center"/>
          </w:tcPr>
          <w:p w:rsidR="00D52FC2" w:rsidRPr="00577EB1" w:rsidRDefault="00D52FC2" w:rsidP="002E752D">
            <w:pPr>
              <w:tabs>
                <w:tab w:val="clear" w:pos="709"/>
              </w:tabs>
              <w:spacing w:after="0"/>
              <w:jc w:val="right"/>
              <w:rPr>
                <w:b/>
                <w:bCs/>
                <w:color w:val="000000"/>
                <w:sz w:val="20"/>
                <w:szCs w:val="20"/>
                <w:lang w:val="fr-FR"/>
              </w:rPr>
            </w:pPr>
            <w:r>
              <w:rPr>
                <w:rFonts w:eastAsia="Times New Roman"/>
                <w:b/>
                <w:bCs/>
                <w:color w:val="000000"/>
                <w:sz w:val="20"/>
                <w:szCs w:val="20"/>
              </w:rPr>
              <w:t>2 106 21</w:t>
            </w:r>
            <w:r w:rsidRPr="00C82B02">
              <w:rPr>
                <w:rFonts w:eastAsia="Times New Roman"/>
                <w:b/>
                <w:bCs/>
                <w:color w:val="000000"/>
                <w:sz w:val="20"/>
                <w:szCs w:val="20"/>
              </w:rPr>
              <w:t>6</w:t>
            </w:r>
          </w:p>
        </w:tc>
        <w:tc>
          <w:tcPr>
            <w:tcW w:w="695" w:type="pct"/>
            <w:noWrap/>
            <w:vAlign w:val="center"/>
          </w:tcPr>
          <w:p w:rsidR="00D52FC2" w:rsidRPr="00577EB1" w:rsidRDefault="00D52FC2" w:rsidP="002E752D">
            <w:pPr>
              <w:tabs>
                <w:tab w:val="clear" w:pos="709"/>
              </w:tabs>
              <w:spacing w:after="0"/>
              <w:jc w:val="right"/>
              <w:rPr>
                <w:b/>
                <w:bCs/>
                <w:color w:val="000000"/>
                <w:sz w:val="20"/>
                <w:szCs w:val="20"/>
                <w:lang w:val="fr-FR"/>
              </w:rPr>
            </w:pPr>
            <w:r>
              <w:rPr>
                <w:rFonts w:eastAsia="Times New Roman"/>
                <w:b/>
                <w:bCs/>
                <w:color w:val="000000"/>
                <w:sz w:val="20"/>
                <w:szCs w:val="20"/>
              </w:rPr>
              <w:t xml:space="preserve">33 </w:t>
            </w:r>
            <w:r w:rsidRPr="00C82B02">
              <w:rPr>
                <w:rFonts w:eastAsia="Times New Roman"/>
                <w:b/>
                <w:bCs/>
                <w:color w:val="000000"/>
                <w:sz w:val="20"/>
                <w:szCs w:val="20"/>
              </w:rPr>
              <w:t>94</w:t>
            </w:r>
            <w:r>
              <w:rPr>
                <w:rFonts w:eastAsia="Times New Roman"/>
                <w:b/>
                <w:bCs/>
                <w:color w:val="000000"/>
                <w:sz w:val="20"/>
                <w:szCs w:val="20"/>
              </w:rPr>
              <w:t>5</w:t>
            </w:r>
          </w:p>
        </w:tc>
        <w:tc>
          <w:tcPr>
            <w:tcW w:w="694" w:type="pct"/>
            <w:noWrap/>
            <w:vAlign w:val="center"/>
          </w:tcPr>
          <w:p w:rsidR="00D52FC2" w:rsidRPr="00577EB1" w:rsidRDefault="00D52FC2" w:rsidP="002E752D">
            <w:pPr>
              <w:tabs>
                <w:tab w:val="clear" w:pos="709"/>
              </w:tabs>
              <w:spacing w:after="0"/>
              <w:jc w:val="right"/>
              <w:rPr>
                <w:sz w:val="20"/>
                <w:szCs w:val="20"/>
                <w:lang w:val="fr-FR"/>
              </w:rPr>
            </w:pPr>
            <w:r>
              <w:rPr>
                <w:rFonts w:eastAsia="Times New Roman"/>
                <w:sz w:val="20"/>
                <w:szCs w:val="20"/>
              </w:rPr>
              <w:t>16 11</w:t>
            </w:r>
            <w:r w:rsidRPr="00C82B02">
              <w:rPr>
                <w:rFonts w:eastAsia="Times New Roman"/>
                <w:sz w:val="20"/>
                <w:szCs w:val="20"/>
              </w:rPr>
              <w:t>6</w:t>
            </w:r>
          </w:p>
        </w:tc>
        <w:tc>
          <w:tcPr>
            <w:tcW w:w="617" w:type="pct"/>
            <w:noWrap/>
            <w:vAlign w:val="center"/>
          </w:tcPr>
          <w:p w:rsidR="00D52FC2" w:rsidRPr="00577EB1" w:rsidRDefault="00D52FC2" w:rsidP="002E752D">
            <w:pPr>
              <w:tabs>
                <w:tab w:val="clear" w:pos="709"/>
              </w:tabs>
              <w:spacing w:after="0"/>
              <w:jc w:val="right"/>
              <w:rPr>
                <w:sz w:val="20"/>
                <w:szCs w:val="20"/>
                <w:lang w:val="fr-FR"/>
              </w:rPr>
            </w:pPr>
            <w:r w:rsidRPr="00C82B02">
              <w:rPr>
                <w:rFonts w:eastAsia="Times New Roman"/>
                <w:sz w:val="20"/>
                <w:szCs w:val="20"/>
              </w:rPr>
              <w:t>1</w:t>
            </w:r>
            <w:r>
              <w:rPr>
                <w:rFonts w:eastAsia="Times New Roman"/>
                <w:sz w:val="20"/>
                <w:szCs w:val="20"/>
              </w:rPr>
              <w:t>7</w:t>
            </w:r>
            <w:r w:rsidRPr="00C82B02">
              <w:rPr>
                <w:rFonts w:eastAsia="Times New Roman"/>
                <w:sz w:val="20"/>
                <w:szCs w:val="20"/>
              </w:rPr>
              <w:t>%</w:t>
            </w:r>
          </w:p>
        </w:tc>
      </w:tr>
      <w:tr w:rsidR="0016389C" w:rsidRPr="00577EB1" w:rsidTr="0016389C">
        <w:trPr>
          <w:trHeight w:val="300"/>
        </w:trPr>
        <w:tc>
          <w:tcPr>
            <w:tcW w:w="2221" w:type="pct"/>
            <w:noWrap/>
            <w:vAlign w:val="bottom"/>
          </w:tcPr>
          <w:p w:rsidR="00D52FC2" w:rsidRPr="00577EB1" w:rsidRDefault="00D52FC2" w:rsidP="002E752D">
            <w:pPr>
              <w:tabs>
                <w:tab w:val="clear" w:pos="709"/>
              </w:tabs>
              <w:spacing w:after="0"/>
              <w:jc w:val="left"/>
              <w:rPr>
                <w:color w:val="000000"/>
                <w:sz w:val="20"/>
                <w:szCs w:val="20"/>
                <w:lang w:val="fr-FR"/>
              </w:rPr>
            </w:pPr>
            <w:r w:rsidRPr="00577EB1">
              <w:rPr>
                <w:color w:val="000000"/>
                <w:sz w:val="20"/>
                <w:szCs w:val="20"/>
                <w:lang w:val="fr-FR"/>
              </w:rPr>
              <w:t xml:space="preserve">% de la population couverte </w:t>
            </w:r>
          </w:p>
        </w:tc>
        <w:tc>
          <w:tcPr>
            <w:tcW w:w="773" w:type="pct"/>
            <w:noWrap/>
            <w:vAlign w:val="center"/>
          </w:tcPr>
          <w:p w:rsidR="00D52FC2" w:rsidRPr="00577EB1" w:rsidRDefault="00D52FC2" w:rsidP="002E752D">
            <w:pPr>
              <w:tabs>
                <w:tab w:val="clear" w:pos="709"/>
              </w:tabs>
              <w:spacing w:after="0"/>
              <w:jc w:val="right"/>
              <w:rPr>
                <w:color w:val="000000"/>
                <w:sz w:val="20"/>
                <w:szCs w:val="20"/>
                <w:lang w:val="fr-FR"/>
              </w:rPr>
            </w:pPr>
            <w:r w:rsidRPr="00C82B02">
              <w:rPr>
                <w:rFonts w:eastAsia="Times New Roman"/>
                <w:color w:val="000000"/>
                <w:sz w:val="20"/>
                <w:szCs w:val="20"/>
              </w:rPr>
              <w:t>13%</w:t>
            </w:r>
          </w:p>
        </w:tc>
        <w:tc>
          <w:tcPr>
            <w:tcW w:w="695" w:type="pct"/>
            <w:noWrap/>
            <w:vAlign w:val="center"/>
          </w:tcPr>
          <w:p w:rsidR="00D52FC2" w:rsidRPr="00577EB1" w:rsidRDefault="00D52FC2" w:rsidP="002E752D">
            <w:pPr>
              <w:tabs>
                <w:tab w:val="clear" w:pos="709"/>
              </w:tabs>
              <w:spacing w:after="0"/>
              <w:jc w:val="right"/>
              <w:rPr>
                <w:color w:val="000000"/>
                <w:sz w:val="20"/>
                <w:szCs w:val="20"/>
                <w:lang w:val="fr-FR"/>
              </w:rPr>
            </w:pPr>
            <w:r w:rsidRPr="00C82B02">
              <w:rPr>
                <w:rFonts w:eastAsia="Times New Roman"/>
                <w:color w:val="000000"/>
                <w:sz w:val="20"/>
                <w:szCs w:val="20"/>
              </w:rPr>
              <w:t> </w:t>
            </w:r>
          </w:p>
        </w:tc>
        <w:tc>
          <w:tcPr>
            <w:tcW w:w="694" w:type="pct"/>
            <w:noWrap/>
            <w:vAlign w:val="center"/>
          </w:tcPr>
          <w:p w:rsidR="00D52FC2" w:rsidRPr="00577EB1" w:rsidRDefault="00D52FC2" w:rsidP="002E752D">
            <w:pPr>
              <w:tabs>
                <w:tab w:val="clear" w:pos="709"/>
              </w:tabs>
              <w:spacing w:after="0"/>
              <w:jc w:val="right"/>
              <w:rPr>
                <w:color w:val="000000"/>
                <w:sz w:val="20"/>
                <w:szCs w:val="20"/>
                <w:lang w:val="fr-FR"/>
              </w:rPr>
            </w:pPr>
            <w:r w:rsidRPr="00C82B02">
              <w:rPr>
                <w:rFonts w:eastAsia="Times New Roman"/>
                <w:color w:val="000000"/>
                <w:sz w:val="20"/>
                <w:szCs w:val="20"/>
              </w:rPr>
              <w:t> </w:t>
            </w:r>
          </w:p>
        </w:tc>
        <w:tc>
          <w:tcPr>
            <w:tcW w:w="617" w:type="pct"/>
            <w:noWrap/>
            <w:vAlign w:val="center"/>
          </w:tcPr>
          <w:p w:rsidR="00D52FC2" w:rsidRPr="00577EB1" w:rsidRDefault="00D52FC2" w:rsidP="002E752D">
            <w:pPr>
              <w:tabs>
                <w:tab w:val="clear" w:pos="709"/>
              </w:tabs>
              <w:spacing w:after="0"/>
              <w:jc w:val="right"/>
              <w:rPr>
                <w:sz w:val="20"/>
                <w:szCs w:val="20"/>
                <w:lang w:val="fr-FR"/>
              </w:rPr>
            </w:pPr>
            <w:r w:rsidRPr="00C82B02">
              <w:rPr>
                <w:rFonts w:eastAsia="Times New Roman"/>
                <w:sz w:val="20"/>
                <w:szCs w:val="20"/>
              </w:rPr>
              <w:t> </w:t>
            </w:r>
          </w:p>
        </w:tc>
      </w:tr>
      <w:tr w:rsidR="0016389C" w:rsidRPr="00577EB1" w:rsidTr="0016389C">
        <w:trPr>
          <w:trHeight w:val="300"/>
        </w:trPr>
        <w:tc>
          <w:tcPr>
            <w:tcW w:w="2221" w:type="pct"/>
            <w:tcBorders>
              <w:bottom w:val="single" w:sz="4" w:space="0" w:color="auto"/>
            </w:tcBorders>
            <w:noWrap/>
            <w:vAlign w:val="bottom"/>
          </w:tcPr>
          <w:p w:rsidR="00D52FC2" w:rsidRPr="00577EB1" w:rsidRDefault="00D52FC2" w:rsidP="002E752D">
            <w:pPr>
              <w:tabs>
                <w:tab w:val="clear" w:pos="709"/>
              </w:tabs>
              <w:spacing w:after="0"/>
              <w:jc w:val="left"/>
              <w:rPr>
                <w:color w:val="000000"/>
                <w:sz w:val="20"/>
                <w:szCs w:val="20"/>
                <w:lang w:val="fr-FR"/>
              </w:rPr>
            </w:pPr>
            <w:r w:rsidRPr="00577EB1">
              <w:rPr>
                <w:color w:val="000000"/>
                <w:sz w:val="20"/>
                <w:szCs w:val="20"/>
                <w:lang w:val="fr-FR"/>
              </w:rPr>
              <w:t xml:space="preserve">% de la population vivant en dessous du seuil de pauvreté </w:t>
            </w:r>
          </w:p>
        </w:tc>
        <w:tc>
          <w:tcPr>
            <w:tcW w:w="773" w:type="pct"/>
            <w:tcBorders>
              <w:bottom w:val="single" w:sz="4" w:space="0" w:color="auto"/>
            </w:tcBorders>
            <w:noWrap/>
            <w:vAlign w:val="center"/>
          </w:tcPr>
          <w:p w:rsidR="00D52FC2" w:rsidRPr="00577EB1" w:rsidRDefault="00D52FC2" w:rsidP="002E752D">
            <w:pPr>
              <w:tabs>
                <w:tab w:val="clear" w:pos="709"/>
              </w:tabs>
              <w:spacing w:after="0"/>
              <w:jc w:val="right"/>
              <w:rPr>
                <w:color w:val="000000"/>
                <w:sz w:val="20"/>
                <w:szCs w:val="20"/>
                <w:lang w:val="fr-FR"/>
              </w:rPr>
            </w:pPr>
            <w:r w:rsidRPr="00C82B02">
              <w:rPr>
                <w:rFonts w:eastAsia="Times New Roman"/>
                <w:color w:val="000000"/>
                <w:sz w:val="20"/>
                <w:szCs w:val="20"/>
              </w:rPr>
              <w:t>43%</w:t>
            </w:r>
          </w:p>
        </w:tc>
        <w:tc>
          <w:tcPr>
            <w:tcW w:w="695" w:type="pct"/>
            <w:tcBorders>
              <w:bottom w:val="single" w:sz="4" w:space="0" w:color="auto"/>
            </w:tcBorders>
            <w:noWrap/>
            <w:vAlign w:val="center"/>
          </w:tcPr>
          <w:p w:rsidR="00D52FC2" w:rsidRPr="00577EB1" w:rsidRDefault="00D52FC2" w:rsidP="002E752D">
            <w:pPr>
              <w:tabs>
                <w:tab w:val="clear" w:pos="709"/>
              </w:tabs>
              <w:spacing w:after="0"/>
              <w:jc w:val="right"/>
              <w:rPr>
                <w:color w:val="000000"/>
                <w:sz w:val="20"/>
                <w:szCs w:val="20"/>
                <w:lang w:val="fr-FR"/>
              </w:rPr>
            </w:pPr>
            <w:r w:rsidRPr="00C82B02">
              <w:rPr>
                <w:rFonts w:eastAsia="Times New Roman"/>
                <w:color w:val="000000"/>
                <w:sz w:val="20"/>
                <w:szCs w:val="20"/>
              </w:rPr>
              <w:t> </w:t>
            </w:r>
          </w:p>
        </w:tc>
        <w:tc>
          <w:tcPr>
            <w:tcW w:w="694" w:type="pct"/>
            <w:tcBorders>
              <w:bottom w:val="single" w:sz="4" w:space="0" w:color="auto"/>
            </w:tcBorders>
            <w:noWrap/>
            <w:vAlign w:val="center"/>
          </w:tcPr>
          <w:p w:rsidR="00D52FC2" w:rsidRPr="00577EB1" w:rsidRDefault="00D52FC2" w:rsidP="002E752D">
            <w:pPr>
              <w:tabs>
                <w:tab w:val="clear" w:pos="709"/>
              </w:tabs>
              <w:spacing w:after="0"/>
              <w:jc w:val="right"/>
              <w:rPr>
                <w:color w:val="000000"/>
                <w:sz w:val="20"/>
                <w:szCs w:val="20"/>
                <w:lang w:val="fr-FR"/>
              </w:rPr>
            </w:pPr>
            <w:r w:rsidRPr="00C82B02">
              <w:rPr>
                <w:rFonts w:eastAsia="Times New Roman"/>
                <w:color w:val="000000"/>
                <w:sz w:val="20"/>
                <w:szCs w:val="20"/>
              </w:rPr>
              <w:t> </w:t>
            </w:r>
          </w:p>
        </w:tc>
        <w:tc>
          <w:tcPr>
            <w:tcW w:w="617" w:type="pct"/>
            <w:tcBorders>
              <w:bottom w:val="single" w:sz="4" w:space="0" w:color="auto"/>
            </w:tcBorders>
            <w:noWrap/>
            <w:vAlign w:val="center"/>
          </w:tcPr>
          <w:p w:rsidR="00D52FC2" w:rsidRPr="00577EB1" w:rsidRDefault="00D52FC2" w:rsidP="002E752D">
            <w:pPr>
              <w:tabs>
                <w:tab w:val="clear" w:pos="709"/>
              </w:tabs>
              <w:spacing w:after="0"/>
              <w:jc w:val="right"/>
              <w:rPr>
                <w:color w:val="000000"/>
                <w:sz w:val="20"/>
                <w:szCs w:val="20"/>
                <w:lang w:val="fr-FR"/>
              </w:rPr>
            </w:pPr>
            <w:r w:rsidRPr="00C82B02">
              <w:rPr>
                <w:rFonts w:eastAsia="Times New Roman"/>
                <w:color w:val="000000"/>
                <w:sz w:val="20"/>
                <w:szCs w:val="20"/>
              </w:rPr>
              <w:t> </w:t>
            </w:r>
          </w:p>
        </w:tc>
      </w:tr>
    </w:tbl>
    <w:p w:rsidR="00A66260" w:rsidRPr="001F3001" w:rsidRDefault="00EB214A" w:rsidP="00A66260">
      <w:pPr>
        <w:tabs>
          <w:tab w:val="clear" w:pos="709"/>
        </w:tabs>
        <w:spacing w:after="0"/>
        <w:rPr>
          <w:sz w:val="20"/>
          <w:lang w:val="fr-FR"/>
        </w:rPr>
      </w:pPr>
      <w:r w:rsidRPr="00EB214A">
        <w:rPr>
          <w:sz w:val="20"/>
          <w:lang w:val="fr-FR"/>
        </w:rPr>
        <w:t xml:space="preserve">Note : Le niveau des transferts n’inclut pas les coûts administratifs qui peuvent être élevés pour les programmes de nutrition </w:t>
      </w:r>
    </w:p>
    <w:p w:rsidR="00A66260" w:rsidRPr="001F3001" w:rsidRDefault="00EB214A" w:rsidP="00A66260">
      <w:pPr>
        <w:tabs>
          <w:tab w:val="clear" w:pos="709"/>
        </w:tabs>
        <w:spacing w:after="0"/>
        <w:rPr>
          <w:sz w:val="20"/>
          <w:lang w:val="fr-FR"/>
        </w:rPr>
      </w:pPr>
      <w:r w:rsidRPr="00EB214A">
        <w:rPr>
          <w:sz w:val="20"/>
          <w:lang w:val="fr-FR"/>
        </w:rPr>
        <w:t xml:space="preserve">Le seuil de pauvreté considéré en 2009 était de 93 949 francs CFA par personne et par an </w:t>
      </w:r>
    </w:p>
    <w:p w:rsidR="004B3541" w:rsidRDefault="00EB214A">
      <w:pPr>
        <w:tabs>
          <w:tab w:val="clear" w:pos="709"/>
        </w:tabs>
        <w:spacing w:before="120" w:after="480"/>
        <w:rPr>
          <w:bCs/>
          <w:i/>
          <w:sz w:val="20"/>
          <w:lang w:val="fr-FR"/>
        </w:rPr>
      </w:pPr>
      <w:r w:rsidRPr="00EB214A">
        <w:rPr>
          <w:bCs/>
          <w:i/>
          <w:sz w:val="20"/>
          <w:lang w:val="fr-FR"/>
        </w:rPr>
        <w:t xml:space="preserve">Source : </w:t>
      </w:r>
      <w:r w:rsidRPr="00EB214A">
        <w:rPr>
          <w:bCs/>
          <w:sz w:val="20"/>
          <w:lang w:val="fr-FR"/>
        </w:rPr>
        <w:t>Auteurs</w:t>
      </w:r>
      <w:r w:rsidRPr="00EB214A">
        <w:rPr>
          <w:bCs/>
          <w:i/>
          <w:sz w:val="20"/>
          <w:lang w:val="fr-FR"/>
        </w:rPr>
        <w:t>.</w:t>
      </w:r>
    </w:p>
    <w:p w:rsidR="00A66260" w:rsidRPr="00577EB1" w:rsidRDefault="00A66260" w:rsidP="00A66260">
      <w:pPr>
        <w:pStyle w:val="Style3"/>
        <w:rPr>
          <w:sz w:val="28"/>
          <w:szCs w:val="28"/>
          <w:lang w:val="fr-FR"/>
        </w:rPr>
      </w:pPr>
      <w:r w:rsidRPr="00577EB1">
        <w:rPr>
          <w:sz w:val="28"/>
          <w:szCs w:val="28"/>
          <w:lang w:val="fr-FR"/>
        </w:rPr>
        <w:t xml:space="preserve">Options pour l’accroissement des budgets consacrés aux filets sociaux </w:t>
      </w:r>
    </w:p>
    <w:p w:rsidR="00A66260" w:rsidRPr="00577EB1" w:rsidRDefault="00A66260" w:rsidP="00E52A30">
      <w:pPr>
        <w:numPr>
          <w:ilvl w:val="0"/>
          <w:numId w:val="2"/>
        </w:numPr>
        <w:ind w:left="0" w:firstLine="0"/>
        <w:rPr>
          <w:lang w:val="fr-FR"/>
        </w:rPr>
      </w:pPr>
      <w:r w:rsidRPr="00577EB1">
        <w:rPr>
          <w:b/>
          <w:lang w:val="fr-FR"/>
        </w:rPr>
        <w:t>Comme l’ont souligné d’autres examens, le soutien des revenus actuels des pauvres est un choix politique raisonnable, mais le système actuel de filets sociaux semble trop limité pour constituer une réponse appropriée à la pauvreté et à la vulnérabilité.</w:t>
      </w:r>
      <w:r w:rsidRPr="00577EB1">
        <w:rPr>
          <w:lang w:val="fr-FR"/>
        </w:rPr>
        <w:t xml:space="preserve"> Comparé aux besoins, la couverture des pauvres par les filets sociaux doit </w:t>
      </w:r>
      <w:r w:rsidRPr="00577EB1">
        <w:rPr>
          <w:lang w:val="fr-FR"/>
        </w:rPr>
        <w:lastRenderedPageBreak/>
        <w:t xml:space="preserve">s’accroître sensiblement qu’une différence soit perceptible dans la vie des pauvres. En outre, la grande dépendance des programmes de filets sociaux vis-à-vis des bailleurs de fonds montre que l’État doit jouer un rôle plus important dans l’organisation, la consolidation et la pérennisation des différentes composantes du système de filets sociaux, afin de le rendre soutenable. </w:t>
      </w:r>
    </w:p>
    <w:p w:rsidR="00A66260" w:rsidRPr="00577EB1" w:rsidRDefault="00A66260" w:rsidP="00E52A30">
      <w:pPr>
        <w:numPr>
          <w:ilvl w:val="0"/>
          <w:numId w:val="2"/>
        </w:numPr>
        <w:ind w:left="0" w:firstLine="0"/>
        <w:rPr>
          <w:lang w:val="fr-FR"/>
        </w:rPr>
      </w:pPr>
      <w:r w:rsidRPr="00577EB1">
        <w:rPr>
          <w:b/>
          <w:lang w:val="fr-FR"/>
        </w:rPr>
        <w:t xml:space="preserve">En raison de leurs contraintes budgétaires, les pouvoirs publics doivent répartir des ressources limitées entre les programmes appuyant les revenus des pauvres, promouvant l’éducation des filles, ou étendant le stock toujours limité du capital physique public, tel que les routes. </w:t>
      </w:r>
      <w:r w:rsidRPr="00577EB1">
        <w:rPr>
          <w:lang w:val="fr-FR"/>
        </w:rPr>
        <w:t xml:space="preserve">Dans un débat élargi, il faut garder ces considérations à l’esprit, surtout dans le contexte de la crise économique actuelle où les dépenses dans le capital humain peuvent être menacées par les pressions exercées sur les ressources financières. </w:t>
      </w:r>
    </w:p>
    <w:p w:rsidR="00A66260" w:rsidRPr="00577EB1" w:rsidRDefault="00A66260" w:rsidP="00E52A30">
      <w:pPr>
        <w:numPr>
          <w:ilvl w:val="0"/>
          <w:numId w:val="2"/>
        </w:numPr>
        <w:ind w:left="0" w:firstLine="0"/>
        <w:rPr>
          <w:lang w:val="fr-FR"/>
        </w:rPr>
      </w:pPr>
      <w:r w:rsidRPr="00577EB1">
        <w:rPr>
          <w:b/>
          <w:lang w:val="fr-FR"/>
        </w:rPr>
        <w:t>Les coûts du maintien des filets sociaux au niveau actuel (environ 1% du PIB en 2009) peuvent être élevés à long terme, même si cette option peut sembler attrayante à court terme</w:t>
      </w:r>
      <w:r w:rsidRPr="00577EB1">
        <w:rPr>
          <w:vertAlign w:val="superscript"/>
          <w:lang w:val="fr-FR"/>
        </w:rPr>
        <w:footnoteReference w:id="22"/>
      </w:r>
      <w:r w:rsidRPr="00577EB1">
        <w:rPr>
          <w:lang w:val="fr-FR"/>
        </w:rPr>
        <w:t>. Dans ce cas, la politique financière devrait se focaliser sur le maintien des dépenses dans les secteurs sociaux à leur niveau actuel par rapport au PIB. L’arbitrage devrait se concentrer sur la promotion ou l’intensification des programmes les plus rentables (Tableau 14).</w:t>
      </w:r>
    </w:p>
    <w:p w:rsidR="00A66260" w:rsidRPr="00577EB1" w:rsidRDefault="001F3001" w:rsidP="00F93EF1">
      <w:pPr>
        <w:pStyle w:val="Heading7"/>
        <w:rPr>
          <w:lang w:val="fr-FR"/>
        </w:rPr>
      </w:pPr>
      <w:bookmarkStart w:id="121" w:name="_Ref135727131"/>
      <w:bookmarkStart w:id="122" w:name="_Ref262139859"/>
      <w:bookmarkStart w:id="123" w:name="_Toc262170045"/>
      <w:bookmarkStart w:id="124" w:name="_Toc284528589"/>
      <w:bookmarkStart w:id="125" w:name="_Toc284530525"/>
      <w:r w:rsidRPr="00577EB1">
        <w:rPr>
          <w:lang w:val="fr-FR"/>
        </w:rPr>
        <w:lastRenderedPageBreak/>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14</w:t>
      </w:r>
      <w:r w:rsidR="00725419" w:rsidRPr="00577EB1">
        <w:rPr>
          <w:lang w:val="fr-FR"/>
        </w:rPr>
        <w:fldChar w:fldCharType="end"/>
      </w:r>
      <w:bookmarkEnd w:id="121"/>
      <w:r>
        <w:rPr>
          <w:lang w:val="fr-FR"/>
        </w:rPr>
        <w:t> :</w:t>
      </w:r>
      <w:r w:rsidR="0007340F">
        <w:rPr>
          <w:lang w:val="fr-FR"/>
        </w:rPr>
        <w:t xml:space="preserve"> </w:t>
      </w:r>
      <w:r w:rsidR="00A66260" w:rsidRPr="00577EB1">
        <w:rPr>
          <w:lang w:val="fr-FR"/>
        </w:rPr>
        <w:t>Options de développement des programmes de filets sociaux</w:t>
      </w:r>
      <w:bookmarkEnd w:id="122"/>
      <w:bookmarkEnd w:id="123"/>
      <w:bookmarkEnd w:id="124"/>
      <w:bookmarkEnd w:id="125"/>
    </w:p>
    <w:tbl>
      <w:tblPr>
        <w:tblW w:w="4912" w:type="pct"/>
        <w:tblLayout w:type="fixed"/>
        <w:tblLook w:val="04A0"/>
      </w:tblPr>
      <w:tblGrid>
        <w:gridCol w:w="5327"/>
        <w:gridCol w:w="1046"/>
        <w:gridCol w:w="1237"/>
        <w:gridCol w:w="1237"/>
      </w:tblGrid>
      <w:tr w:rsidR="0016389C" w:rsidRPr="0016389C" w:rsidTr="00F93EF1">
        <w:tc>
          <w:tcPr>
            <w:tcW w:w="3011" w:type="pct"/>
            <w:tcBorders>
              <w:top w:val="single" w:sz="4" w:space="0" w:color="auto"/>
            </w:tcBorders>
            <w:vAlign w:val="center"/>
          </w:tcPr>
          <w:p w:rsidR="004B3541" w:rsidRDefault="0016389C">
            <w:pPr>
              <w:keepNext/>
              <w:keepLines/>
              <w:tabs>
                <w:tab w:val="clear" w:pos="709"/>
              </w:tabs>
              <w:spacing w:before="40" w:after="40"/>
              <w:contextualSpacing/>
              <w:jc w:val="left"/>
              <w:rPr>
                <w:sz w:val="20"/>
                <w:szCs w:val="20"/>
                <w:lang w:val="fr-FR"/>
              </w:rPr>
            </w:pPr>
            <w:r>
              <w:rPr>
                <w:rFonts w:eastAsia="Times New Roman"/>
                <w:b/>
                <w:bCs/>
                <w:sz w:val="20"/>
                <w:szCs w:val="20"/>
                <w:lang w:val="fr-FR"/>
              </w:rPr>
              <w:t>Type de programme de filets sociaux</w:t>
            </w:r>
          </w:p>
        </w:tc>
        <w:tc>
          <w:tcPr>
            <w:tcW w:w="1989" w:type="pct"/>
            <w:gridSpan w:val="3"/>
            <w:tcBorders>
              <w:top w:val="single" w:sz="4" w:space="0" w:color="auto"/>
            </w:tcBorders>
          </w:tcPr>
          <w:p w:rsidR="004B3541" w:rsidRDefault="0016389C">
            <w:pPr>
              <w:keepNext/>
              <w:keepLines/>
              <w:spacing w:before="40" w:after="40"/>
              <w:jc w:val="center"/>
              <w:rPr>
                <w:b/>
                <w:sz w:val="20"/>
                <w:szCs w:val="20"/>
                <w:lang w:val="fr-FR"/>
              </w:rPr>
            </w:pPr>
            <w:r>
              <w:rPr>
                <w:b/>
                <w:color w:val="000000"/>
                <w:sz w:val="20"/>
                <w:szCs w:val="20"/>
                <w:lang w:val="fr-FR"/>
              </w:rPr>
              <w:t>Groupe cible</w:t>
            </w:r>
          </w:p>
        </w:tc>
      </w:tr>
      <w:tr w:rsidR="0016389C" w:rsidRPr="000A70E6" w:rsidTr="00F93EF1">
        <w:tc>
          <w:tcPr>
            <w:tcW w:w="3011" w:type="pct"/>
            <w:tcBorders>
              <w:bottom w:val="single" w:sz="4" w:space="0" w:color="auto"/>
            </w:tcBorders>
            <w:vAlign w:val="center"/>
          </w:tcPr>
          <w:p w:rsidR="004B3541" w:rsidRDefault="004B3541">
            <w:pPr>
              <w:keepNext/>
              <w:keepLines/>
              <w:tabs>
                <w:tab w:val="clear" w:pos="709"/>
              </w:tabs>
              <w:spacing w:before="40" w:after="40"/>
              <w:contextualSpacing/>
              <w:jc w:val="left"/>
              <w:rPr>
                <w:rFonts w:eastAsia="Times New Roman"/>
                <w:b/>
                <w:bCs/>
                <w:sz w:val="20"/>
                <w:szCs w:val="20"/>
                <w:lang w:val="fr-FR"/>
              </w:rPr>
            </w:pPr>
          </w:p>
        </w:tc>
        <w:tc>
          <w:tcPr>
            <w:tcW w:w="591" w:type="pct"/>
            <w:tcBorders>
              <w:bottom w:val="single" w:sz="4" w:space="0" w:color="auto"/>
            </w:tcBorders>
          </w:tcPr>
          <w:p w:rsidR="004B3541" w:rsidRDefault="0016389C">
            <w:pPr>
              <w:keepNext/>
              <w:keepLines/>
              <w:spacing w:before="40" w:after="40"/>
              <w:jc w:val="center"/>
              <w:rPr>
                <w:b/>
                <w:color w:val="000000"/>
                <w:sz w:val="20"/>
                <w:szCs w:val="20"/>
                <w:lang w:val="fr-FR"/>
              </w:rPr>
            </w:pPr>
            <w:r w:rsidRPr="00577EB1">
              <w:rPr>
                <w:b/>
                <w:color w:val="000000"/>
                <w:sz w:val="20"/>
                <w:szCs w:val="20"/>
                <w:lang w:val="fr-FR"/>
              </w:rPr>
              <w:t>10 %</w:t>
            </w:r>
            <w:r>
              <w:rPr>
                <w:b/>
                <w:color w:val="000000"/>
                <w:sz w:val="20"/>
                <w:szCs w:val="20"/>
                <w:lang w:val="fr-FR"/>
              </w:rPr>
              <w:t xml:space="preserve"> les plus pauvres</w:t>
            </w:r>
          </w:p>
        </w:tc>
        <w:tc>
          <w:tcPr>
            <w:tcW w:w="699" w:type="pct"/>
            <w:tcBorders>
              <w:bottom w:val="single" w:sz="4" w:space="0" w:color="auto"/>
            </w:tcBorders>
          </w:tcPr>
          <w:p w:rsidR="004B3541" w:rsidRDefault="0016389C">
            <w:pPr>
              <w:keepNext/>
              <w:keepLines/>
              <w:spacing w:before="40" w:after="40"/>
              <w:jc w:val="center"/>
              <w:rPr>
                <w:b/>
                <w:color w:val="000000"/>
                <w:sz w:val="20"/>
                <w:szCs w:val="20"/>
                <w:lang w:val="fr-FR"/>
              </w:rPr>
            </w:pPr>
            <w:r>
              <w:rPr>
                <w:b/>
                <w:color w:val="000000"/>
                <w:sz w:val="20"/>
                <w:szCs w:val="20"/>
                <w:lang w:val="fr-FR"/>
              </w:rPr>
              <w:t>20 % des urbains les plus pauvres</w:t>
            </w:r>
          </w:p>
        </w:tc>
        <w:tc>
          <w:tcPr>
            <w:tcW w:w="699" w:type="pct"/>
            <w:tcBorders>
              <w:bottom w:val="single" w:sz="4" w:space="0" w:color="auto"/>
            </w:tcBorders>
          </w:tcPr>
          <w:p w:rsidR="004B3541" w:rsidRDefault="0016389C">
            <w:pPr>
              <w:keepNext/>
              <w:keepLines/>
              <w:tabs>
                <w:tab w:val="clear" w:pos="709"/>
              </w:tabs>
              <w:spacing w:before="40" w:after="40"/>
              <w:jc w:val="center"/>
              <w:rPr>
                <w:b/>
                <w:color w:val="000000"/>
                <w:sz w:val="20"/>
                <w:szCs w:val="20"/>
                <w:lang w:val="fr-FR"/>
              </w:rPr>
            </w:pPr>
            <w:r>
              <w:rPr>
                <w:b/>
                <w:color w:val="000000"/>
                <w:sz w:val="20"/>
                <w:szCs w:val="20"/>
                <w:lang w:val="fr-FR"/>
              </w:rPr>
              <w:t>20% des ruraux les plus pauvres</w:t>
            </w:r>
          </w:p>
        </w:tc>
      </w:tr>
      <w:tr w:rsidR="0016389C" w:rsidRPr="00577EB1" w:rsidTr="00F93EF1">
        <w:tc>
          <w:tcPr>
            <w:tcW w:w="3011" w:type="pct"/>
            <w:tcBorders>
              <w:top w:val="single" w:sz="4" w:space="0" w:color="auto"/>
            </w:tcBorders>
            <w:vAlign w:val="center"/>
          </w:tcPr>
          <w:p w:rsidR="004B3541" w:rsidRDefault="00EB214A">
            <w:pPr>
              <w:pStyle w:val="ListParagraph"/>
              <w:keepNext/>
              <w:keepLines/>
              <w:numPr>
                <w:ilvl w:val="2"/>
                <w:numId w:val="5"/>
              </w:numPr>
              <w:tabs>
                <w:tab w:val="clear" w:pos="709"/>
                <w:tab w:val="left" w:pos="276"/>
              </w:tabs>
              <w:spacing w:before="40" w:after="40"/>
              <w:contextualSpacing/>
              <w:jc w:val="left"/>
              <w:rPr>
                <w:rFonts w:eastAsia="Times New Roman"/>
                <w:b/>
                <w:bCs/>
                <w:sz w:val="20"/>
                <w:szCs w:val="20"/>
                <w:lang w:val="fr-FR"/>
              </w:rPr>
            </w:pPr>
            <w:r w:rsidRPr="00EB214A">
              <w:rPr>
                <w:rFonts w:eastAsia="Times New Roman"/>
                <w:b/>
                <w:bCs/>
                <w:sz w:val="20"/>
                <w:szCs w:val="20"/>
                <w:lang w:val="fr-FR"/>
              </w:rPr>
              <w:t>Transferts directs</w:t>
            </w:r>
          </w:p>
        </w:tc>
        <w:tc>
          <w:tcPr>
            <w:tcW w:w="591" w:type="pct"/>
            <w:tcBorders>
              <w:top w:val="single" w:sz="4" w:space="0" w:color="auto"/>
            </w:tcBorders>
          </w:tcPr>
          <w:p w:rsidR="004B3541" w:rsidRDefault="004B3541">
            <w:pPr>
              <w:keepNext/>
              <w:keepLines/>
              <w:spacing w:before="40" w:after="40"/>
              <w:jc w:val="center"/>
              <w:rPr>
                <w:b/>
                <w:color w:val="000000"/>
                <w:sz w:val="20"/>
                <w:szCs w:val="20"/>
                <w:lang w:val="fr-FR"/>
              </w:rPr>
            </w:pPr>
          </w:p>
        </w:tc>
        <w:tc>
          <w:tcPr>
            <w:tcW w:w="699" w:type="pct"/>
            <w:tcBorders>
              <w:top w:val="single" w:sz="4" w:space="0" w:color="auto"/>
            </w:tcBorders>
          </w:tcPr>
          <w:p w:rsidR="004B3541" w:rsidRDefault="004B3541">
            <w:pPr>
              <w:keepNext/>
              <w:keepLines/>
              <w:spacing w:before="40" w:after="40"/>
              <w:jc w:val="center"/>
              <w:rPr>
                <w:b/>
                <w:color w:val="000000"/>
                <w:sz w:val="20"/>
                <w:szCs w:val="20"/>
                <w:lang w:val="fr-FR"/>
              </w:rPr>
            </w:pPr>
          </w:p>
        </w:tc>
        <w:tc>
          <w:tcPr>
            <w:tcW w:w="699" w:type="pct"/>
            <w:tcBorders>
              <w:top w:val="single" w:sz="4" w:space="0" w:color="auto"/>
            </w:tcBorders>
          </w:tcPr>
          <w:p w:rsidR="004B3541" w:rsidRDefault="004B3541">
            <w:pPr>
              <w:keepNext/>
              <w:keepLines/>
              <w:tabs>
                <w:tab w:val="clear" w:pos="709"/>
              </w:tabs>
              <w:spacing w:before="40" w:after="40"/>
              <w:jc w:val="center"/>
              <w:rPr>
                <w:b/>
                <w:color w:val="000000"/>
                <w:sz w:val="20"/>
                <w:szCs w:val="20"/>
                <w:lang w:val="fr-FR"/>
              </w:rPr>
            </w:pPr>
          </w:p>
        </w:tc>
      </w:tr>
      <w:tr w:rsidR="0016389C" w:rsidRPr="00577EB1" w:rsidTr="0016389C">
        <w:tc>
          <w:tcPr>
            <w:tcW w:w="3011" w:type="pct"/>
            <w:vAlign w:val="bottom"/>
          </w:tcPr>
          <w:p w:rsidR="004B3541" w:rsidRDefault="0016389C">
            <w:pPr>
              <w:keepNext/>
              <w:keepLines/>
              <w:spacing w:after="0"/>
              <w:ind w:left="284"/>
              <w:rPr>
                <w:color w:val="000000"/>
                <w:sz w:val="20"/>
                <w:szCs w:val="20"/>
                <w:lang w:val="fr-FR"/>
              </w:rPr>
            </w:pPr>
            <w:r w:rsidRPr="00577EB1">
              <w:rPr>
                <w:color w:val="000000"/>
                <w:sz w:val="20"/>
                <w:szCs w:val="20"/>
                <w:lang w:val="fr-FR"/>
              </w:rPr>
              <w:t>Bénéficiaires</w:t>
            </w:r>
            <w:r>
              <w:rPr>
                <w:color w:val="000000"/>
                <w:sz w:val="20"/>
                <w:szCs w:val="20"/>
                <w:lang w:val="fr-FR"/>
              </w:rPr>
              <w:t xml:space="preserve"> – </w:t>
            </w:r>
            <w:r w:rsidRPr="00577EB1">
              <w:rPr>
                <w:color w:val="000000"/>
                <w:sz w:val="20"/>
                <w:szCs w:val="20"/>
                <w:lang w:val="fr-FR"/>
              </w:rPr>
              <w:t>Ménages</w:t>
            </w:r>
          </w:p>
        </w:tc>
        <w:tc>
          <w:tcPr>
            <w:tcW w:w="591"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200 000</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28 770</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357 135</w:t>
            </w:r>
          </w:p>
        </w:tc>
      </w:tr>
      <w:tr w:rsidR="0016389C" w:rsidRPr="00577EB1" w:rsidTr="0016389C">
        <w:tc>
          <w:tcPr>
            <w:tcW w:w="3011" w:type="pct"/>
            <w:vAlign w:val="bottom"/>
          </w:tcPr>
          <w:p w:rsidR="004B3541" w:rsidRDefault="0016389C">
            <w:pPr>
              <w:keepNext/>
              <w:keepLines/>
              <w:spacing w:after="0"/>
              <w:ind w:left="284"/>
              <w:rPr>
                <w:color w:val="000000"/>
                <w:sz w:val="20"/>
                <w:szCs w:val="20"/>
                <w:lang w:val="fr-FR"/>
              </w:rPr>
            </w:pPr>
            <w:r w:rsidRPr="00577EB1">
              <w:rPr>
                <w:color w:val="000000"/>
                <w:sz w:val="20"/>
                <w:szCs w:val="20"/>
                <w:lang w:val="fr-FR"/>
              </w:rPr>
              <w:t>Bénéficiaires</w:t>
            </w:r>
            <w:r>
              <w:rPr>
                <w:color w:val="000000"/>
                <w:sz w:val="20"/>
                <w:szCs w:val="20"/>
                <w:lang w:val="fr-FR"/>
              </w:rPr>
              <w:t xml:space="preserve"> – </w:t>
            </w:r>
            <w:r w:rsidRPr="00577EB1">
              <w:rPr>
                <w:color w:val="000000"/>
                <w:sz w:val="20"/>
                <w:szCs w:val="20"/>
                <w:lang w:val="fr-FR"/>
              </w:rPr>
              <w:t>P</w:t>
            </w:r>
            <w:r>
              <w:rPr>
                <w:color w:val="000000"/>
                <w:sz w:val="20"/>
                <w:szCs w:val="20"/>
                <w:lang w:val="fr-FR"/>
              </w:rPr>
              <w:t>ersonnes (7 personnes par ménage)</w:t>
            </w:r>
            <w:r w:rsidRPr="00577EB1">
              <w:rPr>
                <w:color w:val="000000"/>
                <w:sz w:val="20"/>
                <w:szCs w:val="20"/>
                <w:lang w:val="fr-FR"/>
              </w:rPr>
              <w:t xml:space="preserve"> </w:t>
            </w:r>
          </w:p>
        </w:tc>
        <w:tc>
          <w:tcPr>
            <w:tcW w:w="591"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1 400 000</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201 390</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2 499 943</w:t>
            </w:r>
          </w:p>
        </w:tc>
      </w:tr>
      <w:tr w:rsidR="0016389C" w:rsidRPr="00577EB1" w:rsidTr="0016389C">
        <w:tc>
          <w:tcPr>
            <w:tcW w:w="3011" w:type="pct"/>
            <w:vAlign w:val="bottom"/>
          </w:tcPr>
          <w:p w:rsidR="004B3541" w:rsidRDefault="0016389C">
            <w:pPr>
              <w:keepNext/>
              <w:keepLines/>
              <w:spacing w:after="0"/>
              <w:ind w:left="284"/>
              <w:rPr>
                <w:color w:val="000000"/>
                <w:sz w:val="20"/>
                <w:szCs w:val="20"/>
                <w:lang w:val="fr-FR"/>
              </w:rPr>
            </w:pPr>
            <w:r w:rsidRPr="00577EB1">
              <w:rPr>
                <w:color w:val="000000"/>
                <w:sz w:val="20"/>
                <w:szCs w:val="20"/>
                <w:lang w:val="fr-FR"/>
              </w:rPr>
              <w:t>Transfert/</w:t>
            </w:r>
            <w:r>
              <w:rPr>
                <w:color w:val="000000"/>
                <w:sz w:val="20"/>
                <w:szCs w:val="20"/>
                <w:lang w:val="fr-FR"/>
              </w:rPr>
              <w:t>ménage</w:t>
            </w:r>
            <w:r w:rsidRPr="00577EB1">
              <w:rPr>
                <w:color w:val="000000"/>
                <w:sz w:val="20"/>
                <w:szCs w:val="20"/>
                <w:lang w:val="fr-FR"/>
              </w:rPr>
              <w:t>/mois</w:t>
            </w:r>
            <w:r>
              <w:rPr>
                <w:color w:val="000000"/>
                <w:sz w:val="20"/>
                <w:szCs w:val="20"/>
                <w:lang w:val="fr-FR"/>
              </w:rPr>
              <w:t xml:space="preserve"> (FCFA)</w:t>
            </w:r>
          </w:p>
        </w:tc>
        <w:tc>
          <w:tcPr>
            <w:tcW w:w="591"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10 967</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10 967</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10 967</w:t>
            </w:r>
          </w:p>
        </w:tc>
      </w:tr>
      <w:tr w:rsidR="0016389C" w:rsidRPr="00577EB1" w:rsidTr="0016389C">
        <w:tc>
          <w:tcPr>
            <w:tcW w:w="3011" w:type="pct"/>
            <w:vAlign w:val="bottom"/>
          </w:tcPr>
          <w:p w:rsidR="004B3541" w:rsidRDefault="0016389C">
            <w:pPr>
              <w:keepNext/>
              <w:keepLines/>
              <w:spacing w:after="0"/>
              <w:ind w:left="284"/>
              <w:rPr>
                <w:color w:val="000000"/>
                <w:sz w:val="20"/>
                <w:szCs w:val="20"/>
                <w:lang w:val="fr-FR"/>
              </w:rPr>
            </w:pPr>
            <w:r w:rsidRPr="00577EB1">
              <w:rPr>
                <w:color w:val="000000"/>
                <w:sz w:val="20"/>
                <w:szCs w:val="20"/>
                <w:lang w:val="fr-FR"/>
              </w:rPr>
              <w:t>Transfert/personne/an</w:t>
            </w:r>
            <w:r>
              <w:rPr>
                <w:color w:val="000000"/>
                <w:sz w:val="20"/>
                <w:szCs w:val="20"/>
                <w:lang w:val="fr-FR"/>
              </w:rPr>
              <w:t xml:space="preserve"> (FCFA)</w:t>
            </w:r>
          </w:p>
        </w:tc>
        <w:tc>
          <w:tcPr>
            <w:tcW w:w="591"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18 800</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18 800</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18 800</w:t>
            </w:r>
          </w:p>
        </w:tc>
      </w:tr>
      <w:tr w:rsidR="0016389C" w:rsidRPr="00577EB1" w:rsidTr="0016389C">
        <w:tc>
          <w:tcPr>
            <w:tcW w:w="3011" w:type="pct"/>
            <w:vAlign w:val="bottom"/>
          </w:tcPr>
          <w:p w:rsidR="004B3541" w:rsidRDefault="0016389C">
            <w:pPr>
              <w:keepNext/>
              <w:keepLines/>
              <w:spacing w:after="0"/>
              <w:ind w:left="284"/>
              <w:rPr>
                <w:b/>
                <w:bCs/>
                <w:color w:val="000000"/>
                <w:sz w:val="20"/>
                <w:szCs w:val="20"/>
                <w:lang w:val="fr-FR"/>
              </w:rPr>
            </w:pPr>
            <w:r w:rsidRPr="00577EB1">
              <w:rPr>
                <w:b/>
                <w:bCs/>
                <w:color w:val="000000"/>
                <w:sz w:val="20"/>
                <w:szCs w:val="20"/>
                <w:lang w:val="fr-FR"/>
              </w:rPr>
              <w:t>Coût total</w:t>
            </w:r>
            <w:r>
              <w:rPr>
                <w:b/>
                <w:bCs/>
                <w:color w:val="000000"/>
                <w:sz w:val="20"/>
                <w:szCs w:val="20"/>
                <w:lang w:val="fr-FR"/>
              </w:rPr>
              <w:t xml:space="preserve"> </w:t>
            </w:r>
            <w:r w:rsidR="00F93EF1">
              <w:rPr>
                <w:b/>
                <w:bCs/>
                <w:color w:val="000000"/>
                <w:sz w:val="20"/>
                <w:szCs w:val="20"/>
                <w:lang w:val="fr-FR"/>
              </w:rPr>
              <w:t>des t</w:t>
            </w:r>
            <w:r w:rsidRPr="00577EB1">
              <w:rPr>
                <w:b/>
                <w:bCs/>
                <w:color w:val="000000"/>
                <w:sz w:val="20"/>
                <w:szCs w:val="20"/>
                <w:lang w:val="fr-FR"/>
              </w:rPr>
              <w:t>ransferts</w:t>
            </w:r>
            <w:r>
              <w:rPr>
                <w:b/>
                <w:bCs/>
                <w:color w:val="000000"/>
                <w:sz w:val="20"/>
                <w:szCs w:val="20"/>
                <w:lang w:val="fr-FR"/>
              </w:rPr>
              <w:t xml:space="preserve"> </w:t>
            </w:r>
            <w:r w:rsidRPr="00577EB1">
              <w:rPr>
                <w:rFonts w:ascii="Calibri" w:hAnsi="Calibri"/>
                <w:b/>
                <w:bCs/>
                <w:color w:val="000000"/>
                <w:sz w:val="20"/>
                <w:szCs w:val="20"/>
                <w:lang w:val="fr-FR"/>
              </w:rPr>
              <w:t>–</w:t>
            </w:r>
            <w:r w:rsidRPr="00577EB1">
              <w:rPr>
                <w:b/>
                <w:bCs/>
                <w:color w:val="000000"/>
                <w:sz w:val="20"/>
                <w:szCs w:val="20"/>
                <w:lang w:val="fr-FR"/>
              </w:rPr>
              <w:t xml:space="preserve"> milliards de </w:t>
            </w:r>
            <w:r w:rsidR="00F93EF1">
              <w:rPr>
                <w:b/>
                <w:bCs/>
                <w:color w:val="000000"/>
                <w:sz w:val="20"/>
                <w:szCs w:val="20"/>
                <w:lang w:val="fr-FR"/>
              </w:rPr>
              <w:t>F</w:t>
            </w:r>
            <w:r w:rsidRPr="00577EB1">
              <w:rPr>
                <w:b/>
                <w:bCs/>
                <w:color w:val="000000"/>
                <w:sz w:val="20"/>
                <w:szCs w:val="20"/>
                <w:lang w:val="fr-FR"/>
              </w:rPr>
              <w:t xml:space="preserve">CFA </w:t>
            </w:r>
            <w:r w:rsidR="00F93EF1">
              <w:rPr>
                <w:b/>
                <w:bCs/>
                <w:color w:val="000000"/>
                <w:sz w:val="20"/>
                <w:szCs w:val="20"/>
                <w:lang w:val="fr-FR"/>
              </w:rPr>
              <w:t>par an</w:t>
            </w:r>
          </w:p>
        </w:tc>
        <w:tc>
          <w:tcPr>
            <w:tcW w:w="591" w:type="pct"/>
            <w:vAlign w:val="bottom"/>
          </w:tcPr>
          <w:p w:rsidR="004B3541" w:rsidRDefault="0016389C">
            <w:pPr>
              <w:keepNext/>
              <w:keepLines/>
              <w:spacing w:after="0"/>
              <w:jc w:val="right"/>
              <w:rPr>
                <w:b/>
                <w:bCs/>
                <w:color w:val="000000"/>
                <w:sz w:val="20"/>
                <w:szCs w:val="20"/>
                <w:lang w:val="fr-FR"/>
              </w:rPr>
            </w:pPr>
            <w:r w:rsidRPr="00577EB1">
              <w:rPr>
                <w:b/>
                <w:bCs/>
                <w:color w:val="000000"/>
                <w:sz w:val="20"/>
                <w:szCs w:val="20"/>
                <w:lang w:val="fr-FR"/>
              </w:rPr>
              <w:t>26,3</w:t>
            </w:r>
          </w:p>
        </w:tc>
        <w:tc>
          <w:tcPr>
            <w:tcW w:w="699" w:type="pct"/>
            <w:vAlign w:val="bottom"/>
          </w:tcPr>
          <w:p w:rsidR="004B3541" w:rsidRDefault="0016389C">
            <w:pPr>
              <w:keepNext/>
              <w:keepLines/>
              <w:spacing w:after="0"/>
              <w:jc w:val="right"/>
              <w:rPr>
                <w:b/>
                <w:bCs/>
                <w:color w:val="000000"/>
                <w:sz w:val="20"/>
                <w:szCs w:val="20"/>
                <w:lang w:val="fr-FR"/>
              </w:rPr>
            </w:pPr>
            <w:r w:rsidRPr="00577EB1">
              <w:rPr>
                <w:b/>
                <w:bCs/>
                <w:color w:val="000000"/>
                <w:sz w:val="20"/>
                <w:szCs w:val="20"/>
                <w:lang w:val="fr-FR"/>
              </w:rPr>
              <w:t>3,8</w:t>
            </w:r>
          </w:p>
        </w:tc>
        <w:tc>
          <w:tcPr>
            <w:tcW w:w="699" w:type="pct"/>
            <w:vAlign w:val="bottom"/>
          </w:tcPr>
          <w:p w:rsidR="004B3541" w:rsidRDefault="0016389C">
            <w:pPr>
              <w:keepNext/>
              <w:keepLines/>
              <w:spacing w:after="0"/>
              <w:jc w:val="right"/>
              <w:rPr>
                <w:b/>
                <w:bCs/>
                <w:color w:val="000000"/>
                <w:sz w:val="20"/>
                <w:szCs w:val="20"/>
                <w:lang w:val="fr-FR"/>
              </w:rPr>
            </w:pPr>
            <w:r w:rsidRPr="00577EB1">
              <w:rPr>
                <w:b/>
                <w:bCs/>
                <w:color w:val="000000"/>
                <w:sz w:val="20"/>
                <w:szCs w:val="20"/>
                <w:lang w:val="fr-FR"/>
              </w:rPr>
              <w:t>47,0</w:t>
            </w:r>
          </w:p>
        </w:tc>
      </w:tr>
      <w:tr w:rsidR="0016389C" w:rsidRPr="00577EB1" w:rsidTr="0016389C">
        <w:tc>
          <w:tcPr>
            <w:tcW w:w="5000" w:type="pct"/>
            <w:gridSpan w:val="4"/>
            <w:vAlign w:val="bottom"/>
          </w:tcPr>
          <w:p w:rsidR="004B3541" w:rsidRDefault="00EB214A">
            <w:pPr>
              <w:pStyle w:val="ListParagraph"/>
              <w:keepNext/>
              <w:keepLines/>
              <w:numPr>
                <w:ilvl w:val="2"/>
                <w:numId w:val="5"/>
              </w:numPr>
              <w:tabs>
                <w:tab w:val="clear" w:pos="709"/>
                <w:tab w:val="left" w:pos="276"/>
              </w:tabs>
              <w:spacing w:before="120" w:after="40"/>
              <w:jc w:val="left"/>
              <w:rPr>
                <w:b/>
                <w:bCs/>
                <w:color w:val="000000"/>
                <w:sz w:val="20"/>
                <w:szCs w:val="20"/>
                <w:lang w:val="fr-FR"/>
              </w:rPr>
            </w:pPr>
            <w:r w:rsidRPr="00EB214A">
              <w:rPr>
                <w:rFonts w:eastAsia="Times New Roman"/>
                <w:b/>
                <w:bCs/>
                <w:sz w:val="20"/>
                <w:szCs w:val="20"/>
                <w:lang w:val="fr-FR"/>
              </w:rPr>
              <w:t>Travaux publics</w:t>
            </w:r>
          </w:p>
        </w:tc>
      </w:tr>
      <w:tr w:rsidR="0016389C" w:rsidRPr="00577EB1" w:rsidTr="0016389C">
        <w:tc>
          <w:tcPr>
            <w:tcW w:w="3011" w:type="pct"/>
            <w:vAlign w:val="bottom"/>
          </w:tcPr>
          <w:p w:rsidR="004B3541" w:rsidRDefault="0016389C">
            <w:pPr>
              <w:keepNext/>
              <w:keepLines/>
              <w:spacing w:after="0"/>
              <w:ind w:left="284"/>
              <w:rPr>
                <w:color w:val="000000"/>
                <w:sz w:val="20"/>
                <w:szCs w:val="20"/>
                <w:lang w:val="fr-FR"/>
              </w:rPr>
            </w:pPr>
            <w:r w:rsidRPr="00577EB1">
              <w:rPr>
                <w:color w:val="000000"/>
                <w:sz w:val="20"/>
                <w:szCs w:val="20"/>
                <w:lang w:val="fr-FR"/>
              </w:rPr>
              <w:t>Bénéficiaires</w:t>
            </w:r>
            <w:r>
              <w:rPr>
                <w:color w:val="000000"/>
                <w:sz w:val="20"/>
                <w:szCs w:val="20"/>
                <w:lang w:val="fr-FR"/>
              </w:rPr>
              <w:t xml:space="preserve"> </w:t>
            </w:r>
            <w:r w:rsidR="00F93EF1">
              <w:rPr>
                <w:color w:val="000000"/>
                <w:sz w:val="20"/>
                <w:szCs w:val="20"/>
                <w:lang w:val="fr-FR"/>
              </w:rPr>
              <w:t xml:space="preserve">– </w:t>
            </w:r>
            <w:r w:rsidRPr="00577EB1">
              <w:rPr>
                <w:color w:val="000000"/>
                <w:sz w:val="20"/>
                <w:szCs w:val="20"/>
                <w:lang w:val="fr-FR"/>
              </w:rPr>
              <w:t>Travailleurs</w:t>
            </w:r>
          </w:p>
        </w:tc>
        <w:tc>
          <w:tcPr>
            <w:tcW w:w="591"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200 000</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85 705</w:t>
            </w:r>
          </w:p>
        </w:tc>
        <w:tc>
          <w:tcPr>
            <w:tcW w:w="699" w:type="pct"/>
            <w:vAlign w:val="bottom"/>
          </w:tcPr>
          <w:p w:rsidR="004B3541" w:rsidRDefault="004B3541">
            <w:pPr>
              <w:keepNext/>
              <w:keepLines/>
              <w:spacing w:after="0"/>
              <w:jc w:val="right"/>
              <w:rPr>
                <w:b/>
                <w:bCs/>
                <w:color w:val="000000"/>
                <w:sz w:val="20"/>
                <w:szCs w:val="20"/>
                <w:lang w:val="fr-FR"/>
              </w:rPr>
            </w:pPr>
          </w:p>
        </w:tc>
      </w:tr>
      <w:tr w:rsidR="0016389C" w:rsidRPr="00577EB1" w:rsidTr="0016389C">
        <w:tc>
          <w:tcPr>
            <w:tcW w:w="3011" w:type="pct"/>
            <w:vAlign w:val="bottom"/>
          </w:tcPr>
          <w:p w:rsidR="004B3541" w:rsidRDefault="0016389C">
            <w:pPr>
              <w:keepNext/>
              <w:keepLines/>
              <w:spacing w:after="0"/>
              <w:ind w:left="284"/>
              <w:rPr>
                <w:color w:val="000000"/>
                <w:sz w:val="20"/>
                <w:szCs w:val="20"/>
                <w:lang w:val="fr-FR"/>
              </w:rPr>
            </w:pPr>
            <w:r w:rsidRPr="00577EB1">
              <w:rPr>
                <w:color w:val="000000"/>
                <w:sz w:val="20"/>
                <w:szCs w:val="20"/>
                <w:lang w:val="fr-FR"/>
              </w:rPr>
              <w:t>Bénéficiaires</w:t>
            </w:r>
            <w:r>
              <w:rPr>
                <w:color w:val="000000"/>
                <w:sz w:val="20"/>
                <w:szCs w:val="20"/>
                <w:lang w:val="fr-FR"/>
              </w:rPr>
              <w:t xml:space="preserve"> </w:t>
            </w:r>
            <w:r w:rsidR="00F93EF1">
              <w:rPr>
                <w:color w:val="000000"/>
                <w:sz w:val="20"/>
                <w:szCs w:val="20"/>
                <w:lang w:val="fr-FR"/>
              </w:rPr>
              <w:t xml:space="preserve">– </w:t>
            </w:r>
            <w:r w:rsidRPr="00577EB1">
              <w:rPr>
                <w:color w:val="000000"/>
                <w:sz w:val="20"/>
                <w:szCs w:val="20"/>
                <w:lang w:val="fr-FR"/>
              </w:rPr>
              <w:t>Individus (7</w:t>
            </w:r>
            <w:r>
              <w:rPr>
                <w:color w:val="000000"/>
                <w:sz w:val="20"/>
                <w:szCs w:val="20"/>
                <w:lang w:val="fr-FR"/>
              </w:rPr>
              <w:t xml:space="preserve"> personnes par ménage</w:t>
            </w:r>
            <w:r w:rsidRPr="00577EB1">
              <w:rPr>
                <w:color w:val="000000"/>
                <w:sz w:val="20"/>
                <w:szCs w:val="20"/>
                <w:lang w:val="fr-FR"/>
              </w:rPr>
              <w:t>)</w:t>
            </w:r>
          </w:p>
        </w:tc>
        <w:tc>
          <w:tcPr>
            <w:tcW w:w="591"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1 400 000</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599 932</w:t>
            </w:r>
          </w:p>
        </w:tc>
        <w:tc>
          <w:tcPr>
            <w:tcW w:w="699" w:type="pct"/>
            <w:vAlign w:val="bottom"/>
          </w:tcPr>
          <w:p w:rsidR="004B3541" w:rsidRDefault="004B3541">
            <w:pPr>
              <w:keepNext/>
              <w:keepLines/>
              <w:spacing w:after="0"/>
              <w:jc w:val="right"/>
              <w:rPr>
                <w:b/>
                <w:bCs/>
                <w:color w:val="000000"/>
                <w:sz w:val="20"/>
                <w:szCs w:val="20"/>
                <w:lang w:val="fr-FR"/>
              </w:rPr>
            </w:pPr>
          </w:p>
        </w:tc>
      </w:tr>
      <w:tr w:rsidR="0016389C" w:rsidRPr="00577EB1" w:rsidTr="0016389C">
        <w:tc>
          <w:tcPr>
            <w:tcW w:w="3011" w:type="pct"/>
            <w:vAlign w:val="bottom"/>
          </w:tcPr>
          <w:p w:rsidR="004B3541" w:rsidRDefault="0016389C">
            <w:pPr>
              <w:keepNext/>
              <w:keepLines/>
              <w:spacing w:after="0"/>
              <w:ind w:left="284"/>
              <w:rPr>
                <w:color w:val="000000"/>
                <w:sz w:val="20"/>
                <w:szCs w:val="20"/>
                <w:lang w:val="fr-FR"/>
              </w:rPr>
            </w:pPr>
            <w:r w:rsidRPr="00577EB1">
              <w:rPr>
                <w:color w:val="000000"/>
                <w:sz w:val="20"/>
                <w:szCs w:val="20"/>
                <w:lang w:val="fr-FR"/>
              </w:rPr>
              <w:t>Salaire/jour</w:t>
            </w:r>
            <w:r w:rsidR="00F93EF1">
              <w:rPr>
                <w:color w:val="000000"/>
                <w:sz w:val="20"/>
                <w:szCs w:val="20"/>
                <w:lang w:val="fr-FR"/>
              </w:rPr>
              <w:t xml:space="preserve"> (FCFA)</w:t>
            </w:r>
          </w:p>
        </w:tc>
        <w:tc>
          <w:tcPr>
            <w:tcW w:w="591"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1 000</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1 000</w:t>
            </w:r>
          </w:p>
        </w:tc>
        <w:tc>
          <w:tcPr>
            <w:tcW w:w="699" w:type="pct"/>
            <w:vAlign w:val="bottom"/>
          </w:tcPr>
          <w:p w:rsidR="004B3541" w:rsidRDefault="004B3541">
            <w:pPr>
              <w:keepNext/>
              <w:keepLines/>
              <w:spacing w:after="0"/>
              <w:jc w:val="right"/>
              <w:rPr>
                <w:b/>
                <w:bCs/>
                <w:color w:val="000000"/>
                <w:sz w:val="20"/>
                <w:szCs w:val="20"/>
                <w:lang w:val="fr-FR"/>
              </w:rPr>
            </w:pPr>
          </w:p>
        </w:tc>
      </w:tr>
      <w:tr w:rsidR="0016389C" w:rsidRPr="00577EB1" w:rsidTr="0016389C">
        <w:tc>
          <w:tcPr>
            <w:tcW w:w="3011" w:type="pct"/>
            <w:vAlign w:val="bottom"/>
          </w:tcPr>
          <w:p w:rsidR="004B3541" w:rsidRDefault="0016389C">
            <w:pPr>
              <w:keepNext/>
              <w:keepLines/>
              <w:spacing w:after="0"/>
              <w:ind w:left="284"/>
              <w:rPr>
                <w:color w:val="000000"/>
                <w:sz w:val="20"/>
                <w:szCs w:val="20"/>
                <w:lang w:val="fr-FR"/>
              </w:rPr>
            </w:pPr>
            <w:r w:rsidRPr="00577EB1">
              <w:rPr>
                <w:color w:val="000000"/>
                <w:sz w:val="20"/>
                <w:szCs w:val="20"/>
                <w:lang w:val="fr-FR"/>
              </w:rPr>
              <w:t>Jours (5 mois à 20 jours/mois)</w:t>
            </w:r>
          </w:p>
        </w:tc>
        <w:tc>
          <w:tcPr>
            <w:tcW w:w="591"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100</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50</w:t>
            </w:r>
          </w:p>
        </w:tc>
        <w:tc>
          <w:tcPr>
            <w:tcW w:w="699" w:type="pct"/>
            <w:vAlign w:val="bottom"/>
          </w:tcPr>
          <w:p w:rsidR="004B3541" w:rsidRDefault="004B3541">
            <w:pPr>
              <w:keepNext/>
              <w:keepLines/>
              <w:spacing w:after="0"/>
              <w:jc w:val="right"/>
              <w:rPr>
                <w:b/>
                <w:bCs/>
                <w:color w:val="000000"/>
                <w:sz w:val="20"/>
                <w:szCs w:val="20"/>
                <w:lang w:val="fr-FR"/>
              </w:rPr>
            </w:pPr>
          </w:p>
        </w:tc>
      </w:tr>
      <w:tr w:rsidR="0016389C" w:rsidRPr="00577EB1" w:rsidTr="0016389C">
        <w:tc>
          <w:tcPr>
            <w:tcW w:w="3011" w:type="pct"/>
            <w:vAlign w:val="bottom"/>
          </w:tcPr>
          <w:p w:rsidR="004B3541" w:rsidRDefault="0016389C">
            <w:pPr>
              <w:keepNext/>
              <w:keepLines/>
              <w:spacing w:after="0"/>
              <w:ind w:left="284"/>
              <w:rPr>
                <w:color w:val="000000"/>
                <w:sz w:val="20"/>
                <w:szCs w:val="20"/>
                <w:lang w:val="fr-FR"/>
              </w:rPr>
            </w:pPr>
            <w:r w:rsidRPr="00577EB1">
              <w:rPr>
                <w:color w:val="000000"/>
                <w:sz w:val="20"/>
                <w:szCs w:val="20"/>
                <w:lang w:val="fr-FR"/>
              </w:rPr>
              <w:t>Transfert/travailleur/an</w:t>
            </w:r>
            <w:r w:rsidR="00F93EF1">
              <w:rPr>
                <w:color w:val="000000"/>
                <w:sz w:val="20"/>
                <w:szCs w:val="20"/>
                <w:lang w:val="fr-FR"/>
              </w:rPr>
              <w:t xml:space="preserve"> (FCFA)</w:t>
            </w:r>
          </w:p>
        </w:tc>
        <w:tc>
          <w:tcPr>
            <w:tcW w:w="591" w:type="pct"/>
            <w:vAlign w:val="bottom"/>
          </w:tcPr>
          <w:p w:rsidR="004B3541" w:rsidRDefault="00F93EF1">
            <w:pPr>
              <w:keepNext/>
              <w:keepLines/>
              <w:spacing w:after="0"/>
              <w:jc w:val="right"/>
              <w:rPr>
                <w:color w:val="000000"/>
                <w:sz w:val="20"/>
                <w:szCs w:val="20"/>
                <w:lang w:val="fr-FR"/>
              </w:rPr>
            </w:pPr>
            <w:r>
              <w:rPr>
                <w:color w:val="000000"/>
                <w:sz w:val="20"/>
                <w:szCs w:val="20"/>
                <w:lang w:val="fr-FR"/>
              </w:rPr>
              <w:t>100 000</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50 000</w:t>
            </w:r>
          </w:p>
        </w:tc>
        <w:tc>
          <w:tcPr>
            <w:tcW w:w="699" w:type="pct"/>
            <w:vAlign w:val="bottom"/>
          </w:tcPr>
          <w:p w:rsidR="004B3541" w:rsidRDefault="004B3541">
            <w:pPr>
              <w:keepNext/>
              <w:keepLines/>
              <w:spacing w:after="0"/>
              <w:jc w:val="right"/>
              <w:rPr>
                <w:b/>
                <w:bCs/>
                <w:color w:val="000000"/>
                <w:sz w:val="20"/>
                <w:szCs w:val="20"/>
                <w:lang w:val="fr-FR"/>
              </w:rPr>
            </w:pPr>
          </w:p>
        </w:tc>
      </w:tr>
      <w:tr w:rsidR="0016389C" w:rsidRPr="00577EB1" w:rsidTr="0016389C">
        <w:tc>
          <w:tcPr>
            <w:tcW w:w="3011" w:type="pct"/>
            <w:vAlign w:val="bottom"/>
          </w:tcPr>
          <w:p w:rsidR="004B3541" w:rsidRDefault="0016389C">
            <w:pPr>
              <w:keepNext/>
              <w:keepLines/>
              <w:spacing w:after="0"/>
              <w:ind w:left="284"/>
              <w:rPr>
                <w:color w:val="000000"/>
                <w:sz w:val="20"/>
                <w:szCs w:val="20"/>
                <w:lang w:val="fr-FR"/>
              </w:rPr>
            </w:pPr>
            <w:r w:rsidRPr="00577EB1">
              <w:rPr>
                <w:color w:val="000000"/>
                <w:sz w:val="20"/>
                <w:szCs w:val="20"/>
                <w:lang w:val="fr-FR"/>
              </w:rPr>
              <w:t>Transfert/personne/an</w:t>
            </w:r>
            <w:r w:rsidR="00F93EF1">
              <w:rPr>
                <w:color w:val="000000"/>
                <w:sz w:val="20"/>
                <w:szCs w:val="20"/>
                <w:lang w:val="fr-FR"/>
              </w:rPr>
              <w:t xml:space="preserve"> (FCFA)</w:t>
            </w:r>
          </w:p>
        </w:tc>
        <w:tc>
          <w:tcPr>
            <w:tcW w:w="591"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14 286</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7 143</w:t>
            </w:r>
          </w:p>
        </w:tc>
        <w:tc>
          <w:tcPr>
            <w:tcW w:w="699" w:type="pct"/>
            <w:vAlign w:val="bottom"/>
          </w:tcPr>
          <w:p w:rsidR="004B3541" w:rsidRDefault="004B3541">
            <w:pPr>
              <w:keepNext/>
              <w:keepLines/>
              <w:spacing w:after="0"/>
              <w:jc w:val="right"/>
              <w:rPr>
                <w:b/>
                <w:bCs/>
                <w:color w:val="000000"/>
                <w:sz w:val="20"/>
                <w:szCs w:val="20"/>
                <w:lang w:val="fr-FR"/>
              </w:rPr>
            </w:pPr>
          </w:p>
        </w:tc>
      </w:tr>
      <w:tr w:rsidR="0016389C" w:rsidRPr="00577EB1" w:rsidTr="0016389C">
        <w:tc>
          <w:tcPr>
            <w:tcW w:w="3011" w:type="pct"/>
            <w:vAlign w:val="bottom"/>
          </w:tcPr>
          <w:p w:rsidR="004B3541" w:rsidRDefault="0016389C">
            <w:pPr>
              <w:keepNext/>
              <w:keepLines/>
              <w:spacing w:after="0"/>
              <w:ind w:left="284"/>
              <w:rPr>
                <w:b/>
                <w:bCs/>
                <w:color w:val="000000"/>
                <w:sz w:val="20"/>
                <w:szCs w:val="20"/>
                <w:lang w:val="fr-FR"/>
              </w:rPr>
            </w:pPr>
            <w:r w:rsidRPr="00577EB1">
              <w:rPr>
                <w:b/>
                <w:bCs/>
                <w:color w:val="000000"/>
                <w:sz w:val="20"/>
                <w:szCs w:val="20"/>
                <w:lang w:val="fr-FR"/>
              </w:rPr>
              <w:t>Coût total</w:t>
            </w:r>
            <w:r>
              <w:rPr>
                <w:b/>
                <w:bCs/>
                <w:color w:val="000000"/>
                <w:sz w:val="20"/>
                <w:szCs w:val="20"/>
                <w:lang w:val="fr-FR"/>
              </w:rPr>
              <w:t xml:space="preserve"> </w:t>
            </w:r>
            <w:r w:rsidR="00F93EF1">
              <w:rPr>
                <w:b/>
                <w:bCs/>
                <w:color w:val="000000"/>
                <w:sz w:val="20"/>
                <w:szCs w:val="20"/>
                <w:lang w:val="fr-FR"/>
              </w:rPr>
              <w:t>des t</w:t>
            </w:r>
            <w:r w:rsidRPr="00577EB1">
              <w:rPr>
                <w:b/>
                <w:bCs/>
                <w:color w:val="000000"/>
                <w:sz w:val="20"/>
                <w:szCs w:val="20"/>
                <w:lang w:val="fr-FR"/>
              </w:rPr>
              <w:t>ransferts</w:t>
            </w:r>
            <w:r>
              <w:rPr>
                <w:b/>
                <w:bCs/>
                <w:color w:val="000000"/>
                <w:sz w:val="20"/>
                <w:szCs w:val="20"/>
                <w:lang w:val="fr-FR"/>
              </w:rPr>
              <w:t xml:space="preserve"> </w:t>
            </w:r>
            <w:r w:rsidRPr="00577EB1">
              <w:rPr>
                <w:rFonts w:ascii="Calibri" w:hAnsi="Calibri"/>
                <w:b/>
                <w:bCs/>
                <w:color w:val="000000"/>
                <w:sz w:val="20"/>
                <w:szCs w:val="20"/>
                <w:lang w:val="fr-FR"/>
              </w:rPr>
              <w:t>–</w:t>
            </w:r>
            <w:r w:rsidRPr="00577EB1">
              <w:rPr>
                <w:b/>
                <w:bCs/>
                <w:color w:val="000000"/>
                <w:sz w:val="20"/>
                <w:szCs w:val="20"/>
                <w:lang w:val="fr-FR"/>
              </w:rPr>
              <w:t xml:space="preserve"> milliards de </w:t>
            </w:r>
            <w:r w:rsidR="00F93EF1">
              <w:rPr>
                <w:b/>
                <w:bCs/>
                <w:color w:val="000000"/>
                <w:sz w:val="20"/>
                <w:szCs w:val="20"/>
                <w:lang w:val="fr-FR"/>
              </w:rPr>
              <w:t>FC</w:t>
            </w:r>
            <w:r w:rsidRPr="00577EB1">
              <w:rPr>
                <w:b/>
                <w:bCs/>
                <w:color w:val="000000"/>
                <w:sz w:val="20"/>
                <w:szCs w:val="20"/>
                <w:lang w:val="fr-FR"/>
              </w:rPr>
              <w:t>FA</w:t>
            </w:r>
            <w:r w:rsidR="00F93EF1">
              <w:rPr>
                <w:b/>
                <w:bCs/>
                <w:color w:val="000000"/>
                <w:sz w:val="20"/>
                <w:szCs w:val="20"/>
                <w:lang w:val="fr-FR"/>
              </w:rPr>
              <w:t xml:space="preserve"> par an</w:t>
            </w:r>
          </w:p>
        </w:tc>
        <w:tc>
          <w:tcPr>
            <w:tcW w:w="591" w:type="pct"/>
            <w:vAlign w:val="bottom"/>
          </w:tcPr>
          <w:p w:rsidR="004B3541" w:rsidRDefault="0016389C">
            <w:pPr>
              <w:keepNext/>
              <w:keepLines/>
              <w:spacing w:after="0"/>
              <w:jc w:val="right"/>
              <w:rPr>
                <w:b/>
                <w:bCs/>
                <w:color w:val="000000"/>
                <w:sz w:val="20"/>
                <w:szCs w:val="20"/>
                <w:lang w:val="fr-FR"/>
              </w:rPr>
            </w:pPr>
            <w:r w:rsidRPr="00577EB1">
              <w:rPr>
                <w:b/>
                <w:bCs/>
                <w:color w:val="000000"/>
                <w:sz w:val="20"/>
                <w:szCs w:val="20"/>
                <w:lang w:val="fr-FR"/>
              </w:rPr>
              <w:t>20,0</w:t>
            </w:r>
          </w:p>
        </w:tc>
        <w:tc>
          <w:tcPr>
            <w:tcW w:w="699" w:type="pct"/>
            <w:vAlign w:val="bottom"/>
          </w:tcPr>
          <w:p w:rsidR="004B3541" w:rsidRDefault="0016389C">
            <w:pPr>
              <w:keepNext/>
              <w:keepLines/>
              <w:spacing w:after="0"/>
              <w:jc w:val="right"/>
              <w:rPr>
                <w:b/>
                <w:bCs/>
                <w:color w:val="000000"/>
                <w:sz w:val="20"/>
                <w:szCs w:val="20"/>
                <w:lang w:val="fr-FR"/>
              </w:rPr>
            </w:pPr>
            <w:r w:rsidRPr="00577EB1">
              <w:rPr>
                <w:b/>
                <w:bCs/>
                <w:color w:val="000000"/>
                <w:sz w:val="20"/>
                <w:szCs w:val="20"/>
                <w:lang w:val="fr-FR"/>
              </w:rPr>
              <w:t>4,3</w:t>
            </w:r>
          </w:p>
        </w:tc>
        <w:tc>
          <w:tcPr>
            <w:tcW w:w="699" w:type="pct"/>
            <w:vAlign w:val="bottom"/>
          </w:tcPr>
          <w:p w:rsidR="004B3541" w:rsidRDefault="004B3541">
            <w:pPr>
              <w:keepNext/>
              <w:keepLines/>
              <w:spacing w:after="0"/>
              <w:jc w:val="right"/>
              <w:rPr>
                <w:b/>
                <w:bCs/>
                <w:color w:val="000000"/>
                <w:sz w:val="20"/>
                <w:szCs w:val="20"/>
                <w:lang w:val="fr-FR"/>
              </w:rPr>
            </w:pPr>
          </w:p>
        </w:tc>
      </w:tr>
      <w:tr w:rsidR="0016389C" w:rsidRPr="00577EB1" w:rsidTr="0016389C">
        <w:tc>
          <w:tcPr>
            <w:tcW w:w="3011" w:type="pct"/>
            <w:vAlign w:val="bottom"/>
          </w:tcPr>
          <w:p w:rsidR="004B3541" w:rsidRDefault="0016389C">
            <w:pPr>
              <w:keepNext/>
              <w:keepLines/>
              <w:spacing w:after="0"/>
              <w:ind w:left="284"/>
              <w:rPr>
                <w:color w:val="000000"/>
                <w:sz w:val="20"/>
                <w:szCs w:val="20"/>
                <w:lang w:val="fr-FR"/>
              </w:rPr>
            </w:pPr>
            <w:r>
              <w:rPr>
                <w:color w:val="000000"/>
                <w:sz w:val="20"/>
                <w:szCs w:val="20"/>
                <w:lang w:val="fr-FR"/>
              </w:rPr>
              <w:t xml:space="preserve"> </w:t>
            </w:r>
            <w:r w:rsidRPr="00577EB1">
              <w:rPr>
                <w:color w:val="000000"/>
                <w:sz w:val="20"/>
                <w:szCs w:val="20"/>
                <w:lang w:val="fr-FR"/>
              </w:rPr>
              <w:t xml:space="preserve"> </w:t>
            </w:r>
            <w:r w:rsidR="00F93EF1">
              <w:rPr>
                <w:color w:val="000000"/>
                <w:sz w:val="20"/>
                <w:szCs w:val="20"/>
                <w:lang w:val="fr-FR"/>
              </w:rPr>
              <w:t xml:space="preserve">           En considérant </w:t>
            </w:r>
            <w:r w:rsidRPr="00577EB1">
              <w:rPr>
                <w:color w:val="000000"/>
                <w:sz w:val="20"/>
                <w:szCs w:val="20"/>
                <w:lang w:val="fr-FR"/>
              </w:rPr>
              <w:t>20 % d’apports</w:t>
            </w:r>
          </w:p>
        </w:tc>
        <w:tc>
          <w:tcPr>
            <w:tcW w:w="591" w:type="pct"/>
            <w:vAlign w:val="bottom"/>
          </w:tcPr>
          <w:p w:rsidR="004B3541" w:rsidRDefault="0016389C">
            <w:pPr>
              <w:keepNext/>
              <w:keepLines/>
              <w:spacing w:after="0"/>
              <w:jc w:val="right"/>
              <w:rPr>
                <w:b/>
                <w:bCs/>
                <w:color w:val="000000"/>
                <w:sz w:val="20"/>
                <w:szCs w:val="20"/>
                <w:lang w:val="fr-FR"/>
              </w:rPr>
            </w:pPr>
            <w:r w:rsidRPr="00577EB1">
              <w:rPr>
                <w:b/>
                <w:bCs/>
                <w:color w:val="000000"/>
                <w:sz w:val="20"/>
                <w:szCs w:val="20"/>
                <w:lang w:val="fr-FR"/>
              </w:rPr>
              <w:t>24,0</w:t>
            </w:r>
          </w:p>
        </w:tc>
        <w:tc>
          <w:tcPr>
            <w:tcW w:w="699" w:type="pct"/>
            <w:vAlign w:val="bottom"/>
          </w:tcPr>
          <w:p w:rsidR="004B3541" w:rsidRDefault="0016389C">
            <w:pPr>
              <w:keepNext/>
              <w:keepLines/>
              <w:spacing w:after="0"/>
              <w:jc w:val="right"/>
              <w:rPr>
                <w:b/>
                <w:bCs/>
                <w:color w:val="000000"/>
                <w:sz w:val="20"/>
                <w:szCs w:val="20"/>
                <w:lang w:val="fr-FR"/>
              </w:rPr>
            </w:pPr>
            <w:r w:rsidRPr="00577EB1">
              <w:rPr>
                <w:b/>
                <w:bCs/>
                <w:color w:val="000000"/>
                <w:sz w:val="20"/>
                <w:szCs w:val="20"/>
                <w:lang w:val="fr-FR"/>
              </w:rPr>
              <w:t>5,1</w:t>
            </w:r>
          </w:p>
        </w:tc>
        <w:tc>
          <w:tcPr>
            <w:tcW w:w="699" w:type="pct"/>
            <w:vAlign w:val="bottom"/>
          </w:tcPr>
          <w:p w:rsidR="004B3541" w:rsidRDefault="004B3541">
            <w:pPr>
              <w:keepNext/>
              <w:keepLines/>
              <w:spacing w:after="0"/>
              <w:jc w:val="right"/>
              <w:rPr>
                <w:b/>
                <w:bCs/>
                <w:color w:val="000000"/>
                <w:sz w:val="20"/>
                <w:szCs w:val="20"/>
                <w:lang w:val="fr-FR"/>
              </w:rPr>
            </w:pPr>
          </w:p>
        </w:tc>
      </w:tr>
      <w:tr w:rsidR="0016389C" w:rsidRPr="00577EB1" w:rsidTr="0016389C">
        <w:tc>
          <w:tcPr>
            <w:tcW w:w="3011" w:type="pct"/>
            <w:vAlign w:val="bottom"/>
          </w:tcPr>
          <w:p w:rsidR="004B3541" w:rsidRDefault="0016389C">
            <w:pPr>
              <w:keepNext/>
              <w:keepLines/>
              <w:spacing w:after="0"/>
              <w:ind w:left="284"/>
              <w:rPr>
                <w:color w:val="000000"/>
                <w:sz w:val="20"/>
                <w:szCs w:val="20"/>
                <w:lang w:val="fr-FR"/>
              </w:rPr>
            </w:pPr>
            <w:r w:rsidRPr="00577EB1">
              <w:rPr>
                <w:color w:val="000000"/>
                <w:sz w:val="20"/>
                <w:szCs w:val="20"/>
                <w:lang w:val="fr-FR"/>
              </w:rPr>
              <w:t>Personnes par projet</w:t>
            </w:r>
          </w:p>
        </w:tc>
        <w:tc>
          <w:tcPr>
            <w:tcW w:w="591"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100</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100</w:t>
            </w:r>
          </w:p>
        </w:tc>
        <w:tc>
          <w:tcPr>
            <w:tcW w:w="699" w:type="pct"/>
            <w:vAlign w:val="bottom"/>
          </w:tcPr>
          <w:p w:rsidR="004B3541" w:rsidRDefault="004B3541">
            <w:pPr>
              <w:keepNext/>
              <w:keepLines/>
              <w:spacing w:after="0"/>
              <w:jc w:val="right"/>
              <w:rPr>
                <w:b/>
                <w:bCs/>
                <w:color w:val="000000"/>
                <w:sz w:val="20"/>
                <w:szCs w:val="20"/>
                <w:lang w:val="fr-FR"/>
              </w:rPr>
            </w:pPr>
          </w:p>
        </w:tc>
      </w:tr>
      <w:tr w:rsidR="0016389C" w:rsidRPr="00577EB1" w:rsidTr="0016389C">
        <w:tc>
          <w:tcPr>
            <w:tcW w:w="3011" w:type="pct"/>
            <w:vAlign w:val="bottom"/>
          </w:tcPr>
          <w:p w:rsidR="004B3541" w:rsidRDefault="0016389C">
            <w:pPr>
              <w:keepNext/>
              <w:keepLines/>
              <w:spacing w:after="0"/>
              <w:ind w:left="284"/>
              <w:rPr>
                <w:color w:val="000000"/>
                <w:sz w:val="20"/>
                <w:szCs w:val="20"/>
                <w:lang w:val="fr-FR"/>
              </w:rPr>
            </w:pPr>
            <w:r w:rsidRPr="00577EB1">
              <w:rPr>
                <w:color w:val="000000"/>
                <w:sz w:val="20"/>
                <w:szCs w:val="20"/>
                <w:lang w:val="fr-FR"/>
              </w:rPr>
              <w:t>Nombre de projets</w:t>
            </w:r>
          </w:p>
        </w:tc>
        <w:tc>
          <w:tcPr>
            <w:tcW w:w="591"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2 000</w:t>
            </w:r>
          </w:p>
        </w:tc>
        <w:tc>
          <w:tcPr>
            <w:tcW w:w="699" w:type="pct"/>
            <w:vAlign w:val="bottom"/>
          </w:tcPr>
          <w:p w:rsidR="004B3541" w:rsidRDefault="0016389C">
            <w:pPr>
              <w:keepNext/>
              <w:keepLines/>
              <w:spacing w:after="0"/>
              <w:jc w:val="right"/>
              <w:rPr>
                <w:color w:val="000000"/>
                <w:sz w:val="20"/>
                <w:szCs w:val="20"/>
                <w:lang w:val="fr-FR"/>
              </w:rPr>
            </w:pPr>
            <w:r w:rsidRPr="00577EB1">
              <w:rPr>
                <w:color w:val="000000"/>
                <w:sz w:val="20"/>
                <w:szCs w:val="20"/>
                <w:lang w:val="fr-FR"/>
              </w:rPr>
              <w:t>857</w:t>
            </w:r>
          </w:p>
        </w:tc>
        <w:tc>
          <w:tcPr>
            <w:tcW w:w="699" w:type="pct"/>
            <w:vAlign w:val="bottom"/>
          </w:tcPr>
          <w:p w:rsidR="004B3541" w:rsidRDefault="004B3541">
            <w:pPr>
              <w:keepNext/>
              <w:keepLines/>
              <w:spacing w:after="0"/>
              <w:jc w:val="right"/>
              <w:rPr>
                <w:b/>
                <w:bCs/>
                <w:color w:val="000000"/>
                <w:sz w:val="20"/>
                <w:szCs w:val="20"/>
                <w:lang w:val="fr-FR"/>
              </w:rPr>
            </w:pPr>
          </w:p>
        </w:tc>
      </w:tr>
      <w:tr w:rsidR="0016389C" w:rsidRPr="000A70E6" w:rsidTr="0016389C">
        <w:tc>
          <w:tcPr>
            <w:tcW w:w="5000" w:type="pct"/>
            <w:gridSpan w:val="4"/>
            <w:vAlign w:val="bottom"/>
          </w:tcPr>
          <w:p w:rsidR="004B3541" w:rsidRDefault="0016389C">
            <w:pPr>
              <w:pStyle w:val="ListParagraph"/>
              <w:keepNext/>
              <w:keepLines/>
              <w:numPr>
                <w:ilvl w:val="2"/>
                <w:numId w:val="5"/>
              </w:numPr>
              <w:tabs>
                <w:tab w:val="clear" w:pos="709"/>
                <w:tab w:val="left" w:pos="276"/>
              </w:tabs>
              <w:spacing w:before="120" w:after="40"/>
              <w:jc w:val="left"/>
              <w:rPr>
                <w:rFonts w:eastAsia="Times New Roman"/>
                <w:b/>
                <w:bCs/>
                <w:sz w:val="20"/>
                <w:szCs w:val="20"/>
                <w:lang w:val="fr-FR"/>
              </w:rPr>
            </w:pPr>
            <w:r w:rsidRPr="00577EB1">
              <w:rPr>
                <w:rFonts w:eastAsia="Times New Roman"/>
                <w:b/>
                <w:bCs/>
                <w:sz w:val="20"/>
                <w:szCs w:val="20"/>
                <w:lang w:val="fr-FR"/>
              </w:rPr>
              <w:t>Transferts monétaires conditionnels</w:t>
            </w:r>
            <w:r>
              <w:rPr>
                <w:rFonts w:eastAsia="Times New Roman"/>
                <w:b/>
                <w:bCs/>
                <w:sz w:val="20"/>
                <w:szCs w:val="20"/>
                <w:lang w:val="fr-FR"/>
              </w:rPr>
              <w:t xml:space="preserve"> </w:t>
            </w:r>
            <w:r w:rsidRPr="00577EB1">
              <w:rPr>
                <w:rFonts w:eastAsia="Times New Roman"/>
                <w:b/>
                <w:bCs/>
                <w:sz w:val="20"/>
                <w:szCs w:val="20"/>
                <w:lang w:val="fr-FR"/>
              </w:rPr>
              <w:t>bourses d’études</w:t>
            </w:r>
          </w:p>
        </w:tc>
      </w:tr>
      <w:tr w:rsidR="0016389C" w:rsidRPr="00577EB1" w:rsidTr="0016389C">
        <w:tc>
          <w:tcPr>
            <w:tcW w:w="3011" w:type="pct"/>
            <w:vAlign w:val="bottom"/>
          </w:tcPr>
          <w:p w:rsidR="004B3541" w:rsidRDefault="0016389C">
            <w:pPr>
              <w:keepNext/>
              <w:keepLines/>
              <w:tabs>
                <w:tab w:val="clear" w:pos="709"/>
              </w:tabs>
              <w:spacing w:after="0"/>
              <w:jc w:val="left"/>
              <w:rPr>
                <w:sz w:val="20"/>
                <w:szCs w:val="20"/>
                <w:lang w:val="fr-FR"/>
              </w:rPr>
            </w:pPr>
            <w:r w:rsidRPr="00577EB1">
              <w:rPr>
                <w:sz w:val="20"/>
                <w:szCs w:val="20"/>
                <w:lang w:val="fr-FR"/>
              </w:rPr>
              <w:t xml:space="preserve">Montant des bourses/an sur </w:t>
            </w:r>
            <w:r w:rsidR="00F93EF1">
              <w:rPr>
                <w:sz w:val="20"/>
                <w:szCs w:val="20"/>
                <w:lang w:val="fr-FR"/>
              </w:rPr>
              <w:t>une</w:t>
            </w:r>
            <w:r w:rsidR="00F93EF1" w:rsidRPr="00577EB1">
              <w:rPr>
                <w:sz w:val="20"/>
                <w:szCs w:val="20"/>
                <w:lang w:val="fr-FR"/>
              </w:rPr>
              <w:t xml:space="preserve"> </w:t>
            </w:r>
            <w:r w:rsidRPr="00577EB1">
              <w:rPr>
                <w:sz w:val="20"/>
                <w:szCs w:val="20"/>
                <w:lang w:val="fr-FR"/>
              </w:rPr>
              <w:t xml:space="preserve">base de 10 mois en </w:t>
            </w:r>
            <w:r w:rsidR="00F93EF1">
              <w:rPr>
                <w:sz w:val="20"/>
                <w:szCs w:val="20"/>
                <w:lang w:val="fr-FR"/>
              </w:rPr>
              <w:t>F</w:t>
            </w:r>
            <w:r w:rsidRPr="00577EB1">
              <w:rPr>
                <w:sz w:val="20"/>
                <w:szCs w:val="20"/>
                <w:lang w:val="fr-FR"/>
              </w:rPr>
              <w:t>CFA</w:t>
            </w:r>
          </w:p>
        </w:tc>
        <w:tc>
          <w:tcPr>
            <w:tcW w:w="591" w:type="pct"/>
            <w:vAlign w:val="bottom"/>
          </w:tcPr>
          <w:p w:rsidR="004B3541" w:rsidRDefault="0016389C">
            <w:pPr>
              <w:keepNext/>
              <w:keepLines/>
              <w:tabs>
                <w:tab w:val="clear" w:pos="709"/>
              </w:tabs>
              <w:spacing w:after="0"/>
              <w:jc w:val="right"/>
              <w:rPr>
                <w:sz w:val="20"/>
                <w:szCs w:val="20"/>
                <w:lang w:val="fr-FR"/>
              </w:rPr>
            </w:pPr>
            <w:r w:rsidRPr="00577EB1">
              <w:rPr>
                <w:sz w:val="20"/>
                <w:szCs w:val="20"/>
                <w:lang w:val="fr-FR"/>
              </w:rPr>
              <w:t>15 000</w:t>
            </w:r>
          </w:p>
        </w:tc>
        <w:tc>
          <w:tcPr>
            <w:tcW w:w="699" w:type="pct"/>
            <w:vAlign w:val="bottom"/>
          </w:tcPr>
          <w:p w:rsidR="004B3541" w:rsidRDefault="004B3541">
            <w:pPr>
              <w:keepNext/>
              <w:keepLines/>
              <w:tabs>
                <w:tab w:val="clear" w:pos="709"/>
              </w:tabs>
              <w:spacing w:after="0"/>
              <w:jc w:val="left"/>
              <w:rPr>
                <w:sz w:val="20"/>
                <w:szCs w:val="20"/>
                <w:lang w:val="fr-FR"/>
              </w:rPr>
            </w:pPr>
          </w:p>
        </w:tc>
        <w:tc>
          <w:tcPr>
            <w:tcW w:w="699" w:type="pct"/>
            <w:vAlign w:val="bottom"/>
          </w:tcPr>
          <w:p w:rsidR="004B3541" w:rsidRDefault="004B3541">
            <w:pPr>
              <w:keepNext/>
              <w:keepLines/>
              <w:tabs>
                <w:tab w:val="clear" w:pos="709"/>
              </w:tabs>
              <w:spacing w:after="0"/>
              <w:jc w:val="left"/>
              <w:rPr>
                <w:sz w:val="20"/>
                <w:szCs w:val="20"/>
                <w:lang w:val="fr-FR"/>
              </w:rPr>
            </w:pPr>
          </w:p>
        </w:tc>
      </w:tr>
      <w:tr w:rsidR="0016389C" w:rsidRPr="00577EB1" w:rsidTr="0016389C">
        <w:tc>
          <w:tcPr>
            <w:tcW w:w="3011" w:type="pct"/>
            <w:vAlign w:val="bottom"/>
          </w:tcPr>
          <w:p w:rsidR="004B3541" w:rsidRDefault="0016389C">
            <w:pPr>
              <w:keepNext/>
              <w:keepLines/>
              <w:tabs>
                <w:tab w:val="clear" w:pos="709"/>
              </w:tabs>
              <w:spacing w:after="0"/>
              <w:jc w:val="left"/>
              <w:rPr>
                <w:sz w:val="20"/>
                <w:szCs w:val="20"/>
                <w:lang w:val="fr-FR"/>
              </w:rPr>
            </w:pPr>
            <w:r w:rsidRPr="00577EB1">
              <w:rPr>
                <w:sz w:val="20"/>
                <w:szCs w:val="20"/>
                <w:lang w:val="fr-FR"/>
              </w:rPr>
              <w:t xml:space="preserve">Nombre d’enfants de 5 à 9 ans non scolarisés </w:t>
            </w:r>
          </w:p>
        </w:tc>
        <w:tc>
          <w:tcPr>
            <w:tcW w:w="591" w:type="pct"/>
            <w:vAlign w:val="bottom"/>
          </w:tcPr>
          <w:p w:rsidR="004B3541" w:rsidRDefault="0016389C">
            <w:pPr>
              <w:keepNext/>
              <w:keepLines/>
              <w:tabs>
                <w:tab w:val="clear" w:pos="709"/>
              </w:tabs>
              <w:spacing w:after="0"/>
              <w:jc w:val="right"/>
              <w:rPr>
                <w:sz w:val="20"/>
                <w:szCs w:val="20"/>
                <w:lang w:val="fr-FR"/>
              </w:rPr>
            </w:pPr>
            <w:r w:rsidRPr="00577EB1">
              <w:rPr>
                <w:sz w:val="20"/>
                <w:szCs w:val="20"/>
                <w:lang w:val="fr-FR"/>
              </w:rPr>
              <w:t>690 780</w:t>
            </w:r>
          </w:p>
        </w:tc>
        <w:tc>
          <w:tcPr>
            <w:tcW w:w="699" w:type="pct"/>
            <w:vAlign w:val="bottom"/>
          </w:tcPr>
          <w:p w:rsidR="004B3541" w:rsidRDefault="004B3541">
            <w:pPr>
              <w:keepNext/>
              <w:keepLines/>
              <w:spacing w:after="0"/>
              <w:rPr>
                <w:b/>
                <w:bCs/>
                <w:sz w:val="20"/>
                <w:szCs w:val="20"/>
                <w:lang w:val="fr-FR"/>
              </w:rPr>
            </w:pPr>
          </w:p>
        </w:tc>
        <w:tc>
          <w:tcPr>
            <w:tcW w:w="699" w:type="pct"/>
            <w:vAlign w:val="bottom"/>
          </w:tcPr>
          <w:p w:rsidR="004B3541" w:rsidRDefault="004B3541">
            <w:pPr>
              <w:keepNext/>
              <w:keepLines/>
              <w:spacing w:after="0"/>
              <w:rPr>
                <w:sz w:val="20"/>
                <w:szCs w:val="20"/>
                <w:lang w:val="fr-FR"/>
              </w:rPr>
            </w:pPr>
          </w:p>
        </w:tc>
      </w:tr>
      <w:tr w:rsidR="0016389C" w:rsidRPr="00577EB1" w:rsidTr="0016389C">
        <w:tc>
          <w:tcPr>
            <w:tcW w:w="3011" w:type="pct"/>
            <w:vAlign w:val="bottom"/>
          </w:tcPr>
          <w:p w:rsidR="004B3541" w:rsidRDefault="00F93EF1">
            <w:pPr>
              <w:keepNext/>
              <w:keepLines/>
              <w:tabs>
                <w:tab w:val="clear" w:pos="709"/>
              </w:tabs>
              <w:spacing w:after="0"/>
              <w:jc w:val="left"/>
              <w:rPr>
                <w:sz w:val="20"/>
                <w:szCs w:val="20"/>
                <w:lang w:val="fr-FR"/>
              </w:rPr>
            </w:pPr>
            <w:r w:rsidRPr="00577EB1">
              <w:rPr>
                <w:sz w:val="20"/>
                <w:szCs w:val="20"/>
                <w:lang w:val="fr-FR"/>
              </w:rPr>
              <w:t xml:space="preserve">20 % </w:t>
            </w:r>
            <w:r w:rsidR="0016389C" w:rsidRPr="00577EB1">
              <w:rPr>
                <w:sz w:val="20"/>
                <w:szCs w:val="20"/>
                <w:lang w:val="fr-FR"/>
              </w:rPr>
              <w:t>d</w:t>
            </w:r>
            <w:r>
              <w:rPr>
                <w:sz w:val="20"/>
                <w:szCs w:val="20"/>
                <w:lang w:val="fr-FR"/>
              </w:rPr>
              <w:t xml:space="preserve">es </w:t>
            </w:r>
            <w:r w:rsidR="0016389C" w:rsidRPr="00577EB1">
              <w:rPr>
                <w:sz w:val="20"/>
                <w:szCs w:val="20"/>
                <w:lang w:val="fr-FR"/>
              </w:rPr>
              <w:t xml:space="preserve">enfants </w:t>
            </w:r>
            <w:r w:rsidRPr="00577EB1">
              <w:rPr>
                <w:sz w:val="20"/>
                <w:szCs w:val="20"/>
                <w:lang w:val="fr-FR"/>
              </w:rPr>
              <w:t xml:space="preserve">de 5 à 9 ans </w:t>
            </w:r>
            <w:r w:rsidR="0016389C" w:rsidRPr="00577EB1">
              <w:rPr>
                <w:sz w:val="20"/>
                <w:szCs w:val="20"/>
                <w:lang w:val="fr-FR"/>
              </w:rPr>
              <w:t>non scolarisés</w:t>
            </w:r>
            <w:r>
              <w:rPr>
                <w:sz w:val="20"/>
                <w:szCs w:val="20"/>
                <w:lang w:val="fr-FR"/>
              </w:rPr>
              <w:t xml:space="preserve"> les plus pauvres</w:t>
            </w:r>
            <w:r w:rsidR="0016389C" w:rsidRPr="00577EB1">
              <w:rPr>
                <w:sz w:val="20"/>
                <w:szCs w:val="20"/>
                <w:lang w:val="fr-FR"/>
              </w:rPr>
              <w:t xml:space="preserve"> </w:t>
            </w:r>
          </w:p>
        </w:tc>
        <w:tc>
          <w:tcPr>
            <w:tcW w:w="591" w:type="pct"/>
            <w:vAlign w:val="bottom"/>
          </w:tcPr>
          <w:p w:rsidR="004B3541" w:rsidRDefault="0016389C">
            <w:pPr>
              <w:keepNext/>
              <w:keepLines/>
              <w:tabs>
                <w:tab w:val="clear" w:pos="709"/>
              </w:tabs>
              <w:spacing w:after="0"/>
              <w:jc w:val="right"/>
              <w:rPr>
                <w:sz w:val="20"/>
                <w:szCs w:val="20"/>
                <w:lang w:val="fr-FR"/>
              </w:rPr>
            </w:pPr>
            <w:r w:rsidRPr="00577EB1">
              <w:rPr>
                <w:sz w:val="20"/>
                <w:szCs w:val="20"/>
                <w:lang w:val="fr-FR"/>
              </w:rPr>
              <w:t>138 156,0</w:t>
            </w:r>
          </w:p>
        </w:tc>
        <w:tc>
          <w:tcPr>
            <w:tcW w:w="699" w:type="pct"/>
            <w:vAlign w:val="bottom"/>
          </w:tcPr>
          <w:p w:rsidR="004B3541" w:rsidRDefault="004B3541">
            <w:pPr>
              <w:keepNext/>
              <w:keepLines/>
              <w:spacing w:after="0"/>
              <w:rPr>
                <w:b/>
                <w:bCs/>
                <w:sz w:val="20"/>
                <w:szCs w:val="20"/>
                <w:lang w:val="fr-FR"/>
              </w:rPr>
            </w:pPr>
          </w:p>
        </w:tc>
        <w:tc>
          <w:tcPr>
            <w:tcW w:w="699" w:type="pct"/>
            <w:vAlign w:val="bottom"/>
          </w:tcPr>
          <w:p w:rsidR="004B3541" w:rsidRDefault="004B3541">
            <w:pPr>
              <w:keepNext/>
              <w:keepLines/>
              <w:spacing w:after="0"/>
              <w:rPr>
                <w:sz w:val="20"/>
                <w:szCs w:val="20"/>
                <w:lang w:val="fr-FR"/>
              </w:rPr>
            </w:pPr>
          </w:p>
        </w:tc>
      </w:tr>
      <w:tr w:rsidR="0016389C" w:rsidRPr="00577EB1" w:rsidTr="0016389C">
        <w:tc>
          <w:tcPr>
            <w:tcW w:w="3011" w:type="pct"/>
            <w:vAlign w:val="bottom"/>
          </w:tcPr>
          <w:p w:rsidR="004B3541" w:rsidRDefault="00F93EF1">
            <w:pPr>
              <w:keepNext/>
              <w:keepLines/>
              <w:tabs>
                <w:tab w:val="clear" w:pos="709"/>
              </w:tabs>
              <w:spacing w:after="0"/>
              <w:jc w:val="left"/>
              <w:rPr>
                <w:sz w:val="20"/>
                <w:szCs w:val="20"/>
                <w:lang w:val="fr-FR"/>
              </w:rPr>
            </w:pPr>
            <w:r w:rsidRPr="00577EB1">
              <w:rPr>
                <w:b/>
                <w:bCs/>
                <w:color w:val="000000"/>
                <w:sz w:val="20"/>
                <w:szCs w:val="20"/>
                <w:lang w:val="fr-FR"/>
              </w:rPr>
              <w:t>Coût total</w:t>
            </w:r>
            <w:r>
              <w:rPr>
                <w:b/>
                <w:bCs/>
                <w:color w:val="000000"/>
                <w:sz w:val="20"/>
                <w:szCs w:val="20"/>
                <w:lang w:val="fr-FR"/>
              </w:rPr>
              <w:t xml:space="preserve"> des t</w:t>
            </w:r>
            <w:r w:rsidRPr="00577EB1">
              <w:rPr>
                <w:b/>
                <w:bCs/>
                <w:color w:val="000000"/>
                <w:sz w:val="20"/>
                <w:szCs w:val="20"/>
                <w:lang w:val="fr-FR"/>
              </w:rPr>
              <w:t>ransferts</w:t>
            </w:r>
            <w:r>
              <w:rPr>
                <w:b/>
                <w:bCs/>
                <w:color w:val="000000"/>
                <w:sz w:val="20"/>
                <w:szCs w:val="20"/>
                <w:lang w:val="fr-FR"/>
              </w:rPr>
              <w:t xml:space="preserve"> </w:t>
            </w:r>
            <w:r w:rsidRPr="00577EB1">
              <w:rPr>
                <w:rFonts w:ascii="Calibri" w:hAnsi="Calibri"/>
                <w:b/>
                <w:bCs/>
                <w:color w:val="000000"/>
                <w:sz w:val="20"/>
                <w:szCs w:val="20"/>
                <w:lang w:val="fr-FR"/>
              </w:rPr>
              <w:t>–</w:t>
            </w:r>
            <w:r w:rsidRPr="00577EB1">
              <w:rPr>
                <w:b/>
                <w:bCs/>
                <w:color w:val="000000"/>
                <w:sz w:val="20"/>
                <w:szCs w:val="20"/>
                <w:lang w:val="fr-FR"/>
              </w:rPr>
              <w:t xml:space="preserve"> milliards de </w:t>
            </w:r>
            <w:r>
              <w:rPr>
                <w:b/>
                <w:bCs/>
                <w:color w:val="000000"/>
                <w:sz w:val="20"/>
                <w:szCs w:val="20"/>
                <w:lang w:val="fr-FR"/>
              </w:rPr>
              <w:t>FC</w:t>
            </w:r>
            <w:r w:rsidRPr="00577EB1">
              <w:rPr>
                <w:b/>
                <w:bCs/>
                <w:color w:val="000000"/>
                <w:sz w:val="20"/>
                <w:szCs w:val="20"/>
                <w:lang w:val="fr-FR"/>
              </w:rPr>
              <w:t>FA</w:t>
            </w:r>
            <w:r>
              <w:rPr>
                <w:b/>
                <w:bCs/>
                <w:color w:val="000000"/>
                <w:sz w:val="20"/>
                <w:szCs w:val="20"/>
                <w:lang w:val="fr-FR"/>
              </w:rPr>
              <w:t xml:space="preserve"> par an</w:t>
            </w:r>
          </w:p>
        </w:tc>
        <w:tc>
          <w:tcPr>
            <w:tcW w:w="591" w:type="pct"/>
            <w:vAlign w:val="bottom"/>
          </w:tcPr>
          <w:p w:rsidR="004B3541" w:rsidRDefault="00EB214A">
            <w:pPr>
              <w:keepNext/>
              <w:keepLines/>
              <w:tabs>
                <w:tab w:val="clear" w:pos="709"/>
              </w:tabs>
              <w:spacing w:after="0"/>
              <w:jc w:val="right"/>
              <w:rPr>
                <w:b/>
                <w:sz w:val="20"/>
                <w:szCs w:val="20"/>
                <w:lang w:val="fr-FR"/>
              </w:rPr>
            </w:pPr>
            <w:r w:rsidRPr="00EB214A">
              <w:rPr>
                <w:b/>
                <w:sz w:val="20"/>
                <w:szCs w:val="20"/>
                <w:lang w:val="fr-FR"/>
              </w:rPr>
              <w:t>2,07</w:t>
            </w:r>
          </w:p>
        </w:tc>
        <w:tc>
          <w:tcPr>
            <w:tcW w:w="699" w:type="pct"/>
            <w:vAlign w:val="bottom"/>
          </w:tcPr>
          <w:p w:rsidR="004B3541" w:rsidRDefault="004B3541">
            <w:pPr>
              <w:keepNext/>
              <w:keepLines/>
              <w:spacing w:after="0"/>
              <w:rPr>
                <w:b/>
                <w:bCs/>
                <w:sz w:val="20"/>
                <w:szCs w:val="20"/>
                <w:lang w:val="fr-FR"/>
              </w:rPr>
            </w:pPr>
          </w:p>
        </w:tc>
        <w:tc>
          <w:tcPr>
            <w:tcW w:w="699" w:type="pct"/>
            <w:vAlign w:val="bottom"/>
          </w:tcPr>
          <w:p w:rsidR="004B3541" w:rsidRDefault="004B3541">
            <w:pPr>
              <w:keepNext/>
              <w:keepLines/>
              <w:spacing w:after="0"/>
              <w:rPr>
                <w:sz w:val="20"/>
                <w:szCs w:val="20"/>
                <w:lang w:val="fr-FR"/>
              </w:rPr>
            </w:pPr>
          </w:p>
        </w:tc>
      </w:tr>
      <w:tr w:rsidR="0016389C" w:rsidRPr="00577EB1" w:rsidTr="0016389C">
        <w:tc>
          <w:tcPr>
            <w:tcW w:w="3011" w:type="pct"/>
            <w:vAlign w:val="bottom"/>
          </w:tcPr>
          <w:p w:rsidR="004B3541" w:rsidRDefault="0016389C">
            <w:pPr>
              <w:keepNext/>
              <w:keepLines/>
              <w:tabs>
                <w:tab w:val="clear" w:pos="709"/>
              </w:tabs>
              <w:spacing w:after="0"/>
              <w:jc w:val="left"/>
              <w:rPr>
                <w:sz w:val="20"/>
                <w:szCs w:val="20"/>
                <w:lang w:val="fr-FR"/>
              </w:rPr>
            </w:pPr>
            <w:r w:rsidRPr="00577EB1">
              <w:rPr>
                <w:sz w:val="20"/>
                <w:szCs w:val="20"/>
                <w:lang w:val="fr-FR"/>
              </w:rPr>
              <w:t>En pourcentage du PIB (2009)</w:t>
            </w:r>
          </w:p>
        </w:tc>
        <w:tc>
          <w:tcPr>
            <w:tcW w:w="591" w:type="pct"/>
            <w:vAlign w:val="bottom"/>
          </w:tcPr>
          <w:p w:rsidR="004B3541" w:rsidRDefault="0016389C">
            <w:pPr>
              <w:keepNext/>
              <w:keepLines/>
              <w:tabs>
                <w:tab w:val="clear" w:pos="709"/>
              </w:tabs>
              <w:spacing w:after="0"/>
              <w:jc w:val="right"/>
              <w:rPr>
                <w:sz w:val="20"/>
                <w:szCs w:val="20"/>
                <w:lang w:val="fr-FR"/>
              </w:rPr>
            </w:pPr>
            <w:r w:rsidRPr="00577EB1">
              <w:rPr>
                <w:sz w:val="20"/>
                <w:szCs w:val="20"/>
                <w:lang w:val="fr-FR"/>
              </w:rPr>
              <w:t>0,05 %</w:t>
            </w:r>
          </w:p>
        </w:tc>
        <w:tc>
          <w:tcPr>
            <w:tcW w:w="699" w:type="pct"/>
            <w:vAlign w:val="bottom"/>
          </w:tcPr>
          <w:p w:rsidR="004B3541" w:rsidRDefault="004B3541">
            <w:pPr>
              <w:keepNext/>
              <w:keepLines/>
              <w:spacing w:after="0"/>
              <w:rPr>
                <w:b/>
                <w:bCs/>
                <w:sz w:val="20"/>
                <w:szCs w:val="20"/>
                <w:lang w:val="fr-FR"/>
              </w:rPr>
            </w:pPr>
          </w:p>
        </w:tc>
        <w:tc>
          <w:tcPr>
            <w:tcW w:w="699" w:type="pct"/>
            <w:vAlign w:val="bottom"/>
          </w:tcPr>
          <w:p w:rsidR="004B3541" w:rsidRDefault="004B3541">
            <w:pPr>
              <w:keepNext/>
              <w:keepLines/>
              <w:spacing w:after="0"/>
              <w:rPr>
                <w:sz w:val="20"/>
                <w:szCs w:val="20"/>
                <w:lang w:val="fr-FR"/>
              </w:rPr>
            </w:pPr>
          </w:p>
        </w:tc>
      </w:tr>
      <w:tr w:rsidR="0016389C" w:rsidRPr="00577EB1" w:rsidTr="0016389C">
        <w:tc>
          <w:tcPr>
            <w:tcW w:w="3011" w:type="pct"/>
            <w:vAlign w:val="bottom"/>
          </w:tcPr>
          <w:p w:rsidR="004B3541" w:rsidRDefault="0016389C">
            <w:pPr>
              <w:keepNext/>
              <w:keepLines/>
              <w:tabs>
                <w:tab w:val="clear" w:pos="709"/>
              </w:tabs>
              <w:spacing w:after="0"/>
              <w:jc w:val="left"/>
              <w:rPr>
                <w:sz w:val="20"/>
                <w:szCs w:val="20"/>
                <w:lang w:val="fr-FR"/>
              </w:rPr>
            </w:pPr>
            <w:r w:rsidRPr="00577EB1">
              <w:rPr>
                <w:sz w:val="20"/>
                <w:szCs w:val="20"/>
                <w:lang w:val="fr-FR"/>
              </w:rPr>
              <w:t>En pourcentage des dépenses publiques (2009)</w:t>
            </w:r>
          </w:p>
        </w:tc>
        <w:tc>
          <w:tcPr>
            <w:tcW w:w="591" w:type="pct"/>
            <w:vAlign w:val="bottom"/>
          </w:tcPr>
          <w:p w:rsidR="004B3541" w:rsidRDefault="0016389C">
            <w:pPr>
              <w:keepNext/>
              <w:keepLines/>
              <w:tabs>
                <w:tab w:val="clear" w:pos="709"/>
              </w:tabs>
              <w:spacing w:after="0"/>
              <w:jc w:val="right"/>
              <w:rPr>
                <w:sz w:val="20"/>
                <w:szCs w:val="20"/>
                <w:lang w:val="fr-FR"/>
              </w:rPr>
            </w:pPr>
            <w:r w:rsidRPr="00577EB1">
              <w:rPr>
                <w:sz w:val="20"/>
                <w:szCs w:val="20"/>
                <w:lang w:val="fr-FR"/>
              </w:rPr>
              <w:t>0,2 %</w:t>
            </w:r>
          </w:p>
        </w:tc>
        <w:tc>
          <w:tcPr>
            <w:tcW w:w="699" w:type="pct"/>
            <w:vAlign w:val="bottom"/>
          </w:tcPr>
          <w:p w:rsidR="004B3541" w:rsidRDefault="004B3541">
            <w:pPr>
              <w:keepNext/>
              <w:keepLines/>
              <w:spacing w:after="0"/>
              <w:rPr>
                <w:b/>
                <w:bCs/>
                <w:sz w:val="20"/>
                <w:szCs w:val="20"/>
                <w:lang w:val="fr-FR"/>
              </w:rPr>
            </w:pPr>
          </w:p>
        </w:tc>
        <w:tc>
          <w:tcPr>
            <w:tcW w:w="699" w:type="pct"/>
            <w:vAlign w:val="bottom"/>
          </w:tcPr>
          <w:p w:rsidR="004B3541" w:rsidRDefault="004B3541">
            <w:pPr>
              <w:keepNext/>
              <w:keepLines/>
              <w:spacing w:after="0"/>
              <w:rPr>
                <w:sz w:val="20"/>
                <w:szCs w:val="20"/>
                <w:lang w:val="fr-FR"/>
              </w:rPr>
            </w:pPr>
          </w:p>
        </w:tc>
      </w:tr>
      <w:tr w:rsidR="0016389C" w:rsidRPr="000A70E6" w:rsidTr="0016389C">
        <w:tc>
          <w:tcPr>
            <w:tcW w:w="5000" w:type="pct"/>
            <w:gridSpan w:val="4"/>
            <w:vAlign w:val="bottom"/>
          </w:tcPr>
          <w:p w:rsidR="004B3541" w:rsidRDefault="0016389C">
            <w:pPr>
              <w:pStyle w:val="ListParagraph"/>
              <w:keepNext/>
              <w:keepLines/>
              <w:numPr>
                <w:ilvl w:val="2"/>
                <w:numId w:val="5"/>
              </w:numPr>
              <w:tabs>
                <w:tab w:val="clear" w:pos="709"/>
                <w:tab w:val="left" w:pos="276"/>
              </w:tabs>
              <w:spacing w:before="120" w:after="40"/>
              <w:jc w:val="left"/>
              <w:rPr>
                <w:rFonts w:eastAsia="Times New Roman"/>
                <w:b/>
                <w:bCs/>
                <w:sz w:val="20"/>
                <w:szCs w:val="20"/>
                <w:lang w:val="fr-FR"/>
              </w:rPr>
            </w:pPr>
            <w:r w:rsidRPr="00577EB1">
              <w:rPr>
                <w:rFonts w:eastAsia="Times New Roman"/>
                <w:b/>
                <w:bCs/>
                <w:sz w:val="20"/>
                <w:szCs w:val="20"/>
                <w:lang w:val="fr-FR"/>
              </w:rPr>
              <w:t>Nutrition ciblant les enfants pauvres de 0 à 5 ans</w:t>
            </w:r>
          </w:p>
        </w:tc>
      </w:tr>
      <w:tr w:rsidR="0016389C" w:rsidRPr="00577EB1" w:rsidTr="0016389C">
        <w:tc>
          <w:tcPr>
            <w:tcW w:w="3011" w:type="pct"/>
            <w:vAlign w:val="bottom"/>
          </w:tcPr>
          <w:p w:rsidR="004B3541" w:rsidRDefault="0016389C">
            <w:pPr>
              <w:keepNext/>
              <w:keepLines/>
              <w:tabs>
                <w:tab w:val="clear" w:pos="709"/>
              </w:tabs>
              <w:spacing w:after="0"/>
              <w:jc w:val="left"/>
              <w:rPr>
                <w:sz w:val="20"/>
                <w:szCs w:val="20"/>
                <w:lang w:val="fr-FR"/>
              </w:rPr>
            </w:pPr>
            <w:r w:rsidRPr="00577EB1">
              <w:rPr>
                <w:sz w:val="20"/>
                <w:szCs w:val="20"/>
                <w:lang w:val="fr-FR"/>
              </w:rPr>
              <w:t xml:space="preserve">Coût moyen des programmes par habitant/an (en francs CFA) </w:t>
            </w:r>
          </w:p>
        </w:tc>
        <w:tc>
          <w:tcPr>
            <w:tcW w:w="591" w:type="pct"/>
            <w:vAlign w:val="bottom"/>
          </w:tcPr>
          <w:p w:rsidR="004B3541" w:rsidRDefault="0016389C">
            <w:pPr>
              <w:keepNext/>
              <w:keepLines/>
              <w:tabs>
                <w:tab w:val="clear" w:pos="709"/>
              </w:tabs>
              <w:spacing w:after="0"/>
              <w:jc w:val="right"/>
              <w:rPr>
                <w:sz w:val="20"/>
                <w:szCs w:val="20"/>
                <w:lang w:val="fr-FR"/>
              </w:rPr>
            </w:pPr>
            <w:r w:rsidRPr="00577EB1">
              <w:rPr>
                <w:sz w:val="20"/>
                <w:szCs w:val="20"/>
                <w:lang w:val="fr-FR"/>
              </w:rPr>
              <w:t>7 000</w:t>
            </w:r>
          </w:p>
        </w:tc>
        <w:tc>
          <w:tcPr>
            <w:tcW w:w="699" w:type="pct"/>
            <w:vAlign w:val="bottom"/>
          </w:tcPr>
          <w:p w:rsidR="004B3541" w:rsidRDefault="004B3541">
            <w:pPr>
              <w:keepNext/>
              <w:keepLines/>
              <w:spacing w:after="0"/>
              <w:rPr>
                <w:b/>
                <w:bCs/>
                <w:sz w:val="20"/>
                <w:szCs w:val="20"/>
                <w:lang w:val="fr-FR"/>
              </w:rPr>
            </w:pPr>
          </w:p>
        </w:tc>
        <w:tc>
          <w:tcPr>
            <w:tcW w:w="699" w:type="pct"/>
            <w:vAlign w:val="bottom"/>
          </w:tcPr>
          <w:p w:rsidR="004B3541" w:rsidRDefault="004B3541">
            <w:pPr>
              <w:keepNext/>
              <w:keepLines/>
              <w:spacing w:after="0"/>
              <w:rPr>
                <w:sz w:val="20"/>
                <w:szCs w:val="20"/>
                <w:lang w:val="fr-FR"/>
              </w:rPr>
            </w:pPr>
          </w:p>
        </w:tc>
      </w:tr>
      <w:tr w:rsidR="0016389C" w:rsidRPr="00577EB1" w:rsidTr="0016389C">
        <w:tc>
          <w:tcPr>
            <w:tcW w:w="3011" w:type="pct"/>
            <w:vAlign w:val="bottom"/>
          </w:tcPr>
          <w:p w:rsidR="004B3541" w:rsidRDefault="0016389C">
            <w:pPr>
              <w:keepNext/>
              <w:keepLines/>
              <w:tabs>
                <w:tab w:val="clear" w:pos="709"/>
              </w:tabs>
              <w:spacing w:after="0"/>
              <w:jc w:val="left"/>
              <w:rPr>
                <w:sz w:val="20"/>
                <w:szCs w:val="20"/>
                <w:lang w:val="fr-FR"/>
              </w:rPr>
            </w:pPr>
            <w:r w:rsidRPr="00577EB1">
              <w:rPr>
                <w:sz w:val="20"/>
                <w:szCs w:val="20"/>
                <w:lang w:val="fr-FR"/>
              </w:rPr>
              <w:t>Nombre de bénéficiaires (enfants pauvres de moins de 5 ans)</w:t>
            </w:r>
          </w:p>
        </w:tc>
        <w:tc>
          <w:tcPr>
            <w:tcW w:w="591" w:type="pct"/>
            <w:vAlign w:val="bottom"/>
          </w:tcPr>
          <w:p w:rsidR="004B3541" w:rsidRDefault="0016389C">
            <w:pPr>
              <w:keepNext/>
              <w:keepLines/>
              <w:tabs>
                <w:tab w:val="clear" w:pos="709"/>
              </w:tabs>
              <w:spacing w:after="0"/>
              <w:jc w:val="right"/>
              <w:rPr>
                <w:sz w:val="20"/>
                <w:szCs w:val="20"/>
                <w:lang w:val="fr-FR"/>
              </w:rPr>
            </w:pPr>
            <w:r w:rsidRPr="00577EB1">
              <w:rPr>
                <w:sz w:val="20"/>
                <w:szCs w:val="20"/>
                <w:lang w:val="fr-FR"/>
              </w:rPr>
              <w:t>1 339 650</w:t>
            </w:r>
          </w:p>
        </w:tc>
        <w:tc>
          <w:tcPr>
            <w:tcW w:w="699" w:type="pct"/>
            <w:vAlign w:val="bottom"/>
          </w:tcPr>
          <w:p w:rsidR="004B3541" w:rsidRDefault="004B3541">
            <w:pPr>
              <w:keepNext/>
              <w:keepLines/>
              <w:spacing w:after="0"/>
              <w:rPr>
                <w:b/>
                <w:bCs/>
                <w:sz w:val="20"/>
                <w:szCs w:val="20"/>
                <w:lang w:val="fr-FR"/>
              </w:rPr>
            </w:pPr>
          </w:p>
        </w:tc>
        <w:tc>
          <w:tcPr>
            <w:tcW w:w="699" w:type="pct"/>
            <w:vAlign w:val="bottom"/>
          </w:tcPr>
          <w:p w:rsidR="004B3541" w:rsidRDefault="004B3541">
            <w:pPr>
              <w:keepNext/>
              <w:keepLines/>
              <w:spacing w:after="0"/>
              <w:rPr>
                <w:sz w:val="20"/>
                <w:szCs w:val="20"/>
                <w:lang w:val="fr-FR"/>
              </w:rPr>
            </w:pPr>
          </w:p>
        </w:tc>
      </w:tr>
      <w:tr w:rsidR="0016389C" w:rsidRPr="00577EB1" w:rsidTr="0016389C">
        <w:tc>
          <w:tcPr>
            <w:tcW w:w="3011" w:type="pct"/>
            <w:vAlign w:val="bottom"/>
          </w:tcPr>
          <w:p w:rsidR="004B3541" w:rsidRDefault="00F93EF1">
            <w:pPr>
              <w:keepNext/>
              <w:keepLines/>
              <w:tabs>
                <w:tab w:val="clear" w:pos="709"/>
              </w:tabs>
              <w:spacing w:after="0"/>
              <w:jc w:val="left"/>
              <w:rPr>
                <w:sz w:val="20"/>
                <w:szCs w:val="20"/>
                <w:lang w:val="fr-FR"/>
              </w:rPr>
            </w:pPr>
            <w:r w:rsidRPr="00577EB1">
              <w:rPr>
                <w:b/>
                <w:bCs/>
                <w:color w:val="000000"/>
                <w:sz w:val="20"/>
                <w:szCs w:val="20"/>
                <w:lang w:val="fr-FR"/>
              </w:rPr>
              <w:t>Coût total</w:t>
            </w:r>
            <w:r>
              <w:rPr>
                <w:b/>
                <w:bCs/>
                <w:color w:val="000000"/>
                <w:sz w:val="20"/>
                <w:szCs w:val="20"/>
                <w:lang w:val="fr-FR"/>
              </w:rPr>
              <w:t xml:space="preserve"> des t</w:t>
            </w:r>
            <w:r w:rsidRPr="00577EB1">
              <w:rPr>
                <w:b/>
                <w:bCs/>
                <w:color w:val="000000"/>
                <w:sz w:val="20"/>
                <w:szCs w:val="20"/>
                <w:lang w:val="fr-FR"/>
              </w:rPr>
              <w:t>ransferts</w:t>
            </w:r>
            <w:r>
              <w:rPr>
                <w:b/>
                <w:bCs/>
                <w:color w:val="000000"/>
                <w:sz w:val="20"/>
                <w:szCs w:val="20"/>
                <w:lang w:val="fr-FR"/>
              </w:rPr>
              <w:t xml:space="preserve"> </w:t>
            </w:r>
            <w:r w:rsidRPr="00577EB1">
              <w:rPr>
                <w:rFonts w:ascii="Calibri" w:hAnsi="Calibri"/>
                <w:b/>
                <w:bCs/>
                <w:color w:val="000000"/>
                <w:sz w:val="20"/>
                <w:szCs w:val="20"/>
                <w:lang w:val="fr-FR"/>
              </w:rPr>
              <w:t>–</w:t>
            </w:r>
            <w:r w:rsidRPr="00577EB1">
              <w:rPr>
                <w:b/>
                <w:bCs/>
                <w:color w:val="000000"/>
                <w:sz w:val="20"/>
                <w:szCs w:val="20"/>
                <w:lang w:val="fr-FR"/>
              </w:rPr>
              <w:t xml:space="preserve"> milliards de </w:t>
            </w:r>
            <w:r>
              <w:rPr>
                <w:b/>
                <w:bCs/>
                <w:color w:val="000000"/>
                <w:sz w:val="20"/>
                <w:szCs w:val="20"/>
                <w:lang w:val="fr-FR"/>
              </w:rPr>
              <w:t>FC</w:t>
            </w:r>
            <w:r w:rsidRPr="00577EB1">
              <w:rPr>
                <w:b/>
                <w:bCs/>
                <w:color w:val="000000"/>
                <w:sz w:val="20"/>
                <w:szCs w:val="20"/>
                <w:lang w:val="fr-FR"/>
              </w:rPr>
              <w:t>FA</w:t>
            </w:r>
            <w:r>
              <w:rPr>
                <w:b/>
                <w:bCs/>
                <w:color w:val="000000"/>
                <w:sz w:val="20"/>
                <w:szCs w:val="20"/>
                <w:lang w:val="fr-FR"/>
              </w:rPr>
              <w:t xml:space="preserve"> par an</w:t>
            </w:r>
          </w:p>
        </w:tc>
        <w:tc>
          <w:tcPr>
            <w:tcW w:w="591" w:type="pct"/>
            <w:vAlign w:val="bottom"/>
          </w:tcPr>
          <w:p w:rsidR="004B3541" w:rsidRDefault="00EB214A">
            <w:pPr>
              <w:keepNext/>
              <w:keepLines/>
              <w:tabs>
                <w:tab w:val="clear" w:pos="709"/>
              </w:tabs>
              <w:spacing w:after="0"/>
              <w:jc w:val="right"/>
              <w:rPr>
                <w:b/>
                <w:sz w:val="20"/>
                <w:szCs w:val="20"/>
                <w:lang w:val="fr-FR"/>
              </w:rPr>
            </w:pPr>
            <w:r w:rsidRPr="00EB214A">
              <w:rPr>
                <w:b/>
                <w:sz w:val="20"/>
                <w:szCs w:val="20"/>
                <w:lang w:val="fr-FR"/>
              </w:rPr>
              <w:t>9,4</w:t>
            </w:r>
          </w:p>
        </w:tc>
        <w:tc>
          <w:tcPr>
            <w:tcW w:w="699" w:type="pct"/>
            <w:vAlign w:val="bottom"/>
          </w:tcPr>
          <w:p w:rsidR="004B3541" w:rsidRDefault="004B3541">
            <w:pPr>
              <w:keepNext/>
              <w:keepLines/>
              <w:spacing w:after="0"/>
              <w:rPr>
                <w:b/>
                <w:bCs/>
                <w:sz w:val="20"/>
                <w:szCs w:val="20"/>
                <w:lang w:val="fr-FR"/>
              </w:rPr>
            </w:pPr>
          </w:p>
        </w:tc>
        <w:tc>
          <w:tcPr>
            <w:tcW w:w="699" w:type="pct"/>
            <w:vAlign w:val="bottom"/>
          </w:tcPr>
          <w:p w:rsidR="004B3541" w:rsidRDefault="004B3541">
            <w:pPr>
              <w:keepNext/>
              <w:keepLines/>
              <w:spacing w:after="0"/>
              <w:rPr>
                <w:sz w:val="20"/>
                <w:szCs w:val="20"/>
                <w:lang w:val="fr-FR"/>
              </w:rPr>
            </w:pPr>
          </w:p>
        </w:tc>
      </w:tr>
      <w:tr w:rsidR="0016389C" w:rsidRPr="00577EB1" w:rsidTr="0016389C">
        <w:tc>
          <w:tcPr>
            <w:tcW w:w="3011" w:type="pct"/>
            <w:vAlign w:val="bottom"/>
          </w:tcPr>
          <w:p w:rsidR="004B3541" w:rsidRDefault="0016389C">
            <w:pPr>
              <w:keepNext/>
              <w:keepLines/>
              <w:tabs>
                <w:tab w:val="clear" w:pos="709"/>
              </w:tabs>
              <w:spacing w:after="0"/>
              <w:jc w:val="left"/>
              <w:rPr>
                <w:sz w:val="20"/>
                <w:szCs w:val="20"/>
                <w:lang w:val="fr-FR"/>
              </w:rPr>
            </w:pPr>
            <w:r w:rsidRPr="00577EB1">
              <w:rPr>
                <w:sz w:val="20"/>
                <w:szCs w:val="20"/>
                <w:lang w:val="fr-FR"/>
              </w:rPr>
              <w:t>En pourcentage du PIB</w:t>
            </w:r>
            <w:r w:rsidR="00F93EF1">
              <w:rPr>
                <w:sz w:val="20"/>
                <w:szCs w:val="20"/>
                <w:lang w:val="fr-FR"/>
              </w:rPr>
              <w:t xml:space="preserve"> (2009)</w:t>
            </w:r>
          </w:p>
        </w:tc>
        <w:tc>
          <w:tcPr>
            <w:tcW w:w="591" w:type="pct"/>
            <w:vAlign w:val="bottom"/>
          </w:tcPr>
          <w:p w:rsidR="004B3541" w:rsidRDefault="0016389C">
            <w:pPr>
              <w:keepNext/>
              <w:keepLines/>
              <w:tabs>
                <w:tab w:val="clear" w:pos="709"/>
              </w:tabs>
              <w:spacing w:after="0"/>
              <w:jc w:val="right"/>
              <w:rPr>
                <w:sz w:val="20"/>
                <w:szCs w:val="20"/>
                <w:lang w:val="fr-FR"/>
              </w:rPr>
            </w:pPr>
            <w:r w:rsidRPr="00577EB1">
              <w:rPr>
                <w:sz w:val="20"/>
                <w:szCs w:val="20"/>
                <w:lang w:val="fr-FR"/>
              </w:rPr>
              <w:t>0,2 %</w:t>
            </w:r>
          </w:p>
        </w:tc>
        <w:tc>
          <w:tcPr>
            <w:tcW w:w="699" w:type="pct"/>
            <w:vAlign w:val="bottom"/>
          </w:tcPr>
          <w:p w:rsidR="004B3541" w:rsidRDefault="004B3541">
            <w:pPr>
              <w:keepNext/>
              <w:keepLines/>
              <w:spacing w:after="0"/>
              <w:rPr>
                <w:b/>
                <w:bCs/>
                <w:sz w:val="20"/>
                <w:szCs w:val="20"/>
                <w:lang w:val="fr-FR"/>
              </w:rPr>
            </w:pPr>
          </w:p>
        </w:tc>
        <w:tc>
          <w:tcPr>
            <w:tcW w:w="699" w:type="pct"/>
            <w:vAlign w:val="bottom"/>
          </w:tcPr>
          <w:p w:rsidR="004B3541" w:rsidRDefault="004B3541">
            <w:pPr>
              <w:keepNext/>
              <w:keepLines/>
              <w:spacing w:after="0"/>
              <w:rPr>
                <w:sz w:val="20"/>
                <w:szCs w:val="20"/>
                <w:lang w:val="fr-FR"/>
              </w:rPr>
            </w:pPr>
          </w:p>
        </w:tc>
      </w:tr>
      <w:tr w:rsidR="0016389C" w:rsidRPr="00577EB1" w:rsidTr="0016389C">
        <w:tc>
          <w:tcPr>
            <w:tcW w:w="3011" w:type="pct"/>
            <w:tcBorders>
              <w:bottom w:val="single" w:sz="4" w:space="0" w:color="auto"/>
            </w:tcBorders>
            <w:vAlign w:val="bottom"/>
          </w:tcPr>
          <w:p w:rsidR="004B3541" w:rsidRDefault="0016389C">
            <w:pPr>
              <w:keepNext/>
              <w:keepLines/>
              <w:tabs>
                <w:tab w:val="clear" w:pos="709"/>
              </w:tabs>
              <w:spacing w:after="0"/>
              <w:jc w:val="left"/>
              <w:rPr>
                <w:sz w:val="20"/>
                <w:szCs w:val="20"/>
                <w:lang w:val="fr-FR"/>
              </w:rPr>
            </w:pPr>
            <w:r w:rsidRPr="00577EB1">
              <w:rPr>
                <w:sz w:val="20"/>
                <w:szCs w:val="20"/>
                <w:lang w:val="fr-FR"/>
              </w:rPr>
              <w:t>En pourcentage des dépenses publiques (2009)</w:t>
            </w:r>
          </w:p>
        </w:tc>
        <w:tc>
          <w:tcPr>
            <w:tcW w:w="591" w:type="pct"/>
            <w:tcBorders>
              <w:bottom w:val="single" w:sz="4" w:space="0" w:color="auto"/>
            </w:tcBorders>
            <w:vAlign w:val="bottom"/>
          </w:tcPr>
          <w:p w:rsidR="004B3541" w:rsidRDefault="0016389C">
            <w:pPr>
              <w:keepNext/>
              <w:keepLines/>
              <w:tabs>
                <w:tab w:val="clear" w:pos="709"/>
              </w:tabs>
              <w:spacing w:after="0"/>
              <w:jc w:val="right"/>
              <w:rPr>
                <w:sz w:val="20"/>
                <w:szCs w:val="20"/>
                <w:lang w:val="fr-FR"/>
              </w:rPr>
            </w:pPr>
            <w:r w:rsidRPr="00577EB1">
              <w:rPr>
                <w:sz w:val="20"/>
                <w:szCs w:val="20"/>
                <w:lang w:val="fr-FR"/>
              </w:rPr>
              <w:t>0,9 %</w:t>
            </w:r>
          </w:p>
        </w:tc>
        <w:tc>
          <w:tcPr>
            <w:tcW w:w="699" w:type="pct"/>
            <w:tcBorders>
              <w:bottom w:val="single" w:sz="4" w:space="0" w:color="auto"/>
            </w:tcBorders>
            <w:vAlign w:val="bottom"/>
          </w:tcPr>
          <w:p w:rsidR="004B3541" w:rsidRDefault="004B3541">
            <w:pPr>
              <w:keepNext/>
              <w:keepLines/>
              <w:spacing w:after="0"/>
              <w:rPr>
                <w:b/>
                <w:bCs/>
                <w:sz w:val="20"/>
                <w:szCs w:val="20"/>
                <w:lang w:val="fr-FR"/>
              </w:rPr>
            </w:pPr>
          </w:p>
        </w:tc>
        <w:tc>
          <w:tcPr>
            <w:tcW w:w="699" w:type="pct"/>
            <w:tcBorders>
              <w:bottom w:val="single" w:sz="4" w:space="0" w:color="auto"/>
            </w:tcBorders>
            <w:vAlign w:val="bottom"/>
          </w:tcPr>
          <w:p w:rsidR="004B3541" w:rsidRDefault="004B3541">
            <w:pPr>
              <w:keepNext/>
              <w:keepLines/>
              <w:spacing w:after="0"/>
              <w:rPr>
                <w:sz w:val="20"/>
                <w:szCs w:val="20"/>
                <w:lang w:val="fr-FR"/>
              </w:rPr>
            </w:pPr>
          </w:p>
        </w:tc>
      </w:tr>
    </w:tbl>
    <w:p w:rsidR="004B3541" w:rsidRDefault="00EB214A">
      <w:pPr>
        <w:pStyle w:val="Source"/>
        <w:spacing w:before="120" w:after="120"/>
        <w:rPr>
          <w:i w:val="0"/>
        </w:rPr>
      </w:pPr>
      <w:r w:rsidRPr="00EB214A">
        <w:rPr>
          <w:i w:val="0"/>
        </w:rPr>
        <w:t>Notes : i) Transfert monétaire annuel</w:t>
      </w:r>
      <w:r w:rsidR="00F93EF1">
        <w:rPr>
          <w:i w:val="0"/>
        </w:rPr>
        <w:t xml:space="preserve"> de </w:t>
      </w:r>
      <w:r w:rsidRPr="00EB214A">
        <w:rPr>
          <w:i w:val="0"/>
        </w:rPr>
        <w:t xml:space="preserve">18 880 </w:t>
      </w:r>
      <w:r w:rsidR="00F93EF1">
        <w:rPr>
          <w:i w:val="0"/>
        </w:rPr>
        <w:t>FCFA par personne (</w:t>
      </w:r>
      <w:r w:rsidRPr="00EB214A">
        <w:rPr>
          <w:i w:val="0"/>
        </w:rPr>
        <w:t xml:space="preserve">20 % du seuil de pauvreté </w:t>
      </w:r>
      <w:r w:rsidR="00F93EF1">
        <w:rPr>
          <w:i w:val="0"/>
        </w:rPr>
        <w:t xml:space="preserve">de </w:t>
      </w:r>
      <w:r w:rsidRPr="00EB214A">
        <w:rPr>
          <w:i w:val="0"/>
        </w:rPr>
        <w:t>2009)</w:t>
      </w:r>
      <w:r w:rsidR="00F93EF1">
        <w:rPr>
          <w:i w:val="0"/>
        </w:rPr>
        <w:t> ;</w:t>
      </w:r>
      <w:r w:rsidRPr="00EB214A">
        <w:rPr>
          <w:i w:val="0"/>
        </w:rPr>
        <w:t xml:space="preserve"> ii) Salaire basé sur 2/3 du salaire minimum (</w:t>
      </w:r>
      <w:r w:rsidR="00F93EF1">
        <w:rPr>
          <w:i w:val="0"/>
        </w:rPr>
        <w:t xml:space="preserve">environ </w:t>
      </w:r>
      <w:r w:rsidRPr="00EB214A">
        <w:rPr>
          <w:i w:val="0"/>
        </w:rPr>
        <w:t xml:space="preserve">20 000 </w:t>
      </w:r>
      <w:r w:rsidR="00F93EF1">
        <w:rPr>
          <w:i w:val="0"/>
        </w:rPr>
        <w:t xml:space="preserve">FCFA </w:t>
      </w:r>
      <w:r w:rsidRPr="00EB214A">
        <w:rPr>
          <w:i w:val="0"/>
        </w:rPr>
        <w:t>par mois) et 20 jours de travail par mois</w:t>
      </w:r>
      <w:r w:rsidR="00F93EF1">
        <w:rPr>
          <w:i w:val="0"/>
        </w:rPr>
        <w:t>.</w:t>
      </w:r>
    </w:p>
    <w:p w:rsidR="004B3541" w:rsidRDefault="00A66260">
      <w:pPr>
        <w:pStyle w:val="Source"/>
        <w:keepNext w:val="0"/>
        <w:spacing w:before="120" w:after="480"/>
      </w:pPr>
      <w:r w:rsidRPr="00577EB1">
        <w:t>Source</w:t>
      </w:r>
      <w:r w:rsidR="005738FE">
        <w:t>s</w:t>
      </w:r>
      <w:r w:rsidR="00837FC9">
        <w:t> :</w:t>
      </w:r>
      <w:r w:rsidR="0007340F">
        <w:t xml:space="preserve"> </w:t>
      </w:r>
      <w:r w:rsidR="00EB214A" w:rsidRPr="00EB214A">
        <w:rPr>
          <w:i w:val="0"/>
        </w:rPr>
        <w:t xml:space="preserve">Banque mondiale, UNICEF, </w:t>
      </w:r>
      <w:r w:rsidR="0016389C">
        <w:rPr>
          <w:i w:val="0"/>
        </w:rPr>
        <w:t>Auteurs</w:t>
      </w:r>
      <w:r w:rsidRPr="00577EB1">
        <w:t>.</w:t>
      </w:r>
    </w:p>
    <w:p w:rsidR="00A66260" w:rsidRPr="00577EB1" w:rsidRDefault="00A66260" w:rsidP="00E52A30">
      <w:pPr>
        <w:numPr>
          <w:ilvl w:val="0"/>
          <w:numId w:val="2"/>
        </w:numPr>
        <w:ind w:left="0" w:firstLine="0"/>
        <w:rPr>
          <w:lang w:val="fr-FR"/>
        </w:rPr>
      </w:pPr>
      <w:r w:rsidRPr="00577EB1">
        <w:rPr>
          <w:b/>
          <w:lang w:val="fr-FR"/>
        </w:rPr>
        <w:t>La première possibilité, ou « option progressive », est l’extension progressive de certains programmes de filets sociaux efficaces et complémentaires (programmes de nutrition et de travaux publics), ainsi que l’introduction de programmes permanents de transferts monétaires.</w:t>
      </w:r>
      <w:r w:rsidRPr="00577EB1">
        <w:rPr>
          <w:lang w:val="fr-FR"/>
        </w:rPr>
        <w:t xml:space="preserve"> À titre indicatif, une augmentation des dépenses dans les filets sociaux pour cette option consisterait par exemple, à doubler le montant (en pourcentage</w:t>
      </w:r>
      <w:r w:rsidR="0007340F">
        <w:rPr>
          <w:lang w:val="fr-FR"/>
        </w:rPr>
        <w:t xml:space="preserve"> </w:t>
      </w:r>
      <w:r w:rsidRPr="00577EB1">
        <w:rPr>
          <w:lang w:val="fr-FR"/>
        </w:rPr>
        <w:t xml:space="preserve">du PIB) dépensé dans les programmes de filets sociaux à moyen terme, ce qui porterait le total des dépenses à 2 % environ du PIB. L’avantage de cette option est de conserver le contrôle des coûts de financement des filets sociaux tout en garantissant leur gérabilité et en contenant les risques fiduciaires associés aux programmes de grande envergure. Les inconvénients sont que cette option ne permet pas d’éradiquer complètement la pauvreté, même si un programme de filets sociaux bien conçu, atteignant 2 % du PIB, pourrait réduire l’extrême pauvreté de manière significative. Les programmes </w:t>
      </w:r>
      <w:r w:rsidRPr="00577EB1">
        <w:rPr>
          <w:lang w:val="fr-FR"/>
        </w:rPr>
        <w:lastRenderedPageBreak/>
        <w:t xml:space="preserve">à petite échelle devraient également être protégés d’une approche par coups de frein et d’accélérateur (pour atténuer les risques d’une telle approche, on pourrait choisir de renforcer et étendre les programmes existants). Le Tableau 14 montre quelques exemples hypothétiques de programmes qui pourraient être financés dans le cadre de cette option pour donner une idée du nombre de personnes pouvant être couvertes par chaque type de programme. Les coûts pourraient être réduits en sélectionnant les programmes les plus rentables ou en modifiant le montant des ressources entre les programmes et le nombre des bénéficiaires à couvrir. Il convient de rappeler que les montants estimés représentent les avantages nets et qu’ils ne prennent pas en compte l’ensemble des coûts liés à la gestion des programmes. Une marge doit donc y être ajoutée pour les coûts de fonctionnement. </w:t>
      </w:r>
    </w:p>
    <w:p w:rsidR="00A66260" w:rsidRPr="00577EB1" w:rsidRDefault="00A66260" w:rsidP="00E52A30">
      <w:pPr>
        <w:numPr>
          <w:ilvl w:val="0"/>
          <w:numId w:val="2"/>
        </w:numPr>
        <w:ind w:left="0" w:firstLine="0"/>
        <w:rPr>
          <w:lang w:val="fr-FR"/>
        </w:rPr>
      </w:pPr>
      <w:r w:rsidRPr="00577EB1">
        <w:rPr>
          <w:b/>
          <w:lang w:val="fr-FR"/>
        </w:rPr>
        <w:t>La deuxième option est une approche plus agressive de réduction de la pauvreté par des programmes à l’échelle nationale.</w:t>
      </w:r>
      <w:r w:rsidRPr="00577EB1">
        <w:rPr>
          <w:lang w:val="fr-FR"/>
        </w:rPr>
        <w:t xml:space="preserve"> L’avantage évident de cette option est de s’attaquer à la pauvreté de manière significative. Les défis sont nombreux et importants, y compris les questions financière et fiduciaire. Dans l’ensemble, cette option pourrait ne pas être réaliste pour le moment, étant donné qu’elle nécessite un meilleur ciblage des filets sociaux afin qu’ils touchent au moins une partie des personnes les plus pauvres, et qu’elle implique une importante mobilisation de ressources tout en courant le risque de compromettre d’autres secteurs importants tels que la santé et l’éducation. </w:t>
      </w:r>
    </w:p>
    <w:p w:rsidR="00A66260" w:rsidRPr="00577EB1" w:rsidRDefault="00A66260" w:rsidP="00E52A30">
      <w:pPr>
        <w:numPr>
          <w:ilvl w:val="0"/>
          <w:numId w:val="2"/>
        </w:numPr>
        <w:ind w:left="0" w:firstLine="0"/>
        <w:rPr>
          <w:lang w:val="fr-FR"/>
        </w:rPr>
      </w:pPr>
      <w:r w:rsidRPr="00577EB1">
        <w:rPr>
          <w:b/>
          <w:lang w:val="fr-FR"/>
        </w:rPr>
        <w:t>Les options de financement d’une augmentation des filets sociaux posent le problème des recettes publiques</w:t>
      </w:r>
      <w:r w:rsidRPr="00577EB1">
        <w:rPr>
          <w:lang w:val="fr-FR"/>
        </w:rPr>
        <w:t>. La Banque mondiale a examiné les différentes options d’augmentation des recettes publiques (Revue des dépenses publiques ou PER) dans le cadre des compromis à faire pour accroître les ressources et atteindre les OMD (avec un accent particulier sur la santé, l’éducation et l’agriculture). Le récent PER s’inspire du modèle MAMS</w:t>
      </w:r>
      <w:r w:rsidR="00EB214A" w:rsidRPr="00EB214A">
        <w:rPr>
          <w:vertAlign w:val="superscript"/>
          <w:lang w:val="fr-FR"/>
        </w:rPr>
        <w:footnoteReference w:id="23"/>
      </w:r>
      <w:r w:rsidRPr="00577EB1">
        <w:rPr>
          <w:lang w:val="fr-FR"/>
        </w:rPr>
        <w:t xml:space="preserve"> pour examiner les alternatives présentées dans l’Encadré 5, étant donné que cette question est également pertinente pour le problème du financement supplémentaire des filets sociaux. </w:t>
      </w:r>
    </w:p>
    <w:p w:rsidR="00A66260" w:rsidRPr="00577EB1" w:rsidRDefault="00A66260" w:rsidP="00E52A30">
      <w:pPr>
        <w:numPr>
          <w:ilvl w:val="0"/>
          <w:numId w:val="2"/>
        </w:numPr>
        <w:ind w:left="0" w:firstLine="0"/>
        <w:rPr>
          <w:lang w:val="fr-FR"/>
        </w:rPr>
      </w:pPr>
      <w:r w:rsidRPr="00577EB1">
        <w:rPr>
          <w:b/>
          <w:lang w:val="fr-FR"/>
        </w:rPr>
        <w:t>Quatre options de base sont généralement envisagées pour l’accroissement des recettes publiques</w:t>
      </w:r>
      <w:r w:rsidR="00523604">
        <w:rPr>
          <w:b/>
          <w:lang w:val="fr-FR"/>
        </w:rPr>
        <w:t> :</w:t>
      </w:r>
      <w:r w:rsidR="0007340F">
        <w:rPr>
          <w:b/>
          <w:lang w:val="fr-FR"/>
        </w:rPr>
        <w:t xml:space="preserve"> </w:t>
      </w:r>
      <w:r w:rsidRPr="00577EB1">
        <w:rPr>
          <w:b/>
          <w:lang w:val="fr-FR"/>
        </w:rPr>
        <w:t>i) la réa</w:t>
      </w:r>
      <w:r w:rsidR="009F1E27">
        <w:rPr>
          <w:b/>
          <w:lang w:val="fr-FR"/>
        </w:rPr>
        <w:t>llocation</w:t>
      </w:r>
      <w:r w:rsidRPr="00577EB1">
        <w:rPr>
          <w:b/>
          <w:lang w:val="fr-FR"/>
        </w:rPr>
        <w:t xml:space="preserve"> des dépenses dans le cadre des contraintes financières existantes</w:t>
      </w:r>
      <w:r w:rsidR="00523604">
        <w:rPr>
          <w:b/>
          <w:lang w:val="fr-FR"/>
        </w:rPr>
        <w:t> ;</w:t>
      </w:r>
      <w:r w:rsidR="0007340F">
        <w:rPr>
          <w:b/>
          <w:lang w:val="fr-FR"/>
        </w:rPr>
        <w:t xml:space="preserve"> </w:t>
      </w:r>
      <w:r w:rsidRPr="00577EB1">
        <w:rPr>
          <w:b/>
          <w:lang w:val="fr-FR"/>
        </w:rPr>
        <w:t>ii) une augmentation du financement des bailleurs de fonds sur les recettes nationales à des conditions concessionnelles</w:t>
      </w:r>
      <w:r w:rsidR="00523604">
        <w:rPr>
          <w:b/>
          <w:lang w:val="fr-FR"/>
        </w:rPr>
        <w:t> ;</w:t>
      </w:r>
      <w:r w:rsidR="0007340F">
        <w:rPr>
          <w:b/>
          <w:lang w:val="fr-FR"/>
        </w:rPr>
        <w:t xml:space="preserve"> </w:t>
      </w:r>
      <w:r w:rsidRPr="00577EB1">
        <w:rPr>
          <w:b/>
          <w:lang w:val="fr-FR"/>
        </w:rPr>
        <w:t>iii) l’emprunt</w:t>
      </w:r>
      <w:r w:rsidR="00523604">
        <w:rPr>
          <w:b/>
          <w:lang w:val="fr-FR"/>
        </w:rPr>
        <w:t> ;</w:t>
      </w:r>
      <w:r w:rsidR="0007340F">
        <w:rPr>
          <w:b/>
          <w:lang w:val="fr-FR"/>
        </w:rPr>
        <w:t xml:space="preserve"> </w:t>
      </w:r>
      <w:r w:rsidRPr="00577EB1">
        <w:rPr>
          <w:b/>
          <w:lang w:val="fr-FR"/>
        </w:rPr>
        <w:t>et iv) l’augmentation des recettes intérieures (par l’imposition ou une meilleure perception des recettes).</w:t>
      </w:r>
      <w:r w:rsidRPr="00577EB1">
        <w:rPr>
          <w:lang w:val="fr-FR"/>
        </w:rPr>
        <w:t xml:space="preserve"> Les avantages et inconvénients de chacune de ces options sont résumés dans le tableau ci-dessous et brièvement discutés dans le contexte du Burkina Faso. </w:t>
      </w:r>
    </w:p>
    <w:p w:rsidR="00A66260" w:rsidRPr="00577EB1" w:rsidRDefault="005738FE" w:rsidP="00A66260">
      <w:pPr>
        <w:pStyle w:val="Heading9"/>
      </w:pPr>
      <w:bookmarkStart w:id="126" w:name="_Ref135737438"/>
      <w:bookmarkStart w:id="127" w:name="_Toc262170077"/>
      <w:bookmarkStart w:id="128" w:name="_Toc269723978"/>
      <w:bookmarkStart w:id="129" w:name="_Toc269724018"/>
      <w:bookmarkStart w:id="130" w:name="_Toc269724124"/>
      <w:bookmarkStart w:id="131" w:name="_Toc284613565"/>
      <w:r w:rsidRPr="005738FE">
        <w:lastRenderedPageBreak/>
        <w:t xml:space="preserve">Encadré </w:t>
      </w:r>
      <w:r w:rsidR="00725419">
        <w:fldChar w:fldCharType="begin"/>
      </w:r>
      <w:r w:rsidRPr="005738FE">
        <w:instrText xml:space="preserve"> SEQ Encadré \* ARABIC </w:instrText>
      </w:r>
      <w:r w:rsidR="00725419">
        <w:fldChar w:fldCharType="separate"/>
      </w:r>
      <w:r w:rsidR="00EF56B2">
        <w:rPr>
          <w:noProof/>
        </w:rPr>
        <w:t>5</w:t>
      </w:r>
      <w:r w:rsidR="00725419">
        <w:fldChar w:fldCharType="end"/>
      </w:r>
      <w:bookmarkEnd w:id="126"/>
      <w:r w:rsidR="00837FC9">
        <w:t> :</w:t>
      </w:r>
      <w:r w:rsidR="0007340F">
        <w:t xml:space="preserve"> </w:t>
      </w:r>
      <w:r w:rsidR="00A66260" w:rsidRPr="00577EB1">
        <w:t>Leçons tirées de l’analyse de l’assiette fiscale du Burkina Faso, à l’aide du modèle MAMS</w:t>
      </w:r>
      <w:bookmarkEnd w:id="127"/>
      <w:bookmarkEnd w:id="128"/>
      <w:bookmarkEnd w:id="129"/>
      <w:bookmarkEnd w:id="130"/>
      <w:bookmarkEnd w:id="13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5"/>
      </w:tblGrid>
      <w:tr w:rsidR="00A66260" w:rsidRPr="000A70E6" w:rsidTr="008C3350">
        <w:tc>
          <w:tcPr>
            <w:tcW w:w="5000" w:type="pct"/>
          </w:tcPr>
          <w:p w:rsidR="00A66260" w:rsidRPr="00577EB1" w:rsidRDefault="00A66260" w:rsidP="002E752D">
            <w:pPr>
              <w:pStyle w:val="Bulletlist"/>
              <w:keepNext/>
              <w:keepLines/>
              <w:tabs>
                <w:tab w:val="clear" w:pos="648"/>
              </w:tabs>
              <w:spacing w:before="120" w:after="120"/>
              <w:ind w:left="0" w:firstLine="0"/>
              <w:jc w:val="both"/>
              <w:rPr>
                <w:sz w:val="21"/>
                <w:szCs w:val="21"/>
                <w:lang w:val="fr-FR"/>
              </w:rPr>
            </w:pPr>
            <w:r w:rsidRPr="00577EB1">
              <w:rPr>
                <w:b/>
                <w:i/>
                <w:sz w:val="21"/>
                <w:szCs w:val="21"/>
                <w:lang w:val="fr-FR"/>
              </w:rPr>
              <w:t xml:space="preserve">En ce qui concerne les options d’augmentation des recettes publiques en vue d’atteindre les OMD, aucun des scénarios ne domine les autres, d’où la nécessité d’envisager des compromis. </w:t>
            </w:r>
            <w:r w:rsidRPr="00577EB1">
              <w:rPr>
                <w:sz w:val="21"/>
                <w:szCs w:val="21"/>
                <w:lang w:val="fr-FR"/>
              </w:rPr>
              <w:t>Par exemple, ce qui pourrait le plus réduire la pauvreté d’ici 2015, c’est une augmentation, financée par l’aide, des dépenses dans les infrastructures. Cependant, concentrer les ressources de l’aide sur les dépenses dans le développement humain devrait produire de meilleurs résultats sur les indicateurs des OMD liés à l’éducation et à la santé. Il y a donc un compromis à faire entre les OMD, de même qu’entre les sources d’augmentation des recettes publiques.</w:t>
            </w:r>
          </w:p>
          <w:p w:rsidR="00A66260" w:rsidRPr="00577EB1" w:rsidRDefault="00A66260" w:rsidP="002E752D">
            <w:pPr>
              <w:pStyle w:val="Bulletlist"/>
              <w:keepNext/>
              <w:keepLines/>
              <w:tabs>
                <w:tab w:val="clear" w:pos="648"/>
              </w:tabs>
              <w:spacing w:before="120" w:after="120"/>
              <w:ind w:left="0" w:firstLine="0"/>
              <w:jc w:val="both"/>
              <w:rPr>
                <w:sz w:val="21"/>
                <w:szCs w:val="21"/>
                <w:lang w:val="fr-FR"/>
              </w:rPr>
            </w:pPr>
            <w:r w:rsidRPr="00577EB1">
              <w:rPr>
                <w:sz w:val="21"/>
                <w:szCs w:val="21"/>
                <w:lang w:val="fr-FR"/>
              </w:rPr>
              <w:t>Par exemple, la mobilisation d’une aide supplémentaire permet d’augmenter l’absorption intérieure et d’éviter la résistance politique que peut faire naître l’identification de sources nationales de recettes publiques (exemple</w:t>
            </w:r>
            <w:r w:rsidR="0007340F">
              <w:rPr>
                <w:sz w:val="21"/>
                <w:szCs w:val="21"/>
                <w:lang w:val="fr-FR"/>
              </w:rPr>
              <w:t xml:space="preserve"> </w:t>
            </w:r>
            <w:r w:rsidRPr="00577EB1">
              <w:rPr>
                <w:sz w:val="21"/>
                <w:szCs w:val="21"/>
                <w:lang w:val="fr-FR"/>
              </w:rPr>
              <w:t>le lobbying des contribuables contre la hausse des impôts ou des changements dans la structure fiscale), mais elle est potentiellement moins fiable (et permanente) que les sources nationales de recettes, et accroît la dépendance de l’État vis-à-vis de l’aide des bailleurs de fonds. En fin de compte, ces compromis doivent se faire au niveau national, en tenant compte des préférences spécifiques de chaque pays. L’analyse des recettes publiques fondée sur un modèle peut donc aider à identifier et quantifier les éventuels compromis.</w:t>
            </w:r>
          </w:p>
          <w:p w:rsidR="00A66260" w:rsidRPr="00577EB1" w:rsidRDefault="00A66260" w:rsidP="002E752D">
            <w:pPr>
              <w:pStyle w:val="Bulletlist"/>
              <w:keepNext/>
              <w:keepLines/>
              <w:tabs>
                <w:tab w:val="clear" w:pos="648"/>
              </w:tabs>
              <w:spacing w:before="120" w:after="120"/>
              <w:ind w:left="0" w:firstLine="0"/>
              <w:jc w:val="both"/>
              <w:rPr>
                <w:sz w:val="21"/>
                <w:szCs w:val="21"/>
                <w:lang w:val="fr-FR"/>
              </w:rPr>
            </w:pPr>
            <w:r w:rsidRPr="00577EB1">
              <w:rPr>
                <w:b/>
                <w:i/>
                <w:sz w:val="21"/>
                <w:szCs w:val="21"/>
                <w:lang w:val="fr-FR"/>
              </w:rPr>
              <w:t>Accroître en valeur réelle les services d’éducation et de santé prend du temps.</w:t>
            </w:r>
            <w:r w:rsidRPr="00577EB1">
              <w:rPr>
                <w:sz w:val="21"/>
                <w:szCs w:val="21"/>
                <w:lang w:val="fr-FR"/>
              </w:rPr>
              <w:t xml:space="preserve"> Le Burkina Faso a, ces dernières années, déjà réalisé d’énormes progrès dans ces domaines, et l’on prévoit d’importantes avancées au niveau des OMD liées à la santé et à l’éducation dans les prochaines années. Mais l’expansion significative de ces services par rapport aux niveaux de référence peut poser des défis, car elle requiert des capacités dont le renforcement prend du temps. L’augmentation des dépenses dans ces domaines exige donc une préparation minutieuse afin d’aligner le rythme de l’augmentation des dépenses sur la capacité des programmes d’éducation et de formation à produire des travailleurs bien formés. Il peut également s’avérer nécessaire de suivre les tensions salariales pour éviter que de fortes augmentations de la masse salariale n’entravent les autres dépenses. </w:t>
            </w:r>
          </w:p>
          <w:p w:rsidR="00A66260" w:rsidRPr="00577EB1" w:rsidRDefault="00A66260" w:rsidP="00837FC9">
            <w:pPr>
              <w:pStyle w:val="Bulletlist"/>
              <w:keepNext/>
              <w:keepLines/>
              <w:tabs>
                <w:tab w:val="clear" w:pos="648"/>
                <w:tab w:val="clear" w:pos="709"/>
              </w:tabs>
              <w:spacing w:before="120" w:after="120"/>
              <w:ind w:left="34" w:hanging="34"/>
              <w:rPr>
                <w:sz w:val="21"/>
                <w:szCs w:val="21"/>
                <w:lang w:val="fr-FR"/>
              </w:rPr>
            </w:pPr>
            <w:r w:rsidRPr="00577EB1">
              <w:rPr>
                <w:b/>
                <w:i/>
                <w:sz w:val="21"/>
                <w:szCs w:val="21"/>
                <w:lang w:val="fr-FR"/>
              </w:rPr>
              <w:t>Les dépenses d’infrastructure favorisent non seulement la croissance, mais également la réalisation d’autres OMD.</w:t>
            </w:r>
            <w:r w:rsidRPr="00577EB1">
              <w:rPr>
                <w:sz w:val="21"/>
                <w:szCs w:val="21"/>
                <w:lang w:val="fr-FR"/>
              </w:rPr>
              <w:t xml:space="preserve"> Dans le MAMS, l’infrastructure a un impact positif direct sur les OMD liés à l’éducation et à la santé parce qu’elle facilite la prestation de ces services. Elle a aussi un impact indirect à travers une croissance plus forte, des revenus par habitant plus élevés augmentant la demande de ces services. Dans les simulations, les dépenses infrastructurelles permettent d’améliorer sensiblement les indicateurs des OMD liés à l’éducation et la santé à travers ces deux canaux. Cependant, il faut quelques années, pour que cela se produise effectivement.</w:t>
            </w:r>
          </w:p>
        </w:tc>
      </w:tr>
    </w:tbl>
    <w:p w:rsidR="004B3541" w:rsidRDefault="00A66260">
      <w:pPr>
        <w:spacing w:before="120" w:after="480"/>
        <w:rPr>
          <w:i/>
          <w:lang w:val="fr-FR"/>
        </w:rPr>
      </w:pPr>
      <w:r w:rsidRPr="00577EB1">
        <w:rPr>
          <w:rFonts w:ascii="TimesNewRomanPSMT" w:hAnsi="TimesNewRomanPSMT" w:cs="TimesNewRomanPSMT"/>
          <w:i/>
          <w:sz w:val="20"/>
          <w:szCs w:val="24"/>
          <w:lang w:val="fr-FR" w:eastAsia="fr-FR"/>
        </w:rPr>
        <w:t>Source</w:t>
      </w:r>
      <w:r w:rsidR="005738FE">
        <w:rPr>
          <w:rFonts w:ascii="TimesNewRomanPSMT" w:hAnsi="TimesNewRomanPSMT" w:cs="TimesNewRomanPSMT"/>
          <w:i/>
          <w:sz w:val="20"/>
          <w:szCs w:val="24"/>
          <w:lang w:val="fr-FR" w:eastAsia="fr-FR"/>
        </w:rPr>
        <w:t> :</w:t>
      </w:r>
      <w:r w:rsidR="0007340F">
        <w:rPr>
          <w:rFonts w:ascii="TimesNewRomanPSMT" w:hAnsi="TimesNewRomanPSMT" w:cs="TimesNewRomanPSMT"/>
          <w:i/>
          <w:sz w:val="20"/>
          <w:szCs w:val="24"/>
          <w:lang w:val="fr-FR" w:eastAsia="fr-FR"/>
        </w:rPr>
        <w:t xml:space="preserve"> </w:t>
      </w:r>
      <w:r w:rsidRPr="00577EB1">
        <w:rPr>
          <w:sz w:val="20"/>
          <w:szCs w:val="20"/>
          <w:lang w:val="fr-FR"/>
        </w:rPr>
        <w:t>Gottschalk</w:t>
      </w:r>
      <w:r w:rsidRPr="00577EB1">
        <w:rPr>
          <w:sz w:val="20"/>
          <w:szCs w:val="20"/>
          <w:lang w:val="fr-FR" w:eastAsia="fr-FR"/>
        </w:rPr>
        <w:t xml:space="preserve"> et coll., 2009.</w:t>
      </w:r>
    </w:p>
    <w:p w:rsidR="00A66260" w:rsidRPr="00577EB1" w:rsidRDefault="00A66260" w:rsidP="00A66260">
      <w:pPr>
        <w:pStyle w:val="Heading7"/>
        <w:rPr>
          <w:lang w:val="fr-FR"/>
        </w:rPr>
      </w:pPr>
      <w:bookmarkStart w:id="132" w:name="_Toc284528590"/>
      <w:bookmarkStart w:id="133" w:name="_Toc284530526"/>
      <w:bookmarkStart w:id="134" w:name="_Toc129060250"/>
      <w:bookmarkStart w:id="135" w:name="_Toc262170046"/>
      <w:r w:rsidRPr="00577EB1">
        <w:rPr>
          <w:lang w:val="fr-FR"/>
        </w:rPr>
        <w:lastRenderedPageBreak/>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15</w:t>
      </w:r>
      <w:r w:rsidR="00725419" w:rsidRPr="00577EB1">
        <w:rPr>
          <w:lang w:val="fr-FR"/>
        </w:rPr>
        <w:fldChar w:fldCharType="end"/>
      </w:r>
      <w:r w:rsidR="00837FC9">
        <w:rPr>
          <w:lang w:val="fr-FR"/>
        </w:rPr>
        <w:t> </w:t>
      </w:r>
      <w:r w:rsidRPr="00577EB1">
        <w:rPr>
          <w:lang w:val="fr-FR"/>
        </w:rPr>
        <w:t>: Options pour l’augmentation des budgets des filets sociaux: Avantages et inconvénients</w:t>
      </w:r>
      <w:bookmarkEnd w:id="132"/>
      <w:bookmarkEnd w:id="133"/>
      <w:r w:rsidRPr="00577EB1">
        <w:rPr>
          <w:lang w:val="fr-FR"/>
        </w:rPr>
        <w:t xml:space="preserve"> </w:t>
      </w:r>
      <w:bookmarkEnd w:id="134"/>
      <w:bookmarkEnd w:id="135"/>
    </w:p>
    <w:tbl>
      <w:tblPr>
        <w:tblW w:w="8789" w:type="dxa"/>
        <w:tblInd w:w="108" w:type="dxa"/>
        <w:tblLook w:val="0000"/>
      </w:tblPr>
      <w:tblGrid>
        <w:gridCol w:w="1800"/>
        <w:gridCol w:w="3060"/>
        <w:gridCol w:w="3929"/>
      </w:tblGrid>
      <w:tr w:rsidR="00A66260" w:rsidRPr="00577EB1" w:rsidTr="002E752D">
        <w:trPr>
          <w:trHeight w:val="200"/>
        </w:trPr>
        <w:tc>
          <w:tcPr>
            <w:tcW w:w="1800" w:type="dxa"/>
            <w:tcBorders>
              <w:top w:val="single" w:sz="4" w:space="0" w:color="auto"/>
              <w:bottom w:val="single" w:sz="4" w:space="0" w:color="auto"/>
            </w:tcBorders>
            <w:vAlign w:val="center"/>
          </w:tcPr>
          <w:p w:rsidR="00A66260" w:rsidRPr="00577EB1" w:rsidRDefault="00A66260" w:rsidP="002E752D">
            <w:pPr>
              <w:keepNext/>
              <w:keepLines/>
              <w:spacing w:after="0"/>
              <w:jc w:val="center"/>
              <w:rPr>
                <w:iCs/>
                <w:sz w:val="20"/>
                <w:szCs w:val="18"/>
                <w:lang w:val="fr-FR" w:eastAsia="ja-JP"/>
              </w:rPr>
            </w:pPr>
            <w:r w:rsidRPr="00577EB1">
              <w:rPr>
                <w:iCs/>
                <w:sz w:val="20"/>
                <w:szCs w:val="18"/>
                <w:lang w:val="fr-FR" w:eastAsia="ja-JP"/>
              </w:rPr>
              <w:t>Méthodes de financement</w:t>
            </w:r>
          </w:p>
        </w:tc>
        <w:tc>
          <w:tcPr>
            <w:tcW w:w="3060" w:type="dxa"/>
            <w:tcBorders>
              <w:top w:val="single" w:sz="4" w:space="0" w:color="auto"/>
              <w:bottom w:val="single" w:sz="4" w:space="0" w:color="auto"/>
            </w:tcBorders>
            <w:vAlign w:val="center"/>
          </w:tcPr>
          <w:p w:rsidR="00A66260" w:rsidRPr="00577EB1" w:rsidRDefault="00A66260" w:rsidP="002E752D">
            <w:pPr>
              <w:keepNext/>
              <w:keepLines/>
              <w:spacing w:after="0"/>
              <w:jc w:val="center"/>
              <w:rPr>
                <w:iCs/>
                <w:sz w:val="20"/>
                <w:szCs w:val="18"/>
                <w:lang w:val="fr-FR" w:eastAsia="ja-JP"/>
              </w:rPr>
            </w:pPr>
            <w:r w:rsidRPr="00577EB1">
              <w:rPr>
                <w:iCs/>
                <w:sz w:val="20"/>
                <w:szCs w:val="18"/>
                <w:lang w:val="fr-FR" w:eastAsia="ja-JP"/>
              </w:rPr>
              <w:t>Avantages</w:t>
            </w:r>
          </w:p>
        </w:tc>
        <w:tc>
          <w:tcPr>
            <w:tcW w:w="3929" w:type="dxa"/>
            <w:tcBorders>
              <w:top w:val="single" w:sz="4" w:space="0" w:color="auto"/>
              <w:bottom w:val="single" w:sz="4" w:space="0" w:color="auto"/>
            </w:tcBorders>
            <w:vAlign w:val="center"/>
          </w:tcPr>
          <w:p w:rsidR="00A66260" w:rsidRPr="00577EB1" w:rsidRDefault="00A66260" w:rsidP="002E752D">
            <w:pPr>
              <w:keepNext/>
              <w:keepLines/>
              <w:spacing w:after="0"/>
              <w:jc w:val="center"/>
              <w:rPr>
                <w:iCs/>
                <w:sz w:val="20"/>
                <w:szCs w:val="18"/>
                <w:lang w:val="fr-FR" w:eastAsia="ja-JP"/>
              </w:rPr>
            </w:pPr>
            <w:r w:rsidRPr="00577EB1">
              <w:rPr>
                <w:iCs/>
                <w:sz w:val="20"/>
                <w:szCs w:val="18"/>
                <w:lang w:val="fr-FR" w:eastAsia="ja-JP"/>
              </w:rPr>
              <w:t>Défis</w:t>
            </w:r>
          </w:p>
        </w:tc>
      </w:tr>
      <w:tr w:rsidR="00A66260" w:rsidRPr="000A70E6" w:rsidTr="002E752D">
        <w:trPr>
          <w:trHeight w:val="408"/>
        </w:trPr>
        <w:tc>
          <w:tcPr>
            <w:tcW w:w="1800" w:type="dxa"/>
            <w:tcBorders>
              <w:top w:val="single" w:sz="4" w:space="0" w:color="auto"/>
              <w:bottom w:val="dashed" w:sz="4" w:space="0" w:color="auto"/>
            </w:tcBorders>
          </w:tcPr>
          <w:p w:rsidR="00792566" w:rsidRDefault="00A66260">
            <w:pPr>
              <w:keepNext/>
              <w:keepLines/>
              <w:spacing w:before="40" w:after="0"/>
              <w:jc w:val="left"/>
              <w:rPr>
                <w:iCs/>
                <w:sz w:val="20"/>
                <w:szCs w:val="18"/>
                <w:lang w:val="fr-FR" w:eastAsia="ja-JP"/>
              </w:rPr>
            </w:pPr>
            <w:r w:rsidRPr="00577EB1">
              <w:rPr>
                <w:iCs/>
                <w:sz w:val="20"/>
                <w:szCs w:val="18"/>
                <w:lang w:val="fr-FR" w:eastAsia="ja-JP"/>
              </w:rPr>
              <w:t>Réa</w:t>
            </w:r>
            <w:r w:rsidR="009F1E27">
              <w:rPr>
                <w:iCs/>
                <w:sz w:val="20"/>
                <w:szCs w:val="18"/>
                <w:lang w:val="fr-FR" w:eastAsia="ja-JP"/>
              </w:rPr>
              <w:t>llocation</w:t>
            </w:r>
            <w:r w:rsidRPr="00577EB1">
              <w:rPr>
                <w:iCs/>
                <w:sz w:val="20"/>
                <w:szCs w:val="18"/>
                <w:lang w:val="fr-FR" w:eastAsia="ja-JP"/>
              </w:rPr>
              <w:t xml:space="preserve"> des dépenses</w:t>
            </w:r>
          </w:p>
        </w:tc>
        <w:tc>
          <w:tcPr>
            <w:tcW w:w="3060" w:type="dxa"/>
            <w:tcBorders>
              <w:top w:val="single" w:sz="4" w:space="0" w:color="auto"/>
              <w:bottom w:val="dashed" w:sz="4" w:space="0" w:color="auto"/>
            </w:tcBorders>
          </w:tcPr>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Financement des programmes dans les limites budgétaires </w:t>
            </w:r>
          </w:p>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Augmentation de la productivité globale des dépenses publiques </w:t>
            </w:r>
          </w:p>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Gains d’efficacité par la réduction des dépenses improductives </w:t>
            </w:r>
          </w:p>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Faisabilité à court terme à petite échelle surtout si les « fruits les plus faciles à cueillir » peuvent être identifiés pour ces réductions </w:t>
            </w:r>
          </w:p>
        </w:tc>
        <w:tc>
          <w:tcPr>
            <w:tcW w:w="3929" w:type="dxa"/>
            <w:tcBorders>
              <w:top w:val="single" w:sz="4" w:space="0" w:color="auto"/>
              <w:bottom w:val="dashed" w:sz="4" w:space="0" w:color="auto"/>
            </w:tcBorders>
          </w:tcPr>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Pas de fonds supplémentaires par rapport au budget</w:t>
            </w:r>
          </w:p>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Selon les montants à dégager, Ces options peuvent nécessiter un d’engagement important des pouvoirs publics pour la mise en œuvre des compromis </w:t>
            </w:r>
          </w:p>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Peut être difficile à mettre en œuvre si des </w:t>
            </w:r>
            <w:r w:rsidR="009F1E27">
              <w:rPr>
                <w:iCs/>
                <w:sz w:val="20"/>
                <w:szCs w:val="18"/>
                <w:lang w:val="fr-FR" w:eastAsia="ja-JP"/>
              </w:rPr>
              <w:t>réallocation</w:t>
            </w:r>
            <w:r w:rsidRPr="00577EB1">
              <w:rPr>
                <w:iCs/>
                <w:sz w:val="20"/>
                <w:szCs w:val="18"/>
                <w:lang w:val="fr-FR" w:eastAsia="ja-JP"/>
              </w:rPr>
              <w:t>s à grande échelle s’imposent</w:t>
            </w:r>
            <w:r w:rsidR="0007340F">
              <w:rPr>
                <w:iCs/>
                <w:sz w:val="20"/>
                <w:szCs w:val="18"/>
                <w:lang w:val="fr-FR" w:eastAsia="ja-JP"/>
              </w:rPr>
              <w:t xml:space="preserve"> </w:t>
            </w:r>
            <w:r w:rsidRPr="00577EB1">
              <w:rPr>
                <w:iCs/>
                <w:sz w:val="20"/>
                <w:szCs w:val="18"/>
                <w:lang w:val="fr-FR" w:eastAsia="ja-JP"/>
              </w:rPr>
              <w:t>cette option exigerait une analyse détaillée des programmes de dépenses publiques et des engagements à moyen terme de l’État.</w:t>
            </w:r>
          </w:p>
        </w:tc>
      </w:tr>
      <w:tr w:rsidR="00A66260" w:rsidRPr="000A70E6" w:rsidTr="002E752D">
        <w:trPr>
          <w:trHeight w:val="888"/>
        </w:trPr>
        <w:tc>
          <w:tcPr>
            <w:tcW w:w="1800" w:type="dxa"/>
            <w:tcBorders>
              <w:top w:val="dashed" w:sz="4" w:space="0" w:color="auto"/>
              <w:bottom w:val="dashed" w:sz="4" w:space="0" w:color="auto"/>
            </w:tcBorders>
          </w:tcPr>
          <w:p w:rsidR="00A66260" w:rsidRPr="00577EB1" w:rsidRDefault="00A66260" w:rsidP="002E752D">
            <w:pPr>
              <w:keepNext/>
              <w:keepLines/>
              <w:spacing w:before="40" w:after="0"/>
              <w:jc w:val="left"/>
              <w:rPr>
                <w:iCs/>
                <w:sz w:val="20"/>
                <w:szCs w:val="18"/>
                <w:lang w:val="fr-FR" w:eastAsia="ja-JP"/>
              </w:rPr>
            </w:pPr>
            <w:r w:rsidRPr="00577EB1">
              <w:rPr>
                <w:iCs/>
                <w:sz w:val="20"/>
                <w:szCs w:val="18"/>
                <w:lang w:val="fr-FR" w:eastAsia="ja-JP"/>
              </w:rPr>
              <w:t xml:space="preserve">Financement par les bailleurs de fonds </w:t>
            </w:r>
          </w:p>
        </w:tc>
        <w:tc>
          <w:tcPr>
            <w:tcW w:w="3060" w:type="dxa"/>
            <w:tcBorders>
              <w:top w:val="dashed" w:sz="4" w:space="0" w:color="auto"/>
              <w:bottom w:val="dashed" w:sz="4" w:space="0" w:color="auto"/>
            </w:tcBorders>
          </w:tcPr>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Financements concessionnels ou dons </w:t>
            </w:r>
          </w:p>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Augmentation de l’enveloppe globale </w:t>
            </w:r>
          </w:p>
          <w:p w:rsidR="00A66260" w:rsidRPr="00577EB1" w:rsidRDefault="00A66260" w:rsidP="002E752D">
            <w:pPr>
              <w:keepNext/>
              <w:keepLines/>
              <w:tabs>
                <w:tab w:val="clear" w:pos="709"/>
                <w:tab w:val="left" w:pos="360"/>
              </w:tabs>
              <w:spacing w:before="40" w:after="0"/>
              <w:ind w:left="360" w:hanging="283"/>
              <w:jc w:val="left"/>
              <w:rPr>
                <w:iCs/>
                <w:sz w:val="20"/>
                <w:szCs w:val="18"/>
                <w:lang w:val="fr-FR" w:eastAsia="ja-JP"/>
              </w:rPr>
            </w:pPr>
          </w:p>
          <w:p w:rsidR="00A66260" w:rsidRPr="00577EB1" w:rsidRDefault="00A66260" w:rsidP="002E752D">
            <w:pPr>
              <w:keepNext/>
              <w:keepLines/>
              <w:tabs>
                <w:tab w:val="clear" w:pos="709"/>
                <w:tab w:val="left" w:pos="360"/>
              </w:tabs>
              <w:spacing w:before="40" w:after="0"/>
              <w:ind w:left="360" w:hanging="283"/>
              <w:jc w:val="left"/>
              <w:rPr>
                <w:iCs/>
                <w:sz w:val="20"/>
                <w:szCs w:val="18"/>
                <w:lang w:val="fr-FR" w:eastAsia="ja-JP"/>
              </w:rPr>
            </w:pPr>
          </w:p>
        </w:tc>
        <w:tc>
          <w:tcPr>
            <w:tcW w:w="3929" w:type="dxa"/>
            <w:tcBorders>
              <w:top w:val="dashed" w:sz="4" w:space="0" w:color="auto"/>
              <w:bottom w:val="dashed" w:sz="4" w:space="0" w:color="auto"/>
            </w:tcBorders>
          </w:tcPr>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Un </w:t>
            </w:r>
            <w:r w:rsidR="00A23A26">
              <w:rPr>
                <w:iCs/>
                <w:sz w:val="20"/>
                <w:szCs w:val="18"/>
                <w:lang w:val="fr-FR" w:eastAsia="ja-JP"/>
              </w:rPr>
              <w:t>soutien</w:t>
            </w:r>
            <w:r w:rsidRPr="00577EB1">
              <w:rPr>
                <w:iCs/>
                <w:sz w:val="20"/>
                <w:szCs w:val="18"/>
                <w:lang w:val="fr-FR" w:eastAsia="ja-JP"/>
              </w:rPr>
              <w:t xml:space="preserve"> budgétaire est nécessaire pour plus de souplesse dans l’utilisation des fonds </w:t>
            </w:r>
          </w:p>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Caractère cyclique du financement, et tendance à la baisse à moyen terme</w:t>
            </w:r>
          </w:p>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Problèmes de coordination des bailleurs de fonds</w:t>
            </w:r>
          </w:p>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Besoin d’une augmentation significative </w:t>
            </w:r>
            <w:r w:rsidR="00A23A26">
              <w:rPr>
                <w:iCs/>
                <w:sz w:val="20"/>
                <w:szCs w:val="18"/>
                <w:lang w:val="fr-FR" w:eastAsia="ja-JP"/>
              </w:rPr>
              <w:t>du soutien</w:t>
            </w:r>
            <w:r w:rsidRPr="00577EB1">
              <w:rPr>
                <w:iCs/>
                <w:sz w:val="20"/>
                <w:szCs w:val="18"/>
                <w:lang w:val="fr-FR" w:eastAsia="ja-JP"/>
              </w:rPr>
              <w:t xml:space="preserve"> au nouveau budget</w:t>
            </w:r>
          </w:p>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Besoin d’un engagement important et durable des bailleurs de fonds en faveur de l’harmonisation et de la continuité pour des programmes progressifs ou à plus grande échelle.</w:t>
            </w:r>
            <w:r w:rsidR="0007340F">
              <w:rPr>
                <w:iCs/>
                <w:sz w:val="20"/>
                <w:szCs w:val="18"/>
                <w:lang w:val="fr-FR" w:eastAsia="ja-JP"/>
              </w:rPr>
              <w:t xml:space="preserve"> </w:t>
            </w:r>
          </w:p>
        </w:tc>
      </w:tr>
      <w:tr w:rsidR="00A66260" w:rsidRPr="000A70E6" w:rsidTr="002E752D">
        <w:trPr>
          <w:trHeight w:val="528"/>
        </w:trPr>
        <w:tc>
          <w:tcPr>
            <w:tcW w:w="1800" w:type="dxa"/>
            <w:tcBorders>
              <w:top w:val="dashed" w:sz="4" w:space="0" w:color="auto"/>
              <w:bottom w:val="dashed" w:sz="4" w:space="0" w:color="auto"/>
            </w:tcBorders>
          </w:tcPr>
          <w:p w:rsidR="00A66260" w:rsidRPr="00577EB1" w:rsidRDefault="00A66260" w:rsidP="002E752D">
            <w:pPr>
              <w:keepNext/>
              <w:keepLines/>
              <w:spacing w:before="40" w:after="0"/>
              <w:jc w:val="left"/>
              <w:rPr>
                <w:iCs/>
                <w:sz w:val="20"/>
                <w:szCs w:val="18"/>
                <w:lang w:val="fr-FR" w:eastAsia="ja-JP"/>
              </w:rPr>
            </w:pPr>
            <w:r w:rsidRPr="00577EB1">
              <w:rPr>
                <w:iCs/>
                <w:sz w:val="20"/>
                <w:szCs w:val="18"/>
                <w:lang w:val="fr-FR" w:eastAsia="ja-JP"/>
              </w:rPr>
              <w:t>Emprunt</w:t>
            </w:r>
          </w:p>
        </w:tc>
        <w:tc>
          <w:tcPr>
            <w:tcW w:w="3060" w:type="dxa"/>
            <w:tcBorders>
              <w:top w:val="dashed" w:sz="4" w:space="0" w:color="auto"/>
              <w:bottom w:val="dashed" w:sz="4" w:space="0" w:color="auto"/>
            </w:tcBorders>
          </w:tcPr>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Financement de l’expansion temporaire des programmes en temps de crise </w:t>
            </w:r>
          </w:p>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Moindre dépendance vis-à-vis des bailleurs de fonds </w:t>
            </w:r>
          </w:p>
        </w:tc>
        <w:tc>
          <w:tcPr>
            <w:tcW w:w="3929" w:type="dxa"/>
            <w:tcBorders>
              <w:top w:val="dashed" w:sz="4" w:space="0" w:color="auto"/>
              <w:bottom w:val="dashed" w:sz="4" w:space="0" w:color="auto"/>
            </w:tcBorders>
          </w:tcPr>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Le Burkina Faso coure un grand risque de surendettement </w:t>
            </w:r>
          </w:p>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Accord du FMI pour les emprunts non concessionnels </w:t>
            </w:r>
          </w:p>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 Impact excessif sur la croissance</w:t>
            </w:r>
            <w:r w:rsidR="0007340F">
              <w:rPr>
                <w:iCs/>
                <w:sz w:val="20"/>
                <w:szCs w:val="18"/>
                <w:lang w:val="fr-FR" w:eastAsia="ja-JP"/>
              </w:rPr>
              <w:t xml:space="preserve"> </w:t>
            </w:r>
          </w:p>
          <w:p w:rsidR="00A66260" w:rsidRPr="00577EB1" w:rsidRDefault="00A66260" w:rsidP="00E52A30">
            <w:pPr>
              <w:keepNext/>
              <w:keepLines/>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Plus onéreux que le financement concessionnel </w:t>
            </w:r>
          </w:p>
        </w:tc>
      </w:tr>
      <w:tr w:rsidR="00A66260" w:rsidRPr="00577EB1" w:rsidTr="002E752D">
        <w:trPr>
          <w:trHeight w:val="1561"/>
        </w:trPr>
        <w:tc>
          <w:tcPr>
            <w:tcW w:w="1800" w:type="dxa"/>
            <w:tcBorders>
              <w:top w:val="dashed" w:sz="4" w:space="0" w:color="auto"/>
              <w:bottom w:val="single" w:sz="4" w:space="0" w:color="auto"/>
            </w:tcBorders>
          </w:tcPr>
          <w:p w:rsidR="00A66260" w:rsidRPr="00577EB1" w:rsidRDefault="00A66260" w:rsidP="002E752D">
            <w:pPr>
              <w:spacing w:before="40" w:after="0"/>
              <w:jc w:val="left"/>
              <w:rPr>
                <w:iCs/>
                <w:sz w:val="20"/>
                <w:szCs w:val="18"/>
                <w:lang w:val="fr-FR" w:eastAsia="ja-JP"/>
              </w:rPr>
            </w:pPr>
            <w:r w:rsidRPr="00577EB1">
              <w:rPr>
                <w:iCs/>
                <w:sz w:val="20"/>
                <w:szCs w:val="18"/>
                <w:lang w:val="fr-FR" w:eastAsia="ja-JP"/>
              </w:rPr>
              <w:t xml:space="preserve">Augmentation des recettes nationales </w:t>
            </w:r>
          </w:p>
        </w:tc>
        <w:tc>
          <w:tcPr>
            <w:tcW w:w="3060" w:type="dxa"/>
            <w:tcBorders>
              <w:top w:val="dashed" w:sz="4" w:space="0" w:color="auto"/>
              <w:bottom w:val="single" w:sz="4" w:space="0" w:color="auto"/>
            </w:tcBorders>
          </w:tcPr>
          <w:p w:rsidR="00A66260" w:rsidRPr="00577EB1" w:rsidRDefault="00A66260" w:rsidP="00E52A30">
            <w:pPr>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Option pouvant être plus soutenable que les autres</w:t>
            </w:r>
            <w:r w:rsidR="0007340F">
              <w:rPr>
                <w:iCs/>
                <w:sz w:val="20"/>
                <w:szCs w:val="18"/>
                <w:lang w:val="fr-FR" w:eastAsia="ja-JP"/>
              </w:rPr>
              <w:t xml:space="preserve"> </w:t>
            </w:r>
          </w:p>
          <w:p w:rsidR="00A66260" w:rsidRPr="00577EB1" w:rsidRDefault="00A66260" w:rsidP="00E52A30">
            <w:pPr>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Nécessité d’une meilleure gestion fiscale </w:t>
            </w:r>
          </w:p>
          <w:p w:rsidR="00A66260" w:rsidRPr="00577EB1" w:rsidRDefault="00A66260" w:rsidP="00E52A30">
            <w:pPr>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Offre des financements sécurisés à court terme </w:t>
            </w:r>
          </w:p>
          <w:p w:rsidR="00A66260" w:rsidRPr="00577EB1" w:rsidRDefault="00A66260" w:rsidP="00E52A30">
            <w:pPr>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Peut avoir un effet de redistribution </w:t>
            </w:r>
          </w:p>
        </w:tc>
        <w:tc>
          <w:tcPr>
            <w:tcW w:w="3929" w:type="dxa"/>
            <w:tcBorders>
              <w:top w:val="dashed" w:sz="4" w:space="0" w:color="auto"/>
              <w:bottom w:val="single" w:sz="4" w:space="0" w:color="auto"/>
            </w:tcBorders>
          </w:tcPr>
          <w:p w:rsidR="00A66260" w:rsidRPr="00577EB1" w:rsidRDefault="00A66260" w:rsidP="00E52A30">
            <w:pPr>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Si réalisée à travers une plus forte imposition, les coûts économiques</w:t>
            </w:r>
            <w:r w:rsidR="0007340F">
              <w:rPr>
                <w:iCs/>
                <w:sz w:val="20"/>
                <w:szCs w:val="18"/>
                <w:lang w:val="fr-FR" w:eastAsia="ja-JP"/>
              </w:rPr>
              <w:t xml:space="preserve"> </w:t>
            </w:r>
            <w:r w:rsidRPr="00577EB1">
              <w:rPr>
                <w:iCs/>
                <w:sz w:val="20"/>
                <w:szCs w:val="18"/>
                <w:lang w:val="fr-FR" w:eastAsia="ja-JP"/>
              </w:rPr>
              <w:t>peuvent avoir des impacts directs et indirects sur l’économie, ce qui affecterait la croissance économique et en fin de compte, les pauvres</w:t>
            </w:r>
            <w:r w:rsidR="0007340F">
              <w:rPr>
                <w:iCs/>
                <w:sz w:val="20"/>
                <w:szCs w:val="18"/>
                <w:lang w:val="fr-FR" w:eastAsia="ja-JP"/>
              </w:rPr>
              <w:t xml:space="preserve"> </w:t>
            </w:r>
            <w:r w:rsidRPr="00577EB1">
              <w:rPr>
                <w:iCs/>
                <w:sz w:val="20"/>
                <w:szCs w:val="18"/>
                <w:lang w:val="fr-FR" w:eastAsia="ja-JP"/>
              </w:rPr>
              <w:t xml:space="preserve">d’où la nécessité d’une analyse de l’incidence de la taxation </w:t>
            </w:r>
          </w:p>
          <w:p w:rsidR="00A66260" w:rsidRPr="00577EB1" w:rsidRDefault="00A66260" w:rsidP="00E52A30">
            <w:pPr>
              <w:numPr>
                <w:ilvl w:val="0"/>
                <w:numId w:val="17"/>
              </w:numPr>
              <w:tabs>
                <w:tab w:val="clear" w:pos="709"/>
                <w:tab w:val="left" w:pos="360"/>
              </w:tabs>
              <w:spacing w:before="40" w:after="0"/>
              <w:ind w:left="360" w:hanging="283"/>
              <w:jc w:val="left"/>
              <w:rPr>
                <w:iCs/>
                <w:sz w:val="20"/>
                <w:szCs w:val="18"/>
                <w:lang w:val="fr-FR" w:eastAsia="ja-JP"/>
              </w:rPr>
            </w:pPr>
            <w:r w:rsidRPr="00577EB1">
              <w:rPr>
                <w:iCs/>
                <w:sz w:val="20"/>
                <w:szCs w:val="18"/>
                <w:lang w:val="fr-FR" w:eastAsia="ja-JP"/>
              </w:rPr>
              <w:t xml:space="preserve">Le rendement de l’augmentation des taxes peut être limité du fait de l’étroitesse de l’assiette fiscale et du faible ratio des revenus par rapport au PIB. Impopularité politique et éventuelles conséquences néfastes sur les pauvres. </w:t>
            </w:r>
          </w:p>
        </w:tc>
      </w:tr>
    </w:tbl>
    <w:p w:rsidR="004B3541" w:rsidRDefault="00A66260">
      <w:pPr>
        <w:spacing w:before="120" w:after="480"/>
        <w:rPr>
          <w:lang w:val="fr-FR"/>
        </w:rPr>
      </w:pPr>
      <w:r w:rsidRPr="00577EB1">
        <w:rPr>
          <w:rFonts w:ascii="TimesNewRomanPSMT" w:hAnsi="TimesNewRomanPSMT" w:cs="TimesNewRomanPSMT"/>
          <w:i/>
          <w:sz w:val="20"/>
          <w:szCs w:val="24"/>
          <w:lang w:val="fr-FR" w:eastAsia="fr-FR"/>
        </w:rPr>
        <w:t>Source</w:t>
      </w:r>
      <w:r w:rsidR="00837FC9">
        <w:rPr>
          <w:rFonts w:ascii="TimesNewRomanPSMT" w:hAnsi="TimesNewRomanPSMT" w:cs="TimesNewRomanPSMT"/>
          <w:i/>
          <w:sz w:val="20"/>
          <w:szCs w:val="24"/>
          <w:lang w:val="fr-FR" w:eastAsia="fr-FR"/>
        </w:rPr>
        <w:t> :</w:t>
      </w:r>
      <w:r w:rsidR="0007340F">
        <w:rPr>
          <w:rFonts w:ascii="TimesNewRomanPSMT" w:hAnsi="TimesNewRomanPSMT" w:cs="TimesNewRomanPSMT"/>
          <w:i/>
          <w:sz w:val="20"/>
          <w:szCs w:val="24"/>
          <w:lang w:val="fr-FR" w:eastAsia="fr-FR"/>
        </w:rPr>
        <w:t xml:space="preserve"> </w:t>
      </w:r>
      <w:r w:rsidR="00EB214A" w:rsidRPr="00EB214A">
        <w:rPr>
          <w:rFonts w:ascii="TimesNewRomanPSMT" w:hAnsi="TimesNewRomanPSMT" w:cs="TimesNewRomanPSMT"/>
          <w:sz w:val="20"/>
          <w:szCs w:val="24"/>
          <w:lang w:val="fr-FR" w:eastAsia="fr-FR"/>
        </w:rPr>
        <w:t>Auteurs</w:t>
      </w:r>
      <w:r w:rsidRPr="005738FE">
        <w:rPr>
          <w:sz w:val="20"/>
          <w:szCs w:val="20"/>
          <w:lang w:val="fr-FR" w:eastAsia="fr-FR"/>
        </w:rPr>
        <w:t>.</w:t>
      </w:r>
    </w:p>
    <w:p w:rsidR="00A66260" w:rsidRPr="00577EB1" w:rsidRDefault="00A66260" w:rsidP="00A66260">
      <w:pPr>
        <w:pStyle w:val="Style4"/>
        <w:rPr>
          <w:lang w:val="fr-FR"/>
        </w:rPr>
      </w:pPr>
      <w:r w:rsidRPr="00577EB1">
        <w:rPr>
          <w:lang w:val="fr-FR"/>
        </w:rPr>
        <w:lastRenderedPageBreak/>
        <w:t>Option 1</w:t>
      </w:r>
      <w:r w:rsidR="0007340F">
        <w:rPr>
          <w:lang w:val="fr-FR"/>
        </w:rPr>
        <w:t xml:space="preserve"> </w:t>
      </w:r>
      <w:r w:rsidR="00523604">
        <w:rPr>
          <w:lang w:val="fr-FR"/>
        </w:rPr>
        <w:t xml:space="preserve">– </w:t>
      </w:r>
      <w:r w:rsidRPr="00577EB1">
        <w:rPr>
          <w:lang w:val="fr-FR"/>
        </w:rPr>
        <w:t>Réa</w:t>
      </w:r>
      <w:r w:rsidR="00523604">
        <w:rPr>
          <w:lang w:val="fr-FR"/>
        </w:rPr>
        <w:t>llocation</w:t>
      </w:r>
      <w:r w:rsidRPr="00577EB1">
        <w:rPr>
          <w:lang w:val="fr-FR"/>
        </w:rPr>
        <w:t xml:space="preserve"> des dépenses </w:t>
      </w:r>
    </w:p>
    <w:p w:rsidR="00A66260" w:rsidRPr="00577EB1" w:rsidRDefault="00A66260" w:rsidP="00E52A30">
      <w:pPr>
        <w:numPr>
          <w:ilvl w:val="0"/>
          <w:numId w:val="2"/>
        </w:numPr>
        <w:ind w:left="0" w:firstLine="0"/>
        <w:rPr>
          <w:lang w:val="fr-FR"/>
        </w:rPr>
      </w:pPr>
      <w:r w:rsidRPr="00577EB1">
        <w:rPr>
          <w:b/>
          <w:lang w:val="fr-FR"/>
        </w:rPr>
        <w:t>La première option, la réa</w:t>
      </w:r>
      <w:r w:rsidR="00523604">
        <w:rPr>
          <w:b/>
          <w:lang w:val="fr-FR"/>
        </w:rPr>
        <w:t>llocation</w:t>
      </w:r>
      <w:r w:rsidRPr="00577EB1">
        <w:rPr>
          <w:b/>
          <w:lang w:val="fr-FR"/>
        </w:rPr>
        <w:t xml:space="preserve"> des dépenses dans le respect des contraintes budgétaires, requiert une analyse approfondie des allocations et de l’efficacité des dépenses, qui va au-delà du champ du présent rapport.</w:t>
      </w:r>
      <w:r w:rsidRPr="00577EB1">
        <w:rPr>
          <w:lang w:val="fr-FR"/>
        </w:rPr>
        <w:t xml:space="preserve"> Cependant, étant donné les énormes besoins des secteurs tels que l’éducation et la santé, et d’autres qui sont importants pour la croissance et la lutte contre la pauvreté, l’idée est que les allocations à ces secteurs soient au minimum maintenues et que des gains d’efficacité et d’équité soient recherchés (voir Examen des dépenses publiques, Banque mondiale, 2009). </w:t>
      </w:r>
    </w:p>
    <w:p w:rsidR="00A66260" w:rsidRPr="00577EB1" w:rsidRDefault="00A66260" w:rsidP="00E52A30">
      <w:pPr>
        <w:numPr>
          <w:ilvl w:val="0"/>
          <w:numId w:val="2"/>
        </w:numPr>
        <w:ind w:left="0" w:firstLine="0"/>
        <w:rPr>
          <w:lang w:val="fr-FR"/>
        </w:rPr>
      </w:pPr>
      <w:r w:rsidRPr="00577EB1">
        <w:rPr>
          <w:b/>
          <w:lang w:val="fr-FR"/>
        </w:rPr>
        <w:t>Dans les secteurs prioritaires comme l’éducation, les dépenses publiques doivent devenir plus efficaces et pro-pauvres</w:t>
      </w:r>
      <w:r w:rsidRPr="00577EB1">
        <w:rPr>
          <w:lang w:val="fr-FR"/>
        </w:rPr>
        <w:t xml:space="preserve">. L’Examen des dépenses publiques (Banque mondiale 2009) a précisément montré qu’en dépit d’une hausse constante des dépenses publiques dans l’éducation (de 10 % des dépenses totales en 2000 à 16,6 % en 2008) et d’une augmentation du taux brut de scolarisation, de 40 % en 2000 à 65 % en 2007, les inégalités filles-garçons restent importantes en matière d’accès à l’éducation. Par ailleurs, l’accès à l’éducation est limité pour les enfants des zones rurales et des familles pauvres. Ces inégalités se renforcent mutuellement de sorte que le taux brut de scolarisation n’est que de 40 % parmi les familles les plus pauvres des zones rurales. L’analyse du profil de la pauvreté montre que les dépenses consacrées à l’éducation doivent devenir pro-pauvres. La restructuration des dépenses en faveur d’une amélioration de l’offre éducative ne suffit pas. La demande d’éducation doit également bénéficier d’un appui. Pour stimuler la demande dans ce contexte, les filets sociaux permettant d’augmenter le revenu des parents, (par exemple, à travers des transferts monétaires ou en nature) et d’autres programmes d’appui à la scolarisation pourraient s’avérer importants, surtout pour les filles. </w:t>
      </w:r>
    </w:p>
    <w:p w:rsidR="00A66260" w:rsidRPr="00577EB1" w:rsidRDefault="00A66260" w:rsidP="00E52A30">
      <w:pPr>
        <w:numPr>
          <w:ilvl w:val="0"/>
          <w:numId w:val="2"/>
        </w:numPr>
        <w:ind w:left="0" w:firstLine="0"/>
        <w:rPr>
          <w:lang w:val="fr-FR"/>
        </w:rPr>
      </w:pPr>
      <w:r w:rsidRPr="00577EB1">
        <w:rPr>
          <w:b/>
          <w:lang w:val="fr-FR"/>
        </w:rPr>
        <w:t>De même, dans le secteur de la santé, malgré une hausse constante des dépenses de santé (de 7,7 % du budget à 9,2 % en 2008), et l’amélioration de certains indicateurs de santé (exemple</w:t>
      </w:r>
      <w:r w:rsidR="0007340F">
        <w:rPr>
          <w:b/>
          <w:lang w:val="fr-FR"/>
        </w:rPr>
        <w:t xml:space="preserve"> </w:t>
      </w:r>
      <w:r w:rsidRPr="00577EB1">
        <w:rPr>
          <w:b/>
          <w:lang w:val="fr-FR"/>
        </w:rPr>
        <w:t>les accouchements assistés et la couverture vaccinale), des inégalités subsistent entre régions au niveau de l’offre de services de santé.</w:t>
      </w:r>
      <w:r w:rsidRPr="00577EB1">
        <w:rPr>
          <w:lang w:val="fr-FR"/>
        </w:rPr>
        <w:t xml:space="preserve"> L’accès aux services de santé a même chuté dans 7 des 13 régions. Les dépenses de santé publique pourraient être orientées vers des programmes explicitement en faveur des pauvres, tels que les programmes de nutrition et d’exemption de frais couverts par les filets sociaux. Par exemple, sur la base des coûts des programmes de nutrition évoqués dans la section</w:t>
      </w:r>
      <w:r w:rsidRPr="00577EB1">
        <w:rPr>
          <w:vertAlign w:val="superscript"/>
          <w:lang w:val="fr-FR"/>
        </w:rPr>
        <w:footnoteReference w:id="24"/>
      </w:r>
      <w:r w:rsidRPr="00577EB1">
        <w:rPr>
          <w:lang w:val="fr-FR"/>
        </w:rPr>
        <w:t xml:space="preserve"> précédente, une augmentation de ces programmes au profit des enfants pauvres de moins de 5 ans (estimés à environ 1,3 millions) se chiffrerait autour de 9,2 milliards de francs CFA (en supposant un coût annuel de 7 000 francs CFA par enfant), soit près de 0,9 % du total des dépenses publiques en 2009. </w:t>
      </w:r>
    </w:p>
    <w:p w:rsidR="00A66260" w:rsidRPr="00577EB1" w:rsidRDefault="00A66260" w:rsidP="00E52A30">
      <w:pPr>
        <w:numPr>
          <w:ilvl w:val="0"/>
          <w:numId w:val="2"/>
        </w:numPr>
        <w:ind w:left="0" w:firstLine="0"/>
        <w:rPr>
          <w:lang w:val="fr-FR"/>
        </w:rPr>
      </w:pPr>
      <w:r w:rsidRPr="00577EB1">
        <w:rPr>
          <w:b/>
          <w:lang w:val="fr-FR"/>
        </w:rPr>
        <w:t>Pour financer ces besoins ainsi qu’une extension progressive des programmes de filets sociaux, l’État pourrait se tourner vers des dépenses moins productives, y compris dans d’autres secteurs « sociaux », et identifier des programmes dont l’efficacité est moindre ou très faible en matière de réduction de la pauvreté</w:t>
      </w:r>
      <w:r w:rsidRPr="00577EB1">
        <w:rPr>
          <w:lang w:val="fr-FR"/>
        </w:rPr>
        <w:t xml:space="preserve">. Tel est le cas de la subvention des importations de produits pétroliers et des programmes de logements sociaux, qui ne semblent pas bien cibler les plus démunis. Sur le plan fonctionnel, cela pourrait impliquer un examen minutieux de catégories telles que les dépenses non affectées ainsi que les Services généraux et l’Administration publique qui </w:t>
      </w:r>
      <w:r w:rsidRPr="00577EB1">
        <w:rPr>
          <w:lang w:val="fr-FR"/>
        </w:rPr>
        <w:lastRenderedPageBreak/>
        <w:t>absorbent 27 % du budget 2007-2009, soit l’équivalent des dépenses combinées dans les secteurs de la santé et de l’éducation. Sur la base de l’Examen des dépenses publiques, en raison du niveau élevé des dépenses d’exploitation et maintenance de ces catégories, il y a un risque de perte de contrôle des coûts liés, par exemple, aux véhicules, au carburant, aux déplacements, etc. Sur la base des chiffres du budget 2009, un gain d’efficacité de 10 % sur ces dépenses pourraient représenter près de 0,6 % du PIB, soit à peu près l’équivalent du coût annuel estimatif d’un transfert monétaire de 18 800 francs CFA au décile le plus pauvre de la population (hors coûts d’administration et de ciblage).</w:t>
      </w:r>
      <w:r w:rsidR="0007340F">
        <w:rPr>
          <w:lang w:val="fr-FR"/>
        </w:rPr>
        <w:t xml:space="preserve"> </w:t>
      </w:r>
    </w:p>
    <w:p w:rsidR="00A66260" w:rsidRPr="00577EB1" w:rsidRDefault="00A66260" w:rsidP="00E52A30">
      <w:pPr>
        <w:numPr>
          <w:ilvl w:val="0"/>
          <w:numId w:val="2"/>
        </w:numPr>
        <w:ind w:left="0" w:firstLine="0"/>
        <w:rPr>
          <w:lang w:val="fr-FR"/>
        </w:rPr>
      </w:pPr>
      <w:r w:rsidRPr="00577EB1">
        <w:rPr>
          <w:b/>
          <w:lang w:val="fr-FR"/>
        </w:rPr>
        <w:t>De façon plus générale, des estimations très approximatives des gains d’efficacité dans les dépenses publiques, par exemple, un gain de 10 % sur les dépenses discrétionnaires</w:t>
      </w:r>
      <w:r w:rsidRPr="00577EB1">
        <w:rPr>
          <w:lang w:val="fr-FR"/>
        </w:rPr>
        <w:t xml:space="preserve"> (biens et services, transferts courants et investissements financés sur les ressources nationales) </w:t>
      </w:r>
      <w:r w:rsidRPr="00577EB1">
        <w:rPr>
          <w:b/>
          <w:lang w:val="fr-FR"/>
        </w:rPr>
        <w:t>pourraient représenter jusqu’à 1,5 % du PIB</w:t>
      </w:r>
      <w:r w:rsidRPr="00577EB1">
        <w:rPr>
          <w:lang w:val="fr-FR"/>
        </w:rPr>
        <w:t>, ce qui permettrait de faire en grand pas en direction de la mise en place des programmes de filets sociaux décrits plus haut tout donnant au gouvernement une position de leadership</w:t>
      </w:r>
      <w:r w:rsidR="0007340F">
        <w:rPr>
          <w:lang w:val="fr-FR"/>
        </w:rPr>
        <w:t xml:space="preserve"> </w:t>
      </w:r>
      <w:r w:rsidRPr="00577EB1">
        <w:rPr>
          <w:lang w:val="fr-FR"/>
        </w:rPr>
        <w:t xml:space="preserve">au niveau de la promotion et du financement d’un système cohérent de filets sociaux. </w:t>
      </w:r>
    </w:p>
    <w:p w:rsidR="00A66260" w:rsidRPr="00577EB1" w:rsidRDefault="00A66260" w:rsidP="00A66260">
      <w:pPr>
        <w:pStyle w:val="Style4"/>
        <w:rPr>
          <w:lang w:val="fr-FR"/>
        </w:rPr>
      </w:pPr>
      <w:r w:rsidRPr="00577EB1">
        <w:rPr>
          <w:lang w:val="fr-FR"/>
        </w:rPr>
        <w:t>Option 2</w:t>
      </w:r>
      <w:r w:rsidR="0007340F">
        <w:rPr>
          <w:lang w:val="fr-FR"/>
        </w:rPr>
        <w:t xml:space="preserve"> </w:t>
      </w:r>
      <w:r w:rsidR="00523604">
        <w:rPr>
          <w:lang w:val="fr-FR"/>
        </w:rPr>
        <w:t xml:space="preserve">– </w:t>
      </w:r>
      <w:r w:rsidRPr="00577EB1">
        <w:rPr>
          <w:lang w:val="fr-FR"/>
        </w:rPr>
        <w:t xml:space="preserve">Augmentation de l’appui extérieur concessionnel </w:t>
      </w:r>
    </w:p>
    <w:p w:rsidR="00A66260" w:rsidRPr="00577EB1" w:rsidRDefault="00A66260" w:rsidP="00E52A30">
      <w:pPr>
        <w:numPr>
          <w:ilvl w:val="0"/>
          <w:numId w:val="2"/>
        </w:numPr>
        <w:ind w:left="0" w:firstLine="0"/>
        <w:rPr>
          <w:lang w:val="fr-FR"/>
        </w:rPr>
      </w:pPr>
      <w:r w:rsidRPr="00577EB1">
        <w:rPr>
          <w:b/>
          <w:lang w:val="fr-FR"/>
        </w:rPr>
        <w:t>Un plus grand financement des bailleurs de fonds peut être une option à court terme, le Burkina étant susceptible de rester fortement dépendant des bailleurs de fonds à moyen terme et ces derniers s’intéressant de plus en plus au financement des filets sociaux.</w:t>
      </w:r>
      <w:r w:rsidRPr="00577EB1">
        <w:rPr>
          <w:lang w:val="fr-FR"/>
        </w:rPr>
        <w:t xml:space="preserve"> L’intérêt des bailleurs de fonds pour les filets sociaux ressort également de la composition et de l’évolution des programmes soutenus par les bailleurs de fonds au Burkina depuis 2005, comme évoqué dans la section précédente. </w:t>
      </w:r>
    </w:p>
    <w:p w:rsidR="00A66260" w:rsidRPr="00577EB1" w:rsidRDefault="00A66260" w:rsidP="00E52A30">
      <w:pPr>
        <w:numPr>
          <w:ilvl w:val="0"/>
          <w:numId w:val="2"/>
        </w:numPr>
        <w:ind w:left="0" w:firstLine="0"/>
        <w:rPr>
          <w:lang w:val="fr-FR"/>
        </w:rPr>
      </w:pPr>
      <w:r w:rsidRPr="00577EB1">
        <w:rPr>
          <w:b/>
          <w:lang w:val="fr-FR"/>
        </w:rPr>
        <w:t xml:space="preserve">Les problèmes liés au financement extérieur comprennent le fait que l’aide étrangère reste dominée par les projets au détriment </w:t>
      </w:r>
      <w:r w:rsidR="00A23A26">
        <w:rPr>
          <w:b/>
          <w:lang w:val="fr-FR"/>
        </w:rPr>
        <w:t>du soutien</w:t>
      </w:r>
      <w:r w:rsidRPr="00577EB1">
        <w:rPr>
          <w:b/>
          <w:lang w:val="fr-FR"/>
        </w:rPr>
        <w:t xml:space="preserve"> budgétaire</w:t>
      </w:r>
      <w:r w:rsidRPr="00577EB1">
        <w:rPr>
          <w:lang w:val="fr-FR"/>
        </w:rPr>
        <w:t xml:space="preserve">. Sur la base des estimations et </w:t>
      </w:r>
      <w:r w:rsidR="006C7E0D" w:rsidRPr="00577EB1">
        <w:rPr>
          <w:lang w:val="fr-FR"/>
        </w:rPr>
        <w:t>prévision</w:t>
      </w:r>
      <w:r w:rsidRPr="00577EB1">
        <w:rPr>
          <w:lang w:val="fr-FR"/>
        </w:rPr>
        <w:t>s du FMI, le ratio des projets par rapport aux programmes était de l’ordre de 1 en 2008. Ce ratio devrait, toutefois, passer à 2,5 dans les prochaines années</w:t>
      </w:r>
      <w:r w:rsidRPr="00577EB1">
        <w:rPr>
          <w:rStyle w:val="FootnoteReference"/>
          <w:lang w:val="fr-FR"/>
        </w:rPr>
        <w:footnoteReference w:id="25"/>
      </w:r>
      <w:r w:rsidRPr="00577EB1">
        <w:rPr>
          <w:lang w:val="fr-FR"/>
        </w:rPr>
        <w:t xml:space="preserve">. Cette tendance fait ressortir la fragmentation de l’aide et ne permet pas d’envisager facilement des réformes sectorielles dans tout secteur largement dominé par l’aide étrangère. Une autre préoccupation par rapport au financement extérieur est le faible niveau de décaissement en faveur des investissements, précédemment souligné (voir Encadré 4). En moyenne, entre 2004 et 2008, le décaissement des fonds extérieur représentait environ 50 % des montants prévus. </w:t>
      </w:r>
    </w:p>
    <w:p w:rsidR="00A66260" w:rsidRPr="00577EB1" w:rsidRDefault="00A66260" w:rsidP="00E52A30">
      <w:pPr>
        <w:numPr>
          <w:ilvl w:val="0"/>
          <w:numId w:val="2"/>
        </w:numPr>
        <w:ind w:left="0" w:firstLine="0"/>
        <w:rPr>
          <w:lang w:val="fr-FR"/>
        </w:rPr>
      </w:pPr>
      <w:r w:rsidRPr="00577EB1">
        <w:rPr>
          <w:b/>
          <w:lang w:val="fr-FR"/>
        </w:rPr>
        <w:t>Le financement des bailleurs de fonds devrait augmenter à l’avenir avec le recul de la récession dans les pays industrialisés, et sa volatilité actuelle diminuer à moyen terme.</w:t>
      </w:r>
      <w:r w:rsidRPr="00577EB1">
        <w:rPr>
          <w:lang w:val="fr-FR"/>
        </w:rPr>
        <w:t xml:space="preserve"> Le financement des bailleurs de fonds est très sensible aux cycles économiques. En conséquence, l’imprévisibilité du financement extérieur pourrait augmenter dans les prochaines années. Cette volatilité peut aggraver l’approche par coups de frein et d’accélérateur due au caractère imprévisible du financement. À moyen terme, les </w:t>
      </w:r>
      <w:r w:rsidR="006C7E0D" w:rsidRPr="00577EB1">
        <w:rPr>
          <w:lang w:val="fr-FR"/>
        </w:rPr>
        <w:t>prévision</w:t>
      </w:r>
      <w:r w:rsidRPr="00577EB1">
        <w:rPr>
          <w:lang w:val="fr-FR"/>
        </w:rPr>
        <w:t xml:space="preserve">s </w:t>
      </w:r>
      <w:r w:rsidR="006C7E0D" w:rsidRPr="00577EB1">
        <w:rPr>
          <w:lang w:val="fr-FR"/>
        </w:rPr>
        <w:t>envisagent</w:t>
      </w:r>
      <w:r w:rsidRPr="00577EB1">
        <w:rPr>
          <w:lang w:val="fr-FR"/>
        </w:rPr>
        <w:t xml:space="preserve"> une réduction de l’aide étrangère en pourcentage du PIB</w:t>
      </w:r>
      <w:r w:rsidR="0007340F">
        <w:rPr>
          <w:lang w:val="fr-FR"/>
        </w:rPr>
        <w:t xml:space="preserve"> </w:t>
      </w:r>
      <w:r w:rsidRPr="00577EB1">
        <w:rPr>
          <w:lang w:val="fr-FR"/>
        </w:rPr>
        <w:t xml:space="preserve">selon les </w:t>
      </w:r>
      <w:r w:rsidR="006C7E0D" w:rsidRPr="00577EB1">
        <w:rPr>
          <w:lang w:val="fr-FR"/>
        </w:rPr>
        <w:t>prévision</w:t>
      </w:r>
      <w:r w:rsidRPr="00577EB1">
        <w:rPr>
          <w:lang w:val="fr-FR"/>
        </w:rPr>
        <w:t>s du FMI</w:t>
      </w:r>
      <w:r w:rsidRPr="00577EB1">
        <w:rPr>
          <w:rStyle w:val="FootnoteReference"/>
          <w:lang w:val="fr-FR"/>
        </w:rPr>
        <w:footnoteReference w:id="26"/>
      </w:r>
      <w:r w:rsidRPr="00577EB1">
        <w:rPr>
          <w:lang w:val="fr-FR"/>
        </w:rPr>
        <w:t xml:space="preserve">, le financement extérieur devrait descendre de 11,4 % du PIB à 10,8 % en 2013. En outre, plus important encore, un déséquilibre de financement </w:t>
      </w:r>
      <w:r w:rsidRPr="00577EB1">
        <w:rPr>
          <w:lang w:val="fr-FR"/>
        </w:rPr>
        <w:lastRenderedPageBreak/>
        <w:t xml:space="preserve">supplémentaire entre les bailleurs de fonds et l’État dans le financement des filets sociaux pourrait également créer une situation insoutenable à moyen terme, non seulement en termes financiers mais également en termes de cohérence et de gérabilité de l’ensemble du système des filets sociaux. </w:t>
      </w:r>
    </w:p>
    <w:p w:rsidR="00A66260" w:rsidRPr="00577EB1" w:rsidRDefault="00A66260" w:rsidP="00A66260">
      <w:pPr>
        <w:pStyle w:val="Style4"/>
        <w:rPr>
          <w:lang w:val="fr-FR"/>
        </w:rPr>
      </w:pPr>
      <w:r w:rsidRPr="00577EB1">
        <w:rPr>
          <w:lang w:val="fr-FR"/>
        </w:rPr>
        <w:t>Option 3</w:t>
      </w:r>
      <w:r w:rsidR="0007340F">
        <w:rPr>
          <w:lang w:val="fr-FR"/>
        </w:rPr>
        <w:t xml:space="preserve"> </w:t>
      </w:r>
      <w:r w:rsidR="00523604">
        <w:rPr>
          <w:lang w:val="fr-FR"/>
        </w:rPr>
        <w:t xml:space="preserve">– </w:t>
      </w:r>
      <w:r w:rsidRPr="00577EB1">
        <w:rPr>
          <w:lang w:val="fr-FR"/>
        </w:rPr>
        <w:t xml:space="preserve">Emprunt </w:t>
      </w:r>
    </w:p>
    <w:p w:rsidR="00A66260" w:rsidRPr="00577EB1" w:rsidRDefault="00A66260" w:rsidP="00E52A30">
      <w:pPr>
        <w:numPr>
          <w:ilvl w:val="0"/>
          <w:numId w:val="2"/>
        </w:numPr>
        <w:ind w:left="0" w:firstLine="0"/>
        <w:rPr>
          <w:lang w:val="fr-FR"/>
        </w:rPr>
      </w:pPr>
      <w:r w:rsidRPr="00577EB1">
        <w:rPr>
          <w:b/>
          <w:lang w:val="fr-FR"/>
        </w:rPr>
        <w:t>La proposition d’emprunt à des conditions non concessionnelles est très risquée pour le Burkina, à l’heure actuelle</w:t>
      </w:r>
      <w:r w:rsidRPr="00577EB1">
        <w:rPr>
          <w:lang w:val="fr-FR"/>
        </w:rPr>
        <w:t xml:space="preserve">. L’Analyse conjointe de la </w:t>
      </w:r>
      <w:r w:rsidR="00BD550B">
        <w:rPr>
          <w:lang w:val="fr-FR"/>
        </w:rPr>
        <w:t>viabilité</w:t>
      </w:r>
      <w:r w:rsidRPr="00577EB1">
        <w:rPr>
          <w:lang w:val="fr-FR"/>
        </w:rPr>
        <w:t xml:space="preserve"> de la dette (DSA) réalisée par le FMI/Banque mondiale a classé le Burkina parmi les pays à haut risque de surendettement. La mise en œuvre d’une politique budgétaire prudente, limitant les emprunts extérieurs aux prêts concessionnels, améliorant la gestion de la dette publique et fixant un objectif de déficit soutenable, s’impose pour stabiliser les ratios d’endettement à long terme [FMI 2009a]. </w:t>
      </w:r>
    </w:p>
    <w:p w:rsidR="00A66260" w:rsidRPr="00577EB1" w:rsidRDefault="00A66260" w:rsidP="00A66260">
      <w:pPr>
        <w:pStyle w:val="Style4"/>
        <w:rPr>
          <w:lang w:val="fr-FR"/>
        </w:rPr>
      </w:pPr>
      <w:r w:rsidRPr="00577EB1">
        <w:rPr>
          <w:lang w:val="fr-FR"/>
        </w:rPr>
        <w:t>Option 4</w:t>
      </w:r>
      <w:r w:rsidR="0007340F">
        <w:rPr>
          <w:lang w:val="fr-FR"/>
        </w:rPr>
        <w:t xml:space="preserve"> </w:t>
      </w:r>
      <w:r w:rsidR="00523604">
        <w:rPr>
          <w:lang w:val="fr-FR"/>
        </w:rPr>
        <w:t xml:space="preserve">– </w:t>
      </w:r>
      <w:r w:rsidRPr="00577EB1">
        <w:rPr>
          <w:lang w:val="fr-FR"/>
        </w:rPr>
        <w:t>Augmentation des recettes intérieures</w:t>
      </w:r>
      <w:r w:rsidR="0007340F">
        <w:rPr>
          <w:lang w:val="fr-FR"/>
        </w:rPr>
        <w:t xml:space="preserve"> </w:t>
      </w:r>
    </w:p>
    <w:p w:rsidR="00A66260" w:rsidRPr="00577EB1" w:rsidRDefault="00A66260" w:rsidP="00E52A30">
      <w:pPr>
        <w:numPr>
          <w:ilvl w:val="0"/>
          <w:numId w:val="2"/>
        </w:numPr>
        <w:ind w:left="0" w:firstLine="0"/>
        <w:rPr>
          <w:lang w:val="fr-FR"/>
        </w:rPr>
      </w:pPr>
      <w:r w:rsidRPr="00577EB1">
        <w:rPr>
          <w:b/>
          <w:lang w:val="fr-FR"/>
        </w:rPr>
        <w:t>L’État a adopté en 2009 des mesures visant à réformer le système d’imposition, qui devraient augmenter les recettes, même s’il s’agit d’une base en baisse en pourcentage du PIB.</w:t>
      </w:r>
      <w:r w:rsidRPr="00577EB1">
        <w:rPr>
          <w:lang w:val="fr-FR"/>
        </w:rPr>
        <w:t xml:space="preserve"> Ces mesures incluent l’introduction de l’impôt sur les sociétés, la rationalisation du code d’investissement, et le renforcement du système de la TVA. Selon les </w:t>
      </w:r>
      <w:r w:rsidR="006C7E0D" w:rsidRPr="00577EB1">
        <w:rPr>
          <w:lang w:val="fr-FR"/>
        </w:rPr>
        <w:t>prévision</w:t>
      </w:r>
      <w:r w:rsidRPr="00577EB1">
        <w:rPr>
          <w:lang w:val="fr-FR"/>
        </w:rPr>
        <w:t xml:space="preserve">s du FMI, ces mesures devraient permettre d’augmenter les recettes intérieures de 0,9 % du PIB en 2011, de 0,6 % en 2012, et de 0,4 % en 2013. L’allocation aux filets sociaux d’une partie de cette augmentation pourrait être envisagée, étant entendu que des mesures supplémentaires seraient nécessaires pour assurer la </w:t>
      </w:r>
      <w:r w:rsidR="00BD550B">
        <w:rPr>
          <w:lang w:val="fr-FR"/>
        </w:rPr>
        <w:t>viabilité</w:t>
      </w:r>
      <w:r w:rsidRPr="00577EB1">
        <w:rPr>
          <w:lang w:val="fr-FR"/>
        </w:rPr>
        <w:t xml:space="preserve"> des programmes de filets sociaux. En outre, de nombreux pays, développés et en développement, exonèrent les ménages les plus pauvres du paiement des impôts. L’exonération fiscale des plus pauvres pourrait effectivement être une mesure utile pour soutenir la consommation des ménages pauvres. Mais bien entendu, cela pose à nouveau la question de la capacité de ciblage.</w:t>
      </w:r>
    </w:p>
    <w:p w:rsidR="00A66260" w:rsidRPr="00577EB1" w:rsidRDefault="00A66260" w:rsidP="00A66260">
      <w:pPr>
        <w:rPr>
          <w:lang w:val="fr-FR"/>
        </w:rPr>
      </w:pPr>
    </w:p>
    <w:p w:rsidR="00CF3516" w:rsidRPr="00577EB1" w:rsidRDefault="0050199E" w:rsidP="00CF3516">
      <w:pPr>
        <w:pStyle w:val="Heading1"/>
      </w:pPr>
      <w:bookmarkStart w:id="136" w:name="_Toc264748733"/>
      <w:r w:rsidRPr="00577EB1">
        <w:lastRenderedPageBreak/>
        <w:t>CHAPITRE</w:t>
      </w:r>
      <w:r w:rsidR="00CF3516" w:rsidRPr="00577EB1">
        <w:t xml:space="preserve"> </w:t>
      </w:r>
      <w:r w:rsidRPr="00577EB1">
        <w:t>IV</w:t>
      </w:r>
      <w:r w:rsidR="002015E5">
        <w:t> :</w:t>
      </w:r>
      <w:r w:rsidR="0007340F">
        <w:t xml:space="preserve"> </w:t>
      </w:r>
      <w:r w:rsidR="009F1E27">
        <w:t>Revue</w:t>
      </w:r>
      <w:r w:rsidR="001C657B" w:rsidRPr="00577EB1">
        <w:t xml:space="preserve"> DES PROGRAMMES INDIVIDUELS DE FILETS SOCIAUX EXISTANTS</w:t>
      </w:r>
      <w:bookmarkEnd w:id="91"/>
      <w:bookmarkEnd w:id="136"/>
    </w:p>
    <w:p w:rsidR="00CF3516" w:rsidRPr="008C3350" w:rsidRDefault="00CF3516" w:rsidP="00CF3516">
      <w:pPr>
        <w:rPr>
          <w:b/>
          <w:i/>
          <w:lang w:val="fr-FR"/>
        </w:rPr>
      </w:pPr>
      <w:bookmarkStart w:id="137" w:name="_Toc251189974"/>
      <w:bookmarkStart w:id="138" w:name="_Toc251189975"/>
      <w:bookmarkEnd w:id="137"/>
      <w:bookmarkEnd w:id="138"/>
      <w:r w:rsidRPr="008C3350">
        <w:rPr>
          <w:b/>
          <w:i/>
          <w:lang w:val="fr-FR"/>
        </w:rPr>
        <w:t>La plupart des programmes de filets sociaux du Burkina Faso fournissent une assistance temporaire et sont généralement introduits durant les périodes de chocs, ce qui les rend moins appropriés pour lutter contre la pauvreté chronique. Les interventions existantes sont souvent basées sur une approche projet, concentrées sur une zone géographique, et il n’y a aucune approche systématique pour venir en aide aux ménages pauvres et vulnérables. Les principaux défis sont</w:t>
      </w:r>
      <w:r w:rsidR="0007340F" w:rsidRPr="008C3350">
        <w:rPr>
          <w:b/>
          <w:i/>
          <w:lang w:val="fr-FR"/>
        </w:rPr>
        <w:t xml:space="preserve"> </w:t>
      </w:r>
      <w:r w:rsidRPr="008C3350">
        <w:rPr>
          <w:b/>
          <w:i/>
          <w:lang w:val="fr-FR"/>
        </w:rPr>
        <w:t>les difficultés à définir les groupes cibles (pauvres et vulnérables)</w:t>
      </w:r>
      <w:r w:rsidR="0007340F" w:rsidRPr="008C3350">
        <w:rPr>
          <w:b/>
          <w:i/>
          <w:lang w:val="fr-FR"/>
        </w:rPr>
        <w:t xml:space="preserve"> </w:t>
      </w:r>
      <w:r w:rsidRPr="008C3350">
        <w:rPr>
          <w:b/>
          <w:i/>
          <w:lang w:val="fr-FR"/>
        </w:rPr>
        <w:t>la sélection des instruments adéquats</w:t>
      </w:r>
      <w:r w:rsidR="0007340F" w:rsidRPr="008C3350">
        <w:rPr>
          <w:b/>
          <w:i/>
          <w:lang w:val="fr-FR"/>
        </w:rPr>
        <w:t xml:space="preserve"> </w:t>
      </w:r>
      <w:r w:rsidRPr="008C3350">
        <w:rPr>
          <w:b/>
          <w:i/>
          <w:lang w:val="fr-FR"/>
        </w:rPr>
        <w:t>et la mise en place de solides systèmes de suivi et évaluation pour éclairer les décisions relatives aux politiques. Les récentes initiatives innovantes telles que les coupons alimentaires, les transferts en espèces et l’exemption des frais de santé permettent de tirer d’importantes leçons dont on peut s’inspirer pour améliorer l’efficacité des programmes de filets sociaux existants et potentiellement en augmenter l’envergure. Les transferts alimentaires représentent la principale forme de programmes de filets sociaux au Burkina Faso, représentant 69 % des dépenses en faveur des filets sociaux et plus de 80 % du nombre total estimé des bénéficiaires des filets sociaux en 2009 (hors subvention du carburant). Parmi ces programmes, les cantines scolaires, financées à parts presque égales par l’État et les partenaires au développement, représentent un des principaux programmes de filets sociaux, avec 24 % des dépenses en faveur des filets sociaux et environ 38 % du nombre total estimé des bénéficiaires des filets sociaux. Des programmes de nutrition sont mis en œuvre avec l’appui de bailleurs de fonds, mais ils sont encore insuffisants pour faire face aux problèmes de malnutrition infantile aiguë. Il faut des politiques nationales plus proactives. La subvention universelle du carburant par l’État est très coûteuse (0,7 % du PIB en 2007) et a un effet très limité sur le décile le plus pauvre (84 % des avantages vont aux non pauvres). Les programmes de travaux publics, soutenus par des financements extérieurs, proposent des expériences intéressantes qui pourraient aider à développer des instruments efficaces de filets sociaux. Enfin, la mise en place d’un programme national de subvention/exemption des frais pour la santé est entravée par l’absence de critères de ciblage clairs et de mécanismes de mise en œuvre explicites.</w:t>
      </w:r>
    </w:p>
    <w:p w:rsidR="00CF3516" w:rsidRPr="00577EB1" w:rsidRDefault="00CF3516" w:rsidP="00E52A30">
      <w:pPr>
        <w:numPr>
          <w:ilvl w:val="0"/>
          <w:numId w:val="2"/>
        </w:numPr>
        <w:ind w:left="0" w:firstLine="0"/>
        <w:rPr>
          <w:lang w:val="fr-FR"/>
        </w:rPr>
      </w:pPr>
      <w:r w:rsidRPr="00577EB1">
        <w:rPr>
          <w:lang w:val="fr-FR"/>
        </w:rPr>
        <w:t>Ce chapitre décrit comment chaque programme individuel du système existant pourrait être rendu plus efficace et peut-être étendu. Les programmes considérés sont</w:t>
      </w:r>
      <w:r w:rsidR="0007340F">
        <w:rPr>
          <w:lang w:val="fr-FR"/>
        </w:rPr>
        <w:t xml:space="preserve"> </w:t>
      </w:r>
      <w:r w:rsidRPr="00577EB1">
        <w:rPr>
          <w:lang w:val="fr-FR"/>
        </w:rPr>
        <w:t>i) les transferts monétaires et quasi-monétaires; ii) les transferts alimentaires (vente à prix subventionnés de produits alimentaires, distribution ciblée de produits alimentaires, programmes de nutrition et cantines scolaires)</w:t>
      </w:r>
      <w:r w:rsidR="0007340F">
        <w:rPr>
          <w:lang w:val="fr-FR"/>
        </w:rPr>
        <w:t xml:space="preserve"> </w:t>
      </w:r>
      <w:r w:rsidRPr="00577EB1">
        <w:rPr>
          <w:lang w:val="fr-FR"/>
        </w:rPr>
        <w:t>iii) les subventions universelles (produits alimentaires et carburant)</w:t>
      </w:r>
      <w:r w:rsidR="0007340F">
        <w:rPr>
          <w:lang w:val="fr-FR"/>
        </w:rPr>
        <w:t xml:space="preserve"> </w:t>
      </w:r>
      <w:r w:rsidRPr="00577EB1">
        <w:rPr>
          <w:lang w:val="fr-FR"/>
        </w:rPr>
        <w:t>iv) les travaux publics</w:t>
      </w:r>
      <w:r w:rsidR="0007340F">
        <w:rPr>
          <w:lang w:val="fr-FR"/>
        </w:rPr>
        <w:t xml:space="preserve"> </w:t>
      </w:r>
      <w:r w:rsidRPr="00577EB1">
        <w:rPr>
          <w:lang w:val="fr-FR"/>
        </w:rPr>
        <w:t xml:space="preserve">et v) les exemptions de frais. La conception et les performances de chaque type de programme sont discutées en tenant compte des bonnes pratiques internationales et d’un ensemble de critères de performance clés, tels que la pertinence, l’adéquation (couverture, niveau des avantages et durée), l’équité, le rapport coût-efficacité, (efficience et efficacité, adéquation des fonds alloués aux coûts administratifs), l’efficacité et la </w:t>
      </w:r>
      <w:r w:rsidR="00BD550B">
        <w:rPr>
          <w:lang w:val="fr-FR"/>
        </w:rPr>
        <w:t>viabilité</w:t>
      </w:r>
      <w:r w:rsidRPr="00577EB1">
        <w:rPr>
          <w:lang w:val="fr-FR"/>
        </w:rPr>
        <w:t xml:space="preserve"> (budgétaire, politique et administrative) [Grosh et coll. 2008].</w:t>
      </w:r>
    </w:p>
    <w:p w:rsidR="004B3541" w:rsidRDefault="00CF3516">
      <w:pPr>
        <w:pStyle w:val="Heading2"/>
      </w:pPr>
      <w:bookmarkStart w:id="139" w:name="_Toc264748734"/>
      <w:r w:rsidRPr="00577EB1">
        <w:lastRenderedPageBreak/>
        <w:t>Transferts monétaires et quasi-monétaires</w:t>
      </w:r>
      <w:bookmarkEnd w:id="139"/>
    </w:p>
    <w:p w:rsidR="00CF3516" w:rsidRPr="00577EB1" w:rsidRDefault="00CF3516" w:rsidP="00E52A30">
      <w:pPr>
        <w:numPr>
          <w:ilvl w:val="0"/>
          <w:numId w:val="2"/>
        </w:numPr>
        <w:ind w:left="0" w:firstLine="0"/>
        <w:rPr>
          <w:lang w:val="fr-FR"/>
        </w:rPr>
      </w:pPr>
      <w:r w:rsidRPr="00577EB1">
        <w:rPr>
          <w:b/>
          <w:lang w:val="fr-FR"/>
        </w:rPr>
        <w:t xml:space="preserve">Des éléments probants montrent, au niveau international, que les transferts monétaires sociaux peuvent avoir un impact positif sur l’éducation, la santé, la nutrition, la sécurité alimentaire et la réduction de la pauvreté en général </w:t>
      </w:r>
      <w:r w:rsidRPr="00577EB1">
        <w:rPr>
          <w:lang w:val="fr-FR"/>
        </w:rPr>
        <w:t>[Grosh et coll. 2008]. Les transferts monétaires sont susceptibles de permettre aux pauvres de mieux gérer les risques sociaux, et de générer toute une série d’impacts positifs. Premièrement, en fournissant un revenu en espèces, ils réduisent directement à court terme la pauvreté tant du revenu que des dépenses. Deuxièmement, étant donné les schémas types de consommation, les ménages pauvres consacrent une part significative de leurs dépenses à la nourriture, améliorant ainsi les résultats nutritionnels. Suivant les décisions d’allocations prises eu sein des ménages, une grande partie de ces dépenses devraient profiter aux enfants. Dans la plupart des cas, les transferts sociaux contribueront également à l’accumulation du capital humain des enfants, en particulier sous la forme d’une amélioration de la fréquentation et des résultats scolaires ainsi que de l’accès aux soins de santé de base. En outre, des signes en évolution indiquent que les transferts sociaux contribuent à une croissance économique pro-pauvre et inclusive. L’éventail des résultats contribue à la réduction de la pauvreté à long terme, en particulier en brisant la transmission intergénérationnelle du manque et de la privation. L’Annexe 2 présente des bonnes pratiques de conception des programmes de transferts monétaires sociaux, et l’Annexe 3 expose quelques bons exemples de programmes de transferts monétaires mis en place en Afrique.</w:t>
      </w:r>
    </w:p>
    <w:p w:rsidR="00CF3516" w:rsidRPr="00577EB1" w:rsidRDefault="00CF3516" w:rsidP="00E52A30">
      <w:pPr>
        <w:numPr>
          <w:ilvl w:val="0"/>
          <w:numId w:val="2"/>
        </w:numPr>
        <w:ind w:left="0" w:firstLine="0"/>
        <w:rPr>
          <w:lang w:val="fr-FR"/>
        </w:rPr>
      </w:pPr>
      <w:r w:rsidRPr="00577EB1">
        <w:rPr>
          <w:b/>
          <w:lang w:val="fr-FR"/>
        </w:rPr>
        <w:t>Tirant profit des enseignements de l’expérience internationale, quelques programmes de transferts monétaires ont été récemment introduits au Burkina Faso</w:t>
      </w:r>
      <w:r w:rsidR="0007340F">
        <w:rPr>
          <w:b/>
          <w:lang w:val="fr-FR"/>
        </w:rPr>
        <w:t xml:space="preserve"> </w:t>
      </w:r>
      <w:r w:rsidRPr="00577EB1">
        <w:rPr>
          <w:lang w:val="fr-FR"/>
        </w:rPr>
        <w:t>le programme pilote de transferts monétaires CNLS-IST</w:t>
      </w:r>
      <w:r w:rsidRPr="00577EB1">
        <w:rPr>
          <w:b/>
          <w:lang w:val="fr-FR"/>
        </w:rPr>
        <w:t xml:space="preserve"> </w:t>
      </w:r>
      <w:r w:rsidRPr="00577EB1">
        <w:rPr>
          <w:lang w:val="fr-FR"/>
        </w:rPr>
        <w:t>et les programmes de coupons alimentaires du CRS et du PAM. Ces programmes dépendent exclusivement d’un financement extérieur et sont mis en œuvre avec l’appui de partenaires internationaux.</w:t>
      </w:r>
    </w:p>
    <w:p w:rsidR="00CF3516" w:rsidRPr="00577EB1" w:rsidRDefault="00CF3516" w:rsidP="00CF3516">
      <w:pPr>
        <w:rPr>
          <w:lang w:val="fr-FR"/>
        </w:rPr>
      </w:pPr>
      <w:r w:rsidRPr="00577EB1">
        <w:rPr>
          <w:b/>
          <w:lang w:val="fr-FR"/>
        </w:rPr>
        <w:t>Transferts monétaires conditionnels et inconditionnels</w:t>
      </w:r>
    </w:p>
    <w:p w:rsidR="00CF3516" w:rsidRPr="00577EB1" w:rsidRDefault="00CF3516" w:rsidP="00E52A30">
      <w:pPr>
        <w:numPr>
          <w:ilvl w:val="0"/>
          <w:numId w:val="2"/>
        </w:numPr>
        <w:spacing w:before="240"/>
        <w:ind w:left="0" w:firstLine="0"/>
        <w:rPr>
          <w:lang w:val="fr-FR"/>
        </w:rPr>
      </w:pPr>
      <w:r w:rsidRPr="00577EB1">
        <w:rPr>
          <w:b/>
          <w:lang w:val="fr-FR"/>
        </w:rPr>
        <w:t>La recherche-action entreprise dans le cadre du CNLS-IST devrait apporter des enseignements précieux sur le rôle des conditionnalités et du genre dans l’impact des transferts monétaires.</w:t>
      </w:r>
      <w:r w:rsidRPr="00577EB1">
        <w:rPr>
          <w:lang w:val="fr-FR"/>
        </w:rPr>
        <w:t xml:space="preserve"> En 2008, le Conseil national de lutte contre le sida et les infections sexuellement transmissibles (CNLS-IST) et la Banque mondiale ont lancé une recherche-action dans la province de Nahouri dans le but d’évaluer le rôle des conditionnalités et du genre dans l’impact des transferts monétaires ciblant les orphelins</w:t>
      </w:r>
      <w:r w:rsidRPr="00577EB1">
        <w:rPr>
          <w:vertAlign w:val="superscript"/>
          <w:lang w:val="fr-FR"/>
        </w:rPr>
        <w:footnoteReference w:id="27"/>
      </w:r>
      <w:r w:rsidRPr="00577EB1">
        <w:rPr>
          <w:lang w:val="fr-FR"/>
        </w:rPr>
        <w:t xml:space="preserve"> et autres enfants vulnérables</w:t>
      </w:r>
      <w:r w:rsidRPr="00577EB1">
        <w:rPr>
          <w:vertAlign w:val="superscript"/>
          <w:lang w:val="fr-FR"/>
        </w:rPr>
        <w:footnoteReference w:id="28"/>
      </w:r>
      <w:r w:rsidRPr="00577EB1">
        <w:rPr>
          <w:lang w:val="fr-FR"/>
        </w:rPr>
        <w:t xml:space="preserve"> (OEV) sur la santé, l’éducation et le bien-être. Le programme couvre un total de 2 600 ménages (approximativement 18 000 personnes). Les villages de la zone d’intervention ont été répartis de manière aléatoire en cinq groupes et 650 ménages ont été sélectionnés également de manière aléatoire parmi les ménages éligibles dans chacun de ces groupes pour participer à la recherche-action (Tableau 16). Ce projet est une des quelques initiatives en Afrique qui visent à évaluer l’avantage comparatif des conditionnalités</w:t>
      </w:r>
      <w:r w:rsidR="0007340F">
        <w:rPr>
          <w:lang w:val="fr-FR"/>
        </w:rPr>
        <w:t xml:space="preserve"> </w:t>
      </w:r>
      <w:r w:rsidRPr="00577EB1">
        <w:rPr>
          <w:lang w:val="fr-FR"/>
        </w:rPr>
        <w:t xml:space="preserve">une recherche-action similaire est en cours en Zambie et au Kenya. Environ 40 % du budget total a été consacré à l’évaluation de l’impact. Les premiers résultats sont attendus au cours de 2010. Les résultats finaux sont attendus en 2011 et </w:t>
      </w:r>
      <w:r w:rsidRPr="00577EB1">
        <w:rPr>
          <w:lang w:val="fr-FR"/>
        </w:rPr>
        <w:lastRenderedPageBreak/>
        <w:t>seront extrêmement utiles pour éclairer la conception de mécanismes appropriés pour assister les OEV, ainsi que les ménages pauvres en général.</w:t>
      </w:r>
    </w:p>
    <w:p w:rsidR="00CF3516" w:rsidRPr="00577EB1" w:rsidRDefault="001F3001" w:rsidP="006F1314">
      <w:pPr>
        <w:pStyle w:val="Heading7"/>
        <w:rPr>
          <w:lang w:val="fr-FR"/>
        </w:rPr>
      </w:pPr>
      <w:bookmarkStart w:id="140" w:name="_Toc284528591"/>
      <w:bookmarkStart w:id="141" w:name="_Toc284530527"/>
      <w:r w:rsidRPr="00577EB1">
        <w:rPr>
          <w:lang w:val="fr-FR"/>
        </w:rPr>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16</w:t>
      </w:r>
      <w:r w:rsidR="00725419" w:rsidRPr="00577EB1">
        <w:rPr>
          <w:lang w:val="fr-FR"/>
        </w:rPr>
        <w:fldChar w:fldCharType="end"/>
      </w:r>
      <w:r w:rsidR="00837FC9">
        <w:rPr>
          <w:lang w:val="fr-FR"/>
        </w:rPr>
        <w:t> :</w:t>
      </w:r>
      <w:r w:rsidR="0007340F">
        <w:rPr>
          <w:lang w:val="fr-FR"/>
        </w:rPr>
        <w:t xml:space="preserve"> </w:t>
      </w:r>
      <w:r w:rsidR="00CF3516" w:rsidRPr="00577EB1">
        <w:rPr>
          <w:lang w:val="fr-FR"/>
        </w:rPr>
        <w:t>Groupes bénéficiaires de la recherche-action du CNLS-IST</w:t>
      </w:r>
      <w:bookmarkEnd w:id="140"/>
      <w:bookmarkEnd w:id="141"/>
    </w:p>
    <w:tbl>
      <w:tblPr>
        <w:tblW w:w="5000" w:type="pct"/>
        <w:tblCellMar>
          <w:left w:w="57" w:type="dxa"/>
          <w:right w:w="57" w:type="dxa"/>
        </w:tblCellMar>
        <w:tblLook w:val="04A0"/>
      </w:tblPr>
      <w:tblGrid>
        <w:gridCol w:w="1847"/>
        <w:gridCol w:w="1492"/>
        <w:gridCol w:w="1221"/>
        <w:gridCol w:w="1357"/>
        <w:gridCol w:w="1629"/>
        <w:gridCol w:w="1357"/>
      </w:tblGrid>
      <w:tr w:rsidR="00CF3516" w:rsidRPr="00577EB1" w:rsidTr="008C3350">
        <w:tc>
          <w:tcPr>
            <w:tcW w:w="1037" w:type="pct"/>
            <w:tcBorders>
              <w:top w:val="single" w:sz="4" w:space="0" w:color="auto"/>
              <w:bottom w:val="single" w:sz="4" w:space="0" w:color="auto"/>
            </w:tcBorders>
          </w:tcPr>
          <w:p w:rsidR="004B3541" w:rsidRDefault="004B3541" w:rsidP="00C5627F">
            <w:pPr>
              <w:keepNext/>
              <w:keepLines/>
              <w:tabs>
                <w:tab w:val="clear" w:pos="709"/>
              </w:tabs>
              <w:spacing w:before="48" w:after="48"/>
              <w:jc w:val="center"/>
              <w:outlineLvl w:val="0"/>
              <w:rPr>
                <w:rFonts w:cs="Arial"/>
                <w:b/>
                <w:caps/>
                <w:sz w:val="20"/>
                <w:szCs w:val="20"/>
                <w:lang w:val="fr-FR"/>
              </w:rPr>
            </w:pPr>
          </w:p>
        </w:tc>
        <w:tc>
          <w:tcPr>
            <w:tcW w:w="838" w:type="pct"/>
            <w:tcBorders>
              <w:top w:val="single" w:sz="4" w:space="0" w:color="auto"/>
              <w:bottom w:val="single" w:sz="4" w:space="0" w:color="auto"/>
            </w:tcBorders>
          </w:tcPr>
          <w:p w:rsidR="004B3541" w:rsidRDefault="00CF3516" w:rsidP="00C5627F">
            <w:pPr>
              <w:keepNext/>
              <w:keepLines/>
              <w:spacing w:before="48" w:after="48"/>
              <w:jc w:val="center"/>
              <w:rPr>
                <w:sz w:val="20"/>
                <w:szCs w:val="20"/>
                <w:lang w:val="fr-FR"/>
              </w:rPr>
            </w:pPr>
            <w:r w:rsidRPr="00577EB1">
              <w:rPr>
                <w:sz w:val="20"/>
                <w:szCs w:val="20"/>
                <w:lang w:val="fr-FR"/>
              </w:rPr>
              <w:t>Groupe 1</w:t>
            </w:r>
          </w:p>
        </w:tc>
        <w:tc>
          <w:tcPr>
            <w:tcW w:w="686" w:type="pct"/>
            <w:tcBorders>
              <w:top w:val="single" w:sz="4" w:space="0" w:color="auto"/>
              <w:bottom w:val="single" w:sz="4" w:space="0" w:color="auto"/>
            </w:tcBorders>
          </w:tcPr>
          <w:p w:rsidR="004B3541" w:rsidRDefault="00CF3516" w:rsidP="00C5627F">
            <w:pPr>
              <w:keepNext/>
              <w:keepLines/>
              <w:spacing w:before="48" w:after="48"/>
              <w:jc w:val="center"/>
              <w:rPr>
                <w:sz w:val="20"/>
                <w:szCs w:val="20"/>
                <w:lang w:val="fr-FR"/>
              </w:rPr>
            </w:pPr>
            <w:r w:rsidRPr="00577EB1">
              <w:rPr>
                <w:sz w:val="20"/>
                <w:szCs w:val="20"/>
                <w:lang w:val="fr-FR"/>
              </w:rPr>
              <w:t>Groupe 2</w:t>
            </w:r>
          </w:p>
        </w:tc>
        <w:tc>
          <w:tcPr>
            <w:tcW w:w="762" w:type="pct"/>
            <w:tcBorders>
              <w:top w:val="single" w:sz="4" w:space="0" w:color="auto"/>
              <w:bottom w:val="single" w:sz="4" w:space="0" w:color="auto"/>
            </w:tcBorders>
          </w:tcPr>
          <w:p w:rsidR="004B3541" w:rsidRDefault="00CF3516" w:rsidP="00C5627F">
            <w:pPr>
              <w:keepNext/>
              <w:keepLines/>
              <w:spacing w:before="48" w:after="48"/>
              <w:jc w:val="center"/>
              <w:rPr>
                <w:sz w:val="20"/>
                <w:szCs w:val="20"/>
                <w:lang w:val="fr-FR"/>
              </w:rPr>
            </w:pPr>
            <w:r w:rsidRPr="00577EB1">
              <w:rPr>
                <w:sz w:val="20"/>
                <w:szCs w:val="20"/>
                <w:lang w:val="fr-FR"/>
              </w:rPr>
              <w:t>Groupe 3</w:t>
            </w:r>
          </w:p>
        </w:tc>
        <w:tc>
          <w:tcPr>
            <w:tcW w:w="915" w:type="pct"/>
            <w:tcBorders>
              <w:top w:val="single" w:sz="4" w:space="0" w:color="auto"/>
              <w:bottom w:val="single" w:sz="4" w:space="0" w:color="auto"/>
            </w:tcBorders>
          </w:tcPr>
          <w:p w:rsidR="004B3541" w:rsidRDefault="00CF3516" w:rsidP="00C5627F">
            <w:pPr>
              <w:keepNext/>
              <w:keepLines/>
              <w:spacing w:before="48" w:after="48"/>
              <w:jc w:val="center"/>
              <w:rPr>
                <w:sz w:val="20"/>
                <w:szCs w:val="20"/>
                <w:lang w:val="fr-FR"/>
              </w:rPr>
            </w:pPr>
            <w:r w:rsidRPr="00577EB1">
              <w:rPr>
                <w:sz w:val="20"/>
                <w:szCs w:val="20"/>
                <w:lang w:val="fr-FR"/>
              </w:rPr>
              <w:t>Groupe 4</w:t>
            </w:r>
          </w:p>
        </w:tc>
        <w:tc>
          <w:tcPr>
            <w:tcW w:w="762" w:type="pct"/>
            <w:tcBorders>
              <w:top w:val="single" w:sz="4" w:space="0" w:color="auto"/>
              <w:bottom w:val="single" w:sz="4" w:space="0" w:color="auto"/>
            </w:tcBorders>
          </w:tcPr>
          <w:p w:rsidR="004B3541" w:rsidRDefault="00CF3516" w:rsidP="00C5627F">
            <w:pPr>
              <w:keepNext/>
              <w:keepLines/>
              <w:spacing w:before="48" w:after="48"/>
              <w:jc w:val="center"/>
              <w:rPr>
                <w:sz w:val="20"/>
                <w:szCs w:val="20"/>
                <w:lang w:val="fr-FR"/>
              </w:rPr>
            </w:pPr>
            <w:r w:rsidRPr="00577EB1">
              <w:rPr>
                <w:sz w:val="20"/>
                <w:szCs w:val="20"/>
                <w:lang w:val="fr-FR"/>
              </w:rPr>
              <w:t>Groupe 5</w:t>
            </w:r>
          </w:p>
        </w:tc>
      </w:tr>
      <w:tr w:rsidR="00CF3516" w:rsidRPr="00577EB1" w:rsidTr="008C3350">
        <w:tc>
          <w:tcPr>
            <w:tcW w:w="1037" w:type="pct"/>
          </w:tcPr>
          <w:p w:rsidR="004B3541" w:rsidRDefault="00CF3516" w:rsidP="00C5627F">
            <w:pPr>
              <w:keepNext/>
              <w:keepLines/>
              <w:spacing w:before="48" w:after="48"/>
              <w:rPr>
                <w:sz w:val="20"/>
                <w:szCs w:val="20"/>
                <w:lang w:val="fr-FR"/>
              </w:rPr>
            </w:pPr>
            <w:r w:rsidRPr="00577EB1">
              <w:rPr>
                <w:sz w:val="20"/>
                <w:szCs w:val="20"/>
                <w:lang w:val="fr-FR"/>
              </w:rPr>
              <w:t>Taille</w:t>
            </w:r>
          </w:p>
        </w:tc>
        <w:tc>
          <w:tcPr>
            <w:tcW w:w="838" w:type="pct"/>
          </w:tcPr>
          <w:p w:rsidR="004B3541" w:rsidRDefault="00CF3516" w:rsidP="00C5627F">
            <w:pPr>
              <w:keepNext/>
              <w:keepLines/>
              <w:spacing w:before="48" w:after="48"/>
              <w:jc w:val="center"/>
              <w:rPr>
                <w:sz w:val="20"/>
                <w:szCs w:val="20"/>
                <w:lang w:val="fr-FR"/>
              </w:rPr>
            </w:pPr>
            <w:r w:rsidRPr="00577EB1">
              <w:rPr>
                <w:sz w:val="20"/>
                <w:szCs w:val="20"/>
                <w:lang w:val="fr-FR"/>
              </w:rPr>
              <w:t>15 villages</w:t>
            </w:r>
          </w:p>
          <w:p w:rsidR="004B3541" w:rsidRDefault="00CF3516" w:rsidP="00C5627F">
            <w:pPr>
              <w:keepNext/>
              <w:keepLines/>
              <w:spacing w:before="48" w:after="48"/>
              <w:jc w:val="center"/>
              <w:rPr>
                <w:sz w:val="20"/>
                <w:szCs w:val="20"/>
                <w:lang w:val="fr-FR"/>
              </w:rPr>
            </w:pPr>
            <w:r w:rsidRPr="00577EB1">
              <w:rPr>
                <w:sz w:val="20"/>
                <w:szCs w:val="20"/>
                <w:lang w:val="fr-FR"/>
              </w:rPr>
              <w:t>650 ménages</w:t>
            </w:r>
          </w:p>
        </w:tc>
        <w:tc>
          <w:tcPr>
            <w:tcW w:w="686" w:type="pct"/>
          </w:tcPr>
          <w:p w:rsidR="004B3541" w:rsidRDefault="00CF3516" w:rsidP="00C5627F">
            <w:pPr>
              <w:keepNext/>
              <w:keepLines/>
              <w:spacing w:before="48" w:after="48"/>
              <w:jc w:val="center"/>
              <w:rPr>
                <w:sz w:val="20"/>
                <w:szCs w:val="20"/>
                <w:lang w:val="fr-FR"/>
              </w:rPr>
            </w:pPr>
            <w:r w:rsidRPr="00577EB1">
              <w:rPr>
                <w:sz w:val="20"/>
                <w:szCs w:val="20"/>
                <w:lang w:val="fr-FR"/>
              </w:rPr>
              <w:t>15 villages</w:t>
            </w:r>
          </w:p>
          <w:p w:rsidR="004B3541" w:rsidRDefault="00CF3516" w:rsidP="00C5627F">
            <w:pPr>
              <w:keepNext/>
              <w:keepLines/>
              <w:spacing w:before="48" w:after="48"/>
              <w:jc w:val="center"/>
              <w:rPr>
                <w:sz w:val="20"/>
                <w:szCs w:val="20"/>
                <w:lang w:val="fr-FR"/>
              </w:rPr>
            </w:pPr>
            <w:r w:rsidRPr="00577EB1">
              <w:rPr>
                <w:sz w:val="20"/>
                <w:szCs w:val="20"/>
                <w:lang w:val="fr-FR"/>
              </w:rPr>
              <w:t>650 ménages</w:t>
            </w:r>
          </w:p>
        </w:tc>
        <w:tc>
          <w:tcPr>
            <w:tcW w:w="762" w:type="pct"/>
          </w:tcPr>
          <w:p w:rsidR="004B3541" w:rsidRDefault="00CF3516" w:rsidP="004B3541">
            <w:pPr>
              <w:keepNext/>
              <w:keepLines/>
              <w:spacing w:before="48" w:after="48"/>
              <w:jc w:val="center"/>
              <w:rPr>
                <w:sz w:val="20"/>
                <w:szCs w:val="20"/>
                <w:lang w:val="fr-FR"/>
              </w:rPr>
            </w:pPr>
            <w:r w:rsidRPr="00577EB1">
              <w:rPr>
                <w:sz w:val="20"/>
                <w:szCs w:val="20"/>
                <w:lang w:val="fr-FR"/>
              </w:rPr>
              <w:t>15 villages</w:t>
            </w:r>
          </w:p>
          <w:p w:rsidR="004B3541" w:rsidRDefault="00CF3516" w:rsidP="004B3541">
            <w:pPr>
              <w:keepNext/>
              <w:keepLines/>
              <w:spacing w:before="48" w:after="48"/>
              <w:jc w:val="center"/>
              <w:rPr>
                <w:sz w:val="20"/>
                <w:szCs w:val="20"/>
                <w:lang w:val="fr-FR"/>
              </w:rPr>
            </w:pPr>
            <w:r w:rsidRPr="00577EB1">
              <w:rPr>
                <w:sz w:val="20"/>
                <w:szCs w:val="20"/>
                <w:lang w:val="fr-FR"/>
              </w:rPr>
              <w:t>650 ménages</w:t>
            </w:r>
          </w:p>
        </w:tc>
        <w:tc>
          <w:tcPr>
            <w:tcW w:w="915" w:type="pct"/>
          </w:tcPr>
          <w:p w:rsidR="004B3541" w:rsidRDefault="00CF3516" w:rsidP="004B3541">
            <w:pPr>
              <w:keepNext/>
              <w:keepLines/>
              <w:spacing w:before="48" w:after="48"/>
              <w:jc w:val="center"/>
              <w:rPr>
                <w:sz w:val="20"/>
                <w:szCs w:val="20"/>
                <w:lang w:val="fr-FR"/>
              </w:rPr>
            </w:pPr>
            <w:r w:rsidRPr="00577EB1">
              <w:rPr>
                <w:sz w:val="20"/>
                <w:szCs w:val="20"/>
                <w:lang w:val="fr-FR"/>
              </w:rPr>
              <w:t>15 villages</w:t>
            </w:r>
          </w:p>
          <w:p w:rsidR="004B3541" w:rsidRDefault="00CF3516" w:rsidP="004B3541">
            <w:pPr>
              <w:keepNext/>
              <w:keepLines/>
              <w:spacing w:before="48" w:after="48"/>
              <w:jc w:val="center"/>
              <w:rPr>
                <w:sz w:val="20"/>
                <w:szCs w:val="20"/>
                <w:lang w:val="fr-FR"/>
              </w:rPr>
            </w:pPr>
            <w:r w:rsidRPr="00577EB1">
              <w:rPr>
                <w:sz w:val="20"/>
                <w:szCs w:val="20"/>
                <w:lang w:val="fr-FR"/>
              </w:rPr>
              <w:t>650 ménages</w:t>
            </w:r>
          </w:p>
        </w:tc>
        <w:tc>
          <w:tcPr>
            <w:tcW w:w="762" w:type="pct"/>
          </w:tcPr>
          <w:p w:rsidR="004B3541" w:rsidRDefault="00CF3516" w:rsidP="004B3541">
            <w:pPr>
              <w:keepNext/>
              <w:keepLines/>
              <w:spacing w:before="48" w:after="48"/>
              <w:jc w:val="center"/>
              <w:rPr>
                <w:sz w:val="20"/>
                <w:szCs w:val="20"/>
                <w:lang w:val="fr-FR"/>
              </w:rPr>
            </w:pPr>
            <w:r w:rsidRPr="00577EB1">
              <w:rPr>
                <w:sz w:val="20"/>
                <w:szCs w:val="20"/>
                <w:lang w:val="fr-FR"/>
              </w:rPr>
              <w:t>15 villages</w:t>
            </w:r>
          </w:p>
          <w:p w:rsidR="004B3541" w:rsidRDefault="00CF3516" w:rsidP="004B3541">
            <w:pPr>
              <w:keepNext/>
              <w:keepLines/>
              <w:spacing w:before="48" w:after="48"/>
              <w:jc w:val="center"/>
              <w:rPr>
                <w:sz w:val="20"/>
                <w:szCs w:val="20"/>
                <w:lang w:val="fr-FR"/>
              </w:rPr>
            </w:pPr>
            <w:r w:rsidRPr="00577EB1">
              <w:rPr>
                <w:sz w:val="20"/>
                <w:szCs w:val="20"/>
                <w:lang w:val="fr-FR"/>
              </w:rPr>
              <w:t>650 ménages</w:t>
            </w:r>
          </w:p>
        </w:tc>
      </w:tr>
      <w:tr w:rsidR="00CF3516" w:rsidRPr="00577EB1" w:rsidTr="008C3350">
        <w:trPr>
          <w:trHeight w:val="540"/>
        </w:trPr>
        <w:tc>
          <w:tcPr>
            <w:tcW w:w="1037" w:type="pct"/>
          </w:tcPr>
          <w:p w:rsidR="004B3541" w:rsidRDefault="00CF3516" w:rsidP="00C5627F">
            <w:pPr>
              <w:keepNext/>
              <w:keepLines/>
              <w:spacing w:before="48" w:after="48"/>
              <w:rPr>
                <w:sz w:val="20"/>
                <w:szCs w:val="20"/>
                <w:lang w:val="fr-FR"/>
              </w:rPr>
            </w:pPr>
            <w:r w:rsidRPr="00577EB1">
              <w:rPr>
                <w:sz w:val="20"/>
                <w:szCs w:val="20"/>
                <w:lang w:val="fr-FR"/>
              </w:rPr>
              <w:t>Droits aux transferts monétaires</w:t>
            </w:r>
          </w:p>
        </w:tc>
        <w:tc>
          <w:tcPr>
            <w:tcW w:w="838" w:type="pct"/>
          </w:tcPr>
          <w:p w:rsidR="004B3541" w:rsidRDefault="00CF3516" w:rsidP="00C5627F">
            <w:pPr>
              <w:keepNext/>
              <w:keepLines/>
              <w:spacing w:before="48" w:after="48"/>
              <w:jc w:val="center"/>
              <w:rPr>
                <w:sz w:val="20"/>
                <w:szCs w:val="20"/>
                <w:lang w:val="fr-FR"/>
              </w:rPr>
            </w:pPr>
            <w:r w:rsidRPr="00577EB1">
              <w:rPr>
                <w:sz w:val="20"/>
                <w:szCs w:val="20"/>
                <w:lang w:val="fr-FR"/>
              </w:rPr>
              <w:t>Oui</w:t>
            </w:r>
          </w:p>
        </w:tc>
        <w:tc>
          <w:tcPr>
            <w:tcW w:w="686" w:type="pct"/>
          </w:tcPr>
          <w:p w:rsidR="004B3541" w:rsidRDefault="00CF3516" w:rsidP="00C5627F">
            <w:pPr>
              <w:keepNext/>
              <w:keepLines/>
              <w:spacing w:before="48" w:after="48"/>
              <w:jc w:val="center"/>
              <w:rPr>
                <w:sz w:val="20"/>
                <w:szCs w:val="20"/>
                <w:lang w:val="fr-FR"/>
              </w:rPr>
            </w:pPr>
            <w:r w:rsidRPr="00577EB1">
              <w:rPr>
                <w:sz w:val="20"/>
                <w:szCs w:val="20"/>
                <w:lang w:val="fr-FR"/>
              </w:rPr>
              <w:t>Oui</w:t>
            </w:r>
          </w:p>
        </w:tc>
        <w:tc>
          <w:tcPr>
            <w:tcW w:w="762" w:type="pct"/>
          </w:tcPr>
          <w:p w:rsidR="004B3541" w:rsidRDefault="00CF3516" w:rsidP="00C5627F">
            <w:pPr>
              <w:keepNext/>
              <w:keepLines/>
              <w:spacing w:before="48" w:after="48"/>
              <w:jc w:val="center"/>
              <w:rPr>
                <w:sz w:val="20"/>
                <w:szCs w:val="20"/>
                <w:lang w:val="fr-FR"/>
              </w:rPr>
            </w:pPr>
            <w:r w:rsidRPr="00577EB1">
              <w:rPr>
                <w:sz w:val="20"/>
                <w:szCs w:val="20"/>
                <w:lang w:val="fr-FR"/>
              </w:rPr>
              <w:t>Oui</w:t>
            </w:r>
          </w:p>
        </w:tc>
        <w:tc>
          <w:tcPr>
            <w:tcW w:w="915" w:type="pct"/>
          </w:tcPr>
          <w:p w:rsidR="004B3541" w:rsidRDefault="00CF3516" w:rsidP="00C5627F">
            <w:pPr>
              <w:keepNext/>
              <w:keepLines/>
              <w:spacing w:before="48" w:after="48"/>
              <w:jc w:val="center"/>
              <w:rPr>
                <w:sz w:val="20"/>
                <w:szCs w:val="20"/>
                <w:lang w:val="fr-FR"/>
              </w:rPr>
            </w:pPr>
            <w:r w:rsidRPr="00577EB1">
              <w:rPr>
                <w:sz w:val="20"/>
                <w:szCs w:val="20"/>
                <w:lang w:val="fr-FR"/>
              </w:rPr>
              <w:t>Oui</w:t>
            </w:r>
          </w:p>
        </w:tc>
        <w:tc>
          <w:tcPr>
            <w:tcW w:w="762" w:type="pct"/>
          </w:tcPr>
          <w:p w:rsidR="004B3541" w:rsidRDefault="00CF3516" w:rsidP="004B3541">
            <w:pPr>
              <w:keepNext/>
              <w:keepLines/>
              <w:spacing w:before="48" w:after="48"/>
              <w:jc w:val="center"/>
              <w:rPr>
                <w:sz w:val="20"/>
                <w:szCs w:val="20"/>
                <w:lang w:val="fr-FR"/>
              </w:rPr>
            </w:pPr>
            <w:r w:rsidRPr="00577EB1">
              <w:rPr>
                <w:sz w:val="20"/>
                <w:szCs w:val="20"/>
                <w:lang w:val="fr-FR"/>
              </w:rPr>
              <w:t>Non (contrôle)</w:t>
            </w:r>
          </w:p>
        </w:tc>
      </w:tr>
      <w:tr w:rsidR="00CF3516" w:rsidRPr="00577EB1" w:rsidTr="008C3350">
        <w:tc>
          <w:tcPr>
            <w:tcW w:w="1037" w:type="pct"/>
          </w:tcPr>
          <w:p w:rsidR="004B3541" w:rsidRDefault="00CF3516" w:rsidP="00C5627F">
            <w:pPr>
              <w:keepNext/>
              <w:keepLines/>
              <w:spacing w:before="48" w:after="48"/>
              <w:rPr>
                <w:sz w:val="20"/>
                <w:szCs w:val="20"/>
                <w:lang w:val="fr-FR"/>
              </w:rPr>
            </w:pPr>
            <w:r w:rsidRPr="00577EB1">
              <w:rPr>
                <w:sz w:val="20"/>
                <w:szCs w:val="20"/>
                <w:lang w:val="fr-FR"/>
              </w:rPr>
              <w:t>Conditionnalité</w:t>
            </w:r>
          </w:p>
        </w:tc>
        <w:tc>
          <w:tcPr>
            <w:tcW w:w="838" w:type="pct"/>
          </w:tcPr>
          <w:p w:rsidR="004B3541" w:rsidRDefault="00CF3516" w:rsidP="00C5627F">
            <w:pPr>
              <w:keepNext/>
              <w:keepLines/>
              <w:spacing w:before="48" w:after="48"/>
              <w:jc w:val="center"/>
              <w:rPr>
                <w:sz w:val="20"/>
                <w:szCs w:val="20"/>
                <w:lang w:val="fr-FR"/>
              </w:rPr>
            </w:pPr>
            <w:r w:rsidRPr="00577EB1">
              <w:rPr>
                <w:sz w:val="20"/>
                <w:szCs w:val="20"/>
                <w:lang w:val="fr-FR"/>
              </w:rPr>
              <w:t>Non</w:t>
            </w:r>
          </w:p>
        </w:tc>
        <w:tc>
          <w:tcPr>
            <w:tcW w:w="686" w:type="pct"/>
          </w:tcPr>
          <w:p w:rsidR="004B3541" w:rsidRDefault="00CF3516" w:rsidP="00C5627F">
            <w:pPr>
              <w:keepNext/>
              <w:keepLines/>
              <w:spacing w:before="48" w:after="48"/>
              <w:jc w:val="center"/>
              <w:rPr>
                <w:sz w:val="20"/>
                <w:szCs w:val="20"/>
                <w:lang w:val="fr-FR"/>
              </w:rPr>
            </w:pPr>
            <w:r w:rsidRPr="00577EB1">
              <w:rPr>
                <w:sz w:val="20"/>
                <w:szCs w:val="20"/>
                <w:lang w:val="fr-FR"/>
              </w:rPr>
              <w:t>Non</w:t>
            </w:r>
          </w:p>
        </w:tc>
        <w:tc>
          <w:tcPr>
            <w:tcW w:w="762" w:type="pct"/>
          </w:tcPr>
          <w:p w:rsidR="004B3541" w:rsidRDefault="00CF3516" w:rsidP="00C5627F">
            <w:pPr>
              <w:keepNext/>
              <w:keepLines/>
              <w:spacing w:before="48" w:after="48"/>
              <w:jc w:val="center"/>
              <w:rPr>
                <w:sz w:val="20"/>
                <w:szCs w:val="20"/>
                <w:lang w:val="fr-FR"/>
              </w:rPr>
            </w:pPr>
            <w:r w:rsidRPr="00577EB1">
              <w:rPr>
                <w:sz w:val="20"/>
                <w:szCs w:val="20"/>
                <w:lang w:val="fr-FR"/>
              </w:rPr>
              <w:t>Oui</w:t>
            </w:r>
          </w:p>
        </w:tc>
        <w:tc>
          <w:tcPr>
            <w:tcW w:w="915" w:type="pct"/>
          </w:tcPr>
          <w:p w:rsidR="004B3541" w:rsidRDefault="00CF3516" w:rsidP="00C5627F">
            <w:pPr>
              <w:keepNext/>
              <w:keepLines/>
              <w:spacing w:before="48" w:after="48"/>
              <w:jc w:val="center"/>
              <w:rPr>
                <w:sz w:val="20"/>
                <w:szCs w:val="20"/>
                <w:lang w:val="fr-FR"/>
              </w:rPr>
            </w:pPr>
            <w:r w:rsidRPr="00577EB1">
              <w:rPr>
                <w:sz w:val="20"/>
                <w:szCs w:val="20"/>
                <w:lang w:val="fr-FR"/>
              </w:rPr>
              <w:t>Oui</w:t>
            </w:r>
          </w:p>
        </w:tc>
        <w:tc>
          <w:tcPr>
            <w:tcW w:w="762" w:type="pct"/>
          </w:tcPr>
          <w:p w:rsidR="004B3541" w:rsidRDefault="00CF3516" w:rsidP="004B3541">
            <w:pPr>
              <w:keepNext/>
              <w:keepLines/>
              <w:spacing w:before="48" w:after="48"/>
              <w:jc w:val="center"/>
              <w:rPr>
                <w:sz w:val="20"/>
                <w:szCs w:val="20"/>
                <w:lang w:val="fr-FR"/>
              </w:rPr>
            </w:pPr>
            <w:r w:rsidRPr="00577EB1">
              <w:rPr>
                <w:sz w:val="20"/>
                <w:szCs w:val="20"/>
                <w:lang w:val="fr-FR"/>
              </w:rPr>
              <w:t>sans objet</w:t>
            </w:r>
          </w:p>
        </w:tc>
      </w:tr>
      <w:tr w:rsidR="00CF3516" w:rsidRPr="00577EB1" w:rsidTr="008C3350">
        <w:tc>
          <w:tcPr>
            <w:tcW w:w="1037" w:type="pct"/>
          </w:tcPr>
          <w:p w:rsidR="004B3541" w:rsidRDefault="00CF3516" w:rsidP="00C5627F">
            <w:pPr>
              <w:keepNext/>
              <w:keepLines/>
              <w:spacing w:before="48" w:after="48"/>
              <w:rPr>
                <w:sz w:val="20"/>
                <w:szCs w:val="20"/>
                <w:lang w:val="fr-FR"/>
              </w:rPr>
            </w:pPr>
            <w:r w:rsidRPr="00577EB1">
              <w:rPr>
                <w:sz w:val="20"/>
                <w:szCs w:val="20"/>
                <w:lang w:val="fr-FR"/>
              </w:rPr>
              <w:t xml:space="preserve">Niveau des avantages </w:t>
            </w:r>
          </w:p>
        </w:tc>
        <w:tc>
          <w:tcPr>
            <w:tcW w:w="838" w:type="pct"/>
          </w:tcPr>
          <w:p w:rsidR="004B3541" w:rsidRDefault="004B3541" w:rsidP="00C5627F">
            <w:pPr>
              <w:keepNext/>
              <w:keepLines/>
              <w:spacing w:before="48" w:after="48"/>
              <w:jc w:val="center"/>
              <w:rPr>
                <w:sz w:val="20"/>
                <w:szCs w:val="20"/>
                <w:lang w:val="fr-FR"/>
              </w:rPr>
            </w:pPr>
          </w:p>
        </w:tc>
        <w:tc>
          <w:tcPr>
            <w:tcW w:w="686" w:type="pct"/>
          </w:tcPr>
          <w:p w:rsidR="004B3541" w:rsidRDefault="004B3541" w:rsidP="00C5627F">
            <w:pPr>
              <w:keepNext/>
              <w:keepLines/>
              <w:spacing w:before="48" w:after="48"/>
              <w:jc w:val="center"/>
              <w:rPr>
                <w:sz w:val="20"/>
                <w:szCs w:val="20"/>
                <w:lang w:val="fr-FR"/>
              </w:rPr>
            </w:pPr>
          </w:p>
        </w:tc>
        <w:tc>
          <w:tcPr>
            <w:tcW w:w="762" w:type="pct"/>
          </w:tcPr>
          <w:p w:rsidR="004B3541" w:rsidRDefault="004B3541" w:rsidP="00C5627F">
            <w:pPr>
              <w:keepNext/>
              <w:keepLines/>
              <w:spacing w:before="48" w:after="48"/>
              <w:jc w:val="center"/>
              <w:rPr>
                <w:sz w:val="20"/>
                <w:szCs w:val="20"/>
                <w:lang w:val="fr-FR"/>
              </w:rPr>
            </w:pPr>
          </w:p>
        </w:tc>
        <w:tc>
          <w:tcPr>
            <w:tcW w:w="915" w:type="pct"/>
          </w:tcPr>
          <w:p w:rsidR="004B3541" w:rsidRDefault="004B3541" w:rsidP="00C5627F">
            <w:pPr>
              <w:keepNext/>
              <w:keepLines/>
              <w:spacing w:before="48" w:after="48"/>
              <w:jc w:val="center"/>
              <w:rPr>
                <w:sz w:val="20"/>
                <w:szCs w:val="20"/>
                <w:lang w:val="fr-FR"/>
              </w:rPr>
            </w:pPr>
          </w:p>
        </w:tc>
        <w:tc>
          <w:tcPr>
            <w:tcW w:w="762" w:type="pct"/>
          </w:tcPr>
          <w:p w:rsidR="004B3541" w:rsidRDefault="004B3541" w:rsidP="004B3541">
            <w:pPr>
              <w:keepNext/>
              <w:keepLines/>
              <w:spacing w:before="48" w:after="48"/>
              <w:jc w:val="center"/>
              <w:rPr>
                <w:sz w:val="20"/>
                <w:szCs w:val="20"/>
                <w:lang w:val="fr-FR"/>
              </w:rPr>
            </w:pPr>
          </w:p>
        </w:tc>
      </w:tr>
      <w:tr w:rsidR="00CF3516" w:rsidRPr="00577EB1" w:rsidTr="008C3350">
        <w:tc>
          <w:tcPr>
            <w:tcW w:w="1037" w:type="pct"/>
          </w:tcPr>
          <w:p w:rsidR="004B3541" w:rsidRDefault="00CF3516" w:rsidP="00C5627F">
            <w:pPr>
              <w:keepNext/>
              <w:keepLines/>
              <w:spacing w:before="48" w:after="48"/>
              <w:ind w:left="142"/>
              <w:rPr>
                <w:sz w:val="20"/>
                <w:szCs w:val="20"/>
                <w:lang w:val="fr-FR"/>
              </w:rPr>
            </w:pPr>
            <w:r w:rsidRPr="00577EB1">
              <w:rPr>
                <w:sz w:val="20"/>
                <w:szCs w:val="20"/>
                <w:lang w:val="fr-FR"/>
              </w:rPr>
              <w:t xml:space="preserve">pour les enfants de </w:t>
            </w:r>
          </w:p>
          <w:p w:rsidR="004B3541" w:rsidRDefault="00CF3516" w:rsidP="00C5627F">
            <w:pPr>
              <w:keepNext/>
              <w:keepLines/>
              <w:spacing w:before="48" w:after="48"/>
              <w:ind w:left="142"/>
              <w:rPr>
                <w:sz w:val="20"/>
                <w:szCs w:val="20"/>
                <w:lang w:val="fr-FR"/>
              </w:rPr>
            </w:pPr>
            <w:r w:rsidRPr="00577EB1">
              <w:rPr>
                <w:sz w:val="20"/>
                <w:szCs w:val="20"/>
                <w:lang w:val="fr-FR"/>
              </w:rPr>
              <w:t>0 à 6 ans</w:t>
            </w:r>
          </w:p>
        </w:tc>
        <w:tc>
          <w:tcPr>
            <w:tcW w:w="1524" w:type="pct"/>
            <w:gridSpan w:val="2"/>
          </w:tcPr>
          <w:p w:rsidR="004B3541" w:rsidRDefault="00CF3516" w:rsidP="00C5627F">
            <w:pPr>
              <w:keepNext/>
              <w:keepLines/>
              <w:spacing w:before="48" w:after="48"/>
              <w:jc w:val="center"/>
              <w:rPr>
                <w:bCs/>
                <w:sz w:val="20"/>
                <w:szCs w:val="20"/>
                <w:lang w:val="fr-FR"/>
              </w:rPr>
            </w:pPr>
            <w:r w:rsidRPr="00577EB1">
              <w:rPr>
                <w:bCs/>
                <w:sz w:val="20"/>
                <w:szCs w:val="20"/>
                <w:lang w:val="fr-FR"/>
              </w:rPr>
              <w:t>1 000 francs CFA/trimestre</w:t>
            </w:r>
          </w:p>
        </w:tc>
        <w:tc>
          <w:tcPr>
            <w:tcW w:w="1677" w:type="pct"/>
            <w:gridSpan w:val="2"/>
          </w:tcPr>
          <w:p w:rsidR="004B3541" w:rsidRDefault="00CF3516" w:rsidP="00C5627F">
            <w:pPr>
              <w:keepNext/>
              <w:keepLines/>
              <w:spacing w:before="48" w:after="48"/>
              <w:jc w:val="center"/>
              <w:rPr>
                <w:sz w:val="20"/>
                <w:szCs w:val="20"/>
                <w:lang w:val="fr-FR"/>
              </w:rPr>
            </w:pPr>
            <w:r w:rsidRPr="00577EB1">
              <w:rPr>
                <w:bCs/>
                <w:sz w:val="20"/>
                <w:szCs w:val="20"/>
                <w:lang w:val="fr-FR"/>
              </w:rPr>
              <w:t>1 000 francs CFA/ trimestre</w:t>
            </w:r>
            <w:r w:rsidRPr="00577EB1">
              <w:rPr>
                <w:sz w:val="20"/>
                <w:szCs w:val="20"/>
                <w:lang w:val="fr-FR"/>
              </w:rPr>
              <w:t xml:space="preserve"> conditionné par des visites à un centre de santé</w:t>
            </w:r>
          </w:p>
        </w:tc>
        <w:tc>
          <w:tcPr>
            <w:tcW w:w="762" w:type="pct"/>
          </w:tcPr>
          <w:p w:rsidR="004B3541" w:rsidRDefault="00CF3516" w:rsidP="00C5627F">
            <w:pPr>
              <w:keepNext/>
              <w:keepLines/>
              <w:spacing w:before="48" w:after="48"/>
              <w:jc w:val="center"/>
              <w:rPr>
                <w:sz w:val="20"/>
                <w:szCs w:val="20"/>
                <w:lang w:val="fr-FR"/>
              </w:rPr>
            </w:pPr>
            <w:r w:rsidRPr="00577EB1">
              <w:rPr>
                <w:sz w:val="20"/>
                <w:szCs w:val="20"/>
                <w:lang w:val="fr-FR"/>
              </w:rPr>
              <w:t>sans objet</w:t>
            </w:r>
          </w:p>
        </w:tc>
      </w:tr>
      <w:tr w:rsidR="00CF3516" w:rsidRPr="00577EB1" w:rsidTr="008C3350">
        <w:tc>
          <w:tcPr>
            <w:tcW w:w="1037" w:type="pct"/>
          </w:tcPr>
          <w:p w:rsidR="004B3541" w:rsidRDefault="00CF3516" w:rsidP="00C5627F">
            <w:pPr>
              <w:keepNext/>
              <w:keepLines/>
              <w:spacing w:before="48" w:after="48"/>
              <w:ind w:left="142"/>
              <w:rPr>
                <w:sz w:val="20"/>
                <w:szCs w:val="20"/>
                <w:lang w:val="fr-FR"/>
              </w:rPr>
            </w:pPr>
            <w:r w:rsidRPr="00577EB1">
              <w:rPr>
                <w:sz w:val="20"/>
                <w:szCs w:val="20"/>
                <w:lang w:val="fr-FR"/>
              </w:rPr>
              <w:t xml:space="preserve">pour les enfants de </w:t>
            </w:r>
          </w:p>
          <w:p w:rsidR="004B3541" w:rsidRDefault="00CF3516" w:rsidP="00C5627F">
            <w:pPr>
              <w:keepNext/>
              <w:keepLines/>
              <w:spacing w:before="48" w:after="48"/>
              <w:ind w:left="142"/>
              <w:rPr>
                <w:sz w:val="20"/>
                <w:szCs w:val="20"/>
                <w:lang w:val="fr-FR"/>
              </w:rPr>
            </w:pPr>
            <w:r w:rsidRPr="00577EB1">
              <w:rPr>
                <w:sz w:val="20"/>
                <w:szCs w:val="20"/>
                <w:lang w:val="fr-FR"/>
              </w:rPr>
              <w:t>7 à 10 ans</w:t>
            </w:r>
          </w:p>
        </w:tc>
        <w:tc>
          <w:tcPr>
            <w:tcW w:w="1524" w:type="pct"/>
            <w:gridSpan w:val="2"/>
          </w:tcPr>
          <w:p w:rsidR="004B3541" w:rsidRDefault="00CF3516" w:rsidP="00C5627F">
            <w:pPr>
              <w:keepNext/>
              <w:keepLines/>
              <w:spacing w:before="48" w:after="48"/>
              <w:jc w:val="center"/>
              <w:rPr>
                <w:bCs/>
                <w:sz w:val="20"/>
                <w:szCs w:val="20"/>
                <w:lang w:val="fr-FR"/>
              </w:rPr>
            </w:pPr>
            <w:r w:rsidRPr="00577EB1">
              <w:rPr>
                <w:bCs/>
                <w:sz w:val="20"/>
                <w:szCs w:val="20"/>
                <w:lang w:val="fr-FR"/>
              </w:rPr>
              <w:t>2 000 francs CFA/ trimestre</w:t>
            </w:r>
          </w:p>
        </w:tc>
        <w:tc>
          <w:tcPr>
            <w:tcW w:w="1677" w:type="pct"/>
            <w:gridSpan w:val="2"/>
          </w:tcPr>
          <w:p w:rsidR="004B3541" w:rsidRDefault="00CF3516" w:rsidP="00C5627F">
            <w:pPr>
              <w:keepNext/>
              <w:keepLines/>
              <w:spacing w:before="48" w:after="48"/>
              <w:jc w:val="center"/>
              <w:rPr>
                <w:sz w:val="20"/>
                <w:szCs w:val="20"/>
                <w:lang w:val="fr-FR"/>
              </w:rPr>
            </w:pPr>
            <w:r w:rsidRPr="00577EB1">
              <w:rPr>
                <w:bCs/>
                <w:sz w:val="20"/>
                <w:szCs w:val="20"/>
                <w:lang w:val="fr-FR"/>
              </w:rPr>
              <w:t>2 000 francs CFA/ trimestre conditionné par l’assiduité scolaire (90 %) (classes CP1 à CE2)</w:t>
            </w:r>
          </w:p>
        </w:tc>
        <w:tc>
          <w:tcPr>
            <w:tcW w:w="762" w:type="pct"/>
          </w:tcPr>
          <w:p w:rsidR="004B3541" w:rsidRDefault="00CF3516" w:rsidP="00C5627F">
            <w:pPr>
              <w:keepNext/>
              <w:keepLines/>
              <w:spacing w:before="48" w:after="48"/>
              <w:jc w:val="center"/>
              <w:rPr>
                <w:sz w:val="20"/>
                <w:szCs w:val="20"/>
                <w:lang w:val="fr-FR"/>
              </w:rPr>
            </w:pPr>
            <w:r w:rsidRPr="00577EB1">
              <w:rPr>
                <w:sz w:val="20"/>
                <w:szCs w:val="20"/>
                <w:lang w:val="fr-FR"/>
              </w:rPr>
              <w:t>sans objet</w:t>
            </w:r>
          </w:p>
        </w:tc>
      </w:tr>
      <w:tr w:rsidR="00CF3516" w:rsidRPr="00577EB1" w:rsidTr="008C3350">
        <w:tc>
          <w:tcPr>
            <w:tcW w:w="1037" w:type="pct"/>
          </w:tcPr>
          <w:p w:rsidR="004B3541" w:rsidRDefault="00CF3516" w:rsidP="00C5627F">
            <w:pPr>
              <w:keepNext/>
              <w:keepLines/>
              <w:spacing w:before="48" w:after="48"/>
              <w:ind w:left="142"/>
              <w:rPr>
                <w:sz w:val="20"/>
                <w:szCs w:val="20"/>
                <w:lang w:val="fr-FR"/>
              </w:rPr>
            </w:pPr>
            <w:r w:rsidRPr="00577EB1">
              <w:rPr>
                <w:sz w:val="20"/>
                <w:szCs w:val="20"/>
                <w:lang w:val="fr-FR"/>
              </w:rPr>
              <w:t xml:space="preserve">pour les enfants de </w:t>
            </w:r>
          </w:p>
          <w:p w:rsidR="004B3541" w:rsidRDefault="00CF3516" w:rsidP="00C5627F">
            <w:pPr>
              <w:keepNext/>
              <w:keepLines/>
              <w:spacing w:before="48" w:after="48"/>
              <w:ind w:left="142"/>
              <w:rPr>
                <w:sz w:val="20"/>
                <w:szCs w:val="20"/>
                <w:lang w:val="fr-FR"/>
              </w:rPr>
            </w:pPr>
            <w:r w:rsidRPr="00577EB1">
              <w:rPr>
                <w:sz w:val="20"/>
                <w:szCs w:val="20"/>
                <w:lang w:val="fr-FR"/>
              </w:rPr>
              <w:t>11 à 15 ans</w:t>
            </w:r>
          </w:p>
        </w:tc>
        <w:tc>
          <w:tcPr>
            <w:tcW w:w="1524" w:type="pct"/>
            <w:gridSpan w:val="2"/>
          </w:tcPr>
          <w:p w:rsidR="004B3541" w:rsidRDefault="00CF3516" w:rsidP="00C5627F">
            <w:pPr>
              <w:keepNext/>
              <w:keepLines/>
              <w:spacing w:before="48" w:after="48"/>
              <w:jc w:val="center"/>
              <w:rPr>
                <w:bCs/>
                <w:sz w:val="20"/>
                <w:szCs w:val="20"/>
                <w:lang w:val="fr-FR"/>
              </w:rPr>
            </w:pPr>
            <w:r w:rsidRPr="00577EB1">
              <w:rPr>
                <w:bCs/>
                <w:sz w:val="20"/>
                <w:szCs w:val="20"/>
                <w:lang w:val="fr-FR"/>
              </w:rPr>
              <w:t>4 000 francs CFA/ trimestre</w:t>
            </w:r>
          </w:p>
        </w:tc>
        <w:tc>
          <w:tcPr>
            <w:tcW w:w="1677" w:type="pct"/>
            <w:gridSpan w:val="2"/>
          </w:tcPr>
          <w:p w:rsidR="004B3541" w:rsidRDefault="00CF3516" w:rsidP="00C5627F">
            <w:pPr>
              <w:keepNext/>
              <w:keepLines/>
              <w:spacing w:before="48" w:after="48"/>
              <w:jc w:val="center"/>
              <w:rPr>
                <w:sz w:val="20"/>
                <w:szCs w:val="20"/>
                <w:lang w:val="fr-FR"/>
              </w:rPr>
            </w:pPr>
            <w:r w:rsidRPr="00577EB1">
              <w:rPr>
                <w:bCs/>
                <w:sz w:val="20"/>
                <w:szCs w:val="20"/>
                <w:lang w:val="fr-FR"/>
              </w:rPr>
              <w:t>4 000 francs CFA/ trimestre conditionné à l’assiduité scolaire (90 %) (classes CM1 à la 4</w:t>
            </w:r>
            <w:r w:rsidRPr="00577EB1">
              <w:rPr>
                <w:bCs/>
                <w:sz w:val="20"/>
                <w:szCs w:val="20"/>
                <w:vertAlign w:val="superscript"/>
                <w:lang w:val="fr-FR"/>
              </w:rPr>
              <w:t>e</w:t>
            </w:r>
            <w:r w:rsidRPr="00577EB1">
              <w:rPr>
                <w:sz w:val="20"/>
                <w:szCs w:val="20"/>
                <w:lang w:val="fr-FR"/>
              </w:rPr>
              <w:t>)</w:t>
            </w:r>
          </w:p>
        </w:tc>
        <w:tc>
          <w:tcPr>
            <w:tcW w:w="762" w:type="pct"/>
          </w:tcPr>
          <w:p w:rsidR="004B3541" w:rsidRDefault="00CF3516" w:rsidP="00C5627F">
            <w:pPr>
              <w:keepNext/>
              <w:keepLines/>
              <w:spacing w:before="48" w:after="48"/>
              <w:jc w:val="center"/>
              <w:rPr>
                <w:sz w:val="20"/>
                <w:szCs w:val="20"/>
                <w:lang w:val="fr-FR"/>
              </w:rPr>
            </w:pPr>
            <w:r w:rsidRPr="00577EB1">
              <w:rPr>
                <w:sz w:val="20"/>
                <w:szCs w:val="20"/>
                <w:lang w:val="fr-FR"/>
              </w:rPr>
              <w:t>sans objet</w:t>
            </w:r>
          </w:p>
        </w:tc>
      </w:tr>
      <w:tr w:rsidR="00CF3516" w:rsidRPr="00577EB1" w:rsidTr="008C3350">
        <w:tc>
          <w:tcPr>
            <w:tcW w:w="1037" w:type="pct"/>
          </w:tcPr>
          <w:p w:rsidR="004B3541" w:rsidRDefault="00CF3516" w:rsidP="00C5627F">
            <w:pPr>
              <w:keepNext/>
              <w:keepLines/>
              <w:spacing w:before="48" w:after="48"/>
              <w:rPr>
                <w:sz w:val="20"/>
                <w:szCs w:val="20"/>
                <w:lang w:val="fr-FR"/>
              </w:rPr>
            </w:pPr>
            <w:r w:rsidRPr="00577EB1">
              <w:rPr>
                <w:sz w:val="20"/>
                <w:szCs w:val="20"/>
                <w:lang w:val="fr-FR"/>
              </w:rPr>
              <w:t>Fréquence</w:t>
            </w:r>
          </w:p>
        </w:tc>
        <w:tc>
          <w:tcPr>
            <w:tcW w:w="838" w:type="pct"/>
          </w:tcPr>
          <w:p w:rsidR="004B3541" w:rsidRDefault="00CF3516" w:rsidP="00C5627F">
            <w:pPr>
              <w:keepNext/>
              <w:keepLines/>
              <w:spacing w:before="48" w:after="48"/>
              <w:jc w:val="center"/>
              <w:rPr>
                <w:sz w:val="20"/>
                <w:szCs w:val="20"/>
                <w:lang w:val="fr-FR"/>
              </w:rPr>
            </w:pPr>
            <w:r w:rsidRPr="00577EB1">
              <w:rPr>
                <w:sz w:val="20"/>
                <w:szCs w:val="20"/>
                <w:lang w:val="fr-FR"/>
              </w:rPr>
              <w:t>trimestriel</w:t>
            </w:r>
          </w:p>
        </w:tc>
        <w:tc>
          <w:tcPr>
            <w:tcW w:w="686" w:type="pct"/>
          </w:tcPr>
          <w:p w:rsidR="004B3541" w:rsidRDefault="00CF3516" w:rsidP="00C5627F">
            <w:pPr>
              <w:keepNext/>
              <w:keepLines/>
              <w:spacing w:before="48" w:after="48"/>
              <w:jc w:val="center"/>
              <w:rPr>
                <w:sz w:val="20"/>
                <w:szCs w:val="20"/>
                <w:lang w:val="fr-FR"/>
              </w:rPr>
            </w:pPr>
            <w:r w:rsidRPr="00577EB1">
              <w:rPr>
                <w:sz w:val="20"/>
                <w:szCs w:val="20"/>
                <w:lang w:val="fr-FR"/>
              </w:rPr>
              <w:t>trimestriel</w:t>
            </w:r>
          </w:p>
        </w:tc>
        <w:tc>
          <w:tcPr>
            <w:tcW w:w="762" w:type="pct"/>
          </w:tcPr>
          <w:p w:rsidR="004B3541" w:rsidRDefault="00CF3516" w:rsidP="00C5627F">
            <w:pPr>
              <w:keepNext/>
              <w:keepLines/>
              <w:spacing w:before="48" w:after="48"/>
              <w:jc w:val="center"/>
              <w:rPr>
                <w:sz w:val="20"/>
                <w:szCs w:val="20"/>
                <w:lang w:val="fr-FR"/>
              </w:rPr>
            </w:pPr>
            <w:r w:rsidRPr="00577EB1">
              <w:rPr>
                <w:sz w:val="20"/>
                <w:szCs w:val="20"/>
                <w:lang w:val="fr-FR"/>
              </w:rPr>
              <w:t>trimestriel</w:t>
            </w:r>
          </w:p>
        </w:tc>
        <w:tc>
          <w:tcPr>
            <w:tcW w:w="915" w:type="pct"/>
          </w:tcPr>
          <w:p w:rsidR="004B3541" w:rsidRDefault="00CF3516" w:rsidP="00C5627F">
            <w:pPr>
              <w:keepNext/>
              <w:keepLines/>
              <w:spacing w:before="48" w:after="48"/>
              <w:jc w:val="center"/>
              <w:rPr>
                <w:sz w:val="20"/>
                <w:szCs w:val="20"/>
                <w:lang w:val="fr-FR"/>
              </w:rPr>
            </w:pPr>
            <w:r w:rsidRPr="00577EB1">
              <w:rPr>
                <w:sz w:val="20"/>
                <w:szCs w:val="20"/>
                <w:lang w:val="fr-FR"/>
              </w:rPr>
              <w:t>trimestriel</w:t>
            </w:r>
          </w:p>
        </w:tc>
        <w:tc>
          <w:tcPr>
            <w:tcW w:w="762" w:type="pct"/>
          </w:tcPr>
          <w:p w:rsidR="004B3541" w:rsidRDefault="00CF3516" w:rsidP="004B3541">
            <w:pPr>
              <w:keepNext/>
              <w:keepLines/>
              <w:spacing w:before="48" w:after="48"/>
              <w:jc w:val="center"/>
              <w:rPr>
                <w:sz w:val="20"/>
                <w:szCs w:val="20"/>
                <w:lang w:val="fr-FR"/>
              </w:rPr>
            </w:pPr>
            <w:r w:rsidRPr="00577EB1">
              <w:rPr>
                <w:sz w:val="20"/>
                <w:szCs w:val="20"/>
                <w:lang w:val="fr-FR"/>
              </w:rPr>
              <w:t>sans objet</w:t>
            </w:r>
          </w:p>
        </w:tc>
      </w:tr>
      <w:tr w:rsidR="00CF3516" w:rsidRPr="00577EB1" w:rsidTr="008C3350">
        <w:tblPrEx>
          <w:tblBorders>
            <w:bottom w:val="single" w:sz="4" w:space="0" w:color="auto"/>
          </w:tblBorders>
        </w:tblPrEx>
        <w:tc>
          <w:tcPr>
            <w:tcW w:w="1037" w:type="pct"/>
          </w:tcPr>
          <w:p w:rsidR="004B3541" w:rsidRDefault="00CF3516" w:rsidP="00C5627F">
            <w:pPr>
              <w:keepNext/>
              <w:keepLines/>
              <w:spacing w:before="48" w:after="48"/>
              <w:rPr>
                <w:sz w:val="20"/>
                <w:szCs w:val="20"/>
                <w:lang w:val="fr-FR"/>
              </w:rPr>
            </w:pPr>
            <w:r w:rsidRPr="00577EB1">
              <w:rPr>
                <w:sz w:val="20"/>
                <w:szCs w:val="20"/>
                <w:lang w:val="fr-FR"/>
              </w:rPr>
              <w:t>Bénéficiaire</w:t>
            </w:r>
          </w:p>
        </w:tc>
        <w:tc>
          <w:tcPr>
            <w:tcW w:w="838" w:type="pct"/>
          </w:tcPr>
          <w:p w:rsidR="004B3541" w:rsidRDefault="00CF3516" w:rsidP="00C5627F">
            <w:pPr>
              <w:keepNext/>
              <w:keepLines/>
              <w:spacing w:before="48" w:after="48"/>
              <w:jc w:val="center"/>
              <w:rPr>
                <w:sz w:val="20"/>
                <w:szCs w:val="20"/>
                <w:lang w:val="fr-FR"/>
              </w:rPr>
            </w:pPr>
            <w:r w:rsidRPr="00577EB1">
              <w:rPr>
                <w:sz w:val="20"/>
                <w:szCs w:val="20"/>
                <w:lang w:val="fr-FR"/>
              </w:rPr>
              <w:t>mère</w:t>
            </w:r>
          </w:p>
        </w:tc>
        <w:tc>
          <w:tcPr>
            <w:tcW w:w="686" w:type="pct"/>
          </w:tcPr>
          <w:p w:rsidR="004B3541" w:rsidRDefault="00CF3516" w:rsidP="00C5627F">
            <w:pPr>
              <w:keepNext/>
              <w:keepLines/>
              <w:spacing w:before="48" w:after="48"/>
              <w:jc w:val="center"/>
              <w:rPr>
                <w:sz w:val="20"/>
                <w:szCs w:val="20"/>
                <w:lang w:val="fr-FR"/>
              </w:rPr>
            </w:pPr>
            <w:r w:rsidRPr="00577EB1">
              <w:rPr>
                <w:sz w:val="20"/>
                <w:szCs w:val="20"/>
                <w:lang w:val="fr-FR"/>
              </w:rPr>
              <w:t>père</w:t>
            </w:r>
          </w:p>
        </w:tc>
        <w:tc>
          <w:tcPr>
            <w:tcW w:w="762" w:type="pct"/>
          </w:tcPr>
          <w:p w:rsidR="004B3541" w:rsidRDefault="00CF3516" w:rsidP="00C5627F">
            <w:pPr>
              <w:keepNext/>
              <w:keepLines/>
              <w:spacing w:before="48" w:after="48"/>
              <w:jc w:val="center"/>
              <w:rPr>
                <w:sz w:val="20"/>
                <w:szCs w:val="20"/>
                <w:lang w:val="fr-FR"/>
              </w:rPr>
            </w:pPr>
            <w:r w:rsidRPr="00577EB1">
              <w:rPr>
                <w:sz w:val="20"/>
                <w:szCs w:val="20"/>
                <w:lang w:val="fr-FR"/>
              </w:rPr>
              <w:t>mère</w:t>
            </w:r>
          </w:p>
        </w:tc>
        <w:tc>
          <w:tcPr>
            <w:tcW w:w="915" w:type="pct"/>
          </w:tcPr>
          <w:p w:rsidR="004B3541" w:rsidRDefault="00CF3516" w:rsidP="00C5627F">
            <w:pPr>
              <w:keepNext/>
              <w:keepLines/>
              <w:spacing w:before="48" w:after="48"/>
              <w:jc w:val="center"/>
              <w:rPr>
                <w:sz w:val="20"/>
                <w:szCs w:val="20"/>
                <w:lang w:val="fr-FR"/>
              </w:rPr>
            </w:pPr>
            <w:r w:rsidRPr="00577EB1">
              <w:rPr>
                <w:sz w:val="20"/>
                <w:szCs w:val="20"/>
                <w:lang w:val="fr-FR"/>
              </w:rPr>
              <w:t>père</w:t>
            </w:r>
          </w:p>
        </w:tc>
        <w:tc>
          <w:tcPr>
            <w:tcW w:w="762" w:type="pct"/>
          </w:tcPr>
          <w:p w:rsidR="004B3541" w:rsidRDefault="00CF3516" w:rsidP="004B3541">
            <w:pPr>
              <w:keepNext/>
              <w:keepLines/>
              <w:spacing w:before="48" w:after="48"/>
              <w:jc w:val="center"/>
              <w:rPr>
                <w:sz w:val="20"/>
                <w:szCs w:val="20"/>
                <w:lang w:val="fr-FR"/>
              </w:rPr>
            </w:pPr>
            <w:r w:rsidRPr="00577EB1">
              <w:rPr>
                <w:sz w:val="20"/>
                <w:szCs w:val="20"/>
                <w:lang w:val="fr-FR"/>
              </w:rPr>
              <w:t>sans objet</w:t>
            </w:r>
          </w:p>
        </w:tc>
      </w:tr>
    </w:tbl>
    <w:p w:rsidR="004B3541" w:rsidRDefault="00CF3516">
      <w:pPr>
        <w:pStyle w:val="Source"/>
        <w:spacing w:before="120" w:after="480"/>
      </w:pPr>
      <w:r w:rsidRPr="00577EB1">
        <w:t>Source</w:t>
      </w:r>
      <w:r w:rsidR="00EB214A" w:rsidRPr="00EB214A">
        <w:rPr>
          <w:i w:val="0"/>
        </w:rPr>
        <w:t>: SP/CNLS-IST, 2008.</w:t>
      </w:r>
    </w:p>
    <w:p w:rsidR="00CF3516" w:rsidRPr="00577EB1" w:rsidRDefault="00CF3516" w:rsidP="00CF3516">
      <w:pPr>
        <w:pStyle w:val="Style3"/>
        <w:jc w:val="left"/>
        <w:rPr>
          <w:lang w:val="fr-FR"/>
        </w:rPr>
      </w:pPr>
      <w:r w:rsidRPr="00577EB1">
        <w:rPr>
          <w:lang w:val="fr-FR"/>
        </w:rPr>
        <w:t>Coupons alimentaires</w:t>
      </w:r>
    </w:p>
    <w:p w:rsidR="005E551A" w:rsidRDefault="00EB214A" w:rsidP="005E551A">
      <w:pPr>
        <w:numPr>
          <w:ilvl w:val="0"/>
          <w:numId w:val="2"/>
        </w:numPr>
        <w:tabs>
          <w:tab w:val="clear" w:pos="709"/>
        </w:tabs>
        <w:ind w:left="0" w:firstLine="0"/>
        <w:rPr>
          <w:lang w:val="fr-FR"/>
        </w:rPr>
      </w:pPr>
      <w:r w:rsidRPr="00EB214A">
        <w:rPr>
          <w:b/>
          <w:lang w:val="fr-FR"/>
        </w:rPr>
        <w:t>Les coupons alimentaires en milieu urbain sont un programme innovant qui a pour but d’assister les personnes extrêmement pauvres des milieux urbains</w:t>
      </w:r>
      <w:r w:rsidR="00CF3516" w:rsidRPr="005E551A">
        <w:rPr>
          <w:lang w:val="fr-FR"/>
        </w:rPr>
        <w:t>. Mettant à profit leur expérience avec les coupons utilisés pour les concours de semences et ensuite dans les salons de l’alimentation et de la construction pour aider les ménages affectés par les inondations, Catholic Relief Services a lancé en 2008 un programme de coupons pour répondre à l’insécurité alimentaire accrue des zones urbaines, induite par la flambée des prix alimentaires. Le PAM a suivi en 2009 avec un programme plus vaste qui fournit actuellement des coupons alimentaires à plus de 30 000 ménages à Ouagadougou et à Bobo-Dioulasso (plus que 180 000 personnes)</w:t>
      </w:r>
      <w:r w:rsidR="00CF3516" w:rsidRPr="00577EB1">
        <w:rPr>
          <w:lang w:val="fr-FR"/>
        </w:rPr>
        <w:t xml:space="preserve"> (Tableau 17</w:t>
      </w:r>
      <w:r w:rsidR="005E551A">
        <w:rPr>
          <w:lang w:val="fr-FR"/>
        </w:rPr>
        <w:t>).</w:t>
      </w:r>
    </w:p>
    <w:p w:rsidR="004B3541" w:rsidRDefault="001F3001">
      <w:pPr>
        <w:pStyle w:val="Heading7"/>
        <w:rPr>
          <w:lang w:val="fr-FR"/>
        </w:rPr>
      </w:pPr>
      <w:bookmarkStart w:id="142" w:name="_Toc284528592"/>
      <w:bookmarkStart w:id="143" w:name="_Toc284530528"/>
      <w:r w:rsidRPr="00577EB1">
        <w:rPr>
          <w:lang w:val="fr-FR"/>
        </w:rPr>
        <w:lastRenderedPageBreak/>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17</w:t>
      </w:r>
      <w:r w:rsidR="00725419" w:rsidRPr="00577EB1">
        <w:rPr>
          <w:lang w:val="fr-FR"/>
        </w:rPr>
        <w:fldChar w:fldCharType="end"/>
      </w:r>
      <w:r>
        <w:rPr>
          <w:lang w:val="fr-FR"/>
        </w:rPr>
        <w:t> : Principales caractéristiques des récents programmes de coupons alimentaires</w:t>
      </w:r>
      <w:bookmarkEnd w:id="142"/>
      <w:bookmarkEnd w:id="143"/>
    </w:p>
    <w:tbl>
      <w:tblPr>
        <w:tblW w:w="0" w:type="auto"/>
        <w:tblCellMar>
          <w:left w:w="57" w:type="dxa"/>
          <w:right w:w="57" w:type="dxa"/>
        </w:tblCellMar>
        <w:tblLook w:val="04A0"/>
      </w:tblPr>
      <w:tblGrid>
        <w:gridCol w:w="2137"/>
        <w:gridCol w:w="2201"/>
        <w:gridCol w:w="2363"/>
        <w:gridCol w:w="2202"/>
      </w:tblGrid>
      <w:tr w:rsidR="00CF3516" w:rsidRPr="000A70E6" w:rsidTr="0050199E">
        <w:trPr>
          <w:trHeight w:val="345"/>
        </w:trPr>
        <w:tc>
          <w:tcPr>
            <w:tcW w:w="2184" w:type="dxa"/>
            <w:tcBorders>
              <w:top w:val="single" w:sz="4" w:space="0" w:color="auto"/>
              <w:bottom w:val="single" w:sz="4" w:space="0" w:color="auto"/>
            </w:tcBorders>
          </w:tcPr>
          <w:p w:rsidR="004B3541" w:rsidRDefault="00CF3516" w:rsidP="00FF0D12">
            <w:pPr>
              <w:keepNext/>
              <w:keepLines/>
              <w:numPr>
                <w:ilvl w:val="1"/>
                <w:numId w:val="0"/>
              </w:numPr>
              <w:tabs>
                <w:tab w:val="clear" w:pos="709"/>
              </w:tabs>
              <w:spacing w:beforeLines="20" w:afterLines="20"/>
              <w:jc w:val="center"/>
              <w:outlineLvl w:val="1"/>
              <w:rPr>
                <w:sz w:val="18"/>
                <w:szCs w:val="18"/>
                <w:lang w:val="fr-FR"/>
              </w:rPr>
            </w:pPr>
            <w:r w:rsidRPr="00577EB1">
              <w:rPr>
                <w:sz w:val="18"/>
                <w:szCs w:val="18"/>
                <w:lang w:val="fr-FR"/>
              </w:rPr>
              <w:t>Programme</w:t>
            </w:r>
          </w:p>
        </w:tc>
        <w:tc>
          <w:tcPr>
            <w:tcW w:w="2251" w:type="dxa"/>
            <w:tcBorders>
              <w:top w:val="single" w:sz="4" w:space="0" w:color="auto"/>
              <w:bottom w:val="single" w:sz="4" w:space="0" w:color="auto"/>
            </w:tcBorders>
          </w:tcPr>
          <w:p w:rsidR="004B3541" w:rsidRDefault="00CF3516" w:rsidP="00FF0D12">
            <w:pPr>
              <w:keepNext/>
              <w:keepLines/>
              <w:spacing w:beforeLines="20" w:afterLines="20"/>
              <w:rPr>
                <w:sz w:val="18"/>
                <w:szCs w:val="18"/>
                <w:lang w:val="fr-FR"/>
              </w:rPr>
            </w:pPr>
            <w:r w:rsidRPr="00577EB1">
              <w:rPr>
                <w:sz w:val="18"/>
                <w:szCs w:val="18"/>
                <w:lang w:val="fr-FR"/>
              </w:rPr>
              <w:t>Coupons alimentaires pour les pauvres urbains</w:t>
            </w:r>
          </w:p>
        </w:tc>
        <w:tc>
          <w:tcPr>
            <w:tcW w:w="2426" w:type="dxa"/>
            <w:tcBorders>
              <w:top w:val="single" w:sz="4" w:space="0" w:color="auto"/>
              <w:bottom w:val="single" w:sz="4" w:space="0" w:color="auto"/>
            </w:tcBorders>
          </w:tcPr>
          <w:p w:rsidR="004B3541" w:rsidRDefault="00CF3516" w:rsidP="00FF0D12">
            <w:pPr>
              <w:keepNext/>
              <w:keepLines/>
              <w:spacing w:beforeLines="20" w:afterLines="20"/>
              <w:rPr>
                <w:sz w:val="18"/>
                <w:szCs w:val="18"/>
                <w:lang w:val="fr-FR"/>
              </w:rPr>
            </w:pPr>
            <w:r w:rsidRPr="00577EB1">
              <w:rPr>
                <w:sz w:val="18"/>
                <w:szCs w:val="18"/>
                <w:lang w:val="fr-FR"/>
              </w:rPr>
              <w:t>Coupons alimentaires pour les</w:t>
            </w:r>
            <w:r w:rsidR="0007340F">
              <w:rPr>
                <w:sz w:val="18"/>
                <w:szCs w:val="18"/>
                <w:lang w:val="fr-FR"/>
              </w:rPr>
              <w:t xml:space="preserve"> </w:t>
            </w:r>
            <w:r w:rsidRPr="00577EB1">
              <w:rPr>
                <w:sz w:val="18"/>
                <w:szCs w:val="18"/>
                <w:lang w:val="fr-FR"/>
              </w:rPr>
              <w:t>personnes infectées par le VIH</w:t>
            </w:r>
          </w:p>
        </w:tc>
        <w:tc>
          <w:tcPr>
            <w:tcW w:w="2252" w:type="dxa"/>
            <w:tcBorders>
              <w:top w:val="single" w:sz="4" w:space="0" w:color="auto"/>
              <w:bottom w:val="single" w:sz="4" w:space="0" w:color="auto"/>
            </w:tcBorders>
          </w:tcPr>
          <w:p w:rsidR="004B3541" w:rsidRDefault="00CF3516" w:rsidP="00FF0D12">
            <w:pPr>
              <w:keepNext/>
              <w:keepLines/>
              <w:spacing w:beforeLines="20" w:afterLines="20"/>
              <w:rPr>
                <w:sz w:val="18"/>
                <w:szCs w:val="18"/>
                <w:lang w:val="fr-FR"/>
              </w:rPr>
            </w:pPr>
            <w:r w:rsidRPr="00577EB1">
              <w:rPr>
                <w:sz w:val="18"/>
                <w:szCs w:val="18"/>
                <w:lang w:val="fr-FR"/>
              </w:rPr>
              <w:t>Programme de coupons en zone urbaine</w:t>
            </w:r>
          </w:p>
        </w:tc>
      </w:tr>
      <w:tr w:rsidR="00CF3516" w:rsidRPr="000A70E6" w:rsidTr="0050199E">
        <w:tc>
          <w:tcPr>
            <w:tcW w:w="2184" w:type="dxa"/>
            <w:tcBorders>
              <w:top w:val="single" w:sz="4" w:space="0" w:color="auto"/>
            </w:tcBorders>
          </w:tcPr>
          <w:p w:rsidR="004B3541" w:rsidRDefault="00CF3516" w:rsidP="00FF0D12">
            <w:pPr>
              <w:keepNext/>
              <w:keepLines/>
              <w:spacing w:beforeLines="20" w:afterLines="20"/>
              <w:rPr>
                <w:sz w:val="18"/>
                <w:szCs w:val="18"/>
                <w:lang w:val="fr-FR"/>
              </w:rPr>
            </w:pPr>
            <w:r w:rsidRPr="00577EB1">
              <w:rPr>
                <w:sz w:val="18"/>
                <w:szCs w:val="18"/>
                <w:lang w:val="fr-FR"/>
              </w:rPr>
              <w:t>Agence d’exécution</w:t>
            </w:r>
          </w:p>
        </w:tc>
        <w:tc>
          <w:tcPr>
            <w:tcW w:w="2251" w:type="dxa"/>
            <w:tcBorders>
              <w:top w:val="single" w:sz="4" w:space="0" w:color="auto"/>
            </w:tcBorders>
          </w:tcPr>
          <w:p w:rsidR="004B3541" w:rsidRDefault="00CF3516" w:rsidP="00FF0D12">
            <w:pPr>
              <w:keepNext/>
              <w:keepLines/>
              <w:spacing w:beforeLines="20" w:afterLines="20"/>
              <w:jc w:val="left"/>
              <w:rPr>
                <w:sz w:val="18"/>
                <w:szCs w:val="18"/>
                <w:lang w:val="fr-FR"/>
              </w:rPr>
            </w:pPr>
            <w:r w:rsidRPr="00577EB1">
              <w:rPr>
                <w:sz w:val="18"/>
                <w:szCs w:val="18"/>
                <w:lang w:val="fr-FR"/>
              </w:rPr>
              <w:t xml:space="preserve">CRS avec le réseau OCADES </w:t>
            </w:r>
          </w:p>
        </w:tc>
        <w:tc>
          <w:tcPr>
            <w:tcW w:w="2426" w:type="dxa"/>
            <w:tcBorders>
              <w:top w:val="single" w:sz="4" w:space="0" w:color="auto"/>
            </w:tcBorders>
          </w:tcPr>
          <w:p w:rsidR="004B3541" w:rsidRDefault="00CF3516" w:rsidP="00FF0D12">
            <w:pPr>
              <w:keepNext/>
              <w:keepLines/>
              <w:spacing w:beforeLines="20" w:afterLines="20"/>
              <w:jc w:val="left"/>
              <w:rPr>
                <w:sz w:val="18"/>
                <w:szCs w:val="18"/>
                <w:lang w:val="fr-FR"/>
              </w:rPr>
            </w:pPr>
            <w:r w:rsidRPr="00577EB1">
              <w:rPr>
                <w:sz w:val="18"/>
                <w:szCs w:val="18"/>
                <w:lang w:val="fr-FR"/>
              </w:rPr>
              <w:t>CRS avec le réseau OCADES et le district sanitaire</w:t>
            </w:r>
          </w:p>
        </w:tc>
        <w:tc>
          <w:tcPr>
            <w:tcW w:w="2252" w:type="dxa"/>
            <w:tcBorders>
              <w:top w:val="single" w:sz="4" w:space="0" w:color="auto"/>
            </w:tcBorders>
          </w:tcPr>
          <w:p w:rsidR="004B3541" w:rsidRDefault="00CF3516" w:rsidP="00FF0D12">
            <w:pPr>
              <w:keepNext/>
              <w:keepLines/>
              <w:spacing w:beforeLines="20" w:afterLines="20"/>
              <w:jc w:val="left"/>
              <w:rPr>
                <w:sz w:val="18"/>
                <w:szCs w:val="18"/>
                <w:lang w:val="fr-FR"/>
              </w:rPr>
            </w:pPr>
            <w:r w:rsidRPr="00577EB1">
              <w:rPr>
                <w:sz w:val="18"/>
                <w:szCs w:val="18"/>
                <w:lang w:val="fr-FR"/>
              </w:rPr>
              <w:t>PAM avec le MASSN, la CRB et la CRS</w:t>
            </w:r>
          </w:p>
        </w:tc>
      </w:tr>
      <w:tr w:rsidR="00CF3516" w:rsidRPr="00577EB1" w:rsidTr="0050199E">
        <w:tc>
          <w:tcPr>
            <w:tcW w:w="2184" w:type="dxa"/>
          </w:tcPr>
          <w:p w:rsidR="004B3541" w:rsidRDefault="00CF3516" w:rsidP="00FF0D12">
            <w:pPr>
              <w:keepNext/>
              <w:keepLines/>
              <w:spacing w:beforeLines="20" w:afterLines="20"/>
              <w:rPr>
                <w:sz w:val="18"/>
                <w:szCs w:val="18"/>
                <w:lang w:val="fr-FR"/>
              </w:rPr>
            </w:pPr>
            <w:r w:rsidRPr="00577EB1">
              <w:rPr>
                <w:sz w:val="18"/>
                <w:szCs w:val="18"/>
                <w:lang w:val="fr-FR"/>
              </w:rPr>
              <w:t>Source de financement</w:t>
            </w:r>
          </w:p>
        </w:tc>
        <w:tc>
          <w:tcPr>
            <w:tcW w:w="2251" w:type="dxa"/>
          </w:tcPr>
          <w:p w:rsidR="004B3541" w:rsidRDefault="00CF3516" w:rsidP="00FF0D12">
            <w:pPr>
              <w:keepNext/>
              <w:keepLines/>
              <w:spacing w:beforeLines="20" w:afterLines="20"/>
              <w:jc w:val="left"/>
              <w:rPr>
                <w:sz w:val="18"/>
                <w:szCs w:val="18"/>
                <w:lang w:val="fr-FR"/>
              </w:rPr>
            </w:pPr>
            <w:r w:rsidRPr="00577EB1">
              <w:rPr>
                <w:sz w:val="18"/>
                <w:szCs w:val="18"/>
                <w:lang w:val="fr-FR"/>
              </w:rPr>
              <w:t xml:space="preserve">Fondation Gates </w:t>
            </w:r>
          </w:p>
        </w:tc>
        <w:tc>
          <w:tcPr>
            <w:tcW w:w="2426" w:type="dxa"/>
          </w:tcPr>
          <w:p w:rsidR="004B3541" w:rsidRDefault="00CF3516" w:rsidP="00FF0D12">
            <w:pPr>
              <w:keepNext/>
              <w:keepLines/>
              <w:spacing w:beforeLines="20" w:afterLines="20"/>
              <w:jc w:val="left"/>
              <w:rPr>
                <w:sz w:val="18"/>
                <w:szCs w:val="18"/>
                <w:lang w:val="fr-FR"/>
              </w:rPr>
            </w:pPr>
            <w:r w:rsidRPr="00577EB1">
              <w:rPr>
                <w:sz w:val="18"/>
                <w:szCs w:val="18"/>
                <w:lang w:val="fr-FR"/>
              </w:rPr>
              <w:t>Fonds mondial</w:t>
            </w:r>
          </w:p>
        </w:tc>
        <w:tc>
          <w:tcPr>
            <w:tcW w:w="2252" w:type="dxa"/>
          </w:tcPr>
          <w:p w:rsidR="004B3541" w:rsidRDefault="00CF3516" w:rsidP="00FF0D12">
            <w:pPr>
              <w:keepNext/>
              <w:keepLines/>
              <w:spacing w:beforeLines="20" w:afterLines="20"/>
              <w:jc w:val="left"/>
              <w:rPr>
                <w:sz w:val="18"/>
                <w:szCs w:val="18"/>
                <w:lang w:val="fr-FR"/>
              </w:rPr>
            </w:pPr>
            <w:r w:rsidRPr="00577EB1">
              <w:rPr>
                <w:sz w:val="18"/>
                <w:szCs w:val="18"/>
                <w:lang w:val="fr-FR"/>
              </w:rPr>
              <w:t>Multilatéral</w:t>
            </w:r>
          </w:p>
        </w:tc>
      </w:tr>
      <w:tr w:rsidR="00CF3516" w:rsidRPr="000A70E6" w:rsidTr="0050199E">
        <w:tc>
          <w:tcPr>
            <w:tcW w:w="2184" w:type="dxa"/>
          </w:tcPr>
          <w:p w:rsidR="004B3541" w:rsidRDefault="00CF3516" w:rsidP="00FF0D12">
            <w:pPr>
              <w:keepNext/>
              <w:keepLines/>
              <w:spacing w:beforeLines="20" w:afterLines="20"/>
              <w:rPr>
                <w:sz w:val="18"/>
                <w:szCs w:val="18"/>
                <w:lang w:val="fr-FR"/>
              </w:rPr>
            </w:pPr>
            <w:r w:rsidRPr="00577EB1">
              <w:rPr>
                <w:sz w:val="18"/>
                <w:szCs w:val="18"/>
                <w:lang w:val="fr-FR"/>
              </w:rPr>
              <w:t>Zone d’intervention</w:t>
            </w:r>
          </w:p>
        </w:tc>
        <w:tc>
          <w:tcPr>
            <w:tcW w:w="2251" w:type="dxa"/>
          </w:tcPr>
          <w:p w:rsidR="004B3541" w:rsidRDefault="00CF3516" w:rsidP="00FF0D12">
            <w:pPr>
              <w:keepNext/>
              <w:keepLines/>
              <w:spacing w:beforeLines="20" w:afterLines="20"/>
              <w:jc w:val="left"/>
              <w:rPr>
                <w:sz w:val="18"/>
                <w:szCs w:val="18"/>
                <w:lang w:val="fr-FR"/>
              </w:rPr>
            </w:pPr>
            <w:r w:rsidRPr="00577EB1">
              <w:rPr>
                <w:sz w:val="18"/>
                <w:szCs w:val="18"/>
                <w:lang w:val="fr-FR"/>
              </w:rPr>
              <w:t>Urbaine</w:t>
            </w:r>
            <w:r w:rsidR="0007340F">
              <w:rPr>
                <w:sz w:val="18"/>
                <w:szCs w:val="18"/>
                <w:lang w:val="fr-FR"/>
              </w:rPr>
              <w:t xml:space="preserve"> </w:t>
            </w:r>
            <w:r w:rsidRPr="00577EB1">
              <w:rPr>
                <w:sz w:val="18"/>
                <w:szCs w:val="18"/>
                <w:lang w:val="fr-FR"/>
              </w:rPr>
              <w:t>Ouagadougou et Bobo-Dioulasso</w:t>
            </w:r>
          </w:p>
        </w:tc>
        <w:tc>
          <w:tcPr>
            <w:tcW w:w="2426" w:type="dxa"/>
          </w:tcPr>
          <w:p w:rsidR="004B3541" w:rsidRDefault="00CF3516" w:rsidP="00FF0D12">
            <w:pPr>
              <w:keepNext/>
              <w:keepLines/>
              <w:spacing w:beforeLines="20" w:afterLines="20"/>
              <w:jc w:val="left"/>
              <w:rPr>
                <w:sz w:val="18"/>
                <w:szCs w:val="18"/>
                <w:lang w:val="fr-FR"/>
              </w:rPr>
            </w:pPr>
            <w:r w:rsidRPr="00577EB1">
              <w:rPr>
                <w:sz w:val="18"/>
                <w:szCs w:val="18"/>
                <w:lang w:val="fr-FR"/>
              </w:rPr>
              <w:t>Centres de santé dans 6 régions</w:t>
            </w:r>
          </w:p>
        </w:tc>
        <w:tc>
          <w:tcPr>
            <w:tcW w:w="2252" w:type="dxa"/>
          </w:tcPr>
          <w:p w:rsidR="004B3541" w:rsidRDefault="00CF3516" w:rsidP="00FF0D12">
            <w:pPr>
              <w:keepNext/>
              <w:keepLines/>
              <w:spacing w:beforeLines="20" w:afterLines="20"/>
              <w:jc w:val="left"/>
              <w:rPr>
                <w:sz w:val="18"/>
                <w:szCs w:val="18"/>
                <w:lang w:val="fr-FR"/>
              </w:rPr>
            </w:pPr>
            <w:r w:rsidRPr="00577EB1">
              <w:rPr>
                <w:sz w:val="18"/>
                <w:szCs w:val="18"/>
                <w:lang w:val="fr-FR"/>
              </w:rPr>
              <w:t>Urbaine</w:t>
            </w:r>
            <w:r w:rsidR="0007340F">
              <w:rPr>
                <w:sz w:val="18"/>
                <w:szCs w:val="18"/>
                <w:lang w:val="fr-FR"/>
              </w:rPr>
              <w:t xml:space="preserve"> </w:t>
            </w:r>
            <w:r w:rsidRPr="00577EB1">
              <w:rPr>
                <w:sz w:val="18"/>
                <w:szCs w:val="18"/>
                <w:lang w:val="fr-FR"/>
              </w:rPr>
              <w:t>Ouagadougou et Bobo-Dioulasso</w:t>
            </w:r>
          </w:p>
        </w:tc>
      </w:tr>
      <w:tr w:rsidR="00CF3516" w:rsidRPr="000A70E6" w:rsidTr="0050199E">
        <w:tc>
          <w:tcPr>
            <w:tcW w:w="2184" w:type="dxa"/>
          </w:tcPr>
          <w:p w:rsidR="004B3541" w:rsidRDefault="00CF3516" w:rsidP="00FF0D12">
            <w:pPr>
              <w:keepNext/>
              <w:keepLines/>
              <w:spacing w:beforeLines="20" w:afterLines="20"/>
              <w:rPr>
                <w:sz w:val="18"/>
                <w:szCs w:val="18"/>
                <w:lang w:val="fr-FR"/>
              </w:rPr>
            </w:pPr>
            <w:r w:rsidRPr="00577EB1">
              <w:rPr>
                <w:sz w:val="18"/>
                <w:szCs w:val="18"/>
                <w:lang w:val="fr-FR"/>
              </w:rPr>
              <w:t>Type de bénéficiaires</w:t>
            </w:r>
          </w:p>
        </w:tc>
        <w:tc>
          <w:tcPr>
            <w:tcW w:w="2251" w:type="dxa"/>
          </w:tcPr>
          <w:p w:rsidR="004B3541" w:rsidRDefault="00CF3516" w:rsidP="00FF0D12">
            <w:pPr>
              <w:keepNext/>
              <w:keepLines/>
              <w:spacing w:beforeLines="20" w:afterLines="20"/>
              <w:jc w:val="left"/>
              <w:rPr>
                <w:sz w:val="18"/>
                <w:szCs w:val="18"/>
                <w:lang w:val="fr-FR"/>
              </w:rPr>
            </w:pPr>
            <w:r w:rsidRPr="00577EB1">
              <w:rPr>
                <w:sz w:val="18"/>
                <w:szCs w:val="18"/>
                <w:lang w:val="fr-FR"/>
              </w:rPr>
              <w:t xml:space="preserve">56 % des ménages dirigés par une femme + les personnes âgées + les professions précaires (maçon, mécanicien, gardien) </w:t>
            </w:r>
          </w:p>
        </w:tc>
        <w:tc>
          <w:tcPr>
            <w:tcW w:w="2426" w:type="dxa"/>
          </w:tcPr>
          <w:p w:rsidR="004B3541" w:rsidRDefault="00CF3516" w:rsidP="00FF0D12">
            <w:pPr>
              <w:keepNext/>
              <w:keepLines/>
              <w:spacing w:beforeLines="20" w:afterLines="20"/>
              <w:jc w:val="left"/>
              <w:rPr>
                <w:sz w:val="18"/>
                <w:szCs w:val="18"/>
                <w:lang w:val="fr-FR"/>
              </w:rPr>
            </w:pPr>
            <w:r w:rsidRPr="00577EB1">
              <w:rPr>
                <w:sz w:val="18"/>
                <w:szCs w:val="18"/>
                <w:lang w:val="fr-FR"/>
              </w:rPr>
              <w:t>Femmes enceintes et enfants de moins de 5 ans infectés par le VIH</w:t>
            </w:r>
          </w:p>
        </w:tc>
        <w:tc>
          <w:tcPr>
            <w:tcW w:w="2252" w:type="dxa"/>
          </w:tcPr>
          <w:p w:rsidR="004B3541" w:rsidRDefault="00CF3516" w:rsidP="00FF0D12">
            <w:pPr>
              <w:keepNext/>
              <w:keepLines/>
              <w:spacing w:beforeLines="20" w:afterLines="20"/>
              <w:jc w:val="left"/>
              <w:rPr>
                <w:sz w:val="18"/>
                <w:szCs w:val="18"/>
                <w:lang w:val="fr-FR"/>
              </w:rPr>
            </w:pPr>
            <w:r w:rsidRPr="00577EB1">
              <w:rPr>
                <w:sz w:val="18"/>
                <w:szCs w:val="18"/>
                <w:lang w:val="fr-FR"/>
              </w:rPr>
              <w:t>Ménages vivant dans l’extrême pauvreté</w:t>
            </w:r>
          </w:p>
        </w:tc>
      </w:tr>
      <w:tr w:rsidR="00CF3516" w:rsidRPr="00577EB1" w:rsidTr="0050199E">
        <w:tc>
          <w:tcPr>
            <w:tcW w:w="2184" w:type="dxa"/>
          </w:tcPr>
          <w:p w:rsidR="004B3541" w:rsidRDefault="00CF3516" w:rsidP="00FF0D12">
            <w:pPr>
              <w:keepNext/>
              <w:keepLines/>
              <w:spacing w:beforeLines="20" w:afterLines="20"/>
              <w:rPr>
                <w:sz w:val="18"/>
                <w:szCs w:val="18"/>
                <w:lang w:val="fr-FR"/>
              </w:rPr>
            </w:pPr>
            <w:r w:rsidRPr="00577EB1">
              <w:rPr>
                <w:sz w:val="18"/>
                <w:szCs w:val="18"/>
                <w:lang w:val="fr-FR"/>
              </w:rPr>
              <w:t>Nombre de bénéficiaires</w:t>
            </w:r>
          </w:p>
        </w:tc>
        <w:tc>
          <w:tcPr>
            <w:tcW w:w="2251" w:type="dxa"/>
          </w:tcPr>
          <w:p w:rsidR="004B3541" w:rsidRDefault="00CF3516" w:rsidP="00FF0D12">
            <w:pPr>
              <w:keepNext/>
              <w:keepLines/>
              <w:spacing w:beforeLines="20" w:afterLines="20"/>
              <w:jc w:val="left"/>
              <w:rPr>
                <w:sz w:val="18"/>
                <w:szCs w:val="18"/>
                <w:lang w:val="fr-FR"/>
              </w:rPr>
            </w:pPr>
            <w:r w:rsidRPr="00577EB1">
              <w:rPr>
                <w:sz w:val="18"/>
                <w:szCs w:val="18"/>
                <w:lang w:val="fr-FR"/>
              </w:rPr>
              <w:t>3 800 ménages</w:t>
            </w:r>
          </w:p>
        </w:tc>
        <w:tc>
          <w:tcPr>
            <w:tcW w:w="2426" w:type="dxa"/>
          </w:tcPr>
          <w:p w:rsidR="004B3541" w:rsidRDefault="00CF3516" w:rsidP="00FF0D12">
            <w:pPr>
              <w:keepNext/>
              <w:keepLines/>
              <w:spacing w:beforeLines="20" w:afterLines="20"/>
              <w:jc w:val="left"/>
              <w:rPr>
                <w:sz w:val="18"/>
                <w:szCs w:val="18"/>
                <w:lang w:val="fr-FR"/>
              </w:rPr>
            </w:pPr>
            <w:r w:rsidRPr="00577EB1">
              <w:rPr>
                <w:sz w:val="18"/>
                <w:szCs w:val="18"/>
                <w:lang w:val="fr-FR"/>
              </w:rPr>
              <w:t>2 200 personnes</w:t>
            </w:r>
          </w:p>
        </w:tc>
        <w:tc>
          <w:tcPr>
            <w:tcW w:w="2252" w:type="dxa"/>
          </w:tcPr>
          <w:p w:rsidR="004B3541" w:rsidRDefault="00CF3516" w:rsidP="00FF0D12">
            <w:pPr>
              <w:keepNext/>
              <w:keepLines/>
              <w:spacing w:beforeLines="20" w:afterLines="20"/>
              <w:jc w:val="left"/>
              <w:rPr>
                <w:sz w:val="18"/>
                <w:szCs w:val="18"/>
                <w:lang w:val="fr-FR"/>
              </w:rPr>
            </w:pPr>
            <w:r w:rsidRPr="00577EB1">
              <w:rPr>
                <w:sz w:val="18"/>
                <w:szCs w:val="18"/>
                <w:lang w:val="fr-FR"/>
              </w:rPr>
              <w:t>31 500 ménages</w:t>
            </w:r>
          </w:p>
        </w:tc>
      </w:tr>
      <w:tr w:rsidR="00CF3516" w:rsidRPr="000A70E6" w:rsidTr="0050199E">
        <w:tc>
          <w:tcPr>
            <w:tcW w:w="2184" w:type="dxa"/>
          </w:tcPr>
          <w:p w:rsidR="004B3541" w:rsidRDefault="00CF3516" w:rsidP="00FF0D12">
            <w:pPr>
              <w:keepNext/>
              <w:keepLines/>
              <w:spacing w:beforeLines="20" w:afterLines="20"/>
              <w:jc w:val="left"/>
              <w:rPr>
                <w:sz w:val="18"/>
                <w:szCs w:val="18"/>
                <w:lang w:val="fr-FR"/>
              </w:rPr>
            </w:pPr>
            <w:r w:rsidRPr="00577EB1">
              <w:rPr>
                <w:sz w:val="18"/>
                <w:szCs w:val="18"/>
                <w:lang w:val="fr-FR"/>
              </w:rPr>
              <w:t>Niveau des avantages (francs CFA/mois)</w:t>
            </w:r>
          </w:p>
        </w:tc>
        <w:tc>
          <w:tcPr>
            <w:tcW w:w="2251" w:type="dxa"/>
          </w:tcPr>
          <w:p w:rsidR="004B3541" w:rsidRDefault="00CF3516" w:rsidP="00FF0D12">
            <w:pPr>
              <w:keepNext/>
              <w:keepLines/>
              <w:spacing w:beforeLines="20" w:afterLines="20"/>
              <w:jc w:val="left"/>
              <w:rPr>
                <w:sz w:val="18"/>
                <w:szCs w:val="18"/>
                <w:lang w:val="fr-FR"/>
              </w:rPr>
            </w:pPr>
            <w:r w:rsidRPr="00577EB1">
              <w:rPr>
                <w:sz w:val="18"/>
                <w:szCs w:val="18"/>
                <w:lang w:val="fr-FR"/>
              </w:rPr>
              <w:t>9 000 par ménage</w:t>
            </w:r>
          </w:p>
        </w:tc>
        <w:tc>
          <w:tcPr>
            <w:tcW w:w="2426" w:type="dxa"/>
          </w:tcPr>
          <w:p w:rsidR="004B3541" w:rsidRDefault="00CF3516" w:rsidP="00FF0D12">
            <w:pPr>
              <w:keepNext/>
              <w:keepLines/>
              <w:spacing w:beforeLines="20" w:afterLines="20"/>
              <w:jc w:val="left"/>
              <w:rPr>
                <w:sz w:val="18"/>
                <w:szCs w:val="18"/>
                <w:lang w:val="fr-FR"/>
              </w:rPr>
            </w:pPr>
            <w:r w:rsidRPr="00577EB1">
              <w:rPr>
                <w:sz w:val="18"/>
                <w:szCs w:val="18"/>
                <w:lang w:val="fr-FR"/>
              </w:rPr>
              <w:t>sans objet</w:t>
            </w:r>
          </w:p>
        </w:tc>
        <w:tc>
          <w:tcPr>
            <w:tcW w:w="2252" w:type="dxa"/>
          </w:tcPr>
          <w:p w:rsidR="004B3541" w:rsidRDefault="00CF3516" w:rsidP="00FF0D12">
            <w:pPr>
              <w:keepNext/>
              <w:keepLines/>
              <w:spacing w:beforeLines="20" w:afterLines="20"/>
              <w:jc w:val="left"/>
              <w:rPr>
                <w:sz w:val="18"/>
                <w:szCs w:val="18"/>
                <w:lang w:val="fr-FR"/>
              </w:rPr>
            </w:pPr>
            <w:r w:rsidRPr="00577EB1">
              <w:rPr>
                <w:sz w:val="18"/>
                <w:szCs w:val="18"/>
                <w:lang w:val="fr-FR"/>
              </w:rPr>
              <w:t xml:space="preserve">1 500 par personne avec un plafond de 9 000 par ménage </w:t>
            </w:r>
          </w:p>
        </w:tc>
      </w:tr>
      <w:tr w:rsidR="00CF3516" w:rsidRPr="00577EB1" w:rsidTr="0050199E">
        <w:tc>
          <w:tcPr>
            <w:tcW w:w="2184" w:type="dxa"/>
            <w:tcBorders>
              <w:bottom w:val="single" w:sz="4" w:space="0" w:color="auto"/>
            </w:tcBorders>
          </w:tcPr>
          <w:p w:rsidR="004B3541" w:rsidRDefault="00CF3516" w:rsidP="00FF0D12">
            <w:pPr>
              <w:keepNext/>
              <w:keepLines/>
              <w:spacing w:beforeLines="20" w:afterLines="20"/>
              <w:rPr>
                <w:sz w:val="18"/>
                <w:szCs w:val="18"/>
                <w:lang w:val="fr-FR"/>
              </w:rPr>
            </w:pPr>
            <w:r w:rsidRPr="00577EB1">
              <w:rPr>
                <w:sz w:val="18"/>
                <w:szCs w:val="18"/>
                <w:lang w:val="fr-FR"/>
              </w:rPr>
              <w:t>Durée</w:t>
            </w:r>
          </w:p>
        </w:tc>
        <w:tc>
          <w:tcPr>
            <w:tcW w:w="2251" w:type="dxa"/>
            <w:tcBorders>
              <w:bottom w:val="single" w:sz="4" w:space="0" w:color="auto"/>
            </w:tcBorders>
          </w:tcPr>
          <w:p w:rsidR="004B3541" w:rsidRDefault="00CF3516" w:rsidP="00FF0D12">
            <w:pPr>
              <w:keepNext/>
              <w:keepLines/>
              <w:spacing w:beforeLines="20" w:afterLines="20"/>
              <w:jc w:val="left"/>
              <w:rPr>
                <w:sz w:val="18"/>
                <w:szCs w:val="18"/>
                <w:lang w:val="fr-FR"/>
              </w:rPr>
            </w:pPr>
            <w:r w:rsidRPr="00577EB1">
              <w:rPr>
                <w:sz w:val="18"/>
                <w:szCs w:val="18"/>
                <w:lang w:val="fr-FR"/>
              </w:rPr>
              <w:t>6 mois</w:t>
            </w:r>
          </w:p>
          <w:p w:rsidR="004B3541" w:rsidRDefault="00CF3516" w:rsidP="00FF0D12">
            <w:pPr>
              <w:keepNext/>
              <w:keepLines/>
              <w:spacing w:beforeLines="20" w:afterLines="20"/>
              <w:jc w:val="left"/>
              <w:rPr>
                <w:sz w:val="18"/>
                <w:szCs w:val="18"/>
                <w:lang w:val="fr-FR"/>
              </w:rPr>
            </w:pPr>
            <w:r w:rsidRPr="00577EB1">
              <w:rPr>
                <w:sz w:val="18"/>
                <w:szCs w:val="18"/>
                <w:lang w:val="fr-FR"/>
              </w:rPr>
              <w:t>Sept. 2008-fév. 2009</w:t>
            </w:r>
          </w:p>
        </w:tc>
        <w:tc>
          <w:tcPr>
            <w:tcW w:w="2426" w:type="dxa"/>
            <w:tcBorders>
              <w:bottom w:val="single" w:sz="4" w:space="0" w:color="auto"/>
            </w:tcBorders>
          </w:tcPr>
          <w:p w:rsidR="004B3541" w:rsidRDefault="00CF3516" w:rsidP="00FF0D12">
            <w:pPr>
              <w:keepNext/>
              <w:keepLines/>
              <w:spacing w:beforeLines="20" w:afterLines="20"/>
              <w:jc w:val="left"/>
              <w:rPr>
                <w:sz w:val="18"/>
                <w:szCs w:val="18"/>
                <w:lang w:val="fr-FR"/>
              </w:rPr>
            </w:pPr>
            <w:r w:rsidRPr="00577EB1">
              <w:rPr>
                <w:sz w:val="18"/>
                <w:szCs w:val="18"/>
                <w:lang w:val="fr-FR"/>
              </w:rPr>
              <w:t>8 mois</w:t>
            </w:r>
          </w:p>
          <w:p w:rsidR="004B3541" w:rsidRDefault="00CF3516" w:rsidP="00FF0D12">
            <w:pPr>
              <w:keepNext/>
              <w:keepLines/>
              <w:spacing w:beforeLines="20" w:afterLines="20"/>
              <w:jc w:val="left"/>
              <w:rPr>
                <w:sz w:val="18"/>
                <w:szCs w:val="18"/>
                <w:lang w:val="fr-FR"/>
              </w:rPr>
            </w:pPr>
            <w:r w:rsidRPr="00577EB1">
              <w:rPr>
                <w:sz w:val="18"/>
                <w:szCs w:val="18"/>
                <w:lang w:val="fr-FR"/>
              </w:rPr>
              <w:t>Déc. 2008-août 2009</w:t>
            </w:r>
          </w:p>
        </w:tc>
        <w:tc>
          <w:tcPr>
            <w:tcW w:w="2252" w:type="dxa"/>
            <w:tcBorders>
              <w:bottom w:val="single" w:sz="4" w:space="0" w:color="auto"/>
            </w:tcBorders>
          </w:tcPr>
          <w:p w:rsidR="004B3541" w:rsidRDefault="00CF3516" w:rsidP="00FF0D12">
            <w:pPr>
              <w:keepNext/>
              <w:keepLines/>
              <w:spacing w:beforeLines="20" w:afterLines="20"/>
              <w:jc w:val="left"/>
              <w:rPr>
                <w:sz w:val="18"/>
                <w:szCs w:val="18"/>
                <w:lang w:val="fr-FR"/>
              </w:rPr>
            </w:pPr>
            <w:r w:rsidRPr="00577EB1">
              <w:rPr>
                <w:sz w:val="18"/>
                <w:szCs w:val="18"/>
                <w:lang w:val="fr-FR"/>
              </w:rPr>
              <w:t>18 mois</w:t>
            </w:r>
          </w:p>
          <w:p w:rsidR="004B3541" w:rsidRDefault="00CF3516" w:rsidP="00FF0D12">
            <w:pPr>
              <w:keepNext/>
              <w:keepLines/>
              <w:spacing w:beforeLines="20" w:afterLines="20"/>
              <w:jc w:val="left"/>
              <w:rPr>
                <w:sz w:val="18"/>
                <w:szCs w:val="18"/>
                <w:lang w:val="fr-FR"/>
              </w:rPr>
            </w:pPr>
            <w:r w:rsidRPr="00577EB1">
              <w:rPr>
                <w:sz w:val="18"/>
                <w:szCs w:val="18"/>
                <w:lang w:val="fr-FR"/>
              </w:rPr>
              <w:t>Jan. 2009-juin 2010</w:t>
            </w:r>
          </w:p>
        </w:tc>
      </w:tr>
    </w:tbl>
    <w:p w:rsidR="004B3541" w:rsidRDefault="00CF3516">
      <w:pPr>
        <w:pStyle w:val="Source"/>
        <w:keepNext w:val="0"/>
        <w:spacing w:before="120" w:after="480"/>
        <w:rPr>
          <w:i w:val="0"/>
        </w:rPr>
      </w:pPr>
      <w:r w:rsidRPr="00577EB1">
        <w:t>Sourc</w:t>
      </w:r>
      <w:r w:rsidR="005E551A">
        <w:t>e</w:t>
      </w:r>
      <w:r w:rsidR="00837FC9">
        <w:t> :</w:t>
      </w:r>
      <w:r w:rsidR="0007340F">
        <w:t xml:space="preserve"> </w:t>
      </w:r>
      <w:r w:rsidR="00EB214A" w:rsidRPr="00EB214A">
        <w:rPr>
          <w:i w:val="0"/>
        </w:rPr>
        <w:t>CRS, PAM, Auteurs.</w:t>
      </w:r>
    </w:p>
    <w:p w:rsidR="00CF3516" w:rsidRPr="00577EB1" w:rsidRDefault="00CF3516" w:rsidP="00E52A30">
      <w:pPr>
        <w:numPr>
          <w:ilvl w:val="0"/>
          <w:numId w:val="2"/>
        </w:numPr>
        <w:tabs>
          <w:tab w:val="clear" w:pos="709"/>
          <w:tab w:val="left" w:pos="567"/>
        </w:tabs>
        <w:autoSpaceDE w:val="0"/>
        <w:autoSpaceDN w:val="0"/>
        <w:adjustRightInd w:val="0"/>
        <w:ind w:left="0" w:firstLine="0"/>
        <w:rPr>
          <w:lang w:val="fr-FR"/>
        </w:rPr>
      </w:pPr>
      <w:r w:rsidRPr="00577EB1">
        <w:rPr>
          <w:b/>
          <w:lang w:val="fr-FR"/>
        </w:rPr>
        <w:t xml:space="preserve">Les évaluations à mi-parcours du Programme de coupons alimentaires en milieu urbain du PAM font état d’un processus de mise en œuvre plutôt efficace et de résultats positifs, tout en soulignant les sérieux défis du ciblage en milieu urbain. </w:t>
      </w:r>
      <w:r w:rsidRPr="00577EB1">
        <w:rPr>
          <w:lang w:val="fr-FR"/>
        </w:rPr>
        <w:t xml:space="preserve">Le recensement de 142 000 ménages effectué avant l’intervention a servi de base à la sélection des bénéficiaires pour un coût de 1 700 francs CFA par bénéficiaire. L’évaluation du ciblage a révélé des résultats décevants et recommandé la recherche d’une alternative, si possible plus simple, pour la sélection des bénéficiaires (Encadré 6). Une évaluation conjointe à mi-parcours (uniquement qualitative) réalisée en juin 2009 a révélé que la grande majorité des bénéficiaires étaient satisfaits de la gamme des produits offerts ainsi que du mécanisme de livraison. Les boutiquiers ont également indiqué leur satisfaction par rapport au programme. Le PAM a signalé que le programme de coupons coûtait 40 % de moins que la distribution de vivres classique. Ces résultats positifs ont justifié la prolongation du programme pour six mois supplémentaires, jusqu’à juin 2010. Depuis janvier 2010 le PAM a progressivement augmenté le nombre de bénéficiaires de 30 %. </w:t>
      </w:r>
      <w:r w:rsidR="007E4A36">
        <w:rPr>
          <w:lang w:val="fr-FR"/>
        </w:rPr>
        <w:t>Le programme a dû être arrêté en juin 2010 par faute de financement.</w:t>
      </w:r>
      <w:r w:rsidRPr="00577EB1">
        <w:rPr>
          <w:lang w:val="fr-FR"/>
        </w:rPr>
        <w:t xml:space="preserve"> </w:t>
      </w:r>
    </w:p>
    <w:p w:rsidR="00CF3516" w:rsidRPr="00577EB1" w:rsidRDefault="00CF3516" w:rsidP="00E52A30">
      <w:pPr>
        <w:numPr>
          <w:ilvl w:val="0"/>
          <w:numId w:val="2"/>
        </w:numPr>
        <w:tabs>
          <w:tab w:val="clear" w:pos="709"/>
          <w:tab w:val="left" w:pos="567"/>
        </w:tabs>
        <w:autoSpaceDE w:val="0"/>
        <w:autoSpaceDN w:val="0"/>
        <w:adjustRightInd w:val="0"/>
        <w:ind w:left="0" w:firstLine="0"/>
        <w:rPr>
          <w:lang w:val="fr-FR"/>
        </w:rPr>
      </w:pPr>
      <w:r w:rsidRPr="00577EB1">
        <w:rPr>
          <w:b/>
          <w:lang w:val="fr-FR"/>
        </w:rPr>
        <w:t xml:space="preserve">L’équipe de l’évaluation à mi-parcours a recommandé que le programme soit maintenu de façon permanente pour les extrêmement pauvres qui ne peuvent pas travailler, suggérant que ce groupe reçoive également des chèques santé. </w:t>
      </w:r>
      <w:r w:rsidRPr="00577EB1">
        <w:rPr>
          <w:lang w:val="fr-FR"/>
        </w:rPr>
        <w:t>Elle a en outre demandé le renforcement de la Politique nationale d’action sociale et du système de protection sociale en général.</w:t>
      </w:r>
      <w:r w:rsidRPr="00577EB1">
        <w:rPr>
          <w:rStyle w:val="FootnoteReference"/>
          <w:lang w:val="fr-FR"/>
        </w:rPr>
        <w:footnoteReference w:id="29"/>
      </w:r>
      <w:r w:rsidRPr="00577EB1">
        <w:rPr>
          <w:lang w:val="fr-FR"/>
        </w:rPr>
        <w:t xml:space="preserve"> Une boîte à outils a été développée pour capitaliser </w:t>
      </w:r>
      <w:r w:rsidRPr="00577EB1">
        <w:rPr>
          <w:lang w:val="fr-FR"/>
        </w:rPr>
        <w:lastRenderedPageBreak/>
        <w:t>l’expérience et appuyer un transfert graduel du programme aux institutions nationales, et au mois d’avril 2010, un total de 142 travailleurs sociaux avaient déjà reçu une formation sur les filets sociaux et sur la mise en place des coupons alimentaires.</w:t>
      </w:r>
    </w:p>
    <w:p w:rsidR="00CF3516" w:rsidRPr="00577EB1" w:rsidRDefault="005738FE" w:rsidP="006F1314">
      <w:pPr>
        <w:pStyle w:val="Heading9"/>
      </w:pPr>
      <w:bookmarkStart w:id="144" w:name="_Ref135727279"/>
      <w:bookmarkStart w:id="145" w:name="_Toc269723979"/>
      <w:bookmarkStart w:id="146" w:name="_Toc269724019"/>
      <w:bookmarkStart w:id="147" w:name="_Toc269724125"/>
      <w:bookmarkStart w:id="148" w:name="_Toc284613566"/>
      <w:bookmarkStart w:id="149" w:name="_Toc262170078"/>
      <w:r w:rsidRPr="005738FE">
        <w:t xml:space="preserve">Encadré </w:t>
      </w:r>
      <w:r w:rsidR="00725419">
        <w:fldChar w:fldCharType="begin"/>
      </w:r>
      <w:r w:rsidRPr="005738FE">
        <w:instrText xml:space="preserve"> SEQ Encadré \* ARABIC </w:instrText>
      </w:r>
      <w:r w:rsidR="00725419">
        <w:fldChar w:fldCharType="separate"/>
      </w:r>
      <w:r w:rsidR="00EF56B2">
        <w:rPr>
          <w:noProof/>
        </w:rPr>
        <w:t>6</w:t>
      </w:r>
      <w:r w:rsidR="00725419">
        <w:fldChar w:fldCharType="end"/>
      </w:r>
      <w:bookmarkEnd w:id="144"/>
      <w:r w:rsidR="00837FC9">
        <w:t> :</w:t>
      </w:r>
      <w:r w:rsidR="0007340F">
        <w:t xml:space="preserve"> </w:t>
      </w:r>
      <w:r w:rsidR="00CF3516" w:rsidRPr="00577EB1">
        <w:t>Programme de coupons alimentaires du PAM</w:t>
      </w:r>
      <w:bookmarkEnd w:id="145"/>
      <w:bookmarkEnd w:id="146"/>
      <w:bookmarkEnd w:id="147"/>
      <w:bookmarkEnd w:id="148"/>
      <w:r w:rsidR="00CF3516" w:rsidRPr="00577EB1">
        <w:rPr>
          <w:i/>
          <w:iCs/>
        </w:rPr>
        <w:t xml:space="preserve"> </w:t>
      </w:r>
      <w:bookmarkEnd w:id="149"/>
    </w:p>
    <w:tbl>
      <w:tblPr>
        <w:tblW w:w="9158" w:type="dxa"/>
        <w:tblBorders>
          <w:top w:val="single" w:sz="4" w:space="0" w:color="auto"/>
          <w:left w:val="single" w:sz="4" w:space="0" w:color="auto"/>
          <w:bottom w:val="single" w:sz="4" w:space="0" w:color="auto"/>
          <w:right w:val="single" w:sz="4" w:space="0" w:color="auto"/>
        </w:tblBorders>
        <w:tblLayout w:type="fixed"/>
        <w:tblCellMar>
          <w:top w:w="227" w:type="dxa"/>
          <w:left w:w="227" w:type="dxa"/>
          <w:bottom w:w="227" w:type="dxa"/>
          <w:right w:w="227" w:type="dxa"/>
        </w:tblCellMar>
        <w:tblLook w:val="01E0"/>
      </w:tblPr>
      <w:tblGrid>
        <w:gridCol w:w="9158"/>
      </w:tblGrid>
      <w:tr w:rsidR="00CF3516" w:rsidRPr="000A70E6" w:rsidTr="0050199E">
        <w:trPr>
          <w:trHeight w:val="1048"/>
        </w:trPr>
        <w:tc>
          <w:tcPr>
            <w:tcW w:w="9158" w:type="dxa"/>
            <w:shd w:val="clear" w:color="auto" w:fill="auto"/>
          </w:tcPr>
          <w:p w:rsidR="00CF3516" w:rsidRPr="00577EB1" w:rsidRDefault="00CF3516" w:rsidP="0050199E">
            <w:pPr>
              <w:autoSpaceDE w:val="0"/>
              <w:autoSpaceDN w:val="0"/>
              <w:adjustRightInd w:val="0"/>
              <w:spacing w:after="120"/>
              <w:outlineLvl w:val="1"/>
              <w:rPr>
                <w:sz w:val="18"/>
                <w:szCs w:val="18"/>
                <w:lang w:val="fr-FR"/>
              </w:rPr>
            </w:pPr>
            <w:r w:rsidRPr="00577EB1">
              <w:rPr>
                <w:sz w:val="18"/>
                <w:szCs w:val="18"/>
                <w:lang w:val="fr-FR"/>
              </w:rPr>
              <w:t xml:space="preserve">En juin 2008, la mission conduite conjointement par le Burkina Faso, le Système des Nations Unies et </w:t>
            </w:r>
            <w:r w:rsidRPr="00577EB1">
              <w:rPr>
                <w:i/>
                <w:iCs/>
                <w:sz w:val="18"/>
                <w:szCs w:val="18"/>
                <w:lang w:val="fr-FR"/>
              </w:rPr>
              <w:t xml:space="preserve">Save the children </w:t>
            </w:r>
            <w:r w:rsidRPr="00577EB1">
              <w:rPr>
                <w:sz w:val="18"/>
                <w:szCs w:val="18"/>
                <w:lang w:val="fr-FR"/>
              </w:rPr>
              <w:t>pour évaluer l’impact de la hausse des prix alimentaires mondiaux dans les villes de Ouagadougou et de Bobo-Dioulasso a fait état d’une situation alarmante. En réponse à une demande officielle du gouvernement, le PAM a lancé un programme d’urgence fournissant des coupons alimentaires à 30 000 ménages indigents pour compenser leur perte de pouvoir d’achat, et des suppléments nutritionnels aux ménages pauvres et indigents des quartiers ciblés afin de prévenir la malnutrition.</w:t>
            </w:r>
          </w:p>
          <w:p w:rsidR="00CF3516" w:rsidRPr="00577EB1" w:rsidRDefault="00CF3516" w:rsidP="0050199E">
            <w:pPr>
              <w:autoSpaceDE w:val="0"/>
              <w:autoSpaceDN w:val="0"/>
              <w:adjustRightInd w:val="0"/>
              <w:spacing w:after="120"/>
              <w:rPr>
                <w:sz w:val="18"/>
                <w:szCs w:val="18"/>
                <w:lang w:val="fr-FR"/>
              </w:rPr>
            </w:pPr>
            <w:r w:rsidRPr="00577EB1">
              <w:rPr>
                <w:b/>
                <w:sz w:val="18"/>
                <w:szCs w:val="18"/>
                <w:lang w:val="fr-FR"/>
              </w:rPr>
              <w:t>Objectifs</w:t>
            </w:r>
            <w:r w:rsidR="0007340F">
              <w:rPr>
                <w:sz w:val="18"/>
                <w:szCs w:val="18"/>
                <w:lang w:val="fr-FR"/>
              </w:rPr>
              <w:t xml:space="preserve"> </w:t>
            </w:r>
            <w:r w:rsidRPr="00577EB1">
              <w:rPr>
                <w:sz w:val="18"/>
                <w:szCs w:val="18"/>
                <w:lang w:val="fr-FR"/>
              </w:rPr>
              <w:t>Le programme a trois objectifs spécifiques</w:t>
            </w:r>
            <w:r w:rsidR="0007340F">
              <w:rPr>
                <w:sz w:val="18"/>
                <w:szCs w:val="18"/>
                <w:lang w:val="fr-FR"/>
              </w:rPr>
              <w:t xml:space="preserve"> </w:t>
            </w:r>
            <w:r w:rsidRPr="00577EB1">
              <w:rPr>
                <w:sz w:val="18"/>
                <w:szCs w:val="18"/>
                <w:lang w:val="fr-FR"/>
              </w:rPr>
              <w:t>i) protéger les conditions de vie en fournissant aux ménages bénéficiaires une compensation de leur perte de pouvoir d’achat à travers une distribution de coupons alimentaires inconditionnels</w:t>
            </w:r>
            <w:r w:rsidR="0007340F">
              <w:rPr>
                <w:sz w:val="18"/>
                <w:szCs w:val="18"/>
                <w:lang w:val="fr-FR"/>
              </w:rPr>
              <w:t xml:space="preserve"> </w:t>
            </w:r>
            <w:r w:rsidRPr="00577EB1">
              <w:rPr>
                <w:sz w:val="18"/>
                <w:szCs w:val="18"/>
                <w:lang w:val="fr-FR"/>
              </w:rPr>
              <w:t>ii) réduire la faim chronique et la sous-nutrition des enfants de 6 à 24 mois et des femmes enceintes et allaitantes à travers la distribution d’aliments fortifiés</w:t>
            </w:r>
            <w:r w:rsidR="0007340F">
              <w:rPr>
                <w:sz w:val="18"/>
                <w:szCs w:val="18"/>
                <w:lang w:val="fr-FR"/>
              </w:rPr>
              <w:t xml:space="preserve"> </w:t>
            </w:r>
            <w:r w:rsidRPr="00577EB1">
              <w:rPr>
                <w:sz w:val="18"/>
                <w:szCs w:val="18"/>
                <w:lang w:val="fr-FR"/>
              </w:rPr>
              <w:t>et iii) renforcer la capacité des pouvoirs publics à combattre la faim à travers l’établissement de filets sociaux.</w:t>
            </w:r>
          </w:p>
          <w:p w:rsidR="00CF3516" w:rsidRPr="00577EB1" w:rsidRDefault="00CF3516" w:rsidP="0050199E">
            <w:pPr>
              <w:autoSpaceDE w:val="0"/>
              <w:autoSpaceDN w:val="0"/>
              <w:adjustRightInd w:val="0"/>
              <w:spacing w:after="120"/>
              <w:rPr>
                <w:bCs/>
                <w:sz w:val="18"/>
                <w:szCs w:val="18"/>
                <w:lang w:val="fr-FR"/>
              </w:rPr>
            </w:pPr>
            <w:r w:rsidRPr="00577EB1">
              <w:rPr>
                <w:b/>
                <w:sz w:val="18"/>
                <w:szCs w:val="18"/>
                <w:lang w:val="fr-FR"/>
              </w:rPr>
              <w:t>Ciblage</w:t>
            </w:r>
            <w:r w:rsidR="0007340F">
              <w:rPr>
                <w:b/>
                <w:sz w:val="18"/>
                <w:szCs w:val="18"/>
                <w:lang w:val="fr-FR"/>
              </w:rPr>
              <w:t xml:space="preserve"> </w:t>
            </w:r>
            <w:r w:rsidRPr="00577EB1">
              <w:rPr>
                <w:bCs/>
                <w:sz w:val="18"/>
                <w:szCs w:val="18"/>
                <w:lang w:val="fr-FR"/>
              </w:rPr>
              <w:t xml:space="preserve">L’exercice de ciblage a eu lieu en août 2008, utilisant le score de vulnérabilité établi par la Croix-Rouge burkinabé (CRB). Puisque le recensement de toute la population de Ouagadougou et de Bobo-Dioulasso aurait nécessité du temps et des ressources, une présélection des quartiers les plus pauvres a été organisée sur la base d’indicateurs économiques. Dans ces zones, un total de 89 835 ménages à Ouagadougou et de 48 290 à Bobo-Dioulasso a été soumis à une enquête et classé. La liste des bénéficiaires a ensuite été revérifiée par les comités locaux et les partenaires. Mais quand l’opération a réellement commencé en février 2009, environ 10 % des ménages sélectionnés n’ont pas pu être localisés (2 300 des 20 000 ménages de Ouagadougou) et ont été remplacés par les ménages éligibles qui suivaient dans la liste. </w:t>
            </w:r>
          </w:p>
          <w:p w:rsidR="00CF3516" w:rsidRPr="00577EB1" w:rsidRDefault="00CF3516" w:rsidP="0050199E">
            <w:pPr>
              <w:autoSpaceDE w:val="0"/>
              <w:autoSpaceDN w:val="0"/>
              <w:adjustRightInd w:val="0"/>
              <w:spacing w:after="120"/>
              <w:rPr>
                <w:b/>
                <w:sz w:val="18"/>
                <w:szCs w:val="18"/>
                <w:lang w:val="fr-FR"/>
              </w:rPr>
            </w:pPr>
            <w:r w:rsidRPr="00577EB1">
              <w:rPr>
                <w:bCs/>
                <w:sz w:val="18"/>
                <w:szCs w:val="18"/>
                <w:lang w:val="fr-FR"/>
              </w:rPr>
              <w:t xml:space="preserve">L’évaluation du ciblage conduite par l’IRD en avril/mai 2009 signale des résultats décevants par rapport aux efforts entrepris, tout en concluant que tous les ménages bénéficiaires étaient dans le besoin. En prenant les dépenses alimentaires comme indicateurs de vulnérabilité alimentaire, l’évaluation a révélé qu’un tiers des ménages bénéficiaires étaient indigents (groupe ciblé), qu’un tiers étaient pauvres, et qu’un tiers l’étaient moins. L’IRD explique cette erreur d’inclusion par le fait que le score de vulnérabilité (basé sur des critères structurels) n’est pas approprié pour évaluer la pauvreté alimentaire (largement cyclique). Des contraintes budgétaires ont également causé une importante erreur d’exclusion. Considérant qu’environ 60 % de la population de Ouagadougou n’avait pas été visitée, l’IRD a estimé que plus que la moitié des ménages pauvres avait été exclue de fait. L’évaluation a également révélé de sérieux problèmes de collecte et de saisie des données. Le questionnaire était complexe et mal adapté à une intervention d’urgence à grande échelle et aucun logiciel adéquat de gestion des données n’avait été utilisé. Un autre problème mis en évidence est le fait que les ménages urbains déménagent et que leur statut change. L’évaluation à mi-parcours a noté que de nombreux ménages qui avaient été classés comme pauvres en 2008 étaient tombés dans la catégorie des indigents en 2009 et devenaient ainsi éligibles à l’aide. Ceci suggère que des mécanismes de re-ciblage devraient être introduits en cours de route. L’IRD a recommandé la recherche de méthodes alternatives, telles que le ciblage géographique à plus petite échelle, combiné à un ciblage communautaire et à un questionnaire léger pour les ménages présélectionnés. </w:t>
            </w:r>
          </w:p>
          <w:p w:rsidR="00CF3516" w:rsidRPr="00577EB1" w:rsidRDefault="00CF3516" w:rsidP="0050199E">
            <w:pPr>
              <w:autoSpaceDE w:val="0"/>
              <w:autoSpaceDN w:val="0"/>
              <w:adjustRightInd w:val="0"/>
              <w:spacing w:after="120"/>
              <w:rPr>
                <w:sz w:val="18"/>
                <w:szCs w:val="18"/>
                <w:lang w:val="fr-FR"/>
              </w:rPr>
            </w:pPr>
            <w:r w:rsidRPr="00577EB1">
              <w:rPr>
                <w:b/>
                <w:sz w:val="18"/>
                <w:szCs w:val="18"/>
                <w:lang w:val="fr-FR"/>
              </w:rPr>
              <w:t>Forme, niveau et livraison des transferts</w:t>
            </w:r>
            <w:r w:rsidR="0007340F">
              <w:rPr>
                <w:b/>
                <w:sz w:val="18"/>
                <w:szCs w:val="18"/>
                <w:lang w:val="fr-FR"/>
              </w:rPr>
              <w:t xml:space="preserve"> </w:t>
            </w:r>
            <w:r w:rsidRPr="00577EB1">
              <w:rPr>
                <w:bCs/>
                <w:sz w:val="18"/>
                <w:szCs w:val="18"/>
                <w:lang w:val="fr-FR"/>
              </w:rPr>
              <w:t>Une analyse de marché menée en septembre 2008 a indiqué que les</w:t>
            </w:r>
            <w:r w:rsidRPr="00577EB1">
              <w:rPr>
                <w:sz w:val="18"/>
                <w:szCs w:val="18"/>
                <w:lang w:val="fr-FR"/>
              </w:rPr>
              <w:t xml:space="preserve"> marchés fonctionnaient et étaient intégrés et que le risque d’inflation était faible, suggérant qu’une intervention monétaire était réalisable. Le PAM a choisi d’utiliser des coupons plutôt que des espèces pour s’assurer que les transferts étaient consacrés aux vivres, pour renforcer la sécurité des bénéficiaires et par crainte d’une mauvaise gestion des fonds (comme l’ont exprimé les groupes de réflexion au cours des discussions avec les femmes). L’option des coupons permet aussi de limiter la liste des produits accessibles à ceux qui sont produits localement. Certains bénéficiaires préféreraient probablement le riz, mais il est importé et beaucoup plus cher que le maïs. Tous les fonds injectés (2 600 millions de francs CFA en 2009) sont dépensés dans le pays. </w:t>
            </w:r>
          </w:p>
          <w:p w:rsidR="00CF3516" w:rsidRPr="00577EB1" w:rsidRDefault="00CF3516" w:rsidP="0050199E">
            <w:pPr>
              <w:autoSpaceDE w:val="0"/>
              <w:autoSpaceDN w:val="0"/>
              <w:adjustRightInd w:val="0"/>
              <w:spacing w:after="120"/>
              <w:rPr>
                <w:sz w:val="18"/>
                <w:szCs w:val="18"/>
                <w:lang w:val="fr-FR"/>
              </w:rPr>
            </w:pPr>
            <w:r w:rsidRPr="00577EB1">
              <w:rPr>
                <w:sz w:val="18"/>
                <w:szCs w:val="18"/>
                <w:lang w:val="fr-FR"/>
              </w:rPr>
              <w:t>La valeur du coupon était fixée à 1 500 francs CFA par personne et par mois (jusqu’à maximum 6 personnes par ménage</w:t>
            </w:r>
            <w:r w:rsidR="0007340F">
              <w:rPr>
                <w:sz w:val="18"/>
                <w:szCs w:val="18"/>
                <w:lang w:val="fr-FR"/>
              </w:rPr>
              <w:t xml:space="preserve"> </w:t>
            </w:r>
            <w:r w:rsidRPr="00577EB1">
              <w:rPr>
                <w:sz w:val="18"/>
                <w:szCs w:val="18"/>
                <w:lang w:val="fr-FR"/>
              </w:rPr>
              <w:t>dans les ménages polygames, chaque femme et ses enfants étant considérés comme un ménage</w:t>
            </w:r>
            <w:r w:rsidR="0007340F">
              <w:rPr>
                <w:sz w:val="18"/>
                <w:szCs w:val="18"/>
                <w:lang w:val="fr-FR"/>
              </w:rPr>
              <w:t xml:space="preserve"> </w:t>
            </w:r>
            <w:r w:rsidRPr="00577EB1">
              <w:rPr>
                <w:sz w:val="18"/>
                <w:szCs w:val="18"/>
                <w:lang w:val="fr-FR"/>
              </w:rPr>
              <w:t>ce que le PAM</w:t>
            </w:r>
            <w:r w:rsidR="0007340F">
              <w:rPr>
                <w:sz w:val="18"/>
                <w:szCs w:val="18"/>
                <w:lang w:val="fr-FR"/>
              </w:rPr>
              <w:t xml:space="preserve"> </w:t>
            </w:r>
            <w:r w:rsidRPr="00577EB1">
              <w:rPr>
                <w:sz w:val="18"/>
                <w:szCs w:val="18"/>
                <w:lang w:val="fr-FR"/>
              </w:rPr>
              <w:t xml:space="preserve">estimait correspondre à 22 % du seuil de pauvreté, ou 15 à 18 jours de besoins en céréales). Les produits accessibles sont le maïs, l’huile végétale, le sucre, le sel et le savon. L’évaluation du ciblage a indiqué que ce niveau était approprié. Les bénéficiaires (les femmes) viennent chercher leurs coupons chaque mois à l’un des 20 sites de distribution et les échangent auprès d’une des boutiques participantes (une boutique pour 200 ménages bénéficiaires en moyenne). Le suivi post-distribution a révélé que 99 % des bénéficiaires échangeaient tous leurs coupons dans les deux jours suivant la distribution. Les boutiques participantes ont été sélectionnées en collaboration avec le ministère du Commerce et sont </w:t>
            </w:r>
            <w:r w:rsidRPr="00577EB1">
              <w:rPr>
                <w:sz w:val="18"/>
                <w:szCs w:val="18"/>
                <w:lang w:val="fr-FR"/>
              </w:rPr>
              <w:lastRenderedPageBreak/>
              <w:t>payées par l’institution de microfinance (Microfi).</w:t>
            </w:r>
          </w:p>
          <w:p w:rsidR="00CF3516" w:rsidRPr="00577EB1" w:rsidRDefault="00CF3516" w:rsidP="0050199E">
            <w:pPr>
              <w:autoSpaceDE w:val="0"/>
              <w:autoSpaceDN w:val="0"/>
              <w:adjustRightInd w:val="0"/>
              <w:spacing w:after="120"/>
              <w:rPr>
                <w:sz w:val="18"/>
                <w:szCs w:val="18"/>
                <w:lang w:val="fr-FR"/>
              </w:rPr>
            </w:pPr>
            <w:r w:rsidRPr="00577EB1">
              <w:rPr>
                <w:sz w:val="18"/>
                <w:szCs w:val="18"/>
                <w:lang w:val="fr-FR"/>
              </w:rPr>
              <w:t>Les suppléments nutritionnels sont distribués par les agents du MASSN à travers les centres de santé de la zone d’intervention</w:t>
            </w:r>
            <w:r w:rsidR="0007340F">
              <w:rPr>
                <w:sz w:val="18"/>
                <w:szCs w:val="18"/>
                <w:lang w:val="fr-FR"/>
              </w:rPr>
              <w:t xml:space="preserve"> </w:t>
            </w:r>
            <w:r w:rsidRPr="00577EB1">
              <w:rPr>
                <w:sz w:val="18"/>
                <w:szCs w:val="18"/>
                <w:lang w:val="fr-FR"/>
              </w:rPr>
              <w:t xml:space="preserve">Plumpy-Doz (ou farine enrichie Nutrifaso-Gret) pour tous les enfants de 6 à 24 mois ayant un dossier médical à jour, et CSB pour toutes les femmes enceintes et allaitantes pendant la saison maigre. </w:t>
            </w:r>
          </w:p>
          <w:p w:rsidR="00CF3516" w:rsidRPr="00577EB1" w:rsidRDefault="00CF3516" w:rsidP="006B6D94">
            <w:pPr>
              <w:autoSpaceDE w:val="0"/>
              <w:autoSpaceDN w:val="0"/>
              <w:adjustRightInd w:val="0"/>
              <w:spacing w:after="0"/>
              <w:rPr>
                <w:bCs/>
                <w:sz w:val="18"/>
                <w:szCs w:val="18"/>
                <w:lang w:val="fr-FR"/>
              </w:rPr>
            </w:pPr>
            <w:r w:rsidRPr="00577EB1">
              <w:rPr>
                <w:b/>
                <w:sz w:val="18"/>
                <w:szCs w:val="18"/>
                <w:lang w:val="fr-FR"/>
              </w:rPr>
              <w:t>Impact</w:t>
            </w:r>
            <w:r w:rsidR="0007340F">
              <w:rPr>
                <w:b/>
                <w:sz w:val="18"/>
                <w:szCs w:val="18"/>
                <w:lang w:val="fr-FR"/>
              </w:rPr>
              <w:t xml:space="preserve"> </w:t>
            </w:r>
            <w:r w:rsidRPr="00577EB1">
              <w:rPr>
                <w:bCs/>
                <w:sz w:val="18"/>
                <w:szCs w:val="18"/>
                <w:lang w:val="fr-FR"/>
              </w:rPr>
              <w:t xml:space="preserve">L’évaluation à mi-parcours (examen qualitatif rapide) a indiqué que les économies sur les dépenses alimentaires générées par le programme étaient trop limitées pour permettre aux ménages bénéficiaires d’investir dans des activités génératrices de revenu, mais qu’elles avaient amélioré leur consommation alimentaire en qualité et en quantité, et, à un moindre degré, leur accès à la sante et à l’éducation. Les boutiques participantes ont fait état d’un effet positif sur leur chiffre d’affaires et sur la création d’emplois temporaires. Aucune inflation n’en a résulté et la majorité des boutiques non participantes n’a pas souffert de pertes dans leurs affaires. </w:t>
            </w:r>
          </w:p>
        </w:tc>
      </w:tr>
    </w:tbl>
    <w:p w:rsidR="004B3541" w:rsidRDefault="00CF3516">
      <w:pPr>
        <w:pStyle w:val="Source"/>
        <w:spacing w:before="120" w:after="480"/>
        <w:rPr>
          <w:sz w:val="22"/>
          <w:szCs w:val="20"/>
        </w:rPr>
      </w:pPr>
      <w:r w:rsidRPr="00577EB1">
        <w:lastRenderedPageBreak/>
        <w:t>Source</w:t>
      </w:r>
      <w:r w:rsidR="005738FE">
        <w:t>s</w:t>
      </w:r>
      <w:r w:rsidR="00837FC9">
        <w:t> :</w:t>
      </w:r>
      <w:r w:rsidR="0007340F">
        <w:t xml:space="preserve"> </w:t>
      </w:r>
      <w:r w:rsidR="00EB214A" w:rsidRPr="00EB214A">
        <w:rPr>
          <w:i w:val="0"/>
        </w:rPr>
        <w:t>PAM, 2008a, 2008b, 2009a, 2009b IRD, 2009 Auteurs.</w:t>
      </w:r>
    </w:p>
    <w:p w:rsidR="00CF3516" w:rsidRPr="00577EB1" w:rsidRDefault="00CF3516" w:rsidP="00E52A30">
      <w:pPr>
        <w:numPr>
          <w:ilvl w:val="0"/>
          <w:numId w:val="2"/>
        </w:numPr>
        <w:ind w:left="0" w:firstLine="0"/>
        <w:rPr>
          <w:lang w:val="fr-FR"/>
        </w:rPr>
      </w:pPr>
      <w:r w:rsidRPr="00577EB1">
        <w:rPr>
          <w:b/>
          <w:lang w:val="fr-FR"/>
        </w:rPr>
        <w:t xml:space="preserve">Une analyse complémentaire est prévue au cours du premier semestre de 2010 pour guider l’élaboration de mécanismes efficaces de filets sociaux pour les populations urbaines. </w:t>
      </w:r>
      <w:r w:rsidRPr="00577EB1">
        <w:rPr>
          <w:bCs/>
          <w:lang w:val="fr-FR"/>
        </w:rPr>
        <w:t>À</w:t>
      </w:r>
      <w:r w:rsidRPr="00577EB1">
        <w:rPr>
          <w:lang w:val="fr-FR"/>
        </w:rPr>
        <w:t xml:space="preserve"> la fin de 2009, le PAM a élargi son programme de coupons pour aider 6 562 ménages supplémentaires affectés par les inondations. En plus des coupons, ces ménages (8 906 ménages) ont reçu pendant 4 mois des transferts monétaires mensuels de 1 500 francs CFA par personne (avec un plafond de 9 000 francs CFA par ménage). En fournissant cette assistance monétaire supplémentaire, le PAM voulait empêcher les ménages de revendre leurs coupons ou leurs vivres pour se procurer des matériaux pour la réparation de leurs maisons et des produits non alimentaires essentiels. Les coupons et l’argent étaient remis aux femmes. Le suivi post-distribution réalisé en mars 2010 renseignera sur la manière dont les fonds ont été utilisés et apportera peut être d’autres éclaircissements sur la question précédemment anticipée de leur gestion. L’évaluation finale du Programme de coupons en milieu urbain (qualitative et quantitative, avec une base de référence et un groupe témoin) lancée en avril 2010 devrait aussi apporter d’autres preuves et enseignements précieux pour la conception de filets sociaux efficaces en milieu urbain. </w:t>
      </w:r>
    </w:p>
    <w:p w:rsidR="00CF3516" w:rsidRPr="00577EB1" w:rsidRDefault="00CF3516" w:rsidP="00CF3516">
      <w:pPr>
        <w:pStyle w:val="Heading2"/>
      </w:pPr>
      <w:bookmarkStart w:id="150" w:name="_Toc264748735"/>
      <w:bookmarkStart w:id="151" w:name="_Toc261967414"/>
      <w:bookmarkStart w:id="152" w:name="_Toc262169636"/>
      <w:r w:rsidRPr="00577EB1">
        <w:t>Transferts alimentaires</w:t>
      </w:r>
      <w:bookmarkEnd w:id="150"/>
    </w:p>
    <w:bookmarkEnd w:id="151"/>
    <w:bookmarkEnd w:id="152"/>
    <w:p w:rsidR="00CF3516" w:rsidRPr="00577EB1" w:rsidRDefault="00CF3516" w:rsidP="00E52A30">
      <w:pPr>
        <w:numPr>
          <w:ilvl w:val="0"/>
          <w:numId w:val="2"/>
        </w:numPr>
        <w:ind w:left="0" w:firstLine="0"/>
        <w:rPr>
          <w:lang w:val="fr-FR"/>
        </w:rPr>
      </w:pPr>
      <w:r w:rsidRPr="00577EB1">
        <w:rPr>
          <w:b/>
          <w:lang w:val="fr-FR"/>
        </w:rPr>
        <w:t>Les transferts alimentaires sont la principale forme de programmes de filets sociaux au Burkina Faso, absorbant 69 % des dépenses totales pour les filets sociaux et plus que 80 % du nombre total estimé de bénéficiaires des filets sociaux en 2009 (hors subvention du carburant).</w:t>
      </w:r>
      <w:r w:rsidRPr="00577EB1">
        <w:rPr>
          <w:bCs/>
          <w:lang w:val="fr-FR"/>
        </w:rPr>
        <w:t xml:space="preserve"> L’enquête de 2003 sur les conditions de vie des ménages a signalé que 49 % de la population rurale était incapable de se procurer une ration alimentaire satisfaisante. Il en résulte une prévalence élevée de la malnutrition chronique, affectant près de 38,7 % des enfants, avec un taux élevé de mortalité infantile (2 enfants sur 10 meurent avant l’âge de cinq ans). Cette situation alarmante a motivé de nombreux acteurs à investir davantage dans les programmes de transferts alimentaires. Quatre types de transferts alimentaires sont actuellement en place</w:t>
      </w:r>
      <w:r w:rsidR="0007340F">
        <w:rPr>
          <w:bCs/>
          <w:lang w:val="fr-FR"/>
        </w:rPr>
        <w:t xml:space="preserve"> </w:t>
      </w:r>
      <w:r w:rsidRPr="00577EB1">
        <w:rPr>
          <w:bCs/>
          <w:lang w:val="fr-FR"/>
        </w:rPr>
        <w:t>i) subvention ciblée de la vente de vivres</w:t>
      </w:r>
      <w:r w:rsidR="0007340F">
        <w:rPr>
          <w:bCs/>
          <w:lang w:val="fr-FR"/>
        </w:rPr>
        <w:t xml:space="preserve"> </w:t>
      </w:r>
      <w:r w:rsidRPr="00577EB1">
        <w:rPr>
          <w:bCs/>
          <w:lang w:val="fr-FR"/>
        </w:rPr>
        <w:t>ii) distribution ciblée de vivres gratuits</w:t>
      </w:r>
      <w:r w:rsidR="0007340F">
        <w:rPr>
          <w:bCs/>
          <w:lang w:val="fr-FR"/>
        </w:rPr>
        <w:t xml:space="preserve"> </w:t>
      </w:r>
      <w:r w:rsidRPr="00577EB1">
        <w:rPr>
          <w:bCs/>
          <w:lang w:val="fr-FR"/>
        </w:rPr>
        <w:t>iii) programmes de nutrition, et iv) les programmes de cantines scolaires.</w:t>
      </w:r>
      <w:r w:rsidRPr="00577EB1">
        <w:rPr>
          <w:lang w:val="fr-FR"/>
        </w:rPr>
        <w:t xml:space="preserve"> </w:t>
      </w:r>
    </w:p>
    <w:p w:rsidR="00CF3516" w:rsidRPr="00577EB1" w:rsidRDefault="00CF3516" w:rsidP="00CF3516">
      <w:pPr>
        <w:pStyle w:val="Style3"/>
        <w:jc w:val="left"/>
        <w:rPr>
          <w:lang w:val="fr-FR"/>
        </w:rPr>
      </w:pPr>
      <w:r w:rsidRPr="00577EB1">
        <w:rPr>
          <w:lang w:val="fr-FR"/>
        </w:rPr>
        <w:lastRenderedPageBreak/>
        <w:t>Vente d’aliments à des prix subventionnés</w:t>
      </w:r>
    </w:p>
    <w:p w:rsidR="00CF3516" w:rsidRPr="00577EB1" w:rsidRDefault="00CF3516" w:rsidP="00E52A30">
      <w:pPr>
        <w:numPr>
          <w:ilvl w:val="0"/>
          <w:numId w:val="2"/>
        </w:numPr>
        <w:ind w:left="0" w:firstLine="0"/>
        <w:rPr>
          <w:lang w:val="fr-FR"/>
        </w:rPr>
      </w:pPr>
      <w:r w:rsidRPr="00577EB1">
        <w:rPr>
          <w:b/>
          <w:lang w:val="fr-FR"/>
        </w:rPr>
        <w:t>L’État subventionne les ventes de vivres en utilisant le Stock d’intervention.</w:t>
      </w:r>
      <w:r w:rsidRPr="00577EB1">
        <w:rPr>
          <w:rStyle w:val="FootnoteReference"/>
          <w:lang w:val="fr-FR"/>
        </w:rPr>
        <w:footnoteReference w:id="30"/>
      </w:r>
      <w:r w:rsidRPr="00577EB1">
        <w:rPr>
          <w:lang w:val="fr-FR"/>
        </w:rPr>
        <w:t xml:space="preserve"> Le Stock d’intervention de 10 000 tonnes de l’État a pour but d’assister les populations vivant dans les zones isolées ou affectées par une catastrophe, à travers la vente ciblée et subventionnée de vivres (par exemple, 10 000 francs CFA au lieu de 35 000 francs CFA par sac de 100 kg de sorgho ou de millet). L’utilisation du Stock d’intervention est décidée au niveau central</w:t>
      </w:r>
      <w:r w:rsidR="0007340F">
        <w:rPr>
          <w:lang w:val="fr-FR"/>
        </w:rPr>
        <w:t xml:space="preserve"> </w:t>
      </w:r>
      <w:r w:rsidRPr="00577EB1">
        <w:rPr>
          <w:lang w:val="fr-FR"/>
        </w:rPr>
        <w:t>définition des zones, prix subventionné et période d’opération. Un des objectifs de ces ventes subventionnées est de contribuer à la stabilité des prix des céréales dans les provinces déficitaires. Au cours de l’année agricole 2007-2008, les pouvoirs publics ont estimé que de tels effets avaient été obtenus dans plusieurs provinces, mais seulement pendant une brève période [RVCC 2008]. Un autre objectif est d’assister les ménages vulnérables à l’insécurité alimentaire.</w:t>
      </w:r>
    </w:p>
    <w:p w:rsidR="00652BC6" w:rsidRDefault="00CF3516" w:rsidP="00E52A30">
      <w:pPr>
        <w:numPr>
          <w:ilvl w:val="0"/>
          <w:numId w:val="2"/>
        </w:numPr>
        <w:ind w:left="0" w:firstLine="0"/>
        <w:rPr>
          <w:lang w:val="fr-FR"/>
        </w:rPr>
      </w:pPr>
      <w:r w:rsidRPr="00577EB1">
        <w:rPr>
          <w:b/>
          <w:lang w:val="fr-FR"/>
        </w:rPr>
        <w:t>Il n’y a pas d’information sur le nombre et les profils réels des bénéficiaires des ventes subventionnées de vivres.</w:t>
      </w:r>
      <w:r w:rsidRPr="00577EB1">
        <w:rPr>
          <w:rStyle w:val="FootnoteReference"/>
          <w:b/>
          <w:lang w:val="fr-FR"/>
        </w:rPr>
        <w:footnoteReference w:id="31"/>
      </w:r>
      <w:r w:rsidRPr="00577EB1">
        <w:rPr>
          <w:b/>
          <w:lang w:val="fr-FR"/>
        </w:rPr>
        <w:t xml:space="preserve"> </w:t>
      </w:r>
      <w:r w:rsidRPr="00577EB1">
        <w:rPr>
          <w:bCs/>
          <w:lang w:val="fr-FR"/>
        </w:rPr>
        <w:t>Ni le</w:t>
      </w:r>
      <w:r w:rsidRPr="00577EB1">
        <w:rPr>
          <w:lang w:val="fr-FR"/>
        </w:rPr>
        <w:t xml:space="preserve"> CONASUR ni la SONAGESS, les agences responsables de la gestion et de la distribution des stocks de vivres, n’ont d'informations sur les bénéficiaires de leurs programmes. En 2008, la SONAGESS a indiqué que la totalité du stock avait était utilisée, avec 20 000 tonnes supplémentaires empruntées au Stock national de sécurité (ou SNS). Près de 136 800 ménages auraient bénéficié de la vente de ces 30 000 tonnes si l’on prend en compte les besoins </w:t>
      </w:r>
      <w:r w:rsidR="00CD173A">
        <w:rPr>
          <w:lang w:val="fr-FR"/>
        </w:rPr>
        <w:t xml:space="preserve">moyens </w:t>
      </w:r>
      <w:r w:rsidRPr="00577EB1">
        <w:rPr>
          <w:lang w:val="fr-FR"/>
        </w:rPr>
        <w:t>trimestriels en céréales des ménages,</w:t>
      </w:r>
      <w:r w:rsidRPr="00577EB1">
        <w:rPr>
          <w:rStyle w:val="FootnoteReference"/>
          <w:lang w:val="fr-FR"/>
        </w:rPr>
        <w:footnoteReference w:id="32"/>
      </w:r>
      <w:r w:rsidRPr="00577EB1">
        <w:rPr>
          <w:lang w:val="fr-FR"/>
        </w:rPr>
        <w:t xml:space="preserve"> ou jusqu’à 300 000 ménages si les ventes étaient limitées à 100 kg par ménage. Ces chiffres indicatifs semblent cependant </w:t>
      </w:r>
      <w:r w:rsidR="00CD173A">
        <w:rPr>
          <w:lang w:val="fr-FR"/>
        </w:rPr>
        <w:t>peu en ligne</w:t>
      </w:r>
      <w:r w:rsidRPr="00577EB1">
        <w:rPr>
          <w:lang w:val="fr-FR"/>
        </w:rPr>
        <w:t xml:space="preserve"> avec </w:t>
      </w:r>
      <w:r w:rsidR="00CD173A">
        <w:rPr>
          <w:lang w:val="fr-FR"/>
        </w:rPr>
        <w:t>des données liées</w:t>
      </w:r>
      <w:r w:rsidRPr="00577EB1">
        <w:rPr>
          <w:lang w:val="fr-FR"/>
        </w:rPr>
        <w:t xml:space="preserve"> fourni</w:t>
      </w:r>
      <w:r w:rsidR="00CD173A">
        <w:rPr>
          <w:lang w:val="fr-FR"/>
        </w:rPr>
        <w:t>e</w:t>
      </w:r>
      <w:r w:rsidRPr="00577EB1">
        <w:rPr>
          <w:lang w:val="fr-FR"/>
        </w:rPr>
        <w:t>s par le Comité national de sécurité alimentaire (CNSA)</w:t>
      </w:r>
      <w:r w:rsidR="00CD173A">
        <w:rPr>
          <w:rStyle w:val="FootnoteReference"/>
          <w:lang w:val="fr-FR"/>
        </w:rPr>
        <w:footnoteReference w:id="33"/>
      </w:r>
      <w:r w:rsidR="00CD173A">
        <w:rPr>
          <w:lang w:val="fr-FR"/>
        </w:rPr>
        <w:t xml:space="preserve"> et le CONASUR</w:t>
      </w:r>
      <w:r w:rsidR="00CD173A">
        <w:rPr>
          <w:rStyle w:val="FootnoteReference"/>
          <w:lang w:val="fr-FR"/>
        </w:rPr>
        <w:footnoteReference w:id="34"/>
      </w:r>
      <w:r w:rsidRPr="00577EB1">
        <w:rPr>
          <w:lang w:val="fr-FR"/>
        </w:rPr>
        <w:t>.</w:t>
      </w:r>
    </w:p>
    <w:p w:rsidR="00652BC6" w:rsidRPr="00577EB1" w:rsidRDefault="00652BC6" w:rsidP="00652BC6">
      <w:pPr>
        <w:numPr>
          <w:ilvl w:val="0"/>
          <w:numId w:val="2"/>
        </w:numPr>
        <w:ind w:left="0" w:firstLine="0"/>
        <w:rPr>
          <w:lang w:val="fr-FR"/>
        </w:rPr>
      </w:pPr>
      <w:r w:rsidRPr="00577EB1">
        <w:rPr>
          <w:b/>
          <w:lang w:val="fr-FR"/>
        </w:rPr>
        <w:t xml:space="preserve">Ces ventes subventionnées peuvent ne pas atteindre les ménages les plus pauvres étant donné que les indigents peuvent tout simplement ne pas avoir les ressources financières pour acheter les céréales subventionnées proposées. </w:t>
      </w:r>
      <w:r w:rsidRPr="00577EB1">
        <w:rPr>
          <w:bCs/>
          <w:lang w:val="fr-FR"/>
        </w:rPr>
        <w:t>Les critères d’éligibilité sont définis par le COPROSUR (</w:t>
      </w:r>
      <w:r w:rsidRPr="00577EB1">
        <w:rPr>
          <w:lang w:val="fr-FR"/>
        </w:rPr>
        <w:t>Conseil provincial de secours d’urgence et de réhabilitation). Les chefs de ménages éligibles intéressés doivent s’enregistrer à la mairie du village et prendre livraison de leurs céréales à l’entrepôt de la SONAGESS (au niveau provincial ou départemental). Il n’est pas clair que les ventes soient faites sur la base du premier arrivé-premier servi et que les critères de vulnérabilité soient entièrement respectés. En l’absence d’un solide suivi et évaluation et de modalités efficaces d’identification des ménages vulnérables, il n’est pas possible d’évaluer l’efficacité du Stock d’intervention dans l’appui à la consommation alimentaire de pauvres.</w:t>
      </w:r>
    </w:p>
    <w:p w:rsidR="00792566" w:rsidRDefault="001F3001" w:rsidP="00652BC6">
      <w:pPr>
        <w:pStyle w:val="Heading7"/>
        <w:spacing w:after="0"/>
        <w:rPr>
          <w:lang w:val="fr-FR"/>
        </w:rPr>
      </w:pPr>
      <w:bookmarkStart w:id="153" w:name="_Toc262170049"/>
      <w:bookmarkStart w:id="154" w:name="_Toc284528593"/>
      <w:bookmarkStart w:id="155" w:name="_Toc284530529"/>
      <w:r w:rsidRPr="00577EB1">
        <w:rPr>
          <w:lang w:val="fr-FR"/>
        </w:rPr>
        <w:lastRenderedPageBreak/>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18</w:t>
      </w:r>
      <w:r w:rsidR="00725419" w:rsidRPr="00577EB1">
        <w:rPr>
          <w:lang w:val="fr-FR"/>
        </w:rPr>
        <w:fldChar w:fldCharType="end"/>
      </w:r>
      <w:r>
        <w:rPr>
          <w:lang w:val="fr-FR"/>
        </w:rPr>
        <w:t xml:space="preserve"> </w:t>
      </w:r>
      <w:r w:rsidR="003203FB">
        <w:rPr>
          <w:lang w:val="fr-FR"/>
        </w:rPr>
        <w:t>:</w:t>
      </w:r>
      <w:r w:rsidR="0007340F">
        <w:rPr>
          <w:lang w:val="fr-FR"/>
        </w:rPr>
        <w:t xml:space="preserve"> </w:t>
      </w:r>
      <w:bookmarkEnd w:id="153"/>
      <w:r w:rsidR="00CF3516" w:rsidRPr="00577EB1">
        <w:rPr>
          <w:lang w:val="fr-FR"/>
        </w:rPr>
        <w:t>Stock d’intervention, situation au 31 décembre 2008</w:t>
      </w:r>
      <w:bookmarkEnd w:id="154"/>
      <w:bookmarkEnd w:id="155"/>
    </w:p>
    <w:p w:rsidR="004B3541" w:rsidRDefault="00CF3516">
      <w:pPr>
        <w:pStyle w:val="Caption"/>
        <w:keepNext/>
        <w:keepLines/>
        <w:spacing w:before="0"/>
        <w:rPr>
          <w:lang w:val="fr-FR"/>
        </w:rPr>
      </w:pPr>
      <w:r w:rsidRPr="00577EB1">
        <w:rPr>
          <w:b w:val="0"/>
          <w:lang w:val="fr-FR"/>
        </w:rPr>
        <w:t>(en tonnes)</w:t>
      </w:r>
    </w:p>
    <w:tbl>
      <w:tblPr>
        <w:tblpPr w:leftFromText="180" w:rightFromText="180" w:vertAnchor="text" w:tblpY="1"/>
        <w:tblOverlap w:val="never"/>
        <w:tblW w:w="9010" w:type="dxa"/>
        <w:tblLook w:val="04A0"/>
      </w:tblPr>
      <w:tblGrid>
        <w:gridCol w:w="2235"/>
        <w:gridCol w:w="1693"/>
        <w:gridCol w:w="1694"/>
        <w:gridCol w:w="1694"/>
        <w:gridCol w:w="1694"/>
      </w:tblGrid>
      <w:tr w:rsidR="00CF3516" w:rsidRPr="005738FE" w:rsidTr="0050199E">
        <w:tc>
          <w:tcPr>
            <w:tcW w:w="2235" w:type="dxa"/>
            <w:tcBorders>
              <w:top w:val="single" w:sz="4" w:space="0" w:color="auto"/>
              <w:bottom w:val="single" w:sz="4" w:space="0" w:color="auto"/>
            </w:tcBorders>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Centre</w:t>
            </w:r>
          </w:p>
        </w:tc>
        <w:tc>
          <w:tcPr>
            <w:tcW w:w="1693" w:type="dxa"/>
            <w:tcBorders>
              <w:top w:val="single" w:sz="4" w:space="0" w:color="auto"/>
              <w:bottom w:val="single" w:sz="4" w:space="0" w:color="auto"/>
            </w:tcBorders>
          </w:tcPr>
          <w:p w:rsidR="004B3541" w:rsidRDefault="00CF3516" w:rsidP="00C5627F">
            <w:pPr>
              <w:keepNext/>
              <w:keepLines/>
              <w:spacing w:before="48" w:after="48"/>
              <w:ind w:right="593"/>
              <w:jc w:val="right"/>
              <w:rPr>
                <w:sz w:val="20"/>
                <w:szCs w:val="20"/>
                <w:lang w:val="fr-FR"/>
              </w:rPr>
            </w:pPr>
            <w:r w:rsidRPr="005738FE">
              <w:rPr>
                <w:sz w:val="20"/>
                <w:szCs w:val="20"/>
                <w:lang w:val="fr-FR"/>
              </w:rPr>
              <w:t>Millet</w:t>
            </w:r>
          </w:p>
        </w:tc>
        <w:tc>
          <w:tcPr>
            <w:tcW w:w="1694" w:type="dxa"/>
            <w:tcBorders>
              <w:top w:val="single" w:sz="4" w:space="0" w:color="auto"/>
              <w:bottom w:val="single" w:sz="4" w:space="0" w:color="auto"/>
            </w:tcBorders>
          </w:tcPr>
          <w:p w:rsidR="004B3541" w:rsidRDefault="00CF3516" w:rsidP="00C5627F">
            <w:pPr>
              <w:keepNext/>
              <w:keepLines/>
              <w:spacing w:before="48" w:after="48"/>
              <w:ind w:right="586"/>
              <w:jc w:val="right"/>
              <w:rPr>
                <w:sz w:val="20"/>
                <w:szCs w:val="20"/>
                <w:lang w:val="fr-FR"/>
              </w:rPr>
            </w:pPr>
            <w:r w:rsidRPr="005738FE">
              <w:rPr>
                <w:sz w:val="20"/>
                <w:szCs w:val="20"/>
                <w:lang w:val="fr-FR"/>
              </w:rPr>
              <w:t>Sorgho</w:t>
            </w:r>
          </w:p>
        </w:tc>
        <w:tc>
          <w:tcPr>
            <w:tcW w:w="1694" w:type="dxa"/>
            <w:tcBorders>
              <w:top w:val="single" w:sz="4" w:space="0" w:color="auto"/>
              <w:bottom w:val="single" w:sz="4" w:space="0" w:color="auto"/>
            </w:tcBorders>
          </w:tcPr>
          <w:p w:rsidR="004B3541" w:rsidRDefault="00CF3516" w:rsidP="00C5627F">
            <w:pPr>
              <w:keepNext/>
              <w:keepLines/>
              <w:spacing w:before="48" w:after="48"/>
              <w:ind w:right="579"/>
              <w:jc w:val="right"/>
              <w:rPr>
                <w:sz w:val="20"/>
                <w:szCs w:val="20"/>
                <w:lang w:val="fr-FR"/>
              </w:rPr>
            </w:pPr>
            <w:r w:rsidRPr="005738FE">
              <w:rPr>
                <w:sz w:val="20"/>
                <w:szCs w:val="20"/>
                <w:lang w:val="fr-FR"/>
              </w:rPr>
              <w:t>Maïs</w:t>
            </w:r>
          </w:p>
        </w:tc>
        <w:tc>
          <w:tcPr>
            <w:tcW w:w="1694" w:type="dxa"/>
            <w:tcBorders>
              <w:top w:val="single" w:sz="4" w:space="0" w:color="auto"/>
              <w:bottom w:val="single" w:sz="4" w:space="0" w:color="auto"/>
            </w:tcBorders>
          </w:tcPr>
          <w:p w:rsidR="004B3541" w:rsidRDefault="00CF3516" w:rsidP="00C5627F">
            <w:pPr>
              <w:keepNext/>
              <w:keepLines/>
              <w:spacing w:before="48" w:after="48"/>
              <w:ind w:right="658"/>
              <w:jc w:val="right"/>
              <w:rPr>
                <w:sz w:val="20"/>
                <w:szCs w:val="20"/>
                <w:lang w:val="fr-FR"/>
              </w:rPr>
            </w:pPr>
            <w:r w:rsidRPr="005738FE">
              <w:rPr>
                <w:sz w:val="20"/>
                <w:szCs w:val="20"/>
                <w:lang w:val="fr-FR"/>
              </w:rPr>
              <w:t xml:space="preserve">Total </w:t>
            </w:r>
          </w:p>
        </w:tc>
      </w:tr>
      <w:tr w:rsidR="00CF3516" w:rsidRPr="005738FE" w:rsidTr="0050199E">
        <w:tc>
          <w:tcPr>
            <w:tcW w:w="2235" w:type="dxa"/>
            <w:tcBorders>
              <w:top w:val="single" w:sz="4" w:space="0" w:color="auto"/>
            </w:tcBorders>
          </w:tcPr>
          <w:p w:rsidR="004B3541" w:rsidRDefault="00CF3516" w:rsidP="00C5627F">
            <w:pPr>
              <w:keepNext/>
              <w:keepLines/>
              <w:spacing w:before="48" w:after="48"/>
              <w:ind w:left="142"/>
              <w:rPr>
                <w:sz w:val="20"/>
                <w:szCs w:val="20"/>
                <w:lang w:val="fr-FR"/>
              </w:rPr>
            </w:pPr>
            <w:r w:rsidRPr="005738FE">
              <w:rPr>
                <w:sz w:val="20"/>
                <w:szCs w:val="20"/>
                <w:lang w:val="fr-FR"/>
              </w:rPr>
              <w:t>Ouagarinter</w:t>
            </w:r>
          </w:p>
        </w:tc>
        <w:tc>
          <w:tcPr>
            <w:tcW w:w="1693" w:type="dxa"/>
            <w:tcBorders>
              <w:top w:val="single" w:sz="4" w:space="0" w:color="auto"/>
            </w:tcBorders>
          </w:tcPr>
          <w:p w:rsidR="004B3541" w:rsidRDefault="00CF3516" w:rsidP="00C5627F">
            <w:pPr>
              <w:keepNext/>
              <w:keepLines/>
              <w:spacing w:before="48" w:after="48"/>
              <w:ind w:right="593"/>
              <w:jc w:val="right"/>
              <w:rPr>
                <w:sz w:val="20"/>
                <w:szCs w:val="20"/>
                <w:lang w:val="fr-FR"/>
              </w:rPr>
            </w:pPr>
            <w:r w:rsidRPr="005738FE">
              <w:rPr>
                <w:sz w:val="20"/>
                <w:szCs w:val="20"/>
                <w:lang w:val="fr-FR"/>
              </w:rPr>
              <w:t>122,40</w:t>
            </w:r>
          </w:p>
        </w:tc>
        <w:tc>
          <w:tcPr>
            <w:tcW w:w="1694" w:type="dxa"/>
            <w:tcBorders>
              <w:top w:val="single" w:sz="4" w:space="0" w:color="auto"/>
            </w:tcBorders>
          </w:tcPr>
          <w:p w:rsidR="004B3541" w:rsidRDefault="00CF3516" w:rsidP="00C5627F">
            <w:pPr>
              <w:keepNext/>
              <w:keepLines/>
              <w:spacing w:before="48" w:after="48"/>
              <w:ind w:right="593"/>
              <w:jc w:val="right"/>
              <w:rPr>
                <w:sz w:val="20"/>
                <w:szCs w:val="20"/>
                <w:lang w:val="fr-FR"/>
              </w:rPr>
            </w:pPr>
            <w:r w:rsidRPr="005738FE">
              <w:rPr>
                <w:sz w:val="20"/>
                <w:szCs w:val="20"/>
                <w:lang w:val="fr-FR"/>
              </w:rPr>
              <w:t>507,60</w:t>
            </w:r>
          </w:p>
        </w:tc>
        <w:tc>
          <w:tcPr>
            <w:tcW w:w="1694" w:type="dxa"/>
            <w:tcBorders>
              <w:top w:val="single" w:sz="4" w:space="0" w:color="auto"/>
            </w:tcBorders>
          </w:tcPr>
          <w:p w:rsidR="004B3541" w:rsidRDefault="00CF3516" w:rsidP="00C5627F">
            <w:pPr>
              <w:keepNext/>
              <w:keepLines/>
              <w:spacing w:before="48" w:after="48"/>
              <w:ind w:right="593"/>
              <w:jc w:val="right"/>
              <w:rPr>
                <w:sz w:val="20"/>
                <w:szCs w:val="20"/>
                <w:lang w:val="fr-FR"/>
              </w:rPr>
            </w:pPr>
            <w:r w:rsidRPr="005738FE">
              <w:rPr>
                <w:sz w:val="20"/>
                <w:szCs w:val="20"/>
                <w:lang w:val="fr-FR"/>
              </w:rPr>
              <w:t>119,92</w:t>
            </w:r>
          </w:p>
        </w:tc>
        <w:tc>
          <w:tcPr>
            <w:tcW w:w="1694" w:type="dxa"/>
            <w:tcBorders>
              <w:top w:val="single" w:sz="4" w:space="0" w:color="auto"/>
            </w:tcBorders>
          </w:tcPr>
          <w:p w:rsidR="004B3541" w:rsidRDefault="00CF3516" w:rsidP="00C5627F">
            <w:pPr>
              <w:keepNext/>
              <w:keepLines/>
              <w:spacing w:before="48" w:after="48"/>
              <w:ind w:right="658"/>
              <w:jc w:val="right"/>
              <w:rPr>
                <w:sz w:val="20"/>
                <w:szCs w:val="20"/>
                <w:lang w:val="fr-FR"/>
              </w:rPr>
            </w:pPr>
            <w:r w:rsidRPr="005738FE">
              <w:rPr>
                <w:sz w:val="20"/>
                <w:szCs w:val="20"/>
                <w:lang w:val="fr-FR"/>
              </w:rPr>
              <w:t>749,92</w:t>
            </w:r>
          </w:p>
        </w:tc>
      </w:tr>
      <w:tr w:rsidR="00CF3516" w:rsidRPr="005738FE" w:rsidTr="0050199E">
        <w:tc>
          <w:tcPr>
            <w:tcW w:w="2235" w:type="dxa"/>
          </w:tcPr>
          <w:p w:rsidR="004B3541" w:rsidRDefault="00CF3516" w:rsidP="00C5627F">
            <w:pPr>
              <w:keepNext/>
              <w:keepLines/>
              <w:spacing w:before="48" w:after="48"/>
              <w:ind w:left="142"/>
              <w:rPr>
                <w:sz w:val="20"/>
                <w:szCs w:val="20"/>
                <w:lang w:val="fr-FR"/>
              </w:rPr>
            </w:pPr>
            <w:r w:rsidRPr="005738FE">
              <w:rPr>
                <w:sz w:val="20"/>
                <w:szCs w:val="20"/>
                <w:lang w:val="fr-FR"/>
              </w:rPr>
              <w:t>CNSAO</w:t>
            </w:r>
          </w:p>
        </w:tc>
        <w:tc>
          <w:tcPr>
            <w:tcW w:w="1693" w:type="dxa"/>
          </w:tcPr>
          <w:p w:rsidR="004B3541" w:rsidRDefault="00CF3516" w:rsidP="00C5627F">
            <w:pPr>
              <w:keepNext/>
              <w:keepLines/>
              <w:spacing w:before="48" w:after="48"/>
              <w:ind w:right="593"/>
              <w:jc w:val="right"/>
              <w:rPr>
                <w:sz w:val="20"/>
                <w:szCs w:val="20"/>
                <w:lang w:val="fr-FR"/>
              </w:rPr>
            </w:pPr>
            <w:r w:rsidRPr="005738FE">
              <w:rPr>
                <w:sz w:val="20"/>
                <w:szCs w:val="20"/>
                <w:lang w:val="fr-FR"/>
              </w:rPr>
              <w:t>-</w:t>
            </w:r>
          </w:p>
        </w:tc>
        <w:tc>
          <w:tcPr>
            <w:tcW w:w="1694" w:type="dxa"/>
          </w:tcPr>
          <w:p w:rsidR="004B3541" w:rsidRDefault="00CF3516" w:rsidP="00C5627F">
            <w:pPr>
              <w:keepNext/>
              <w:keepLines/>
              <w:spacing w:before="48" w:after="48"/>
              <w:ind w:right="593"/>
              <w:jc w:val="right"/>
              <w:rPr>
                <w:sz w:val="20"/>
                <w:szCs w:val="20"/>
                <w:lang w:val="fr-FR"/>
              </w:rPr>
            </w:pPr>
            <w:r w:rsidRPr="005738FE">
              <w:rPr>
                <w:sz w:val="20"/>
                <w:szCs w:val="20"/>
                <w:lang w:val="fr-FR"/>
              </w:rPr>
              <w:t>307,30</w:t>
            </w:r>
          </w:p>
        </w:tc>
        <w:tc>
          <w:tcPr>
            <w:tcW w:w="1694" w:type="dxa"/>
          </w:tcPr>
          <w:p w:rsidR="004B3541" w:rsidRDefault="00CF3516" w:rsidP="00C5627F">
            <w:pPr>
              <w:keepNext/>
              <w:keepLines/>
              <w:spacing w:before="48" w:after="48"/>
              <w:ind w:right="593"/>
              <w:jc w:val="right"/>
              <w:rPr>
                <w:sz w:val="20"/>
                <w:szCs w:val="20"/>
                <w:lang w:val="fr-FR"/>
              </w:rPr>
            </w:pPr>
            <w:r w:rsidRPr="005738FE">
              <w:rPr>
                <w:sz w:val="20"/>
                <w:szCs w:val="20"/>
                <w:lang w:val="fr-FR"/>
              </w:rPr>
              <w:t>-</w:t>
            </w:r>
          </w:p>
        </w:tc>
        <w:tc>
          <w:tcPr>
            <w:tcW w:w="1694" w:type="dxa"/>
          </w:tcPr>
          <w:p w:rsidR="004B3541" w:rsidRDefault="00CF3516" w:rsidP="00C5627F">
            <w:pPr>
              <w:keepNext/>
              <w:keepLines/>
              <w:spacing w:before="48" w:after="48"/>
              <w:ind w:right="658"/>
              <w:jc w:val="right"/>
              <w:rPr>
                <w:sz w:val="20"/>
                <w:szCs w:val="20"/>
                <w:lang w:val="fr-FR"/>
              </w:rPr>
            </w:pPr>
            <w:r w:rsidRPr="005738FE">
              <w:rPr>
                <w:sz w:val="20"/>
                <w:szCs w:val="20"/>
                <w:lang w:val="fr-FR"/>
              </w:rPr>
              <w:t>307,30</w:t>
            </w:r>
          </w:p>
        </w:tc>
      </w:tr>
      <w:tr w:rsidR="00CF3516" w:rsidRPr="005738FE" w:rsidTr="0050199E">
        <w:tc>
          <w:tcPr>
            <w:tcW w:w="2235" w:type="dxa"/>
          </w:tcPr>
          <w:p w:rsidR="004B3541" w:rsidRDefault="00CF3516" w:rsidP="00C5627F">
            <w:pPr>
              <w:keepNext/>
              <w:keepLines/>
              <w:spacing w:before="48" w:after="48"/>
              <w:ind w:left="142"/>
              <w:rPr>
                <w:sz w:val="20"/>
                <w:szCs w:val="20"/>
                <w:lang w:val="fr-FR"/>
              </w:rPr>
            </w:pPr>
            <w:r w:rsidRPr="005738FE">
              <w:rPr>
                <w:sz w:val="20"/>
                <w:szCs w:val="20"/>
                <w:lang w:val="fr-FR"/>
              </w:rPr>
              <w:t>Kaya</w:t>
            </w:r>
          </w:p>
        </w:tc>
        <w:tc>
          <w:tcPr>
            <w:tcW w:w="1693" w:type="dxa"/>
          </w:tcPr>
          <w:p w:rsidR="004B3541" w:rsidRDefault="00CF3516" w:rsidP="00C5627F">
            <w:pPr>
              <w:keepNext/>
              <w:keepLines/>
              <w:spacing w:before="48" w:after="48"/>
              <w:ind w:right="593"/>
              <w:jc w:val="right"/>
              <w:rPr>
                <w:sz w:val="20"/>
                <w:szCs w:val="20"/>
                <w:lang w:val="fr-FR"/>
              </w:rPr>
            </w:pPr>
            <w:r w:rsidRPr="005738FE">
              <w:rPr>
                <w:sz w:val="20"/>
                <w:szCs w:val="20"/>
                <w:lang w:val="fr-FR"/>
              </w:rPr>
              <w:t>406,50</w:t>
            </w:r>
          </w:p>
        </w:tc>
        <w:tc>
          <w:tcPr>
            <w:tcW w:w="1694" w:type="dxa"/>
          </w:tcPr>
          <w:p w:rsidR="004B3541" w:rsidRDefault="00CF3516" w:rsidP="00C5627F">
            <w:pPr>
              <w:keepNext/>
              <w:keepLines/>
              <w:spacing w:before="48" w:after="48"/>
              <w:ind w:right="593"/>
              <w:jc w:val="right"/>
              <w:rPr>
                <w:sz w:val="20"/>
                <w:szCs w:val="20"/>
                <w:lang w:val="fr-FR"/>
              </w:rPr>
            </w:pPr>
            <w:r w:rsidRPr="005738FE">
              <w:rPr>
                <w:sz w:val="20"/>
                <w:szCs w:val="20"/>
                <w:lang w:val="fr-FR"/>
              </w:rPr>
              <w:t>-</w:t>
            </w:r>
          </w:p>
        </w:tc>
        <w:tc>
          <w:tcPr>
            <w:tcW w:w="1694" w:type="dxa"/>
          </w:tcPr>
          <w:p w:rsidR="004B3541" w:rsidRDefault="00CF3516" w:rsidP="00C5627F">
            <w:pPr>
              <w:keepNext/>
              <w:keepLines/>
              <w:spacing w:before="48" w:after="48"/>
              <w:ind w:right="593"/>
              <w:jc w:val="right"/>
              <w:rPr>
                <w:sz w:val="20"/>
                <w:szCs w:val="20"/>
                <w:lang w:val="fr-FR"/>
              </w:rPr>
            </w:pPr>
            <w:r w:rsidRPr="005738FE">
              <w:rPr>
                <w:sz w:val="20"/>
                <w:szCs w:val="20"/>
                <w:lang w:val="fr-FR"/>
              </w:rPr>
              <w:t>152,10</w:t>
            </w:r>
          </w:p>
        </w:tc>
        <w:tc>
          <w:tcPr>
            <w:tcW w:w="1694" w:type="dxa"/>
          </w:tcPr>
          <w:p w:rsidR="004B3541" w:rsidRDefault="00CF3516" w:rsidP="00C5627F">
            <w:pPr>
              <w:keepNext/>
              <w:keepLines/>
              <w:spacing w:before="48" w:after="48"/>
              <w:ind w:right="658"/>
              <w:jc w:val="right"/>
              <w:rPr>
                <w:sz w:val="20"/>
                <w:szCs w:val="20"/>
                <w:lang w:val="fr-FR"/>
              </w:rPr>
            </w:pPr>
            <w:r w:rsidRPr="005738FE">
              <w:rPr>
                <w:sz w:val="20"/>
                <w:szCs w:val="20"/>
                <w:lang w:val="fr-FR"/>
              </w:rPr>
              <w:t>558,60</w:t>
            </w:r>
          </w:p>
        </w:tc>
      </w:tr>
      <w:tr w:rsidR="00CF3516" w:rsidRPr="005738FE" w:rsidTr="0050199E">
        <w:tc>
          <w:tcPr>
            <w:tcW w:w="2235" w:type="dxa"/>
          </w:tcPr>
          <w:p w:rsidR="004B3541" w:rsidRDefault="00CF3516" w:rsidP="00C5627F">
            <w:pPr>
              <w:keepNext/>
              <w:keepLines/>
              <w:spacing w:before="48" w:after="48"/>
              <w:ind w:left="142"/>
              <w:rPr>
                <w:sz w:val="20"/>
                <w:szCs w:val="20"/>
                <w:lang w:val="fr-FR"/>
              </w:rPr>
            </w:pPr>
            <w:r w:rsidRPr="005738FE">
              <w:rPr>
                <w:sz w:val="20"/>
                <w:szCs w:val="20"/>
                <w:lang w:val="fr-FR"/>
              </w:rPr>
              <w:t>Ouahigouya</w:t>
            </w:r>
          </w:p>
        </w:tc>
        <w:tc>
          <w:tcPr>
            <w:tcW w:w="1693" w:type="dxa"/>
          </w:tcPr>
          <w:p w:rsidR="004B3541" w:rsidRDefault="00CF3516" w:rsidP="00C5627F">
            <w:pPr>
              <w:keepNext/>
              <w:keepLines/>
              <w:spacing w:before="48" w:after="48"/>
              <w:ind w:right="593"/>
              <w:jc w:val="right"/>
              <w:rPr>
                <w:sz w:val="20"/>
                <w:szCs w:val="20"/>
                <w:lang w:val="fr-FR"/>
              </w:rPr>
            </w:pPr>
            <w:r w:rsidRPr="005738FE">
              <w:rPr>
                <w:sz w:val="20"/>
                <w:szCs w:val="20"/>
                <w:lang w:val="fr-FR"/>
              </w:rPr>
              <w:t>-</w:t>
            </w:r>
          </w:p>
        </w:tc>
        <w:tc>
          <w:tcPr>
            <w:tcW w:w="1694" w:type="dxa"/>
          </w:tcPr>
          <w:p w:rsidR="004B3541" w:rsidRDefault="00CF3516" w:rsidP="00C5627F">
            <w:pPr>
              <w:keepNext/>
              <w:keepLines/>
              <w:spacing w:before="48" w:after="48"/>
              <w:ind w:right="593"/>
              <w:jc w:val="right"/>
              <w:rPr>
                <w:sz w:val="20"/>
                <w:szCs w:val="20"/>
                <w:lang w:val="fr-FR"/>
              </w:rPr>
            </w:pPr>
            <w:r w:rsidRPr="005738FE">
              <w:rPr>
                <w:sz w:val="20"/>
                <w:szCs w:val="20"/>
                <w:lang w:val="fr-FR"/>
              </w:rPr>
              <w:t>360,70</w:t>
            </w:r>
          </w:p>
        </w:tc>
        <w:tc>
          <w:tcPr>
            <w:tcW w:w="1694" w:type="dxa"/>
          </w:tcPr>
          <w:p w:rsidR="004B3541" w:rsidRDefault="00CF3516" w:rsidP="00C5627F">
            <w:pPr>
              <w:keepNext/>
              <w:keepLines/>
              <w:spacing w:before="48" w:after="48"/>
              <w:ind w:right="593"/>
              <w:jc w:val="right"/>
              <w:rPr>
                <w:sz w:val="20"/>
                <w:szCs w:val="20"/>
                <w:lang w:val="fr-FR"/>
              </w:rPr>
            </w:pPr>
            <w:r w:rsidRPr="005738FE">
              <w:rPr>
                <w:sz w:val="20"/>
                <w:szCs w:val="20"/>
                <w:lang w:val="fr-FR"/>
              </w:rPr>
              <w:t>-</w:t>
            </w:r>
          </w:p>
        </w:tc>
        <w:tc>
          <w:tcPr>
            <w:tcW w:w="1694" w:type="dxa"/>
          </w:tcPr>
          <w:p w:rsidR="004B3541" w:rsidRDefault="00CF3516" w:rsidP="00C5627F">
            <w:pPr>
              <w:keepNext/>
              <w:keepLines/>
              <w:spacing w:before="48" w:after="48"/>
              <w:ind w:right="658"/>
              <w:jc w:val="right"/>
              <w:rPr>
                <w:sz w:val="20"/>
                <w:szCs w:val="20"/>
                <w:lang w:val="fr-FR"/>
              </w:rPr>
            </w:pPr>
            <w:r w:rsidRPr="005738FE">
              <w:rPr>
                <w:sz w:val="20"/>
                <w:szCs w:val="20"/>
                <w:lang w:val="fr-FR"/>
              </w:rPr>
              <w:t>360,70</w:t>
            </w:r>
          </w:p>
        </w:tc>
      </w:tr>
      <w:tr w:rsidR="00CF3516" w:rsidRPr="005738FE" w:rsidTr="0050199E">
        <w:tc>
          <w:tcPr>
            <w:tcW w:w="2235" w:type="dxa"/>
          </w:tcPr>
          <w:p w:rsidR="004B3541" w:rsidRDefault="00CF3516" w:rsidP="00C5627F">
            <w:pPr>
              <w:keepNext/>
              <w:keepLines/>
              <w:spacing w:before="48" w:after="48"/>
              <w:ind w:left="142"/>
              <w:rPr>
                <w:sz w:val="20"/>
                <w:szCs w:val="20"/>
                <w:lang w:val="fr-FR"/>
              </w:rPr>
            </w:pPr>
            <w:r w:rsidRPr="005738FE">
              <w:rPr>
                <w:sz w:val="20"/>
                <w:szCs w:val="20"/>
                <w:lang w:val="fr-FR"/>
              </w:rPr>
              <w:t>Titao</w:t>
            </w:r>
          </w:p>
        </w:tc>
        <w:tc>
          <w:tcPr>
            <w:tcW w:w="1693" w:type="dxa"/>
          </w:tcPr>
          <w:p w:rsidR="004B3541" w:rsidRDefault="004B3541" w:rsidP="00C5627F">
            <w:pPr>
              <w:keepNext/>
              <w:keepLines/>
              <w:spacing w:before="48" w:after="48"/>
              <w:ind w:right="593"/>
              <w:jc w:val="right"/>
              <w:rPr>
                <w:sz w:val="20"/>
                <w:szCs w:val="20"/>
                <w:lang w:val="fr-FR"/>
              </w:rPr>
            </w:pPr>
          </w:p>
        </w:tc>
        <w:tc>
          <w:tcPr>
            <w:tcW w:w="1694" w:type="dxa"/>
          </w:tcPr>
          <w:p w:rsidR="004B3541" w:rsidRDefault="004B3541" w:rsidP="00C5627F">
            <w:pPr>
              <w:keepNext/>
              <w:keepLines/>
              <w:spacing w:before="48" w:after="48"/>
              <w:ind w:right="593"/>
              <w:jc w:val="right"/>
              <w:rPr>
                <w:sz w:val="20"/>
                <w:szCs w:val="20"/>
                <w:lang w:val="fr-FR"/>
              </w:rPr>
            </w:pPr>
          </w:p>
        </w:tc>
        <w:tc>
          <w:tcPr>
            <w:tcW w:w="1694" w:type="dxa"/>
          </w:tcPr>
          <w:p w:rsidR="004B3541" w:rsidRDefault="004B3541" w:rsidP="00C5627F">
            <w:pPr>
              <w:keepNext/>
              <w:keepLines/>
              <w:spacing w:before="48" w:after="48"/>
              <w:ind w:right="593"/>
              <w:jc w:val="right"/>
              <w:rPr>
                <w:sz w:val="20"/>
                <w:szCs w:val="20"/>
                <w:lang w:val="fr-FR"/>
              </w:rPr>
            </w:pPr>
          </w:p>
        </w:tc>
        <w:tc>
          <w:tcPr>
            <w:tcW w:w="1694" w:type="dxa"/>
          </w:tcPr>
          <w:p w:rsidR="004B3541" w:rsidRDefault="004B3541" w:rsidP="00C5627F">
            <w:pPr>
              <w:keepNext/>
              <w:keepLines/>
              <w:spacing w:before="48" w:after="48"/>
              <w:ind w:right="658"/>
              <w:jc w:val="right"/>
              <w:rPr>
                <w:sz w:val="20"/>
                <w:szCs w:val="20"/>
                <w:lang w:val="fr-FR"/>
              </w:rPr>
            </w:pPr>
          </w:p>
        </w:tc>
      </w:tr>
      <w:tr w:rsidR="00CF3516" w:rsidRPr="005738FE" w:rsidTr="0050199E">
        <w:tc>
          <w:tcPr>
            <w:tcW w:w="2235" w:type="dxa"/>
          </w:tcPr>
          <w:p w:rsidR="004B3541" w:rsidRDefault="00CF3516" w:rsidP="00C5627F">
            <w:pPr>
              <w:keepNext/>
              <w:keepLines/>
              <w:spacing w:before="48" w:after="48"/>
              <w:ind w:left="142"/>
              <w:rPr>
                <w:sz w:val="20"/>
                <w:szCs w:val="20"/>
                <w:lang w:val="fr-FR"/>
              </w:rPr>
            </w:pPr>
            <w:r w:rsidRPr="005738FE">
              <w:rPr>
                <w:sz w:val="20"/>
                <w:szCs w:val="20"/>
                <w:lang w:val="fr-FR"/>
              </w:rPr>
              <w:t>Djibo</w:t>
            </w:r>
          </w:p>
        </w:tc>
        <w:tc>
          <w:tcPr>
            <w:tcW w:w="1693" w:type="dxa"/>
          </w:tcPr>
          <w:p w:rsidR="004B3541" w:rsidRDefault="00CF3516" w:rsidP="00C5627F">
            <w:pPr>
              <w:keepNext/>
              <w:keepLines/>
              <w:spacing w:before="48" w:after="48"/>
              <w:ind w:right="593"/>
              <w:jc w:val="right"/>
              <w:rPr>
                <w:sz w:val="20"/>
                <w:szCs w:val="20"/>
                <w:lang w:val="fr-FR"/>
              </w:rPr>
            </w:pPr>
            <w:r w:rsidRPr="005738FE">
              <w:rPr>
                <w:sz w:val="20"/>
                <w:szCs w:val="20"/>
                <w:lang w:val="fr-FR"/>
              </w:rPr>
              <w:t>450,00</w:t>
            </w:r>
          </w:p>
        </w:tc>
        <w:tc>
          <w:tcPr>
            <w:tcW w:w="1694" w:type="dxa"/>
          </w:tcPr>
          <w:p w:rsidR="004B3541" w:rsidRDefault="00CF3516" w:rsidP="00C5627F">
            <w:pPr>
              <w:keepNext/>
              <w:keepLines/>
              <w:spacing w:before="48" w:after="48"/>
              <w:ind w:right="593"/>
              <w:jc w:val="right"/>
              <w:rPr>
                <w:sz w:val="20"/>
                <w:szCs w:val="20"/>
                <w:lang w:val="fr-FR"/>
              </w:rPr>
            </w:pPr>
            <w:r w:rsidRPr="005738FE">
              <w:rPr>
                <w:sz w:val="20"/>
                <w:szCs w:val="20"/>
                <w:lang w:val="fr-FR"/>
              </w:rPr>
              <w:t>-</w:t>
            </w:r>
          </w:p>
        </w:tc>
        <w:tc>
          <w:tcPr>
            <w:tcW w:w="1694" w:type="dxa"/>
          </w:tcPr>
          <w:p w:rsidR="004B3541" w:rsidRDefault="00CF3516" w:rsidP="00C5627F">
            <w:pPr>
              <w:keepNext/>
              <w:keepLines/>
              <w:spacing w:before="48" w:after="48"/>
              <w:ind w:right="593"/>
              <w:jc w:val="right"/>
              <w:rPr>
                <w:sz w:val="20"/>
                <w:szCs w:val="20"/>
                <w:lang w:val="fr-FR"/>
              </w:rPr>
            </w:pPr>
            <w:r w:rsidRPr="005738FE">
              <w:rPr>
                <w:sz w:val="20"/>
                <w:szCs w:val="20"/>
                <w:lang w:val="fr-FR"/>
              </w:rPr>
              <w:t>-</w:t>
            </w:r>
          </w:p>
        </w:tc>
        <w:tc>
          <w:tcPr>
            <w:tcW w:w="1694" w:type="dxa"/>
          </w:tcPr>
          <w:p w:rsidR="004B3541" w:rsidRDefault="00CF3516" w:rsidP="00C5627F">
            <w:pPr>
              <w:keepNext/>
              <w:keepLines/>
              <w:spacing w:before="48" w:after="48"/>
              <w:ind w:right="658"/>
              <w:jc w:val="right"/>
              <w:rPr>
                <w:sz w:val="20"/>
                <w:szCs w:val="20"/>
                <w:lang w:val="fr-FR"/>
              </w:rPr>
            </w:pPr>
            <w:r w:rsidRPr="005738FE">
              <w:rPr>
                <w:sz w:val="20"/>
                <w:szCs w:val="20"/>
                <w:lang w:val="fr-FR"/>
              </w:rPr>
              <w:t>450,00</w:t>
            </w:r>
          </w:p>
        </w:tc>
      </w:tr>
      <w:tr w:rsidR="00CF3516" w:rsidRPr="005738FE" w:rsidTr="0050199E">
        <w:tc>
          <w:tcPr>
            <w:tcW w:w="2235" w:type="dxa"/>
          </w:tcPr>
          <w:p w:rsidR="004B3541" w:rsidRDefault="00CF3516" w:rsidP="00C5627F">
            <w:pPr>
              <w:keepNext/>
              <w:keepLines/>
              <w:spacing w:before="48" w:after="48"/>
              <w:ind w:left="142"/>
              <w:rPr>
                <w:sz w:val="20"/>
                <w:szCs w:val="20"/>
                <w:lang w:val="fr-FR"/>
              </w:rPr>
            </w:pPr>
            <w:r w:rsidRPr="005738FE">
              <w:rPr>
                <w:sz w:val="20"/>
                <w:szCs w:val="20"/>
                <w:lang w:val="fr-FR"/>
              </w:rPr>
              <w:t>Dori</w:t>
            </w:r>
          </w:p>
        </w:tc>
        <w:tc>
          <w:tcPr>
            <w:tcW w:w="1693" w:type="dxa"/>
          </w:tcPr>
          <w:p w:rsidR="004B3541" w:rsidRDefault="00CF3516" w:rsidP="00C5627F">
            <w:pPr>
              <w:keepNext/>
              <w:keepLines/>
              <w:spacing w:before="48" w:after="48"/>
              <w:ind w:right="593"/>
              <w:jc w:val="right"/>
              <w:rPr>
                <w:sz w:val="20"/>
                <w:szCs w:val="20"/>
                <w:lang w:val="fr-FR"/>
              </w:rPr>
            </w:pPr>
            <w:r w:rsidRPr="005738FE">
              <w:rPr>
                <w:sz w:val="20"/>
                <w:szCs w:val="20"/>
                <w:lang w:val="fr-FR"/>
              </w:rPr>
              <w:t>976,20</w:t>
            </w:r>
          </w:p>
        </w:tc>
        <w:tc>
          <w:tcPr>
            <w:tcW w:w="1694" w:type="dxa"/>
          </w:tcPr>
          <w:p w:rsidR="004B3541" w:rsidRDefault="00CF3516" w:rsidP="00C5627F">
            <w:pPr>
              <w:keepNext/>
              <w:keepLines/>
              <w:spacing w:before="48" w:after="48"/>
              <w:ind w:right="593"/>
              <w:jc w:val="right"/>
              <w:rPr>
                <w:sz w:val="20"/>
                <w:szCs w:val="20"/>
                <w:lang w:val="fr-FR"/>
              </w:rPr>
            </w:pPr>
            <w:r w:rsidRPr="005738FE">
              <w:rPr>
                <w:sz w:val="20"/>
                <w:szCs w:val="20"/>
                <w:lang w:val="fr-FR"/>
              </w:rPr>
              <w:t>-</w:t>
            </w:r>
          </w:p>
        </w:tc>
        <w:tc>
          <w:tcPr>
            <w:tcW w:w="1694" w:type="dxa"/>
          </w:tcPr>
          <w:p w:rsidR="004B3541" w:rsidRDefault="00CF3516" w:rsidP="00C5627F">
            <w:pPr>
              <w:keepNext/>
              <w:keepLines/>
              <w:spacing w:before="48" w:after="48"/>
              <w:ind w:right="593"/>
              <w:jc w:val="right"/>
              <w:rPr>
                <w:sz w:val="20"/>
                <w:szCs w:val="20"/>
                <w:lang w:val="fr-FR"/>
              </w:rPr>
            </w:pPr>
            <w:r w:rsidRPr="005738FE">
              <w:rPr>
                <w:sz w:val="20"/>
                <w:szCs w:val="20"/>
                <w:lang w:val="fr-FR"/>
              </w:rPr>
              <w:t>-</w:t>
            </w:r>
          </w:p>
        </w:tc>
        <w:tc>
          <w:tcPr>
            <w:tcW w:w="1694" w:type="dxa"/>
          </w:tcPr>
          <w:p w:rsidR="004B3541" w:rsidRDefault="00CF3516" w:rsidP="00C5627F">
            <w:pPr>
              <w:keepNext/>
              <w:keepLines/>
              <w:spacing w:before="48" w:after="48"/>
              <w:ind w:right="658"/>
              <w:jc w:val="right"/>
              <w:rPr>
                <w:sz w:val="20"/>
                <w:szCs w:val="20"/>
                <w:lang w:val="fr-FR"/>
              </w:rPr>
            </w:pPr>
            <w:r w:rsidRPr="005738FE">
              <w:rPr>
                <w:sz w:val="20"/>
                <w:szCs w:val="20"/>
                <w:lang w:val="fr-FR"/>
              </w:rPr>
              <w:t>976,20</w:t>
            </w:r>
          </w:p>
        </w:tc>
      </w:tr>
      <w:tr w:rsidR="00CF3516" w:rsidRPr="005738FE" w:rsidTr="0050199E">
        <w:tc>
          <w:tcPr>
            <w:tcW w:w="2235" w:type="dxa"/>
          </w:tcPr>
          <w:p w:rsidR="004B3541" w:rsidRDefault="00CF3516" w:rsidP="00C5627F">
            <w:pPr>
              <w:keepNext/>
              <w:keepLines/>
              <w:spacing w:before="48" w:after="48"/>
              <w:rPr>
                <w:sz w:val="20"/>
                <w:szCs w:val="20"/>
                <w:lang w:val="fr-FR"/>
              </w:rPr>
            </w:pPr>
            <w:r w:rsidRPr="005738FE">
              <w:rPr>
                <w:sz w:val="20"/>
                <w:szCs w:val="20"/>
                <w:lang w:val="fr-FR"/>
              </w:rPr>
              <w:t>Total (tonnes)</w:t>
            </w:r>
          </w:p>
        </w:tc>
        <w:tc>
          <w:tcPr>
            <w:tcW w:w="1693" w:type="dxa"/>
          </w:tcPr>
          <w:p w:rsidR="004B3541" w:rsidRDefault="00CF3516" w:rsidP="00C5627F">
            <w:pPr>
              <w:keepNext/>
              <w:keepLines/>
              <w:tabs>
                <w:tab w:val="center" w:pos="4320"/>
                <w:tab w:val="right" w:pos="8640"/>
              </w:tabs>
              <w:spacing w:before="48" w:after="48"/>
              <w:ind w:right="593"/>
              <w:jc w:val="right"/>
              <w:rPr>
                <w:sz w:val="20"/>
                <w:szCs w:val="20"/>
                <w:lang w:val="fr-FR"/>
              </w:rPr>
            </w:pPr>
            <w:r w:rsidRPr="005738FE">
              <w:rPr>
                <w:sz w:val="20"/>
                <w:szCs w:val="20"/>
                <w:lang w:val="fr-FR"/>
              </w:rPr>
              <w:t>1 955,10</w:t>
            </w:r>
          </w:p>
        </w:tc>
        <w:tc>
          <w:tcPr>
            <w:tcW w:w="1694" w:type="dxa"/>
          </w:tcPr>
          <w:p w:rsidR="004B3541" w:rsidRDefault="00CF3516" w:rsidP="00C5627F">
            <w:pPr>
              <w:keepNext/>
              <w:keepLines/>
              <w:tabs>
                <w:tab w:val="center" w:pos="4320"/>
                <w:tab w:val="right" w:pos="8640"/>
              </w:tabs>
              <w:spacing w:before="48" w:after="48"/>
              <w:ind w:right="593"/>
              <w:jc w:val="right"/>
              <w:rPr>
                <w:sz w:val="20"/>
                <w:szCs w:val="20"/>
                <w:lang w:val="fr-FR"/>
              </w:rPr>
            </w:pPr>
            <w:r w:rsidRPr="005738FE">
              <w:rPr>
                <w:sz w:val="20"/>
                <w:szCs w:val="20"/>
                <w:lang w:val="fr-FR"/>
              </w:rPr>
              <w:t>1 175,60</w:t>
            </w:r>
          </w:p>
        </w:tc>
        <w:tc>
          <w:tcPr>
            <w:tcW w:w="1694" w:type="dxa"/>
          </w:tcPr>
          <w:p w:rsidR="004B3541" w:rsidRDefault="00CF3516" w:rsidP="00C5627F">
            <w:pPr>
              <w:keepNext/>
              <w:keepLines/>
              <w:tabs>
                <w:tab w:val="center" w:pos="4320"/>
                <w:tab w:val="right" w:pos="8640"/>
              </w:tabs>
              <w:spacing w:before="48" w:after="48"/>
              <w:ind w:right="593"/>
              <w:jc w:val="right"/>
              <w:rPr>
                <w:sz w:val="20"/>
                <w:szCs w:val="20"/>
                <w:lang w:val="fr-FR"/>
              </w:rPr>
            </w:pPr>
            <w:r w:rsidRPr="005738FE">
              <w:rPr>
                <w:sz w:val="20"/>
                <w:szCs w:val="20"/>
                <w:lang w:val="fr-FR"/>
              </w:rPr>
              <w:t>272,02</w:t>
            </w:r>
          </w:p>
        </w:tc>
        <w:tc>
          <w:tcPr>
            <w:tcW w:w="1694" w:type="dxa"/>
          </w:tcPr>
          <w:p w:rsidR="004B3541" w:rsidRDefault="00CF3516" w:rsidP="00C5627F">
            <w:pPr>
              <w:keepNext/>
              <w:keepLines/>
              <w:tabs>
                <w:tab w:val="center" w:pos="4320"/>
                <w:tab w:val="right" w:pos="8640"/>
              </w:tabs>
              <w:spacing w:before="48" w:after="48"/>
              <w:ind w:right="658"/>
              <w:jc w:val="right"/>
              <w:rPr>
                <w:b/>
                <w:sz w:val="20"/>
                <w:szCs w:val="20"/>
                <w:lang w:val="fr-FR"/>
              </w:rPr>
            </w:pPr>
            <w:r w:rsidRPr="005738FE">
              <w:rPr>
                <w:b/>
                <w:sz w:val="20"/>
                <w:szCs w:val="20"/>
                <w:lang w:val="fr-FR"/>
              </w:rPr>
              <w:t>3 402,72</w:t>
            </w:r>
          </w:p>
        </w:tc>
      </w:tr>
      <w:tr w:rsidR="00CF3516" w:rsidRPr="005738FE" w:rsidTr="0050199E">
        <w:tc>
          <w:tcPr>
            <w:tcW w:w="2235" w:type="dxa"/>
            <w:tcBorders>
              <w:bottom w:val="single" w:sz="4" w:space="0" w:color="auto"/>
            </w:tcBorders>
          </w:tcPr>
          <w:p w:rsidR="004B3541" w:rsidRDefault="00CF3516" w:rsidP="00C5627F">
            <w:pPr>
              <w:keepNext/>
              <w:keepLines/>
              <w:spacing w:before="48" w:after="48"/>
              <w:rPr>
                <w:sz w:val="20"/>
                <w:szCs w:val="20"/>
                <w:lang w:val="fr-FR"/>
              </w:rPr>
            </w:pPr>
            <w:r w:rsidRPr="005738FE">
              <w:rPr>
                <w:sz w:val="20"/>
                <w:szCs w:val="20"/>
                <w:lang w:val="fr-FR"/>
              </w:rPr>
              <w:t>Total (%)</w:t>
            </w:r>
          </w:p>
        </w:tc>
        <w:tc>
          <w:tcPr>
            <w:tcW w:w="1693" w:type="dxa"/>
            <w:tcBorders>
              <w:bottom w:val="single" w:sz="4" w:space="0" w:color="auto"/>
            </w:tcBorders>
          </w:tcPr>
          <w:p w:rsidR="004B3541" w:rsidRDefault="00CF3516" w:rsidP="00C5627F">
            <w:pPr>
              <w:keepNext/>
              <w:keepLines/>
              <w:spacing w:before="48" w:after="48"/>
              <w:ind w:right="593"/>
              <w:jc w:val="right"/>
              <w:rPr>
                <w:sz w:val="20"/>
                <w:szCs w:val="20"/>
                <w:lang w:val="fr-FR"/>
              </w:rPr>
            </w:pPr>
            <w:r w:rsidRPr="005738FE">
              <w:rPr>
                <w:sz w:val="20"/>
                <w:szCs w:val="20"/>
                <w:lang w:val="fr-FR"/>
              </w:rPr>
              <w:t>57%</w:t>
            </w:r>
          </w:p>
        </w:tc>
        <w:tc>
          <w:tcPr>
            <w:tcW w:w="1694" w:type="dxa"/>
            <w:tcBorders>
              <w:bottom w:val="single" w:sz="4" w:space="0" w:color="auto"/>
            </w:tcBorders>
          </w:tcPr>
          <w:p w:rsidR="004B3541" w:rsidRDefault="00CF3516" w:rsidP="00C5627F">
            <w:pPr>
              <w:keepNext/>
              <w:keepLines/>
              <w:spacing w:before="48" w:after="48"/>
              <w:ind w:right="593"/>
              <w:jc w:val="right"/>
              <w:rPr>
                <w:sz w:val="20"/>
                <w:szCs w:val="20"/>
                <w:lang w:val="fr-FR"/>
              </w:rPr>
            </w:pPr>
            <w:r w:rsidRPr="005738FE">
              <w:rPr>
                <w:sz w:val="20"/>
                <w:szCs w:val="20"/>
                <w:lang w:val="fr-FR"/>
              </w:rPr>
              <w:t>35%</w:t>
            </w:r>
          </w:p>
        </w:tc>
        <w:tc>
          <w:tcPr>
            <w:tcW w:w="1694" w:type="dxa"/>
            <w:tcBorders>
              <w:bottom w:val="single" w:sz="4" w:space="0" w:color="auto"/>
            </w:tcBorders>
          </w:tcPr>
          <w:p w:rsidR="004B3541" w:rsidRDefault="00CF3516" w:rsidP="00C5627F">
            <w:pPr>
              <w:keepNext/>
              <w:keepLines/>
              <w:spacing w:before="48" w:after="48"/>
              <w:ind w:right="593"/>
              <w:jc w:val="right"/>
              <w:rPr>
                <w:sz w:val="20"/>
                <w:szCs w:val="20"/>
                <w:lang w:val="fr-FR"/>
              </w:rPr>
            </w:pPr>
            <w:r w:rsidRPr="005738FE">
              <w:rPr>
                <w:sz w:val="20"/>
                <w:szCs w:val="20"/>
                <w:lang w:val="fr-FR"/>
              </w:rPr>
              <w:t>8%</w:t>
            </w:r>
          </w:p>
        </w:tc>
        <w:tc>
          <w:tcPr>
            <w:tcW w:w="1694" w:type="dxa"/>
            <w:tcBorders>
              <w:bottom w:val="single" w:sz="4" w:space="0" w:color="auto"/>
            </w:tcBorders>
          </w:tcPr>
          <w:p w:rsidR="004B3541" w:rsidRDefault="00CF3516" w:rsidP="00C5627F">
            <w:pPr>
              <w:keepNext/>
              <w:keepLines/>
              <w:spacing w:before="48" w:after="48"/>
              <w:ind w:right="593"/>
              <w:jc w:val="right"/>
              <w:rPr>
                <w:sz w:val="20"/>
                <w:szCs w:val="20"/>
                <w:lang w:val="fr-FR"/>
              </w:rPr>
            </w:pPr>
            <w:r w:rsidRPr="005738FE">
              <w:rPr>
                <w:sz w:val="20"/>
                <w:szCs w:val="20"/>
                <w:lang w:val="fr-FR"/>
              </w:rPr>
              <w:t>100%</w:t>
            </w:r>
          </w:p>
        </w:tc>
      </w:tr>
    </w:tbl>
    <w:p w:rsidR="004B3541" w:rsidRDefault="00CF3516">
      <w:pPr>
        <w:pStyle w:val="Source"/>
        <w:spacing w:before="120" w:after="480"/>
        <w:rPr>
          <w:i w:val="0"/>
        </w:rPr>
      </w:pPr>
      <w:r w:rsidRPr="00577EB1">
        <w:t>Source</w:t>
      </w:r>
      <w:r w:rsidR="005738FE">
        <w:t> :</w:t>
      </w:r>
      <w:r w:rsidR="0007340F">
        <w:t xml:space="preserve"> </w:t>
      </w:r>
      <w:r w:rsidR="00EB214A" w:rsidRPr="00EB214A">
        <w:rPr>
          <w:i w:val="0"/>
        </w:rPr>
        <w:t>SONAGESS.</w:t>
      </w:r>
    </w:p>
    <w:p w:rsidR="00792566" w:rsidRDefault="00652BC6" w:rsidP="005738FE">
      <w:pPr>
        <w:pStyle w:val="Heading7"/>
        <w:spacing w:after="0"/>
        <w:rPr>
          <w:lang w:val="fr-FR"/>
        </w:rPr>
      </w:pPr>
      <w:bookmarkStart w:id="156" w:name="_Toc284528594"/>
      <w:bookmarkStart w:id="157" w:name="_Toc284530530"/>
      <w:r>
        <w:rPr>
          <w:lang w:val="fr-FR"/>
        </w:rPr>
        <w:t>T</w:t>
      </w:r>
      <w:r w:rsidR="001F3001" w:rsidRPr="00577EB1">
        <w:rPr>
          <w:lang w:val="fr-FR"/>
        </w:rPr>
        <w:t xml:space="preserve">ableau </w:t>
      </w:r>
      <w:r w:rsidR="00725419" w:rsidRPr="00577EB1">
        <w:rPr>
          <w:lang w:val="fr-FR"/>
        </w:rPr>
        <w:fldChar w:fldCharType="begin"/>
      </w:r>
      <w:r w:rsidR="001F3001" w:rsidRPr="00577EB1">
        <w:rPr>
          <w:lang w:val="fr-FR"/>
        </w:rPr>
        <w:instrText xml:space="preserve"> SEQ Table \* ARABIC </w:instrText>
      </w:r>
      <w:r w:rsidR="00725419" w:rsidRPr="00577EB1">
        <w:rPr>
          <w:lang w:val="fr-FR"/>
        </w:rPr>
        <w:fldChar w:fldCharType="separate"/>
      </w:r>
      <w:r w:rsidR="00EF56B2">
        <w:rPr>
          <w:lang w:val="fr-FR"/>
        </w:rPr>
        <w:t>19</w:t>
      </w:r>
      <w:r w:rsidR="00725419" w:rsidRPr="00577EB1">
        <w:rPr>
          <w:lang w:val="fr-FR"/>
        </w:rPr>
        <w:fldChar w:fldCharType="end"/>
      </w:r>
      <w:r w:rsidR="001F3001">
        <w:rPr>
          <w:lang w:val="fr-FR"/>
        </w:rPr>
        <w:t> :</w:t>
      </w:r>
      <w:r w:rsidR="0007340F">
        <w:rPr>
          <w:lang w:val="fr-FR"/>
        </w:rPr>
        <w:t xml:space="preserve"> </w:t>
      </w:r>
      <w:r w:rsidR="00CF3516" w:rsidRPr="00577EB1">
        <w:rPr>
          <w:lang w:val="fr-FR"/>
        </w:rPr>
        <w:t>Stock national de sécurité alimentaire, situation au 31 décembre 2008</w:t>
      </w:r>
      <w:bookmarkEnd w:id="156"/>
      <w:bookmarkEnd w:id="157"/>
    </w:p>
    <w:p w:rsidR="004B3541" w:rsidRDefault="00CF3516">
      <w:pPr>
        <w:pStyle w:val="Caption"/>
        <w:keepNext/>
        <w:keepLines/>
        <w:spacing w:before="0"/>
        <w:rPr>
          <w:lang w:val="fr-FR"/>
        </w:rPr>
      </w:pPr>
      <w:r w:rsidRPr="00577EB1">
        <w:rPr>
          <w:b w:val="0"/>
          <w:lang w:val="fr-FR"/>
        </w:rPr>
        <w:t>(en tonnes)</w:t>
      </w:r>
    </w:p>
    <w:tbl>
      <w:tblPr>
        <w:tblW w:w="9180" w:type="dxa"/>
        <w:tblLook w:val="04A0"/>
      </w:tblPr>
      <w:tblGrid>
        <w:gridCol w:w="2376"/>
        <w:gridCol w:w="1701"/>
        <w:gridCol w:w="1701"/>
        <w:gridCol w:w="1701"/>
        <w:gridCol w:w="1701"/>
      </w:tblGrid>
      <w:tr w:rsidR="00CF3516" w:rsidRPr="005738FE" w:rsidTr="0050199E">
        <w:tc>
          <w:tcPr>
            <w:tcW w:w="2376" w:type="dxa"/>
            <w:tcBorders>
              <w:top w:val="single" w:sz="4" w:space="0" w:color="auto"/>
              <w:bottom w:val="single" w:sz="4" w:space="0" w:color="auto"/>
            </w:tcBorders>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Centre</w:t>
            </w:r>
          </w:p>
        </w:tc>
        <w:tc>
          <w:tcPr>
            <w:tcW w:w="1701" w:type="dxa"/>
            <w:tcBorders>
              <w:top w:val="single" w:sz="4" w:space="0" w:color="auto"/>
              <w:bottom w:val="single" w:sz="4" w:space="0" w:color="auto"/>
            </w:tcBorders>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Millet</w:t>
            </w:r>
          </w:p>
        </w:tc>
        <w:tc>
          <w:tcPr>
            <w:tcW w:w="1701" w:type="dxa"/>
            <w:tcBorders>
              <w:top w:val="single" w:sz="4" w:space="0" w:color="auto"/>
              <w:bottom w:val="single" w:sz="4" w:space="0" w:color="auto"/>
            </w:tcBorders>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 xml:space="preserve">Sorgho </w:t>
            </w:r>
          </w:p>
        </w:tc>
        <w:tc>
          <w:tcPr>
            <w:tcW w:w="1701" w:type="dxa"/>
            <w:tcBorders>
              <w:top w:val="single" w:sz="4" w:space="0" w:color="auto"/>
              <w:bottom w:val="single" w:sz="4" w:space="0" w:color="auto"/>
            </w:tcBorders>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 xml:space="preserve">Maïs </w:t>
            </w:r>
          </w:p>
        </w:tc>
        <w:tc>
          <w:tcPr>
            <w:tcW w:w="1701" w:type="dxa"/>
            <w:tcBorders>
              <w:top w:val="single" w:sz="4" w:space="0" w:color="auto"/>
              <w:bottom w:val="single" w:sz="4" w:space="0" w:color="auto"/>
            </w:tcBorders>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 xml:space="preserve">Total </w:t>
            </w:r>
          </w:p>
        </w:tc>
      </w:tr>
      <w:tr w:rsidR="00CF3516" w:rsidRPr="005738FE" w:rsidTr="0050199E">
        <w:tc>
          <w:tcPr>
            <w:tcW w:w="2376" w:type="dxa"/>
            <w:tcBorders>
              <w:top w:val="single" w:sz="4" w:space="0" w:color="auto"/>
            </w:tcBorders>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Ouagarinter</w:t>
            </w:r>
          </w:p>
        </w:tc>
        <w:tc>
          <w:tcPr>
            <w:tcW w:w="1701" w:type="dxa"/>
            <w:tcBorders>
              <w:top w:val="single" w:sz="4" w:space="0" w:color="auto"/>
            </w:tcBorders>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w:t>
            </w:r>
          </w:p>
        </w:tc>
        <w:tc>
          <w:tcPr>
            <w:tcW w:w="1701" w:type="dxa"/>
            <w:tcBorders>
              <w:top w:val="single" w:sz="4" w:space="0" w:color="auto"/>
            </w:tcBorders>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w:t>
            </w:r>
          </w:p>
        </w:tc>
        <w:tc>
          <w:tcPr>
            <w:tcW w:w="1701" w:type="dxa"/>
            <w:tcBorders>
              <w:top w:val="single" w:sz="4" w:space="0" w:color="auto"/>
            </w:tcBorders>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1</w:t>
            </w:r>
            <w:r w:rsidRPr="005738FE">
              <w:rPr>
                <w:sz w:val="20"/>
                <w:szCs w:val="20"/>
                <w:lang w:val="fr-FR"/>
              </w:rPr>
              <w:t xml:space="preserve"> </w:t>
            </w:r>
            <w:r w:rsidRPr="005738FE">
              <w:rPr>
                <w:rFonts w:eastAsiaTheme="minorEastAsia"/>
                <w:sz w:val="20"/>
                <w:szCs w:val="20"/>
                <w:lang w:val="fr-FR" w:eastAsia="zh-CN"/>
              </w:rPr>
              <w:t>350,54</w:t>
            </w:r>
          </w:p>
        </w:tc>
        <w:tc>
          <w:tcPr>
            <w:tcW w:w="1701" w:type="dxa"/>
            <w:tcBorders>
              <w:top w:val="single" w:sz="4" w:space="0" w:color="auto"/>
            </w:tcBorders>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1</w:t>
            </w:r>
            <w:r w:rsidRPr="005738FE">
              <w:rPr>
                <w:sz w:val="20"/>
                <w:szCs w:val="20"/>
                <w:lang w:val="fr-FR"/>
              </w:rPr>
              <w:t xml:space="preserve"> </w:t>
            </w:r>
            <w:r w:rsidRPr="005738FE">
              <w:rPr>
                <w:rFonts w:eastAsiaTheme="minorEastAsia"/>
                <w:sz w:val="20"/>
                <w:szCs w:val="20"/>
                <w:lang w:val="fr-FR" w:eastAsia="zh-CN"/>
              </w:rPr>
              <w:t>350,54</w:t>
            </w:r>
          </w:p>
        </w:tc>
      </w:tr>
      <w:tr w:rsidR="00CF3516" w:rsidRPr="005738FE" w:rsidTr="0050199E">
        <w:tc>
          <w:tcPr>
            <w:tcW w:w="2376"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CNSAO</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1</w:t>
            </w:r>
            <w:r w:rsidRPr="005738FE">
              <w:rPr>
                <w:sz w:val="20"/>
                <w:szCs w:val="20"/>
                <w:lang w:val="fr-FR"/>
              </w:rPr>
              <w:t xml:space="preserve"> </w:t>
            </w:r>
            <w:r w:rsidRPr="005738FE">
              <w:rPr>
                <w:rFonts w:eastAsiaTheme="minorEastAsia"/>
                <w:sz w:val="20"/>
                <w:szCs w:val="20"/>
                <w:lang w:val="fr-FR" w:eastAsia="zh-CN"/>
              </w:rPr>
              <w:t>950,00</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738,09</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2</w:t>
            </w:r>
            <w:r w:rsidRPr="005738FE">
              <w:rPr>
                <w:sz w:val="20"/>
                <w:szCs w:val="20"/>
                <w:lang w:val="fr-FR"/>
              </w:rPr>
              <w:t xml:space="preserve"> </w:t>
            </w:r>
            <w:r w:rsidRPr="005738FE">
              <w:rPr>
                <w:rFonts w:eastAsiaTheme="minorEastAsia"/>
                <w:sz w:val="20"/>
                <w:szCs w:val="20"/>
                <w:lang w:val="fr-FR" w:eastAsia="zh-CN"/>
              </w:rPr>
              <w:t>688,09</w:t>
            </w:r>
          </w:p>
        </w:tc>
      </w:tr>
      <w:tr w:rsidR="00CF3516" w:rsidRPr="005738FE" w:rsidTr="0050199E">
        <w:tc>
          <w:tcPr>
            <w:tcW w:w="2376"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Kaya</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500,00</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500,00</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1</w:t>
            </w:r>
            <w:r w:rsidRPr="005738FE">
              <w:rPr>
                <w:sz w:val="20"/>
                <w:szCs w:val="20"/>
                <w:lang w:val="fr-FR"/>
              </w:rPr>
              <w:t xml:space="preserve"> </w:t>
            </w:r>
            <w:r w:rsidRPr="005738FE">
              <w:rPr>
                <w:rFonts w:eastAsiaTheme="minorEastAsia"/>
                <w:sz w:val="20"/>
                <w:szCs w:val="20"/>
                <w:lang w:val="fr-FR" w:eastAsia="zh-CN"/>
              </w:rPr>
              <w:t>000,00</w:t>
            </w:r>
          </w:p>
        </w:tc>
      </w:tr>
      <w:tr w:rsidR="00CF3516" w:rsidRPr="005738FE" w:rsidTr="0050199E">
        <w:tc>
          <w:tcPr>
            <w:tcW w:w="2376"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Ouahigouya</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500,00</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1</w:t>
            </w:r>
            <w:r w:rsidRPr="005738FE">
              <w:rPr>
                <w:sz w:val="20"/>
                <w:szCs w:val="20"/>
                <w:lang w:val="fr-FR"/>
              </w:rPr>
              <w:t xml:space="preserve"> </w:t>
            </w:r>
            <w:r w:rsidRPr="005738FE">
              <w:rPr>
                <w:rFonts w:eastAsiaTheme="minorEastAsia"/>
                <w:sz w:val="20"/>
                <w:szCs w:val="20"/>
                <w:lang w:val="fr-FR" w:eastAsia="zh-CN"/>
              </w:rPr>
              <w:t>000,00</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1</w:t>
            </w:r>
            <w:r w:rsidRPr="005738FE">
              <w:rPr>
                <w:sz w:val="20"/>
                <w:szCs w:val="20"/>
                <w:lang w:val="fr-FR"/>
              </w:rPr>
              <w:t xml:space="preserve"> </w:t>
            </w:r>
            <w:r w:rsidRPr="005738FE">
              <w:rPr>
                <w:rFonts w:eastAsiaTheme="minorEastAsia"/>
                <w:sz w:val="20"/>
                <w:szCs w:val="20"/>
                <w:lang w:val="fr-FR" w:eastAsia="zh-CN"/>
              </w:rPr>
              <w:t>500,00</w:t>
            </w:r>
          </w:p>
        </w:tc>
      </w:tr>
      <w:tr w:rsidR="00CF3516" w:rsidRPr="005738FE" w:rsidTr="0050199E">
        <w:tc>
          <w:tcPr>
            <w:tcW w:w="2376"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Titao</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500,00</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500,00</w:t>
            </w:r>
          </w:p>
        </w:tc>
      </w:tr>
      <w:tr w:rsidR="00CF3516" w:rsidRPr="005738FE" w:rsidTr="0050199E">
        <w:tc>
          <w:tcPr>
            <w:tcW w:w="2376"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Djibo</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525,00</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525,00</w:t>
            </w:r>
          </w:p>
        </w:tc>
      </w:tr>
      <w:tr w:rsidR="00CF3516" w:rsidRPr="005738FE" w:rsidTr="0050199E">
        <w:tc>
          <w:tcPr>
            <w:tcW w:w="2376"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Gorom-Gorom</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1</w:t>
            </w:r>
            <w:r w:rsidRPr="005738FE">
              <w:rPr>
                <w:sz w:val="20"/>
                <w:szCs w:val="20"/>
                <w:lang w:val="fr-FR"/>
              </w:rPr>
              <w:t xml:space="preserve"> </w:t>
            </w:r>
            <w:r w:rsidRPr="005738FE">
              <w:rPr>
                <w:rFonts w:eastAsiaTheme="minorEastAsia"/>
                <w:sz w:val="20"/>
                <w:szCs w:val="20"/>
                <w:lang w:val="fr-FR" w:eastAsia="zh-CN"/>
              </w:rPr>
              <w:t>050,00</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1</w:t>
            </w:r>
            <w:r w:rsidRPr="005738FE">
              <w:rPr>
                <w:sz w:val="20"/>
                <w:szCs w:val="20"/>
                <w:lang w:val="fr-FR"/>
              </w:rPr>
              <w:t xml:space="preserve"> </w:t>
            </w:r>
            <w:r w:rsidRPr="005738FE">
              <w:rPr>
                <w:rFonts w:eastAsiaTheme="minorEastAsia"/>
                <w:sz w:val="20"/>
                <w:szCs w:val="20"/>
                <w:lang w:val="fr-FR" w:eastAsia="zh-CN"/>
              </w:rPr>
              <w:t>050,00</w:t>
            </w:r>
          </w:p>
        </w:tc>
      </w:tr>
      <w:tr w:rsidR="00CF3516" w:rsidRPr="005738FE" w:rsidTr="0050199E">
        <w:tc>
          <w:tcPr>
            <w:tcW w:w="2376"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Aribinda</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1</w:t>
            </w:r>
            <w:r w:rsidRPr="005738FE">
              <w:rPr>
                <w:sz w:val="20"/>
                <w:szCs w:val="20"/>
                <w:lang w:val="fr-FR"/>
              </w:rPr>
              <w:t xml:space="preserve"> </w:t>
            </w:r>
            <w:r w:rsidRPr="005738FE">
              <w:rPr>
                <w:rFonts w:eastAsiaTheme="minorEastAsia"/>
                <w:sz w:val="20"/>
                <w:szCs w:val="20"/>
                <w:lang w:val="fr-FR" w:eastAsia="zh-CN"/>
              </w:rPr>
              <w:t>557,10</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1</w:t>
            </w:r>
            <w:r w:rsidRPr="005738FE">
              <w:rPr>
                <w:sz w:val="20"/>
                <w:szCs w:val="20"/>
                <w:lang w:val="fr-FR"/>
              </w:rPr>
              <w:t xml:space="preserve"> </w:t>
            </w:r>
            <w:r w:rsidRPr="005738FE">
              <w:rPr>
                <w:rFonts w:eastAsiaTheme="minorEastAsia"/>
                <w:sz w:val="20"/>
                <w:szCs w:val="20"/>
                <w:lang w:val="fr-FR" w:eastAsia="zh-CN"/>
              </w:rPr>
              <w:t>557,10</w:t>
            </w:r>
          </w:p>
        </w:tc>
      </w:tr>
      <w:tr w:rsidR="00CF3516" w:rsidRPr="005738FE" w:rsidTr="0050199E">
        <w:tc>
          <w:tcPr>
            <w:tcW w:w="2376"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Dori</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691,80</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1</w:t>
            </w:r>
            <w:r w:rsidRPr="005738FE">
              <w:rPr>
                <w:sz w:val="20"/>
                <w:szCs w:val="20"/>
                <w:lang w:val="fr-FR"/>
              </w:rPr>
              <w:t xml:space="preserve"> </w:t>
            </w:r>
            <w:r w:rsidRPr="005738FE">
              <w:rPr>
                <w:rFonts w:eastAsiaTheme="minorEastAsia"/>
                <w:sz w:val="20"/>
                <w:szCs w:val="20"/>
                <w:lang w:val="fr-FR" w:eastAsia="zh-CN"/>
              </w:rPr>
              <w:t>243,00</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1</w:t>
            </w:r>
            <w:r w:rsidRPr="005738FE">
              <w:rPr>
                <w:sz w:val="20"/>
                <w:szCs w:val="20"/>
                <w:lang w:val="fr-FR"/>
              </w:rPr>
              <w:t xml:space="preserve"> </w:t>
            </w:r>
            <w:r w:rsidRPr="005738FE">
              <w:rPr>
                <w:rFonts w:eastAsiaTheme="minorEastAsia"/>
                <w:sz w:val="20"/>
                <w:szCs w:val="20"/>
                <w:lang w:val="fr-FR" w:eastAsia="zh-CN"/>
              </w:rPr>
              <w:t>934,80</w:t>
            </w:r>
          </w:p>
        </w:tc>
      </w:tr>
      <w:tr w:rsidR="00CF3516" w:rsidRPr="005738FE" w:rsidTr="0050199E">
        <w:tc>
          <w:tcPr>
            <w:tcW w:w="2376"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Total (tonnes)</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4</w:t>
            </w:r>
            <w:r w:rsidRPr="005738FE">
              <w:rPr>
                <w:sz w:val="20"/>
                <w:szCs w:val="20"/>
                <w:lang w:val="fr-FR"/>
              </w:rPr>
              <w:t xml:space="preserve"> </w:t>
            </w:r>
            <w:r w:rsidRPr="005738FE">
              <w:rPr>
                <w:rFonts w:eastAsiaTheme="minorEastAsia"/>
                <w:sz w:val="20"/>
                <w:szCs w:val="20"/>
                <w:lang w:val="fr-FR" w:eastAsia="zh-CN"/>
              </w:rPr>
              <w:t>823,90</w:t>
            </w:r>
          </w:p>
        </w:tc>
        <w:tc>
          <w:tcPr>
            <w:tcW w:w="1701" w:type="dxa"/>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5</w:t>
            </w:r>
            <w:r w:rsidRPr="005738FE">
              <w:rPr>
                <w:sz w:val="20"/>
                <w:szCs w:val="20"/>
                <w:lang w:val="fr-FR"/>
              </w:rPr>
              <w:t xml:space="preserve"> </w:t>
            </w:r>
            <w:r w:rsidRPr="005738FE">
              <w:rPr>
                <w:rFonts w:eastAsiaTheme="minorEastAsia"/>
                <w:sz w:val="20"/>
                <w:szCs w:val="20"/>
                <w:lang w:val="fr-FR" w:eastAsia="zh-CN"/>
              </w:rPr>
              <w:t>193,00</w:t>
            </w:r>
          </w:p>
        </w:tc>
        <w:tc>
          <w:tcPr>
            <w:tcW w:w="1701" w:type="dxa"/>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2</w:t>
            </w:r>
            <w:r w:rsidRPr="005738FE">
              <w:rPr>
                <w:sz w:val="20"/>
                <w:szCs w:val="20"/>
                <w:lang w:val="fr-FR"/>
              </w:rPr>
              <w:t xml:space="preserve"> </w:t>
            </w:r>
            <w:r w:rsidRPr="005738FE">
              <w:rPr>
                <w:rFonts w:eastAsiaTheme="minorEastAsia"/>
                <w:sz w:val="20"/>
                <w:szCs w:val="20"/>
                <w:lang w:val="fr-FR" w:eastAsia="zh-CN"/>
              </w:rPr>
              <w:t>088,63</w:t>
            </w:r>
          </w:p>
        </w:tc>
        <w:tc>
          <w:tcPr>
            <w:tcW w:w="1701" w:type="dxa"/>
          </w:tcPr>
          <w:p w:rsidR="004B3541" w:rsidRDefault="00CF3516" w:rsidP="004B3541">
            <w:pPr>
              <w:keepNext/>
              <w:keepLines/>
              <w:spacing w:before="48" w:after="48"/>
              <w:rPr>
                <w:b/>
                <w:sz w:val="20"/>
                <w:szCs w:val="20"/>
                <w:lang w:val="fr-FR"/>
              </w:rPr>
            </w:pPr>
            <w:r w:rsidRPr="005738FE">
              <w:rPr>
                <w:rFonts w:eastAsiaTheme="minorEastAsia"/>
                <w:b/>
                <w:sz w:val="20"/>
                <w:szCs w:val="20"/>
                <w:lang w:val="fr-FR" w:eastAsia="zh-CN"/>
              </w:rPr>
              <w:t>12</w:t>
            </w:r>
            <w:r w:rsidRPr="005738FE">
              <w:rPr>
                <w:b/>
                <w:sz w:val="20"/>
                <w:szCs w:val="20"/>
                <w:lang w:val="fr-FR"/>
              </w:rPr>
              <w:t xml:space="preserve"> </w:t>
            </w:r>
            <w:r w:rsidRPr="005738FE">
              <w:rPr>
                <w:rFonts w:eastAsiaTheme="minorEastAsia"/>
                <w:b/>
                <w:sz w:val="20"/>
                <w:szCs w:val="20"/>
                <w:lang w:val="fr-FR" w:eastAsia="zh-CN"/>
              </w:rPr>
              <w:t>105,53</w:t>
            </w:r>
          </w:p>
        </w:tc>
      </w:tr>
      <w:tr w:rsidR="00CF3516" w:rsidRPr="005738FE" w:rsidTr="0050199E">
        <w:tc>
          <w:tcPr>
            <w:tcW w:w="2376" w:type="dxa"/>
            <w:tcBorders>
              <w:bottom w:val="single" w:sz="4" w:space="0" w:color="auto"/>
            </w:tcBorders>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Total (%)</w:t>
            </w:r>
          </w:p>
        </w:tc>
        <w:tc>
          <w:tcPr>
            <w:tcW w:w="1701" w:type="dxa"/>
            <w:tcBorders>
              <w:bottom w:val="single" w:sz="4" w:space="0" w:color="auto"/>
            </w:tcBorders>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40%</w:t>
            </w:r>
          </w:p>
        </w:tc>
        <w:tc>
          <w:tcPr>
            <w:tcW w:w="1701" w:type="dxa"/>
            <w:tcBorders>
              <w:bottom w:val="single" w:sz="4" w:space="0" w:color="auto"/>
            </w:tcBorders>
          </w:tcPr>
          <w:p w:rsidR="004B3541" w:rsidRDefault="00CF3516" w:rsidP="00C5627F">
            <w:pPr>
              <w:keepNext/>
              <w:keepLines/>
              <w:spacing w:before="48" w:after="48"/>
              <w:rPr>
                <w:sz w:val="20"/>
                <w:szCs w:val="20"/>
                <w:lang w:val="fr-FR"/>
              </w:rPr>
            </w:pPr>
            <w:r w:rsidRPr="005738FE">
              <w:rPr>
                <w:rFonts w:eastAsiaTheme="minorEastAsia"/>
                <w:sz w:val="20"/>
                <w:szCs w:val="20"/>
                <w:lang w:val="fr-FR" w:eastAsia="zh-CN"/>
              </w:rPr>
              <w:t>43%</w:t>
            </w:r>
          </w:p>
        </w:tc>
        <w:tc>
          <w:tcPr>
            <w:tcW w:w="1701" w:type="dxa"/>
            <w:tcBorders>
              <w:bottom w:val="single" w:sz="4" w:space="0" w:color="auto"/>
            </w:tcBorders>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17%</w:t>
            </w:r>
          </w:p>
        </w:tc>
        <w:tc>
          <w:tcPr>
            <w:tcW w:w="1701" w:type="dxa"/>
            <w:tcBorders>
              <w:bottom w:val="single" w:sz="4" w:space="0" w:color="auto"/>
            </w:tcBorders>
          </w:tcPr>
          <w:p w:rsidR="004B3541" w:rsidRDefault="00CF3516" w:rsidP="004B3541">
            <w:pPr>
              <w:keepNext/>
              <w:keepLines/>
              <w:spacing w:before="48" w:after="48"/>
              <w:rPr>
                <w:sz w:val="20"/>
                <w:szCs w:val="20"/>
                <w:lang w:val="fr-FR"/>
              </w:rPr>
            </w:pPr>
            <w:r w:rsidRPr="005738FE">
              <w:rPr>
                <w:rFonts w:eastAsiaTheme="minorEastAsia"/>
                <w:sz w:val="20"/>
                <w:szCs w:val="20"/>
                <w:lang w:val="fr-FR" w:eastAsia="zh-CN"/>
              </w:rPr>
              <w:t>100%</w:t>
            </w:r>
          </w:p>
        </w:tc>
      </w:tr>
    </w:tbl>
    <w:p w:rsidR="004B3541" w:rsidRDefault="00CF3516">
      <w:pPr>
        <w:pStyle w:val="Source"/>
        <w:keepNext w:val="0"/>
        <w:spacing w:before="120" w:after="480"/>
      </w:pPr>
      <w:r w:rsidRPr="00577EB1">
        <w:t>Source</w:t>
      </w:r>
      <w:r w:rsidR="005738FE">
        <w:t xml:space="preserve"> </w:t>
      </w:r>
      <w:r w:rsidRPr="00577EB1">
        <w:t xml:space="preserve">: </w:t>
      </w:r>
      <w:r w:rsidR="00EB214A" w:rsidRPr="00EB214A">
        <w:rPr>
          <w:i w:val="0"/>
        </w:rPr>
        <w:t>SONAGESS.</w:t>
      </w:r>
    </w:p>
    <w:p w:rsidR="00CF3516" w:rsidRPr="00577EB1" w:rsidRDefault="00CF3516" w:rsidP="00E52A30">
      <w:pPr>
        <w:numPr>
          <w:ilvl w:val="0"/>
          <w:numId w:val="2"/>
        </w:numPr>
        <w:ind w:left="0" w:firstLine="0"/>
        <w:rPr>
          <w:lang w:val="fr-FR"/>
        </w:rPr>
      </w:pPr>
      <w:r w:rsidRPr="00577EB1">
        <w:rPr>
          <w:b/>
          <w:lang w:val="fr-FR"/>
        </w:rPr>
        <w:t>Le CNSA envisage de soutenir davantage le processus de décentralisation en établissant des banques de céréales.</w:t>
      </w:r>
      <w:r w:rsidRPr="00577EB1">
        <w:rPr>
          <w:lang w:val="fr-FR"/>
        </w:rPr>
        <w:t xml:space="preserve"> </w:t>
      </w:r>
      <w:r w:rsidRPr="00577EB1">
        <w:rPr>
          <w:bCs/>
          <w:lang w:val="fr-FR"/>
        </w:rPr>
        <w:t>Les rapports post-opération tendent à indiquer que les quantités reçues sont insuffisantes par rapport aux besoins. Le CNSA demande une augmentation du niveau des stocks nationaux</w:t>
      </w:r>
      <w:r w:rsidRPr="00577EB1">
        <w:rPr>
          <w:rStyle w:val="FootnoteReference"/>
          <w:lang w:val="fr-FR"/>
        </w:rPr>
        <w:footnoteReference w:id="35"/>
      </w:r>
      <w:r w:rsidRPr="00577EB1">
        <w:rPr>
          <w:lang w:val="fr-FR"/>
        </w:rPr>
        <w:t xml:space="preserve"> (Tableau 21) et une décentralisation plus poussée du processus avec la création de stocks communaux/communautaires. Le Plan d’urgence pour la sécurité alimentaire préparé pour la période 2008-2012 inclut l’établissement d’une banque de céréales dans chaque commune à moyen et long terme. La </w:t>
      </w:r>
      <w:r w:rsidRPr="00577EB1">
        <w:rPr>
          <w:lang w:val="fr-FR"/>
        </w:rPr>
        <w:lastRenderedPageBreak/>
        <w:t>proposition prévoit 1 510 millions de francs CFA pour la construction des banques et 7 550 millions de francs CFA pour le stock initial.</w:t>
      </w:r>
      <w:r w:rsidRPr="00577EB1">
        <w:rPr>
          <w:rStyle w:val="FootnoteReference"/>
          <w:lang w:val="fr-FR"/>
        </w:rPr>
        <w:footnoteReference w:id="36"/>
      </w:r>
    </w:p>
    <w:p w:rsidR="00CF3516" w:rsidRPr="00577EB1" w:rsidRDefault="001F3001" w:rsidP="006F1314">
      <w:pPr>
        <w:pStyle w:val="Heading7"/>
        <w:rPr>
          <w:lang w:val="fr-FR"/>
        </w:rPr>
      </w:pPr>
      <w:bookmarkStart w:id="158" w:name="_Toc284528595"/>
      <w:bookmarkStart w:id="159" w:name="_Toc284530531"/>
      <w:bookmarkStart w:id="160" w:name="_Toc253070990"/>
      <w:bookmarkStart w:id="161" w:name="_Toc262170051"/>
      <w:r w:rsidRPr="00577EB1">
        <w:rPr>
          <w:lang w:val="fr-FR"/>
        </w:rPr>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20</w:t>
      </w:r>
      <w:r w:rsidR="00725419" w:rsidRPr="00577EB1">
        <w:rPr>
          <w:lang w:val="fr-FR"/>
        </w:rPr>
        <w:fldChar w:fldCharType="end"/>
      </w:r>
      <w:r w:rsidR="003203FB">
        <w:rPr>
          <w:lang w:val="fr-FR"/>
        </w:rPr>
        <w:t> :</w:t>
      </w:r>
      <w:r w:rsidR="0007340F">
        <w:rPr>
          <w:lang w:val="fr-FR"/>
        </w:rPr>
        <w:t xml:space="preserve"> </w:t>
      </w:r>
      <w:r w:rsidR="00CF3516" w:rsidRPr="00577EB1">
        <w:rPr>
          <w:lang w:val="fr-FR"/>
        </w:rPr>
        <w:t>Nombre indicatif des bénéficiaires potentiels des stocks nationaux de sécurité</w:t>
      </w:r>
      <w:bookmarkEnd w:id="158"/>
      <w:bookmarkEnd w:id="159"/>
      <w:r w:rsidR="00CF3516" w:rsidRPr="00577EB1">
        <w:rPr>
          <w:lang w:val="fr-FR"/>
        </w:rPr>
        <w:t xml:space="preserve"> </w:t>
      </w:r>
    </w:p>
    <w:bookmarkEnd w:id="160"/>
    <w:bookmarkEnd w:id="161"/>
    <w:tbl>
      <w:tblPr>
        <w:tblW w:w="9039" w:type="dxa"/>
        <w:tblLayout w:type="fixed"/>
        <w:tblLook w:val="04A0"/>
      </w:tblPr>
      <w:tblGrid>
        <w:gridCol w:w="2943"/>
        <w:gridCol w:w="1559"/>
        <w:gridCol w:w="1559"/>
        <w:gridCol w:w="1559"/>
        <w:gridCol w:w="1419"/>
      </w:tblGrid>
      <w:tr w:rsidR="00CF3516" w:rsidRPr="000A70E6" w:rsidTr="0050199E">
        <w:tc>
          <w:tcPr>
            <w:tcW w:w="2943" w:type="dxa"/>
            <w:tcBorders>
              <w:top w:val="single" w:sz="4" w:space="0" w:color="auto"/>
              <w:bottom w:val="single" w:sz="4" w:space="0" w:color="auto"/>
            </w:tcBorders>
            <w:vAlign w:val="center"/>
          </w:tcPr>
          <w:p w:rsidR="004B3541" w:rsidRDefault="004B3541" w:rsidP="00FF0D12">
            <w:pPr>
              <w:keepNext/>
              <w:keepLines/>
              <w:spacing w:beforeLines="20" w:afterLines="20"/>
              <w:rPr>
                <w:rFonts w:cs="Arial"/>
                <w:b/>
                <w:caps/>
                <w:sz w:val="20"/>
                <w:lang w:val="fr-FR"/>
              </w:rPr>
            </w:pPr>
          </w:p>
        </w:tc>
        <w:tc>
          <w:tcPr>
            <w:tcW w:w="1559" w:type="dxa"/>
            <w:tcBorders>
              <w:top w:val="single" w:sz="4" w:space="0" w:color="auto"/>
              <w:bottom w:val="single" w:sz="4" w:space="0" w:color="auto"/>
            </w:tcBorders>
            <w:vAlign w:val="center"/>
          </w:tcPr>
          <w:p w:rsidR="004B3541" w:rsidRDefault="00CF3516" w:rsidP="00FF0D12">
            <w:pPr>
              <w:keepNext/>
              <w:keepLines/>
              <w:spacing w:beforeLines="20" w:afterLines="20"/>
              <w:rPr>
                <w:sz w:val="20"/>
                <w:szCs w:val="20"/>
                <w:lang w:val="fr-FR"/>
              </w:rPr>
            </w:pPr>
            <w:r w:rsidRPr="00577EB1">
              <w:rPr>
                <w:sz w:val="20"/>
                <w:szCs w:val="20"/>
                <w:lang w:val="fr-FR"/>
              </w:rPr>
              <w:t>Volume</w:t>
            </w:r>
            <w:r w:rsidRPr="00577EB1">
              <w:rPr>
                <w:rFonts w:eastAsiaTheme="minorEastAsia"/>
                <w:sz w:val="20"/>
                <w:szCs w:val="20"/>
                <w:lang w:val="fr-FR" w:eastAsia="zh-CN"/>
              </w:rPr>
              <w:t xml:space="preserve"> (tonnes)</w:t>
            </w:r>
          </w:p>
        </w:tc>
        <w:tc>
          <w:tcPr>
            <w:tcW w:w="1559" w:type="dxa"/>
            <w:tcBorders>
              <w:top w:val="single" w:sz="4" w:space="0" w:color="auto"/>
              <w:bottom w:val="single" w:sz="4" w:space="0" w:color="auto"/>
            </w:tcBorders>
            <w:vAlign w:val="center"/>
          </w:tcPr>
          <w:p w:rsidR="004B3541" w:rsidRDefault="00CF3516" w:rsidP="00FF0D12">
            <w:pPr>
              <w:keepNext/>
              <w:keepLines/>
              <w:spacing w:beforeLines="20" w:afterLines="20"/>
              <w:jc w:val="left"/>
              <w:rPr>
                <w:sz w:val="20"/>
                <w:szCs w:val="20"/>
                <w:lang w:val="fr-FR"/>
              </w:rPr>
            </w:pPr>
            <w:r w:rsidRPr="00577EB1">
              <w:rPr>
                <w:rFonts w:eastAsiaTheme="minorEastAsia"/>
                <w:sz w:val="20"/>
                <w:szCs w:val="20"/>
                <w:lang w:val="fr-FR" w:eastAsia="zh-CN"/>
              </w:rPr>
              <w:t xml:space="preserve">Nombre de rations individuelles par mois </w:t>
            </w:r>
            <w:r w:rsidRPr="00577EB1">
              <w:rPr>
                <w:rFonts w:eastAsiaTheme="minorEastAsia"/>
                <w:sz w:val="20"/>
                <w:szCs w:val="20"/>
                <w:vertAlign w:val="superscript"/>
                <w:lang w:val="fr-FR" w:eastAsia="zh-CN"/>
              </w:rPr>
              <w:t>(*)</w:t>
            </w:r>
          </w:p>
        </w:tc>
        <w:tc>
          <w:tcPr>
            <w:tcW w:w="1559" w:type="dxa"/>
            <w:tcBorders>
              <w:top w:val="single" w:sz="4" w:space="0" w:color="auto"/>
              <w:bottom w:val="single" w:sz="4" w:space="0" w:color="auto"/>
            </w:tcBorders>
            <w:vAlign w:val="center"/>
          </w:tcPr>
          <w:p w:rsidR="004B3541" w:rsidRDefault="00CF3516" w:rsidP="00FF0D12">
            <w:pPr>
              <w:keepNext/>
              <w:keepLines/>
              <w:spacing w:beforeLines="20" w:afterLines="20"/>
              <w:jc w:val="left"/>
              <w:rPr>
                <w:sz w:val="20"/>
                <w:szCs w:val="20"/>
                <w:lang w:val="fr-FR"/>
              </w:rPr>
            </w:pPr>
            <w:r w:rsidRPr="00577EB1">
              <w:rPr>
                <w:rFonts w:eastAsiaTheme="minorEastAsia"/>
                <w:sz w:val="20"/>
                <w:szCs w:val="20"/>
                <w:lang w:val="fr-FR" w:eastAsia="zh-CN"/>
              </w:rPr>
              <w:t>Nombre de rations individu</w:t>
            </w:r>
            <w:r w:rsidRPr="00577EB1">
              <w:rPr>
                <w:sz w:val="20"/>
                <w:szCs w:val="20"/>
                <w:lang w:val="fr-FR"/>
              </w:rPr>
              <w:t xml:space="preserve">elles par </w:t>
            </w:r>
            <w:r w:rsidRPr="00577EB1">
              <w:rPr>
                <w:rFonts w:eastAsiaTheme="minorEastAsia"/>
                <w:sz w:val="20"/>
                <w:szCs w:val="20"/>
                <w:lang w:val="fr-FR" w:eastAsia="zh-CN"/>
              </w:rPr>
              <w:t xml:space="preserve">trimestre </w:t>
            </w:r>
            <w:r w:rsidRPr="00577EB1">
              <w:rPr>
                <w:rFonts w:eastAsiaTheme="minorEastAsia"/>
                <w:sz w:val="20"/>
                <w:szCs w:val="20"/>
                <w:vertAlign w:val="superscript"/>
                <w:lang w:val="fr-FR" w:eastAsia="zh-CN"/>
              </w:rPr>
              <w:t>(*)</w:t>
            </w:r>
          </w:p>
        </w:tc>
        <w:tc>
          <w:tcPr>
            <w:tcW w:w="1419" w:type="dxa"/>
            <w:tcBorders>
              <w:top w:val="single" w:sz="4" w:space="0" w:color="auto"/>
              <w:bottom w:val="single" w:sz="4" w:space="0" w:color="auto"/>
            </w:tcBorders>
            <w:vAlign w:val="center"/>
          </w:tcPr>
          <w:p w:rsidR="004B3541" w:rsidRDefault="00CF3516" w:rsidP="00FF0D12">
            <w:pPr>
              <w:keepNext/>
              <w:keepLines/>
              <w:spacing w:beforeLines="20" w:afterLines="20"/>
              <w:jc w:val="left"/>
              <w:rPr>
                <w:sz w:val="20"/>
                <w:szCs w:val="20"/>
                <w:lang w:val="fr-FR"/>
              </w:rPr>
            </w:pPr>
            <w:r w:rsidRPr="00577EB1">
              <w:rPr>
                <w:rFonts w:eastAsiaTheme="minorEastAsia"/>
                <w:sz w:val="20"/>
                <w:szCs w:val="20"/>
                <w:lang w:val="fr-FR" w:eastAsia="zh-CN"/>
              </w:rPr>
              <w:t xml:space="preserve">Nombre de rations trimestrielles par ménage </w:t>
            </w:r>
            <w:r w:rsidRPr="00577EB1">
              <w:rPr>
                <w:rFonts w:eastAsiaTheme="minorEastAsia"/>
                <w:sz w:val="20"/>
                <w:szCs w:val="20"/>
                <w:vertAlign w:val="superscript"/>
                <w:lang w:val="fr-FR" w:eastAsia="zh-CN"/>
              </w:rPr>
              <w:t>(**)</w:t>
            </w:r>
          </w:p>
        </w:tc>
      </w:tr>
      <w:tr w:rsidR="00CF3516" w:rsidRPr="00577EB1" w:rsidTr="0050199E">
        <w:tc>
          <w:tcPr>
            <w:tcW w:w="2943" w:type="dxa"/>
            <w:vAlign w:val="center"/>
          </w:tcPr>
          <w:p w:rsidR="004B3541" w:rsidRDefault="00CF3516" w:rsidP="00FF0D12">
            <w:pPr>
              <w:keepNext/>
              <w:keepLines/>
              <w:spacing w:beforeLines="20" w:afterLines="20"/>
              <w:rPr>
                <w:sz w:val="20"/>
                <w:lang w:val="fr-FR"/>
              </w:rPr>
            </w:pPr>
            <w:r w:rsidRPr="00577EB1">
              <w:rPr>
                <w:sz w:val="20"/>
                <w:lang w:val="fr-FR"/>
              </w:rPr>
              <w:t>Stock d’i</w:t>
            </w:r>
            <w:r w:rsidRPr="00577EB1">
              <w:rPr>
                <w:rFonts w:eastAsiaTheme="minorEastAsia"/>
                <w:sz w:val="20"/>
                <w:szCs w:val="24"/>
                <w:lang w:val="fr-FR" w:eastAsia="zh-CN"/>
              </w:rPr>
              <w:t>ntervention (SI)</w:t>
            </w:r>
          </w:p>
        </w:tc>
        <w:tc>
          <w:tcPr>
            <w:tcW w:w="1559" w:type="dxa"/>
            <w:vAlign w:val="center"/>
          </w:tcPr>
          <w:p w:rsidR="004B3541" w:rsidRDefault="00CF3516" w:rsidP="00FF0D12">
            <w:pPr>
              <w:keepNext/>
              <w:keepLines/>
              <w:spacing w:beforeLines="20" w:afterLines="20"/>
              <w:rPr>
                <w:sz w:val="20"/>
                <w:szCs w:val="20"/>
                <w:lang w:val="fr-FR"/>
              </w:rPr>
            </w:pPr>
            <w:r w:rsidRPr="00577EB1">
              <w:rPr>
                <w:rFonts w:eastAsiaTheme="minorEastAsia"/>
                <w:sz w:val="20"/>
                <w:szCs w:val="20"/>
                <w:lang w:val="fr-FR" w:eastAsia="zh-CN"/>
              </w:rPr>
              <w:t>10</w:t>
            </w:r>
            <w:r w:rsidRPr="00577EB1">
              <w:rPr>
                <w:sz w:val="20"/>
                <w:szCs w:val="20"/>
                <w:lang w:val="fr-FR"/>
              </w:rPr>
              <w:t xml:space="preserve"> </w:t>
            </w:r>
            <w:r w:rsidRPr="00577EB1">
              <w:rPr>
                <w:rFonts w:eastAsiaTheme="minorEastAsia"/>
                <w:sz w:val="20"/>
                <w:szCs w:val="20"/>
                <w:lang w:val="fr-FR" w:eastAsia="zh-CN"/>
              </w:rPr>
              <w:t>000</w:t>
            </w:r>
          </w:p>
        </w:tc>
        <w:tc>
          <w:tcPr>
            <w:tcW w:w="1559" w:type="dxa"/>
            <w:vAlign w:val="center"/>
          </w:tcPr>
          <w:p w:rsidR="004B3541" w:rsidRDefault="00CF3516" w:rsidP="00FF0D12">
            <w:pPr>
              <w:keepNext/>
              <w:keepLines/>
              <w:spacing w:beforeLines="20" w:afterLines="20"/>
              <w:rPr>
                <w:sz w:val="20"/>
                <w:szCs w:val="20"/>
                <w:lang w:val="fr-FR"/>
              </w:rPr>
            </w:pPr>
            <w:r w:rsidRPr="00577EB1">
              <w:rPr>
                <w:rFonts w:eastAsiaTheme="minorEastAsia"/>
                <w:sz w:val="20"/>
                <w:szCs w:val="20"/>
                <w:lang w:val="fr-FR" w:eastAsia="zh-CN"/>
              </w:rPr>
              <w:t>822</w:t>
            </w:r>
            <w:r w:rsidRPr="00577EB1">
              <w:rPr>
                <w:sz w:val="20"/>
                <w:szCs w:val="20"/>
                <w:lang w:val="fr-FR"/>
              </w:rPr>
              <w:t xml:space="preserve"> </w:t>
            </w:r>
            <w:r w:rsidRPr="00577EB1">
              <w:rPr>
                <w:rFonts w:eastAsiaTheme="minorEastAsia"/>
                <w:sz w:val="20"/>
                <w:szCs w:val="20"/>
                <w:lang w:val="fr-FR" w:eastAsia="zh-CN"/>
              </w:rPr>
              <w:t>000</w:t>
            </w:r>
          </w:p>
        </w:tc>
        <w:tc>
          <w:tcPr>
            <w:tcW w:w="1559" w:type="dxa"/>
            <w:vAlign w:val="center"/>
          </w:tcPr>
          <w:p w:rsidR="004B3541" w:rsidRDefault="00CF3516" w:rsidP="00FF0D12">
            <w:pPr>
              <w:keepNext/>
              <w:keepLines/>
              <w:tabs>
                <w:tab w:val="center" w:pos="4320"/>
                <w:tab w:val="right" w:pos="8640"/>
              </w:tabs>
              <w:spacing w:beforeLines="20" w:afterLines="20"/>
              <w:rPr>
                <w:sz w:val="20"/>
                <w:szCs w:val="20"/>
                <w:lang w:val="fr-FR"/>
              </w:rPr>
            </w:pPr>
            <w:r w:rsidRPr="00577EB1">
              <w:rPr>
                <w:rFonts w:eastAsiaTheme="minorEastAsia"/>
                <w:sz w:val="20"/>
                <w:szCs w:val="20"/>
                <w:lang w:val="fr-FR" w:eastAsia="zh-CN"/>
              </w:rPr>
              <w:t>274</w:t>
            </w:r>
            <w:r w:rsidRPr="00577EB1">
              <w:rPr>
                <w:sz w:val="20"/>
                <w:szCs w:val="20"/>
                <w:lang w:val="fr-FR"/>
              </w:rPr>
              <w:t xml:space="preserve"> </w:t>
            </w:r>
            <w:r w:rsidRPr="00577EB1">
              <w:rPr>
                <w:rFonts w:eastAsiaTheme="minorEastAsia"/>
                <w:sz w:val="20"/>
                <w:szCs w:val="20"/>
                <w:lang w:val="fr-FR" w:eastAsia="zh-CN"/>
              </w:rPr>
              <w:t>000</w:t>
            </w:r>
          </w:p>
        </w:tc>
        <w:tc>
          <w:tcPr>
            <w:tcW w:w="1419" w:type="dxa"/>
            <w:vAlign w:val="center"/>
          </w:tcPr>
          <w:p w:rsidR="004B3541" w:rsidRDefault="00CF3516" w:rsidP="00FF0D12">
            <w:pPr>
              <w:keepNext/>
              <w:keepLines/>
              <w:tabs>
                <w:tab w:val="center" w:pos="4320"/>
                <w:tab w:val="right" w:pos="8640"/>
              </w:tabs>
              <w:spacing w:beforeLines="20" w:afterLines="20"/>
              <w:rPr>
                <w:sz w:val="20"/>
                <w:szCs w:val="20"/>
                <w:lang w:val="fr-FR"/>
              </w:rPr>
            </w:pPr>
            <w:r w:rsidRPr="00577EB1">
              <w:rPr>
                <w:rFonts w:eastAsiaTheme="minorEastAsia"/>
                <w:sz w:val="20"/>
                <w:szCs w:val="20"/>
                <w:lang w:val="fr-FR" w:eastAsia="zh-CN"/>
              </w:rPr>
              <w:t>45</w:t>
            </w:r>
            <w:r w:rsidRPr="00577EB1">
              <w:rPr>
                <w:sz w:val="20"/>
                <w:szCs w:val="20"/>
                <w:lang w:val="fr-FR"/>
              </w:rPr>
              <w:t xml:space="preserve"> </w:t>
            </w:r>
            <w:r w:rsidRPr="00577EB1">
              <w:rPr>
                <w:rFonts w:eastAsiaTheme="minorEastAsia"/>
                <w:sz w:val="20"/>
                <w:szCs w:val="20"/>
                <w:lang w:val="fr-FR" w:eastAsia="zh-CN"/>
              </w:rPr>
              <w:t>600</w:t>
            </w:r>
          </w:p>
        </w:tc>
      </w:tr>
      <w:tr w:rsidR="00CF3516" w:rsidRPr="00577EB1" w:rsidTr="0050199E">
        <w:tc>
          <w:tcPr>
            <w:tcW w:w="2943" w:type="dxa"/>
            <w:vAlign w:val="center"/>
          </w:tcPr>
          <w:p w:rsidR="004B3541" w:rsidRDefault="00CF3516" w:rsidP="00FF0D12">
            <w:pPr>
              <w:keepNext/>
              <w:keepLines/>
              <w:spacing w:beforeLines="20" w:afterLines="20"/>
              <w:rPr>
                <w:sz w:val="20"/>
                <w:lang w:val="fr-FR"/>
              </w:rPr>
            </w:pPr>
            <w:r w:rsidRPr="00577EB1">
              <w:rPr>
                <w:rFonts w:eastAsiaTheme="minorEastAsia"/>
                <w:sz w:val="20"/>
                <w:szCs w:val="24"/>
                <w:lang w:val="fr-FR" w:eastAsia="zh-CN"/>
              </w:rPr>
              <w:t>Stock national de sécurité (SNS)</w:t>
            </w:r>
          </w:p>
        </w:tc>
        <w:tc>
          <w:tcPr>
            <w:tcW w:w="1559" w:type="dxa"/>
            <w:vAlign w:val="center"/>
          </w:tcPr>
          <w:p w:rsidR="004B3541" w:rsidRDefault="00CF3516" w:rsidP="00FF0D12">
            <w:pPr>
              <w:keepNext/>
              <w:keepLines/>
              <w:spacing w:beforeLines="20" w:afterLines="20"/>
              <w:rPr>
                <w:sz w:val="20"/>
                <w:szCs w:val="20"/>
                <w:lang w:val="fr-FR"/>
              </w:rPr>
            </w:pPr>
            <w:r w:rsidRPr="00577EB1">
              <w:rPr>
                <w:rFonts w:eastAsiaTheme="minorEastAsia"/>
                <w:sz w:val="20"/>
                <w:szCs w:val="20"/>
                <w:lang w:val="fr-FR" w:eastAsia="zh-CN"/>
              </w:rPr>
              <w:t>35</w:t>
            </w:r>
            <w:r w:rsidRPr="00577EB1">
              <w:rPr>
                <w:sz w:val="20"/>
                <w:szCs w:val="20"/>
                <w:lang w:val="fr-FR"/>
              </w:rPr>
              <w:t xml:space="preserve"> </w:t>
            </w:r>
            <w:r w:rsidRPr="00577EB1">
              <w:rPr>
                <w:rFonts w:eastAsiaTheme="minorEastAsia"/>
                <w:sz w:val="20"/>
                <w:szCs w:val="20"/>
                <w:lang w:val="fr-FR" w:eastAsia="zh-CN"/>
              </w:rPr>
              <w:t>000</w:t>
            </w:r>
          </w:p>
        </w:tc>
        <w:tc>
          <w:tcPr>
            <w:tcW w:w="1559" w:type="dxa"/>
            <w:vAlign w:val="center"/>
          </w:tcPr>
          <w:p w:rsidR="004B3541" w:rsidRDefault="00CF3516" w:rsidP="00FF0D12">
            <w:pPr>
              <w:keepNext/>
              <w:keepLines/>
              <w:spacing w:beforeLines="20" w:afterLines="20"/>
              <w:rPr>
                <w:sz w:val="20"/>
                <w:szCs w:val="20"/>
                <w:lang w:val="fr-FR"/>
              </w:rPr>
            </w:pPr>
            <w:r w:rsidRPr="00577EB1">
              <w:rPr>
                <w:rFonts w:eastAsiaTheme="minorEastAsia"/>
                <w:sz w:val="20"/>
                <w:szCs w:val="20"/>
                <w:lang w:val="fr-FR" w:eastAsia="zh-CN"/>
              </w:rPr>
              <w:t>2</w:t>
            </w:r>
            <w:r w:rsidRPr="00577EB1">
              <w:rPr>
                <w:sz w:val="20"/>
                <w:szCs w:val="20"/>
                <w:lang w:val="fr-FR"/>
              </w:rPr>
              <w:t xml:space="preserve"> </w:t>
            </w:r>
            <w:r w:rsidRPr="00577EB1">
              <w:rPr>
                <w:rFonts w:eastAsiaTheme="minorEastAsia"/>
                <w:sz w:val="20"/>
                <w:szCs w:val="20"/>
                <w:lang w:val="fr-FR" w:eastAsia="zh-CN"/>
              </w:rPr>
              <w:t>877</w:t>
            </w:r>
            <w:r w:rsidRPr="00577EB1">
              <w:rPr>
                <w:sz w:val="20"/>
                <w:szCs w:val="20"/>
                <w:lang w:val="fr-FR"/>
              </w:rPr>
              <w:t xml:space="preserve"> </w:t>
            </w:r>
            <w:r w:rsidRPr="00577EB1">
              <w:rPr>
                <w:rFonts w:eastAsiaTheme="minorEastAsia"/>
                <w:sz w:val="20"/>
                <w:szCs w:val="20"/>
                <w:lang w:val="fr-FR" w:eastAsia="zh-CN"/>
              </w:rPr>
              <w:t>000</w:t>
            </w:r>
          </w:p>
        </w:tc>
        <w:tc>
          <w:tcPr>
            <w:tcW w:w="1559" w:type="dxa"/>
            <w:vAlign w:val="center"/>
          </w:tcPr>
          <w:p w:rsidR="004B3541" w:rsidRDefault="00CF3516" w:rsidP="00FF0D12">
            <w:pPr>
              <w:keepNext/>
              <w:keepLines/>
              <w:spacing w:beforeLines="20" w:afterLines="20"/>
              <w:rPr>
                <w:sz w:val="20"/>
                <w:szCs w:val="20"/>
                <w:lang w:val="fr-FR"/>
              </w:rPr>
            </w:pPr>
            <w:r w:rsidRPr="00577EB1">
              <w:rPr>
                <w:rFonts w:eastAsiaTheme="minorEastAsia"/>
                <w:sz w:val="20"/>
                <w:szCs w:val="20"/>
                <w:lang w:val="fr-FR" w:eastAsia="zh-CN"/>
              </w:rPr>
              <w:t>959</w:t>
            </w:r>
            <w:r w:rsidRPr="00577EB1">
              <w:rPr>
                <w:sz w:val="20"/>
                <w:szCs w:val="20"/>
                <w:lang w:val="fr-FR"/>
              </w:rPr>
              <w:t xml:space="preserve"> </w:t>
            </w:r>
            <w:r w:rsidRPr="00577EB1">
              <w:rPr>
                <w:rFonts w:eastAsiaTheme="minorEastAsia"/>
                <w:sz w:val="20"/>
                <w:szCs w:val="20"/>
                <w:lang w:val="fr-FR" w:eastAsia="zh-CN"/>
              </w:rPr>
              <w:t>000</w:t>
            </w:r>
          </w:p>
        </w:tc>
        <w:tc>
          <w:tcPr>
            <w:tcW w:w="1419" w:type="dxa"/>
            <w:vAlign w:val="center"/>
          </w:tcPr>
          <w:p w:rsidR="004B3541" w:rsidRDefault="00CF3516" w:rsidP="00FF0D12">
            <w:pPr>
              <w:keepNext/>
              <w:keepLines/>
              <w:spacing w:beforeLines="20" w:afterLines="20"/>
              <w:rPr>
                <w:sz w:val="20"/>
                <w:szCs w:val="20"/>
                <w:lang w:val="fr-FR"/>
              </w:rPr>
            </w:pPr>
            <w:r w:rsidRPr="00577EB1">
              <w:rPr>
                <w:rFonts w:eastAsiaTheme="minorEastAsia"/>
                <w:sz w:val="20"/>
                <w:szCs w:val="20"/>
                <w:lang w:val="fr-FR" w:eastAsia="zh-CN"/>
              </w:rPr>
              <w:t>159</w:t>
            </w:r>
            <w:r w:rsidRPr="00577EB1">
              <w:rPr>
                <w:sz w:val="20"/>
                <w:szCs w:val="20"/>
                <w:lang w:val="fr-FR"/>
              </w:rPr>
              <w:t xml:space="preserve"> </w:t>
            </w:r>
            <w:r w:rsidRPr="00577EB1">
              <w:rPr>
                <w:rFonts w:eastAsiaTheme="minorEastAsia"/>
                <w:sz w:val="20"/>
                <w:szCs w:val="20"/>
                <w:lang w:val="fr-FR" w:eastAsia="zh-CN"/>
              </w:rPr>
              <w:t>600</w:t>
            </w:r>
          </w:p>
        </w:tc>
      </w:tr>
      <w:tr w:rsidR="00CF3516" w:rsidRPr="00577EB1" w:rsidTr="0050199E">
        <w:tc>
          <w:tcPr>
            <w:tcW w:w="2943" w:type="dxa"/>
            <w:vAlign w:val="center"/>
          </w:tcPr>
          <w:p w:rsidR="004B3541" w:rsidRDefault="00CF3516" w:rsidP="00FF0D12">
            <w:pPr>
              <w:keepNext/>
              <w:keepLines/>
              <w:spacing w:beforeLines="20" w:afterLines="20"/>
              <w:rPr>
                <w:sz w:val="20"/>
                <w:lang w:val="fr-FR"/>
              </w:rPr>
            </w:pPr>
            <w:r w:rsidRPr="00577EB1">
              <w:rPr>
                <w:rFonts w:eastAsiaTheme="minorEastAsia"/>
                <w:sz w:val="20"/>
                <w:szCs w:val="24"/>
                <w:lang w:val="fr-FR" w:eastAsia="zh-CN"/>
              </w:rPr>
              <w:t>Stock financier (SF)</w:t>
            </w:r>
          </w:p>
        </w:tc>
        <w:tc>
          <w:tcPr>
            <w:tcW w:w="1559" w:type="dxa"/>
            <w:vAlign w:val="center"/>
          </w:tcPr>
          <w:p w:rsidR="004B3541" w:rsidRDefault="00CF3516" w:rsidP="00FF0D12">
            <w:pPr>
              <w:keepNext/>
              <w:keepLines/>
              <w:spacing w:beforeLines="20" w:afterLines="20"/>
              <w:rPr>
                <w:sz w:val="20"/>
                <w:szCs w:val="20"/>
                <w:lang w:val="fr-FR"/>
              </w:rPr>
            </w:pPr>
            <w:r w:rsidRPr="00577EB1">
              <w:rPr>
                <w:rFonts w:eastAsiaTheme="minorEastAsia"/>
                <w:sz w:val="20"/>
                <w:szCs w:val="20"/>
                <w:lang w:val="fr-FR" w:eastAsia="zh-CN"/>
              </w:rPr>
              <w:t>25</w:t>
            </w:r>
            <w:r w:rsidRPr="00577EB1">
              <w:rPr>
                <w:sz w:val="20"/>
                <w:szCs w:val="20"/>
                <w:lang w:val="fr-FR"/>
              </w:rPr>
              <w:t xml:space="preserve"> </w:t>
            </w:r>
            <w:r w:rsidRPr="00577EB1">
              <w:rPr>
                <w:rFonts w:eastAsiaTheme="minorEastAsia"/>
                <w:sz w:val="20"/>
                <w:szCs w:val="20"/>
                <w:lang w:val="fr-FR" w:eastAsia="zh-CN"/>
              </w:rPr>
              <w:t>000</w:t>
            </w:r>
          </w:p>
        </w:tc>
        <w:tc>
          <w:tcPr>
            <w:tcW w:w="1559" w:type="dxa"/>
            <w:vAlign w:val="center"/>
          </w:tcPr>
          <w:p w:rsidR="004B3541" w:rsidRDefault="00CF3516" w:rsidP="00FF0D12">
            <w:pPr>
              <w:keepNext/>
              <w:keepLines/>
              <w:spacing w:beforeLines="20" w:afterLines="20"/>
              <w:rPr>
                <w:sz w:val="20"/>
                <w:szCs w:val="20"/>
                <w:lang w:val="fr-FR"/>
              </w:rPr>
            </w:pPr>
            <w:r w:rsidRPr="00577EB1">
              <w:rPr>
                <w:rFonts w:eastAsiaTheme="minorEastAsia"/>
                <w:sz w:val="20"/>
                <w:szCs w:val="20"/>
                <w:lang w:val="fr-FR" w:eastAsia="zh-CN"/>
              </w:rPr>
              <w:t>2</w:t>
            </w:r>
            <w:r w:rsidRPr="00577EB1">
              <w:rPr>
                <w:sz w:val="20"/>
                <w:szCs w:val="20"/>
                <w:lang w:val="fr-FR"/>
              </w:rPr>
              <w:t xml:space="preserve"> </w:t>
            </w:r>
            <w:r w:rsidRPr="00577EB1">
              <w:rPr>
                <w:rFonts w:eastAsiaTheme="minorEastAsia"/>
                <w:sz w:val="20"/>
                <w:szCs w:val="20"/>
                <w:lang w:val="fr-FR" w:eastAsia="zh-CN"/>
              </w:rPr>
              <w:t>055</w:t>
            </w:r>
            <w:r w:rsidRPr="00577EB1">
              <w:rPr>
                <w:sz w:val="20"/>
                <w:szCs w:val="20"/>
                <w:lang w:val="fr-FR"/>
              </w:rPr>
              <w:t xml:space="preserve"> </w:t>
            </w:r>
            <w:r w:rsidRPr="00577EB1">
              <w:rPr>
                <w:rFonts w:eastAsiaTheme="minorEastAsia"/>
                <w:sz w:val="20"/>
                <w:szCs w:val="20"/>
                <w:lang w:val="fr-FR" w:eastAsia="zh-CN"/>
              </w:rPr>
              <w:t>000</w:t>
            </w:r>
          </w:p>
        </w:tc>
        <w:tc>
          <w:tcPr>
            <w:tcW w:w="1559" w:type="dxa"/>
            <w:vAlign w:val="center"/>
          </w:tcPr>
          <w:p w:rsidR="004B3541" w:rsidRDefault="00CF3516" w:rsidP="00FF0D12">
            <w:pPr>
              <w:keepNext/>
              <w:keepLines/>
              <w:spacing w:beforeLines="20" w:afterLines="20"/>
              <w:rPr>
                <w:sz w:val="20"/>
                <w:szCs w:val="20"/>
                <w:lang w:val="fr-FR"/>
              </w:rPr>
            </w:pPr>
            <w:r w:rsidRPr="00577EB1">
              <w:rPr>
                <w:rFonts w:eastAsiaTheme="minorEastAsia"/>
                <w:sz w:val="20"/>
                <w:szCs w:val="20"/>
                <w:lang w:val="fr-FR" w:eastAsia="zh-CN"/>
              </w:rPr>
              <w:t>685</w:t>
            </w:r>
            <w:r w:rsidRPr="00577EB1">
              <w:rPr>
                <w:sz w:val="20"/>
                <w:szCs w:val="20"/>
                <w:lang w:val="fr-FR"/>
              </w:rPr>
              <w:t xml:space="preserve"> </w:t>
            </w:r>
            <w:r w:rsidRPr="00577EB1">
              <w:rPr>
                <w:rFonts w:eastAsiaTheme="minorEastAsia"/>
                <w:sz w:val="20"/>
                <w:szCs w:val="20"/>
                <w:lang w:val="fr-FR" w:eastAsia="zh-CN"/>
              </w:rPr>
              <w:t>000</w:t>
            </w:r>
          </w:p>
        </w:tc>
        <w:tc>
          <w:tcPr>
            <w:tcW w:w="1419" w:type="dxa"/>
            <w:vAlign w:val="center"/>
          </w:tcPr>
          <w:p w:rsidR="004B3541" w:rsidRDefault="00CF3516" w:rsidP="00FF0D12">
            <w:pPr>
              <w:keepNext/>
              <w:keepLines/>
              <w:spacing w:beforeLines="20" w:afterLines="20"/>
              <w:rPr>
                <w:sz w:val="20"/>
                <w:szCs w:val="20"/>
                <w:lang w:val="fr-FR"/>
              </w:rPr>
            </w:pPr>
            <w:r w:rsidRPr="00577EB1">
              <w:rPr>
                <w:rFonts w:eastAsiaTheme="minorEastAsia"/>
                <w:sz w:val="20"/>
                <w:szCs w:val="20"/>
                <w:lang w:val="fr-FR" w:eastAsia="zh-CN"/>
              </w:rPr>
              <w:t>114</w:t>
            </w:r>
            <w:r w:rsidRPr="00577EB1">
              <w:rPr>
                <w:sz w:val="20"/>
                <w:szCs w:val="20"/>
                <w:lang w:val="fr-FR"/>
              </w:rPr>
              <w:t xml:space="preserve"> </w:t>
            </w:r>
            <w:r w:rsidRPr="00577EB1">
              <w:rPr>
                <w:rFonts w:eastAsiaTheme="minorEastAsia"/>
                <w:sz w:val="20"/>
                <w:szCs w:val="20"/>
                <w:lang w:val="fr-FR" w:eastAsia="zh-CN"/>
              </w:rPr>
              <w:t>000</w:t>
            </w:r>
          </w:p>
        </w:tc>
      </w:tr>
      <w:tr w:rsidR="00CF3516" w:rsidRPr="00577EB1" w:rsidTr="0050199E">
        <w:tc>
          <w:tcPr>
            <w:tcW w:w="2943" w:type="dxa"/>
            <w:tcBorders>
              <w:bottom w:val="single" w:sz="4" w:space="0" w:color="auto"/>
            </w:tcBorders>
            <w:vAlign w:val="center"/>
          </w:tcPr>
          <w:p w:rsidR="004B3541" w:rsidRDefault="00CF3516" w:rsidP="00FF0D12">
            <w:pPr>
              <w:keepNext/>
              <w:keepLines/>
              <w:spacing w:beforeLines="20" w:afterLines="20"/>
              <w:rPr>
                <w:sz w:val="20"/>
                <w:lang w:val="fr-FR"/>
              </w:rPr>
            </w:pPr>
            <w:r w:rsidRPr="00577EB1">
              <w:rPr>
                <w:rFonts w:eastAsiaTheme="minorEastAsia"/>
                <w:sz w:val="20"/>
                <w:szCs w:val="24"/>
                <w:lang w:val="fr-FR" w:eastAsia="zh-CN"/>
              </w:rPr>
              <w:t>Total</w:t>
            </w:r>
          </w:p>
        </w:tc>
        <w:tc>
          <w:tcPr>
            <w:tcW w:w="1559" w:type="dxa"/>
            <w:tcBorders>
              <w:bottom w:val="single" w:sz="4" w:space="0" w:color="auto"/>
            </w:tcBorders>
            <w:vAlign w:val="center"/>
          </w:tcPr>
          <w:p w:rsidR="004B3541" w:rsidRDefault="00CF3516" w:rsidP="00FF0D12">
            <w:pPr>
              <w:keepNext/>
              <w:keepLines/>
              <w:spacing w:beforeLines="20" w:afterLines="20"/>
              <w:rPr>
                <w:sz w:val="20"/>
                <w:szCs w:val="20"/>
                <w:lang w:val="fr-FR"/>
              </w:rPr>
            </w:pPr>
            <w:r w:rsidRPr="00577EB1">
              <w:rPr>
                <w:rFonts w:eastAsiaTheme="minorEastAsia"/>
                <w:sz w:val="20"/>
                <w:szCs w:val="20"/>
                <w:lang w:val="fr-FR" w:eastAsia="zh-CN"/>
              </w:rPr>
              <w:t>70</w:t>
            </w:r>
            <w:r w:rsidRPr="00577EB1">
              <w:rPr>
                <w:sz w:val="20"/>
                <w:szCs w:val="20"/>
                <w:lang w:val="fr-FR"/>
              </w:rPr>
              <w:t xml:space="preserve"> </w:t>
            </w:r>
            <w:r w:rsidRPr="00577EB1">
              <w:rPr>
                <w:rFonts w:eastAsiaTheme="minorEastAsia"/>
                <w:sz w:val="20"/>
                <w:szCs w:val="20"/>
                <w:lang w:val="fr-FR" w:eastAsia="zh-CN"/>
              </w:rPr>
              <w:t>000</w:t>
            </w:r>
          </w:p>
        </w:tc>
        <w:tc>
          <w:tcPr>
            <w:tcW w:w="1559" w:type="dxa"/>
            <w:tcBorders>
              <w:bottom w:val="single" w:sz="4" w:space="0" w:color="auto"/>
            </w:tcBorders>
            <w:vAlign w:val="center"/>
          </w:tcPr>
          <w:p w:rsidR="004B3541" w:rsidRDefault="00CF3516" w:rsidP="00FF0D12">
            <w:pPr>
              <w:keepNext/>
              <w:keepLines/>
              <w:spacing w:beforeLines="20" w:afterLines="20"/>
              <w:rPr>
                <w:sz w:val="20"/>
                <w:szCs w:val="20"/>
                <w:lang w:val="fr-FR"/>
              </w:rPr>
            </w:pPr>
            <w:r w:rsidRPr="00577EB1">
              <w:rPr>
                <w:rFonts w:eastAsiaTheme="minorEastAsia"/>
                <w:sz w:val="20"/>
                <w:szCs w:val="20"/>
                <w:lang w:val="fr-FR" w:eastAsia="zh-CN"/>
              </w:rPr>
              <w:t>5</w:t>
            </w:r>
            <w:r w:rsidRPr="00577EB1">
              <w:rPr>
                <w:sz w:val="20"/>
                <w:szCs w:val="20"/>
                <w:lang w:val="fr-FR"/>
              </w:rPr>
              <w:t xml:space="preserve"> </w:t>
            </w:r>
            <w:r w:rsidRPr="00577EB1">
              <w:rPr>
                <w:rFonts w:eastAsiaTheme="minorEastAsia"/>
                <w:sz w:val="20"/>
                <w:szCs w:val="20"/>
                <w:lang w:val="fr-FR" w:eastAsia="zh-CN"/>
              </w:rPr>
              <w:t>754</w:t>
            </w:r>
            <w:r w:rsidRPr="00577EB1">
              <w:rPr>
                <w:sz w:val="20"/>
                <w:szCs w:val="20"/>
                <w:lang w:val="fr-FR"/>
              </w:rPr>
              <w:t xml:space="preserve"> </w:t>
            </w:r>
            <w:r w:rsidRPr="00577EB1">
              <w:rPr>
                <w:rFonts w:eastAsiaTheme="minorEastAsia"/>
                <w:sz w:val="20"/>
                <w:szCs w:val="20"/>
                <w:lang w:val="fr-FR" w:eastAsia="zh-CN"/>
              </w:rPr>
              <w:t>000</w:t>
            </w:r>
          </w:p>
        </w:tc>
        <w:tc>
          <w:tcPr>
            <w:tcW w:w="1559" w:type="dxa"/>
            <w:tcBorders>
              <w:bottom w:val="single" w:sz="4" w:space="0" w:color="auto"/>
            </w:tcBorders>
            <w:vAlign w:val="center"/>
          </w:tcPr>
          <w:p w:rsidR="004B3541" w:rsidRDefault="00CF3516" w:rsidP="00FF0D12">
            <w:pPr>
              <w:keepNext/>
              <w:keepLines/>
              <w:spacing w:beforeLines="20" w:afterLines="20"/>
              <w:rPr>
                <w:sz w:val="20"/>
                <w:szCs w:val="20"/>
                <w:lang w:val="fr-FR"/>
              </w:rPr>
            </w:pPr>
            <w:r w:rsidRPr="00577EB1">
              <w:rPr>
                <w:rFonts w:eastAsiaTheme="minorEastAsia"/>
                <w:sz w:val="20"/>
                <w:szCs w:val="20"/>
                <w:lang w:val="fr-FR" w:eastAsia="zh-CN"/>
              </w:rPr>
              <w:t>1</w:t>
            </w:r>
            <w:r w:rsidRPr="00577EB1">
              <w:rPr>
                <w:sz w:val="20"/>
                <w:szCs w:val="20"/>
                <w:lang w:val="fr-FR"/>
              </w:rPr>
              <w:t xml:space="preserve"> </w:t>
            </w:r>
            <w:r w:rsidRPr="00577EB1">
              <w:rPr>
                <w:rFonts w:eastAsiaTheme="minorEastAsia"/>
                <w:sz w:val="20"/>
                <w:szCs w:val="20"/>
                <w:lang w:val="fr-FR" w:eastAsia="zh-CN"/>
              </w:rPr>
              <w:t>918</w:t>
            </w:r>
            <w:r w:rsidRPr="00577EB1">
              <w:rPr>
                <w:sz w:val="20"/>
                <w:szCs w:val="20"/>
                <w:lang w:val="fr-FR"/>
              </w:rPr>
              <w:t xml:space="preserve"> </w:t>
            </w:r>
            <w:r w:rsidRPr="00577EB1">
              <w:rPr>
                <w:rFonts w:eastAsiaTheme="minorEastAsia"/>
                <w:sz w:val="20"/>
                <w:szCs w:val="20"/>
                <w:lang w:val="fr-FR" w:eastAsia="zh-CN"/>
              </w:rPr>
              <w:t>000</w:t>
            </w:r>
          </w:p>
        </w:tc>
        <w:tc>
          <w:tcPr>
            <w:tcW w:w="1419" w:type="dxa"/>
            <w:tcBorders>
              <w:bottom w:val="single" w:sz="4" w:space="0" w:color="auto"/>
            </w:tcBorders>
            <w:vAlign w:val="center"/>
          </w:tcPr>
          <w:p w:rsidR="004B3541" w:rsidRDefault="00CF3516" w:rsidP="00FF0D12">
            <w:pPr>
              <w:keepNext/>
              <w:keepLines/>
              <w:spacing w:beforeLines="20" w:afterLines="20"/>
              <w:rPr>
                <w:sz w:val="20"/>
                <w:szCs w:val="20"/>
                <w:lang w:val="fr-FR"/>
              </w:rPr>
            </w:pPr>
            <w:r w:rsidRPr="00577EB1">
              <w:rPr>
                <w:rFonts w:eastAsiaTheme="minorEastAsia"/>
                <w:sz w:val="20"/>
                <w:szCs w:val="20"/>
                <w:lang w:val="fr-FR" w:eastAsia="zh-CN"/>
              </w:rPr>
              <w:t>319</w:t>
            </w:r>
            <w:r w:rsidRPr="00577EB1">
              <w:rPr>
                <w:sz w:val="20"/>
                <w:szCs w:val="20"/>
                <w:lang w:val="fr-FR"/>
              </w:rPr>
              <w:t xml:space="preserve"> </w:t>
            </w:r>
            <w:r w:rsidRPr="00577EB1">
              <w:rPr>
                <w:rFonts w:eastAsiaTheme="minorEastAsia"/>
                <w:sz w:val="20"/>
                <w:szCs w:val="20"/>
                <w:lang w:val="fr-FR" w:eastAsia="zh-CN"/>
              </w:rPr>
              <w:t>200</w:t>
            </w:r>
          </w:p>
        </w:tc>
      </w:tr>
    </w:tbl>
    <w:p w:rsidR="00CF3516" w:rsidRPr="00577EB1" w:rsidRDefault="00CF3516" w:rsidP="00CF3516">
      <w:pPr>
        <w:keepLines/>
        <w:spacing w:after="0"/>
        <w:rPr>
          <w:sz w:val="20"/>
          <w:lang w:val="fr-FR"/>
        </w:rPr>
      </w:pPr>
      <w:r w:rsidRPr="00577EB1">
        <w:rPr>
          <w:sz w:val="20"/>
          <w:vertAlign w:val="superscript"/>
          <w:lang w:val="fr-FR"/>
        </w:rPr>
        <w:t>(*)</w:t>
      </w:r>
      <w:r w:rsidRPr="00577EB1">
        <w:rPr>
          <w:sz w:val="20"/>
          <w:lang w:val="fr-FR"/>
        </w:rPr>
        <w:t xml:space="preserve"> Sur base d’une ration journalière de 400 g de céréale</w:t>
      </w:r>
      <w:r w:rsidRPr="00577EB1">
        <w:rPr>
          <w:rFonts w:eastAsiaTheme="minorEastAsia"/>
          <w:sz w:val="20"/>
          <w:szCs w:val="24"/>
          <w:lang w:val="fr-FR" w:eastAsia="zh-CN"/>
        </w:rPr>
        <w:t>s.</w:t>
      </w:r>
    </w:p>
    <w:p w:rsidR="00CF3516" w:rsidRPr="00577EB1" w:rsidRDefault="00CF3516" w:rsidP="00CF3516">
      <w:pPr>
        <w:keepLines/>
        <w:spacing w:after="0"/>
        <w:rPr>
          <w:sz w:val="20"/>
          <w:lang w:val="fr-FR"/>
        </w:rPr>
      </w:pPr>
      <w:r w:rsidRPr="00577EB1">
        <w:rPr>
          <w:rFonts w:eastAsiaTheme="minorEastAsia"/>
          <w:sz w:val="20"/>
          <w:szCs w:val="24"/>
          <w:vertAlign w:val="superscript"/>
          <w:lang w:val="fr-FR" w:eastAsia="zh-CN"/>
        </w:rPr>
        <w:t>(**)</w:t>
      </w:r>
      <w:r w:rsidRPr="00577EB1">
        <w:rPr>
          <w:rFonts w:eastAsiaTheme="minorEastAsia"/>
          <w:sz w:val="20"/>
          <w:szCs w:val="24"/>
          <w:lang w:val="fr-FR" w:eastAsia="zh-CN"/>
        </w:rPr>
        <w:t xml:space="preserve"> </w:t>
      </w:r>
      <w:r w:rsidRPr="00577EB1">
        <w:rPr>
          <w:sz w:val="20"/>
          <w:lang w:val="fr-FR"/>
        </w:rPr>
        <w:t>Pour une taille moyenne des ménages de six membre</w:t>
      </w:r>
      <w:r w:rsidRPr="00577EB1">
        <w:rPr>
          <w:rFonts w:eastAsiaTheme="minorEastAsia"/>
          <w:sz w:val="20"/>
          <w:szCs w:val="24"/>
          <w:lang w:val="fr-FR" w:eastAsia="zh-CN"/>
        </w:rPr>
        <w:t>s</w:t>
      </w:r>
    </w:p>
    <w:p w:rsidR="00CF3516" w:rsidRPr="00577EB1" w:rsidRDefault="00CF3516" w:rsidP="00CF3516">
      <w:pPr>
        <w:spacing w:after="0"/>
        <w:rPr>
          <w:sz w:val="20"/>
          <w:lang w:val="fr-FR"/>
        </w:rPr>
      </w:pPr>
      <w:r w:rsidRPr="00577EB1">
        <w:rPr>
          <w:rFonts w:eastAsiaTheme="minorEastAsia"/>
          <w:sz w:val="20"/>
          <w:szCs w:val="24"/>
          <w:lang w:val="fr-FR" w:eastAsia="zh-CN"/>
        </w:rPr>
        <w:t>Note</w:t>
      </w:r>
      <w:r w:rsidR="003203FB">
        <w:rPr>
          <w:rFonts w:eastAsiaTheme="minorEastAsia"/>
          <w:sz w:val="20"/>
          <w:szCs w:val="24"/>
          <w:lang w:val="fr-FR" w:eastAsia="zh-CN"/>
        </w:rPr>
        <w:t> :</w:t>
      </w:r>
      <w:r w:rsidR="0007340F">
        <w:rPr>
          <w:sz w:val="20"/>
          <w:lang w:val="fr-FR"/>
        </w:rPr>
        <w:t xml:space="preserve"> </w:t>
      </w:r>
      <w:r w:rsidRPr="00577EB1">
        <w:rPr>
          <w:sz w:val="20"/>
          <w:lang w:val="fr-FR"/>
        </w:rPr>
        <w:t>Le système central a une capac</w:t>
      </w:r>
      <w:r w:rsidRPr="00577EB1">
        <w:rPr>
          <w:rFonts w:eastAsiaTheme="minorEastAsia"/>
          <w:sz w:val="20"/>
          <w:szCs w:val="24"/>
          <w:lang w:val="fr-FR" w:eastAsia="zh-CN"/>
        </w:rPr>
        <w:t>ité de livraison de 365 tonnes (26 camions)</w:t>
      </w:r>
    </w:p>
    <w:p w:rsidR="004B3541" w:rsidRDefault="00CF3516">
      <w:pPr>
        <w:keepLines/>
        <w:spacing w:before="120" w:after="480"/>
        <w:rPr>
          <w:sz w:val="20"/>
          <w:lang w:val="fr-FR"/>
        </w:rPr>
      </w:pPr>
      <w:r w:rsidRPr="00577EB1">
        <w:rPr>
          <w:i/>
          <w:sz w:val="20"/>
          <w:lang w:val="fr-FR"/>
        </w:rPr>
        <w:t>Source</w:t>
      </w:r>
      <w:r w:rsidR="003203FB">
        <w:rPr>
          <w:i/>
          <w:sz w:val="20"/>
          <w:lang w:val="fr-FR"/>
        </w:rPr>
        <w:t> :</w:t>
      </w:r>
      <w:r w:rsidR="0007340F">
        <w:rPr>
          <w:i/>
          <w:sz w:val="20"/>
          <w:lang w:val="fr-FR"/>
        </w:rPr>
        <w:t xml:space="preserve"> </w:t>
      </w:r>
      <w:r w:rsidRPr="00577EB1">
        <w:rPr>
          <w:sz w:val="20"/>
          <w:lang w:val="fr-FR"/>
        </w:rPr>
        <w:t>Auteurs.</w:t>
      </w:r>
    </w:p>
    <w:p w:rsidR="00CF3516" w:rsidRPr="00577EB1" w:rsidRDefault="00CF3516" w:rsidP="00CF3516">
      <w:pPr>
        <w:pStyle w:val="Style3"/>
        <w:jc w:val="left"/>
        <w:rPr>
          <w:lang w:val="fr-FR"/>
        </w:rPr>
      </w:pPr>
      <w:r w:rsidRPr="00577EB1">
        <w:rPr>
          <w:lang w:val="fr-FR"/>
        </w:rPr>
        <w:t>Distribution ciblée de vivres gratuits</w:t>
      </w:r>
    </w:p>
    <w:p w:rsidR="00CF3516" w:rsidRPr="00577EB1" w:rsidRDefault="00CF3516" w:rsidP="00E52A30">
      <w:pPr>
        <w:numPr>
          <w:ilvl w:val="0"/>
          <w:numId w:val="2"/>
        </w:numPr>
        <w:ind w:left="0" w:firstLine="0"/>
        <w:rPr>
          <w:lang w:val="fr-FR"/>
        </w:rPr>
      </w:pPr>
      <w:r w:rsidRPr="00577EB1">
        <w:rPr>
          <w:b/>
          <w:lang w:val="fr-FR"/>
        </w:rPr>
        <w:t xml:space="preserve">Le pays ayant produit des surplus au cours des dix dernières années, le SNS n’a jamais été utilisé pour distribuer des vivres gratuits sur une grande échelle. </w:t>
      </w:r>
      <w:r w:rsidRPr="00577EB1">
        <w:rPr>
          <w:bCs/>
          <w:lang w:val="fr-FR"/>
        </w:rPr>
        <w:t>L’utilisation du Stock national de sécurité (SNS) a été approuvée par le gouvernement et les bailleurs de fonds internationaux. Selon les critères définis dans le Plan national d’organisation et de coordination des secours d’urgence et de réhabilitation (PNOCSUR), dès qu’un déficit national de 5 % est enregistré, les vivres gratuits sont distribués pour répondre à l’urgence. La production céréalière du Burkina a augmenté en moyenne de 7 % par an pendant la période 1997-2007, avec un surplus moyen de 447 570 tonnes et un taux moyen de couverture annuelle de 115 %</w:t>
      </w:r>
      <w:r w:rsidR="0007340F">
        <w:rPr>
          <w:bCs/>
          <w:lang w:val="fr-FR"/>
        </w:rPr>
        <w:t xml:space="preserve"> </w:t>
      </w:r>
      <w:r w:rsidRPr="00577EB1">
        <w:rPr>
          <w:bCs/>
          <w:lang w:val="fr-FR"/>
        </w:rPr>
        <w:t>descendu à 92 % en 1997-1998. Cependant, certaines zones demeurent structurellement déficitaires</w:t>
      </w:r>
      <w:r w:rsidR="0007340F">
        <w:rPr>
          <w:bCs/>
          <w:lang w:val="fr-FR"/>
        </w:rPr>
        <w:t xml:space="preserve"> </w:t>
      </w:r>
      <w:r w:rsidRPr="00577EB1">
        <w:rPr>
          <w:bCs/>
          <w:lang w:val="fr-FR"/>
        </w:rPr>
        <w:t>14 zones déficitaires ont été identifiées en 2009, la majorité dans le Nord (à faible pluviosité) et dans la province de Kadiogo (province de la capitale où le commerce l’emporte sur l’agriculture). Ces zones sont approvisionnées par des commerçants, des organisations humanitaires</w:t>
      </w:r>
      <w:r w:rsidRPr="00577EB1">
        <w:rPr>
          <w:rStyle w:val="FootnoteReference"/>
          <w:lang w:val="fr-FR"/>
        </w:rPr>
        <w:footnoteReference w:id="37"/>
      </w:r>
      <w:r w:rsidRPr="00577EB1">
        <w:rPr>
          <w:lang w:val="fr-FR"/>
        </w:rPr>
        <w:t xml:space="preserve"> et le système national. En 2008-2009, les besoins étaient estimés à 22 354 tonnes (pour trois mois de consommation). Les bailleurs de fonds et les ONG partenaires ont couvert 5 819 tonnes et l’État 13 435 [SE-CNSA 2009].</w:t>
      </w:r>
    </w:p>
    <w:p w:rsidR="00CF3516" w:rsidRPr="00577EB1" w:rsidRDefault="00CF3516" w:rsidP="00E52A30">
      <w:pPr>
        <w:numPr>
          <w:ilvl w:val="0"/>
          <w:numId w:val="2"/>
        </w:numPr>
        <w:ind w:left="0" w:firstLine="0"/>
        <w:rPr>
          <w:lang w:val="fr-FR"/>
        </w:rPr>
      </w:pPr>
      <w:r w:rsidRPr="00577EB1">
        <w:rPr>
          <w:b/>
          <w:lang w:val="fr-FR"/>
        </w:rPr>
        <w:t>Le système national a octroyé chaque année une aide alimentaire au cas par cas à quelques dizaines de milliers de personnes.</w:t>
      </w:r>
      <w:r w:rsidRPr="00577EB1">
        <w:rPr>
          <w:bCs/>
          <w:lang w:val="fr-FR"/>
        </w:rPr>
        <w:t xml:space="preserve"> L’aide aux populations vulnérables se </w:t>
      </w:r>
      <w:r w:rsidRPr="00577EB1">
        <w:rPr>
          <w:bCs/>
          <w:lang w:val="fr-FR"/>
        </w:rPr>
        <w:lastRenderedPageBreak/>
        <w:t>fait sur la base de demandes reçues d’organisations caritatives. En 2008, le CONASUR a répondu positivement à 342 sur 414 demandes. Son assistance aux populations vulnérables consiste en produits alimentaires et non alimentaires (Tableau 21). La quantité de céréales fournies aux populations vulnérables en 2008 équivalait à 31 800 rations individuelles mensuelles. En plus, le CONASUR a soutenu les personnes victimes de catastrophes avec, en 2008, l’équivalent de 12 550 rations mensuelles individuelles de céréales (Tableau 22). La majorité des interventions ont été faites à la suite d’inondations et de désastres mineurs (conflit agriculteurs-éleveurs, incendies).</w:t>
      </w:r>
    </w:p>
    <w:p w:rsidR="00CF3516" w:rsidRPr="00577EB1" w:rsidRDefault="001F3001" w:rsidP="006F1314">
      <w:pPr>
        <w:pStyle w:val="Heading7"/>
        <w:spacing w:after="0"/>
        <w:rPr>
          <w:lang w:val="fr-FR"/>
        </w:rPr>
      </w:pPr>
      <w:bookmarkStart w:id="162" w:name="_Ref135727343"/>
      <w:bookmarkStart w:id="163" w:name="_Toc284528596"/>
      <w:bookmarkStart w:id="164" w:name="_Toc284530532"/>
      <w:bookmarkStart w:id="165" w:name="_Toc262170052"/>
      <w:r w:rsidRPr="00577EB1">
        <w:rPr>
          <w:lang w:val="fr-FR"/>
        </w:rPr>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21</w:t>
      </w:r>
      <w:r w:rsidR="00725419" w:rsidRPr="00577EB1">
        <w:rPr>
          <w:lang w:val="fr-FR"/>
        </w:rPr>
        <w:fldChar w:fldCharType="end"/>
      </w:r>
      <w:r w:rsidR="003203FB">
        <w:rPr>
          <w:lang w:val="fr-FR"/>
        </w:rPr>
        <w:t> :</w:t>
      </w:r>
      <w:r w:rsidR="0007340F">
        <w:rPr>
          <w:lang w:val="fr-FR"/>
        </w:rPr>
        <w:t xml:space="preserve"> </w:t>
      </w:r>
      <w:r w:rsidR="00CF3516" w:rsidRPr="00577EB1">
        <w:rPr>
          <w:lang w:val="fr-FR"/>
        </w:rPr>
        <w:t>Assistance en céréales du CONASUR aux populations vulnérables</w:t>
      </w:r>
      <w:bookmarkEnd w:id="162"/>
      <w:bookmarkEnd w:id="163"/>
      <w:bookmarkEnd w:id="164"/>
    </w:p>
    <w:p w:rsidR="00CF3516" w:rsidRPr="00577EB1" w:rsidRDefault="00CF3516" w:rsidP="00CF3516">
      <w:pPr>
        <w:pStyle w:val="Caption"/>
        <w:keepNext/>
        <w:spacing w:before="0"/>
        <w:rPr>
          <w:lang w:val="fr-FR"/>
        </w:rPr>
      </w:pPr>
      <w:r w:rsidRPr="00577EB1">
        <w:rPr>
          <w:b w:val="0"/>
          <w:lang w:val="fr-FR"/>
        </w:rPr>
        <w:t>(en tonnes)</w:t>
      </w:r>
      <w:bookmarkEnd w:id="165"/>
    </w:p>
    <w:tbl>
      <w:tblPr>
        <w:tblW w:w="0" w:type="auto"/>
        <w:tblLook w:val="04A0"/>
      </w:tblPr>
      <w:tblGrid>
        <w:gridCol w:w="2965"/>
        <w:gridCol w:w="2966"/>
        <w:gridCol w:w="2966"/>
      </w:tblGrid>
      <w:tr w:rsidR="00CF3516" w:rsidRPr="00577EB1" w:rsidTr="0050199E">
        <w:tc>
          <w:tcPr>
            <w:tcW w:w="2965" w:type="dxa"/>
            <w:tcBorders>
              <w:top w:val="single" w:sz="4" w:space="0" w:color="auto"/>
              <w:bottom w:val="single" w:sz="4" w:space="0" w:color="auto"/>
            </w:tcBorders>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Produit</w:t>
            </w:r>
          </w:p>
        </w:tc>
        <w:tc>
          <w:tcPr>
            <w:tcW w:w="2966" w:type="dxa"/>
            <w:tcBorders>
              <w:top w:val="single" w:sz="4" w:space="0" w:color="auto"/>
              <w:bottom w:val="single" w:sz="4" w:space="0" w:color="auto"/>
            </w:tcBorders>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2007</w:t>
            </w:r>
          </w:p>
        </w:tc>
        <w:tc>
          <w:tcPr>
            <w:tcW w:w="2966" w:type="dxa"/>
            <w:tcBorders>
              <w:top w:val="single" w:sz="4" w:space="0" w:color="auto"/>
              <w:bottom w:val="single" w:sz="4" w:space="0" w:color="auto"/>
            </w:tcBorders>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2008</w:t>
            </w:r>
          </w:p>
        </w:tc>
      </w:tr>
      <w:tr w:rsidR="00CF3516" w:rsidRPr="00577EB1" w:rsidTr="0050199E">
        <w:tc>
          <w:tcPr>
            <w:tcW w:w="2965" w:type="dxa"/>
            <w:tcBorders>
              <w:top w:val="single" w:sz="4" w:space="0" w:color="auto"/>
            </w:tcBorders>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Céréales</w:t>
            </w:r>
          </w:p>
        </w:tc>
        <w:tc>
          <w:tcPr>
            <w:tcW w:w="2966" w:type="dxa"/>
            <w:tcBorders>
              <w:top w:val="single" w:sz="4" w:space="0" w:color="auto"/>
            </w:tcBorders>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204,37</w:t>
            </w:r>
          </w:p>
        </w:tc>
        <w:tc>
          <w:tcPr>
            <w:tcW w:w="2966" w:type="dxa"/>
            <w:tcBorders>
              <w:top w:val="single" w:sz="4" w:space="0" w:color="auto"/>
            </w:tcBorders>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381,93</w:t>
            </w:r>
          </w:p>
        </w:tc>
      </w:tr>
      <w:tr w:rsidR="00CF3516" w:rsidRPr="00577EB1" w:rsidTr="0050199E">
        <w:tc>
          <w:tcPr>
            <w:tcW w:w="2965" w:type="dxa"/>
          </w:tcPr>
          <w:p w:rsidR="004B3541" w:rsidRDefault="00CF3516" w:rsidP="004B3541">
            <w:pPr>
              <w:keepNext/>
              <w:keepLines/>
              <w:spacing w:before="48" w:after="48"/>
              <w:ind w:left="284"/>
              <w:rPr>
                <w:sz w:val="20"/>
                <w:szCs w:val="20"/>
                <w:lang w:val="fr-FR"/>
              </w:rPr>
            </w:pPr>
            <w:r w:rsidRPr="00577EB1">
              <w:rPr>
                <w:rFonts w:eastAsiaTheme="minorEastAsia"/>
                <w:sz w:val="20"/>
                <w:szCs w:val="24"/>
                <w:lang w:val="fr-FR" w:eastAsia="zh-CN"/>
              </w:rPr>
              <w:t>Maïs</w:t>
            </w:r>
          </w:p>
        </w:tc>
        <w:tc>
          <w:tcPr>
            <w:tcW w:w="2966" w:type="dxa"/>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101,10</w:t>
            </w:r>
          </w:p>
        </w:tc>
        <w:tc>
          <w:tcPr>
            <w:tcW w:w="2966" w:type="dxa"/>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235,56</w:t>
            </w:r>
          </w:p>
        </w:tc>
      </w:tr>
      <w:tr w:rsidR="00CF3516" w:rsidRPr="00577EB1" w:rsidTr="0050199E">
        <w:tc>
          <w:tcPr>
            <w:tcW w:w="2965" w:type="dxa"/>
          </w:tcPr>
          <w:p w:rsidR="004B3541" w:rsidRDefault="00CF3516" w:rsidP="004B3541">
            <w:pPr>
              <w:keepNext/>
              <w:keepLines/>
              <w:spacing w:before="48" w:after="48"/>
              <w:ind w:left="284"/>
              <w:rPr>
                <w:sz w:val="20"/>
                <w:szCs w:val="20"/>
                <w:lang w:val="fr-FR"/>
              </w:rPr>
            </w:pPr>
            <w:r w:rsidRPr="00577EB1">
              <w:rPr>
                <w:rFonts w:eastAsiaTheme="minorEastAsia"/>
                <w:sz w:val="20"/>
                <w:szCs w:val="20"/>
                <w:lang w:val="fr-FR" w:eastAsia="zh-CN"/>
              </w:rPr>
              <w:t>Sorgho</w:t>
            </w:r>
          </w:p>
        </w:tc>
        <w:tc>
          <w:tcPr>
            <w:tcW w:w="2966" w:type="dxa"/>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3,60</w:t>
            </w:r>
          </w:p>
        </w:tc>
        <w:tc>
          <w:tcPr>
            <w:tcW w:w="2966" w:type="dxa"/>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4,75</w:t>
            </w:r>
          </w:p>
        </w:tc>
      </w:tr>
      <w:tr w:rsidR="00CF3516" w:rsidRPr="00577EB1" w:rsidTr="0050199E">
        <w:tc>
          <w:tcPr>
            <w:tcW w:w="2965" w:type="dxa"/>
          </w:tcPr>
          <w:p w:rsidR="004B3541" w:rsidRDefault="00CF3516" w:rsidP="004B3541">
            <w:pPr>
              <w:keepNext/>
              <w:keepLines/>
              <w:spacing w:before="48" w:after="48"/>
              <w:ind w:left="284"/>
              <w:rPr>
                <w:sz w:val="20"/>
                <w:szCs w:val="20"/>
                <w:lang w:val="fr-FR"/>
              </w:rPr>
            </w:pPr>
            <w:r w:rsidRPr="00577EB1">
              <w:rPr>
                <w:rFonts w:eastAsiaTheme="minorEastAsia"/>
                <w:sz w:val="20"/>
                <w:szCs w:val="20"/>
                <w:lang w:val="fr-FR" w:eastAsia="zh-CN"/>
              </w:rPr>
              <w:t>Millet</w:t>
            </w:r>
          </w:p>
        </w:tc>
        <w:tc>
          <w:tcPr>
            <w:tcW w:w="2966" w:type="dxa"/>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43,09</w:t>
            </w:r>
          </w:p>
        </w:tc>
        <w:tc>
          <w:tcPr>
            <w:tcW w:w="2966" w:type="dxa"/>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w:t>
            </w:r>
          </w:p>
        </w:tc>
      </w:tr>
      <w:tr w:rsidR="00CF3516" w:rsidRPr="00577EB1" w:rsidTr="0050199E">
        <w:tc>
          <w:tcPr>
            <w:tcW w:w="2965" w:type="dxa"/>
            <w:tcBorders>
              <w:bottom w:val="single" w:sz="4" w:space="0" w:color="auto"/>
            </w:tcBorders>
          </w:tcPr>
          <w:p w:rsidR="004B3541" w:rsidRDefault="00CF3516" w:rsidP="004B3541">
            <w:pPr>
              <w:keepNext/>
              <w:keepLines/>
              <w:spacing w:before="48" w:after="48"/>
              <w:ind w:left="284"/>
              <w:rPr>
                <w:sz w:val="20"/>
                <w:szCs w:val="20"/>
                <w:lang w:val="fr-FR"/>
              </w:rPr>
            </w:pPr>
            <w:r w:rsidRPr="00577EB1">
              <w:rPr>
                <w:rFonts w:eastAsiaTheme="minorEastAsia"/>
                <w:sz w:val="20"/>
                <w:szCs w:val="20"/>
                <w:lang w:val="fr-FR" w:eastAsia="zh-CN"/>
              </w:rPr>
              <w:t>Riz</w:t>
            </w:r>
          </w:p>
        </w:tc>
        <w:tc>
          <w:tcPr>
            <w:tcW w:w="2966" w:type="dxa"/>
            <w:tcBorders>
              <w:bottom w:val="single" w:sz="4" w:space="0" w:color="auto"/>
            </w:tcBorders>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56,58</w:t>
            </w:r>
          </w:p>
        </w:tc>
        <w:tc>
          <w:tcPr>
            <w:tcW w:w="2966" w:type="dxa"/>
            <w:tcBorders>
              <w:bottom w:val="single" w:sz="4" w:space="0" w:color="auto"/>
            </w:tcBorders>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141,62</w:t>
            </w:r>
          </w:p>
        </w:tc>
      </w:tr>
    </w:tbl>
    <w:p w:rsidR="00CF3516" w:rsidRPr="00577EB1" w:rsidRDefault="00CF3516" w:rsidP="00CF3516">
      <w:pPr>
        <w:keepNext/>
        <w:keepLines/>
        <w:spacing w:after="0"/>
        <w:rPr>
          <w:sz w:val="20"/>
          <w:lang w:val="fr-FR"/>
        </w:rPr>
      </w:pPr>
      <w:r w:rsidRPr="00577EB1">
        <w:rPr>
          <w:sz w:val="20"/>
          <w:lang w:val="fr-FR"/>
        </w:rPr>
        <w:t>Note</w:t>
      </w:r>
      <w:r w:rsidR="003203FB">
        <w:rPr>
          <w:sz w:val="20"/>
          <w:lang w:val="fr-FR"/>
        </w:rPr>
        <w:t> :</w:t>
      </w:r>
      <w:r w:rsidR="0007340F">
        <w:rPr>
          <w:sz w:val="20"/>
          <w:lang w:val="fr-FR"/>
        </w:rPr>
        <w:t xml:space="preserve"> </w:t>
      </w:r>
      <w:r w:rsidRPr="00577EB1">
        <w:rPr>
          <w:sz w:val="20"/>
          <w:lang w:val="fr-FR"/>
        </w:rPr>
        <w:t>Ce tableau ne présente la quantité de céréales distribuées qu’à titre d’indication. D’autres produits ont également été distribués (huile, dattes, biscuits et lait en 2007</w:t>
      </w:r>
      <w:r w:rsidR="0007340F">
        <w:rPr>
          <w:sz w:val="20"/>
          <w:lang w:val="fr-FR"/>
        </w:rPr>
        <w:t xml:space="preserve"> </w:t>
      </w:r>
      <w:r w:rsidRPr="00577EB1">
        <w:rPr>
          <w:sz w:val="20"/>
          <w:lang w:val="fr-FR"/>
        </w:rPr>
        <w:t xml:space="preserve">sardines, </w:t>
      </w:r>
      <w:r w:rsidRPr="00577EB1">
        <w:rPr>
          <w:i/>
          <w:sz w:val="20"/>
          <w:lang w:val="fr-FR"/>
        </w:rPr>
        <w:t>corned beef</w:t>
      </w:r>
      <w:r w:rsidRPr="00577EB1">
        <w:rPr>
          <w:sz w:val="20"/>
          <w:lang w:val="fr-FR"/>
        </w:rPr>
        <w:t xml:space="preserve"> et sucre en 2008) avec également des produits non alimentaires.</w:t>
      </w:r>
    </w:p>
    <w:p w:rsidR="004B3541" w:rsidRDefault="00CF3516">
      <w:pPr>
        <w:keepLines/>
        <w:spacing w:before="120" w:after="480"/>
        <w:rPr>
          <w:sz w:val="20"/>
          <w:lang w:val="fr-FR"/>
        </w:rPr>
      </w:pPr>
      <w:r w:rsidRPr="00577EB1">
        <w:rPr>
          <w:i/>
          <w:sz w:val="20"/>
          <w:lang w:val="fr-FR"/>
        </w:rPr>
        <w:t>Source</w:t>
      </w:r>
      <w:r w:rsidR="003203FB">
        <w:rPr>
          <w:i/>
          <w:sz w:val="20"/>
          <w:lang w:val="fr-FR"/>
        </w:rPr>
        <w:t> :</w:t>
      </w:r>
      <w:r w:rsidR="0007340F">
        <w:rPr>
          <w:i/>
          <w:sz w:val="20"/>
          <w:lang w:val="fr-FR"/>
        </w:rPr>
        <w:t xml:space="preserve"> </w:t>
      </w:r>
      <w:r w:rsidRPr="00577EB1">
        <w:rPr>
          <w:sz w:val="20"/>
          <w:lang w:val="fr-FR"/>
        </w:rPr>
        <w:t>SP/CONASUR 2008a et 2008b.</w:t>
      </w:r>
    </w:p>
    <w:p w:rsidR="00CF3516" w:rsidRPr="00577EB1" w:rsidRDefault="001F3001" w:rsidP="006F1314">
      <w:pPr>
        <w:pStyle w:val="Heading7"/>
        <w:spacing w:after="0"/>
        <w:rPr>
          <w:lang w:val="fr-FR"/>
        </w:rPr>
      </w:pPr>
      <w:bookmarkStart w:id="166" w:name="_Ref135727355"/>
      <w:bookmarkStart w:id="167" w:name="_Toc262170053"/>
      <w:bookmarkStart w:id="168" w:name="_Toc284528597"/>
      <w:bookmarkStart w:id="169" w:name="_Toc284530533"/>
      <w:r w:rsidRPr="00577EB1">
        <w:rPr>
          <w:lang w:val="fr-FR"/>
        </w:rPr>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22</w:t>
      </w:r>
      <w:r w:rsidR="00725419" w:rsidRPr="00577EB1">
        <w:rPr>
          <w:lang w:val="fr-FR"/>
        </w:rPr>
        <w:fldChar w:fldCharType="end"/>
      </w:r>
      <w:r w:rsidR="003203FB">
        <w:rPr>
          <w:lang w:val="fr-FR"/>
        </w:rPr>
        <w:t> :</w:t>
      </w:r>
      <w:r w:rsidR="0007340F">
        <w:rPr>
          <w:lang w:val="fr-FR"/>
        </w:rPr>
        <w:t xml:space="preserve"> </w:t>
      </w:r>
      <w:r w:rsidR="00CF3516" w:rsidRPr="00577EB1">
        <w:rPr>
          <w:lang w:val="fr-FR"/>
        </w:rPr>
        <w:t xml:space="preserve">Assistance en céréales du CONASUR aux personnes affectées par </w:t>
      </w:r>
      <w:bookmarkEnd w:id="166"/>
      <w:bookmarkEnd w:id="167"/>
      <w:r w:rsidR="00CF3516" w:rsidRPr="00577EB1">
        <w:rPr>
          <w:lang w:val="fr-FR"/>
        </w:rPr>
        <w:t>une catastrophe</w:t>
      </w:r>
      <w:bookmarkEnd w:id="168"/>
      <w:bookmarkEnd w:id="169"/>
    </w:p>
    <w:p w:rsidR="00CF3516" w:rsidRPr="00577EB1" w:rsidRDefault="00CF3516" w:rsidP="00CF3516">
      <w:pPr>
        <w:pStyle w:val="Caption"/>
        <w:spacing w:before="0"/>
        <w:rPr>
          <w:lang w:val="fr-FR"/>
        </w:rPr>
      </w:pPr>
      <w:r w:rsidRPr="00577EB1">
        <w:rPr>
          <w:b w:val="0"/>
          <w:lang w:val="fr-FR"/>
        </w:rPr>
        <w:t>(en tonnes)</w:t>
      </w:r>
    </w:p>
    <w:tbl>
      <w:tblPr>
        <w:tblW w:w="8897" w:type="dxa"/>
        <w:tblLook w:val="04A0"/>
      </w:tblPr>
      <w:tblGrid>
        <w:gridCol w:w="2224"/>
        <w:gridCol w:w="2224"/>
        <w:gridCol w:w="2224"/>
        <w:gridCol w:w="2225"/>
      </w:tblGrid>
      <w:tr w:rsidR="00CF3516" w:rsidRPr="00577EB1" w:rsidTr="0050199E">
        <w:tc>
          <w:tcPr>
            <w:tcW w:w="2224" w:type="dxa"/>
            <w:tcBorders>
              <w:top w:val="single" w:sz="4" w:space="0" w:color="auto"/>
              <w:bottom w:val="single" w:sz="4" w:space="0" w:color="auto"/>
            </w:tcBorders>
          </w:tcPr>
          <w:p w:rsidR="004B3541" w:rsidRDefault="00CF3516" w:rsidP="00C5627F">
            <w:pPr>
              <w:keepNext/>
              <w:keepLines/>
              <w:spacing w:before="48" w:after="48"/>
              <w:rPr>
                <w:sz w:val="20"/>
                <w:szCs w:val="20"/>
                <w:lang w:val="fr-FR"/>
              </w:rPr>
            </w:pPr>
            <w:r w:rsidRPr="00577EB1">
              <w:rPr>
                <w:rFonts w:eastAsiaTheme="minorEastAsia"/>
                <w:sz w:val="20"/>
                <w:szCs w:val="20"/>
                <w:lang w:val="fr-FR" w:eastAsia="zh-CN"/>
              </w:rPr>
              <w:t>Produit</w:t>
            </w:r>
          </w:p>
        </w:tc>
        <w:tc>
          <w:tcPr>
            <w:tcW w:w="2224" w:type="dxa"/>
            <w:tcBorders>
              <w:top w:val="single" w:sz="4" w:space="0" w:color="auto"/>
              <w:bottom w:val="single" w:sz="4" w:space="0" w:color="auto"/>
            </w:tcBorders>
          </w:tcPr>
          <w:p w:rsidR="004B3541" w:rsidRDefault="00CF3516" w:rsidP="00C5627F">
            <w:pPr>
              <w:keepNext/>
              <w:keepLines/>
              <w:spacing w:before="48" w:after="48"/>
              <w:rPr>
                <w:sz w:val="20"/>
                <w:szCs w:val="20"/>
                <w:lang w:val="fr-FR"/>
              </w:rPr>
            </w:pPr>
            <w:r w:rsidRPr="00577EB1">
              <w:rPr>
                <w:rFonts w:eastAsiaTheme="minorEastAsia"/>
                <w:sz w:val="20"/>
                <w:szCs w:val="20"/>
                <w:lang w:val="fr-FR" w:eastAsia="zh-CN"/>
              </w:rPr>
              <w:t>2007</w:t>
            </w:r>
          </w:p>
        </w:tc>
        <w:tc>
          <w:tcPr>
            <w:tcW w:w="2224" w:type="dxa"/>
            <w:tcBorders>
              <w:top w:val="single" w:sz="4" w:space="0" w:color="auto"/>
              <w:bottom w:val="single" w:sz="4" w:space="0" w:color="auto"/>
            </w:tcBorders>
          </w:tcPr>
          <w:p w:rsidR="004B3541" w:rsidRDefault="004B3541" w:rsidP="004B3541">
            <w:pPr>
              <w:keepNext/>
              <w:keepLines/>
              <w:spacing w:before="48" w:after="48"/>
              <w:rPr>
                <w:sz w:val="20"/>
                <w:szCs w:val="20"/>
                <w:lang w:val="fr-FR"/>
              </w:rPr>
            </w:pPr>
          </w:p>
        </w:tc>
        <w:tc>
          <w:tcPr>
            <w:tcW w:w="2225" w:type="dxa"/>
            <w:tcBorders>
              <w:top w:val="single" w:sz="4" w:space="0" w:color="auto"/>
              <w:bottom w:val="single" w:sz="4" w:space="0" w:color="auto"/>
            </w:tcBorders>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2008</w:t>
            </w:r>
          </w:p>
        </w:tc>
      </w:tr>
      <w:tr w:rsidR="00CF3516" w:rsidRPr="00577EB1" w:rsidTr="0050199E">
        <w:tc>
          <w:tcPr>
            <w:tcW w:w="2224" w:type="dxa"/>
            <w:tcBorders>
              <w:top w:val="single" w:sz="4" w:space="0" w:color="auto"/>
            </w:tcBorders>
          </w:tcPr>
          <w:p w:rsidR="004B3541" w:rsidRDefault="00CF3516" w:rsidP="00C5627F">
            <w:pPr>
              <w:keepNext/>
              <w:keepLines/>
              <w:spacing w:before="48" w:after="48"/>
              <w:rPr>
                <w:sz w:val="20"/>
                <w:szCs w:val="20"/>
                <w:lang w:val="fr-FR"/>
              </w:rPr>
            </w:pPr>
            <w:r w:rsidRPr="00577EB1">
              <w:rPr>
                <w:rFonts w:eastAsiaTheme="minorEastAsia"/>
                <w:sz w:val="20"/>
                <w:szCs w:val="20"/>
                <w:lang w:val="fr-FR" w:eastAsia="zh-CN"/>
              </w:rPr>
              <w:t xml:space="preserve">Céréales </w:t>
            </w:r>
          </w:p>
        </w:tc>
        <w:tc>
          <w:tcPr>
            <w:tcW w:w="2224" w:type="dxa"/>
            <w:tcBorders>
              <w:top w:val="single" w:sz="4" w:space="0" w:color="auto"/>
            </w:tcBorders>
          </w:tcPr>
          <w:p w:rsidR="004B3541" w:rsidRDefault="00CF3516" w:rsidP="00C5627F">
            <w:pPr>
              <w:keepNext/>
              <w:keepLines/>
              <w:spacing w:before="48" w:after="48"/>
              <w:rPr>
                <w:sz w:val="20"/>
                <w:szCs w:val="20"/>
                <w:lang w:val="fr-FR"/>
              </w:rPr>
            </w:pPr>
            <w:r w:rsidRPr="00577EB1">
              <w:rPr>
                <w:rFonts w:eastAsiaTheme="minorEastAsia"/>
                <w:sz w:val="20"/>
                <w:szCs w:val="20"/>
                <w:lang w:val="fr-FR" w:eastAsia="zh-CN"/>
              </w:rPr>
              <w:t>1</w:t>
            </w:r>
            <w:r w:rsidRPr="00577EB1">
              <w:rPr>
                <w:sz w:val="20"/>
                <w:szCs w:val="20"/>
                <w:lang w:val="fr-FR"/>
              </w:rPr>
              <w:t> </w:t>
            </w:r>
            <w:r w:rsidRPr="00577EB1">
              <w:rPr>
                <w:rFonts w:eastAsiaTheme="minorEastAsia"/>
                <w:sz w:val="20"/>
                <w:szCs w:val="20"/>
                <w:lang w:val="fr-FR" w:eastAsia="zh-CN"/>
              </w:rPr>
              <w:t>121,28</w:t>
            </w:r>
          </w:p>
        </w:tc>
        <w:tc>
          <w:tcPr>
            <w:tcW w:w="2224" w:type="dxa"/>
            <w:tcBorders>
              <w:top w:val="single" w:sz="4" w:space="0" w:color="auto"/>
            </w:tcBorders>
          </w:tcPr>
          <w:p w:rsidR="004B3541" w:rsidRDefault="004B3541" w:rsidP="004B3541">
            <w:pPr>
              <w:keepNext/>
              <w:keepLines/>
              <w:spacing w:before="48" w:after="48"/>
              <w:rPr>
                <w:sz w:val="20"/>
                <w:szCs w:val="20"/>
                <w:lang w:val="fr-FR"/>
              </w:rPr>
            </w:pPr>
          </w:p>
        </w:tc>
        <w:tc>
          <w:tcPr>
            <w:tcW w:w="2225" w:type="dxa"/>
            <w:tcBorders>
              <w:top w:val="single" w:sz="4" w:space="0" w:color="auto"/>
            </w:tcBorders>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150,63</w:t>
            </w:r>
          </w:p>
        </w:tc>
      </w:tr>
      <w:tr w:rsidR="00CF3516" w:rsidRPr="00577EB1" w:rsidTr="0050199E">
        <w:tc>
          <w:tcPr>
            <w:tcW w:w="2224" w:type="dxa"/>
          </w:tcPr>
          <w:p w:rsidR="004B3541" w:rsidRDefault="00CF3516" w:rsidP="00C5627F">
            <w:pPr>
              <w:keepNext/>
              <w:keepLines/>
              <w:spacing w:before="48" w:after="48"/>
              <w:ind w:left="284"/>
              <w:rPr>
                <w:sz w:val="20"/>
                <w:szCs w:val="20"/>
                <w:lang w:val="fr-FR"/>
              </w:rPr>
            </w:pPr>
            <w:r w:rsidRPr="00577EB1">
              <w:rPr>
                <w:rFonts w:eastAsiaTheme="minorEastAsia"/>
                <w:sz w:val="20"/>
                <w:szCs w:val="24"/>
                <w:lang w:val="fr-FR" w:eastAsia="zh-CN"/>
              </w:rPr>
              <w:t>Maïs</w:t>
            </w:r>
            <w:r w:rsidRPr="00577EB1">
              <w:rPr>
                <w:rFonts w:eastAsiaTheme="minorEastAsia"/>
                <w:sz w:val="20"/>
                <w:szCs w:val="20"/>
                <w:lang w:val="fr-FR" w:eastAsia="zh-CN"/>
              </w:rPr>
              <w:t xml:space="preserve"> </w:t>
            </w:r>
          </w:p>
        </w:tc>
        <w:tc>
          <w:tcPr>
            <w:tcW w:w="2224" w:type="dxa"/>
          </w:tcPr>
          <w:p w:rsidR="004B3541" w:rsidRDefault="00CF3516" w:rsidP="00C5627F">
            <w:pPr>
              <w:keepNext/>
              <w:keepLines/>
              <w:spacing w:before="48" w:after="48"/>
              <w:rPr>
                <w:sz w:val="20"/>
                <w:szCs w:val="20"/>
                <w:lang w:val="fr-FR"/>
              </w:rPr>
            </w:pPr>
            <w:r w:rsidRPr="00577EB1">
              <w:rPr>
                <w:rFonts w:eastAsiaTheme="minorEastAsia"/>
                <w:sz w:val="20"/>
                <w:szCs w:val="20"/>
                <w:lang w:val="fr-FR" w:eastAsia="zh-CN"/>
              </w:rPr>
              <w:t>824,78</w:t>
            </w:r>
          </w:p>
        </w:tc>
        <w:tc>
          <w:tcPr>
            <w:tcW w:w="2224" w:type="dxa"/>
          </w:tcPr>
          <w:p w:rsidR="004B3541" w:rsidRDefault="004B3541" w:rsidP="004B3541">
            <w:pPr>
              <w:keepNext/>
              <w:keepLines/>
              <w:spacing w:before="48" w:after="48"/>
              <w:rPr>
                <w:sz w:val="20"/>
                <w:szCs w:val="20"/>
                <w:lang w:val="fr-FR"/>
              </w:rPr>
            </w:pPr>
          </w:p>
        </w:tc>
        <w:tc>
          <w:tcPr>
            <w:tcW w:w="2225" w:type="dxa"/>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127,53</w:t>
            </w:r>
          </w:p>
        </w:tc>
      </w:tr>
      <w:tr w:rsidR="00CF3516" w:rsidRPr="00577EB1" w:rsidTr="0050199E">
        <w:tc>
          <w:tcPr>
            <w:tcW w:w="2224" w:type="dxa"/>
          </w:tcPr>
          <w:p w:rsidR="004B3541" w:rsidRDefault="00CF3516" w:rsidP="00C5627F">
            <w:pPr>
              <w:keepNext/>
              <w:keepLines/>
              <w:spacing w:before="48" w:after="48"/>
              <w:ind w:left="284"/>
              <w:rPr>
                <w:sz w:val="20"/>
                <w:szCs w:val="20"/>
                <w:lang w:val="fr-FR"/>
              </w:rPr>
            </w:pPr>
            <w:r w:rsidRPr="00577EB1">
              <w:rPr>
                <w:rFonts w:eastAsiaTheme="minorEastAsia"/>
                <w:sz w:val="20"/>
                <w:szCs w:val="20"/>
                <w:lang w:val="fr-FR" w:eastAsia="zh-CN"/>
              </w:rPr>
              <w:t xml:space="preserve">Sorgho </w:t>
            </w:r>
          </w:p>
        </w:tc>
        <w:tc>
          <w:tcPr>
            <w:tcW w:w="2224" w:type="dxa"/>
          </w:tcPr>
          <w:p w:rsidR="004B3541" w:rsidRDefault="00CF3516" w:rsidP="00C5627F">
            <w:pPr>
              <w:keepNext/>
              <w:keepLines/>
              <w:spacing w:before="48" w:after="48"/>
              <w:rPr>
                <w:sz w:val="20"/>
                <w:szCs w:val="20"/>
                <w:lang w:val="fr-FR"/>
              </w:rPr>
            </w:pPr>
            <w:r w:rsidRPr="00577EB1">
              <w:rPr>
                <w:rFonts w:eastAsiaTheme="minorEastAsia"/>
                <w:sz w:val="20"/>
                <w:szCs w:val="20"/>
                <w:lang w:val="fr-FR" w:eastAsia="zh-CN"/>
              </w:rPr>
              <w:t>91,50</w:t>
            </w:r>
          </w:p>
        </w:tc>
        <w:tc>
          <w:tcPr>
            <w:tcW w:w="2224" w:type="dxa"/>
          </w:tcPr>
          <w:p w:rsidR="004B3541" w:rsidRDefault="004B3541" w:rsidP="004B3541">
            <w:pPr>
              <w:keepNext/>
              <w:keepLines/>
              <w:spacing w:before="48" w:after="48"/>
              <w:rPr>
                <w:sz w:val="20"/>
                <w:szCs w:val="20"/>
                <w:lang w:val="fr-FR"/>
              </w:rPr>
            </w:pPr>
          </w:p>
        </w:tc>
        <w:tc>
          <w:tcPr>
            <w:tcW w:w="2225" w:type="dxa"/>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2,50</w:t>
            </w:r>
          </w:p>
        </w:tc>
      </w:tr>
      <w:tr w:rsidR="00CF3516" w:rsidRPr="00577EB1" w:rsidTr="0050199E">
        <w:tc>
          <w:tcPr>
            <w:tcW w:w="2224" w:type="dxa"/>
          </w:tcPr>
          <w:p w:rsidR="004B3541" w:rsidRDefault="00CF3516" w:rsidP="00C5627F">
            <w:pPr>
              <w:keepNext/>
              <w:keepLines/>
              <w:spacing w:before="48" w:after="48"/>
              <w:ind w:left="284"/>
              <w:rPr>
                <w:sz w:val="20"/>
                <w:szCs w:val="20"/>
                <w:lang w:val="fr-FR"/>
              </w:rPr>
            </w:pPr>
            <w:r w:rsidRPr="00577EB1">
              <w:rPr>
                <w:rFonts w:eastAsiaTheme="minorEastAsia"/>
                <w:sz w:val="20"/>
                <w:szCs w:val="20"/>
                <w:lang w:val="fr-FR" w:eastAsia="zh-CN"/>
              </w:rPr>
              <w:t xml:space="preserve">Millet </w:t>
            </w:r>
          </w:p>
        </w:tc>
        <w:tc>
          <w:tcPr>
            <w:tcW w:w="2224" w:type="dxa"/>
          </w:tcPr>
          <w:p w:rsidR="004B3541" w:rsidRDefault="00CF3516" w:rsidP="00C5627F">
            <w:pPr>
              <w:keepNext/>
              <w:keepLines/>
              <w:spacing w:before="48" w:after="48"/>
              <w:rPr>
                <w:sz w:val="20"/>
                <w:szCs w:val="20"/>
                <w:lang w:val="fr-FR"/>
              </w:rPr>
            </w:pPr>
            <w:r w:rsidRPr="00577EB1">
              <w:rPr>
                <w:rFonts w:eastAsiaTheme="minorEastAsia"/>
                <w:sz w:val="20"/>
                <w:szCs w:val="20"/>
                <w:lang w:val="fr-FR" w:eastAsia="zh-CN"/>
              </w:rPr>
              <w:t>100,00</w:t>
            </w:r>
          </w:p>
        </w:tc>
        <w:tc>
          <w:tcPr>
            <w:tcW w:w="2224" w:type="dxa"/>
          </w:tcPr>
          <w:p w:rsidR="004B3541" w:rsidRDefault="004B3541" w:rsidP="004B3541">
            <w:pPr>
              <w:keepNext/>
              <w:keepLines/>
              <w:spacing w:before="48" w:after="48"/>
              <w:rPr>
                <w:sz w:val="20"/>
                <w:szCs w:val="20"/>
                <w:lang w:val="fr-FR"/>
              </w:rPr>
            </w:pPr>
          </w:p>
        </w:tc>
        <w:tc>
          <w:tcPr>
            <w:tcW w:w="2225" w:type="dxa"/>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w:t>
            </w:r>
          </w:p>
        </w:tc>
      </w:tr>
      <w:tr w:rsidR="00CF3516" w:rsidRPr="00577EB1" w:rsidTr="0050199E">
        <w:tc>
          <w:tcPr>
            <w:tcW w:w="2224" w:type="dxa"/>
            <w:tcBorders>
              <w:bottom w:val="single" w:sz="4" w:space="0" w:color="auto"/>
            </w:tcBorders>
          </w:tcPr>
          <w:p w:rsidR="004B3541" w:rsidRDefault="00CF3516" w:rsidP="00C5627F">
            <w:pPr>
              <w:keepNext/>
              <w:keepLines/>
              <w:spacing w:before="48" w:after="48"/>
              <w:ind w:left="284"/>
              <w:rPr>
                <w:sz w:val="20"/>
                <w:szCs w:val="20"/>
                <w:lang w:val="fr-FR"/>
              </w:rPr>
            </w:pPr>
            <w:r w:rsidRPr="00577EB1">
              <w:rPr>
                <w:rFonts w:eastAsiaTheme="minorEastAsia"/>
                <w:sz w:val="20"/>
                <w:szCs w:val="20"/>
                <w:lang w:val="fr-FR" w:eastAsia="zh-CN"/>
              </w:rPr>
              <w:t xml:space="preserve">Riz </w:t>
            </w:r>
          </w:p>
        </w:tc>
        <w:tc>
          <w:tcPr>
            <w:tcW w:w="2224" w:type="dxa"/>
            <w:tcBorders>
              <w:bottom w:val="single" w:sz="4" w:space="0" w:color="auto"/>
            </w:tcBorders>
          </w:tcPr>
          <w:p w:rsidR="004B3541" w:rsidRDefault="00CF3516" w:rsidP="00C5627F">
            <w:pPr>
              <w:keepNext/>
              <w:keepLines/>
              <w:spacing w:before="48" w:after="48"/>
              <w:rPr>
                <w:sz w:val="20"/>
                <w:szCs w:val="20"/>
                <w:lang w:val="fr-FR"/>
              </w:rPr>
            </w:pPr>
            <w:r w:rsidRPr="00577EB1">
              <w:rPr>
                <w:rFonts w:eastAsiaTheme="minorEastAsia"/>
                <w:sz w:val="20"/>
                <w:szCs w:val="20"/>
                <w:lang w:val="fr-FR" w:eastAsia="zh-CN"/>
              </w:rPr>
              <w:t>105,00</w:t>
            </w:r>
          </w:p>
        </w:tc>
        <w:tc>
          <w:tcPr>
            <w:tcW w:w="2224" w:type="dxa"/>
            <w:tcBorders>
              <w:bottom w:val="single" w:sz="4" w:space="0" w:color="auto"/>
            </w:tcBorders>
          </w:tcPr>
          <w:p w:rsidR="004B3541" w:rsidRDefault="004B3541" w:rsidP="004B3541">
            <w:pPr>
              <w:keepNext/>
              <w:keepLines/>
              <w:spacing w:before="48" w:after="48"/>
              <w:rPr>
                <w:sz w:val="20"/>
                <w:szCs w:val="20"/>
                <w:lang w:val="fr-FR"/>
              </w:rPr>
            </w:pPr>
          </w:p>
        </w:tc>
        <w:tc>
          <w:tcPr>
            <w:tcW w:w="2225" w:type="dxa"/>
            <w:tcBorders>
              <w:bottom w:val="single" w:sz="4" w:space="0" w:color="auto"/>
            </w:tcBorders>
          </w:tcPr>
          <w:p w:rsidR="004B3541" w:rsidRDefault="00CF3516" w:rsidP="004B3541">
            <w:pPr>
              <w:keepNext/>
              <w:keepLines/>
              <w:spacing w:before="48" w:after="48"/>
              <w:rPr>
                <w:sz w:val="20"/>
                <w:szCs w:val="20"/>
                <w:lang w:val="fr-FR"/>
              </w:rPr>
            </w:pPr>
            <w:r w:rsidRPr="00577EB1">
              <w:rPr>
                <w:rFonts w:eastAsiaTheme="minorEastAsia"/>
                <w:sz w:val="20"/>
                <w:szCs w:val="20"/>
                <w:lang w:val="fr-FR" w:eastAsia="zh-CN"/>
              </w:rPr>
              <w:t>20,60</w:t>
            </w:r>
          </w:p>
        </w:tc>
      </w:tr>
    </w:tbl>
    <w:p w:rsidR="00CF3516" w:rsidRPr="00577EB1" w:rsidRDefault="00CF3516" w:rsidP="00CF3516">
      <w:pPr>
        <w:keepNext/>
        <w:keepLines/>
        <w:spacing w:after="0"/>
        <w:rPr>
          <w:sz w:val="20"/>
          <w:lang w:val="fr-FR"/>
        </w:rPr>
      </w:pPr>
      <w:r w:rsidRPr="00577EB1">
        <w:rPr>
          <w:sz w:val="20"/>
          <w:lang w:val="fr-FR"/>
        </w:rPr>
        <w:t>Note</w:t>
      </w:r>
      <w:r w:rsidR="003203FB">
        <w:rPr>
          <w:sz w:val="20"/>
          <w:lang w:val="fr-FR"/>
        </w:rPr>
        <w:t> :</w:t>
      </w:r>
      <w:r w:rsidR="0007340F">
        <w:rPr>
          <w:sz w:val="20"/>
          <w:lang w:val="fr-FR"/>
        </w:rPr>
        <w:t xml:space="preserve"> </w:t>
      </w:r>
      <w:r w:rsidRPr="00577EB1">
        <w:rPr>
          <w:sz w:val="20"/>
          <w:lang w:val="fr-FR"/>
        </w:rPr>
        <w:t>Ce tableau ne présente la quantité de céréales distribuées qu’à titre d’indication. D’autres produits ont également été distribués (</w:t>
      </w:r>
      <w:r w:rsidRPr="00577EB1">
        <w:rPr>
          <w:i/>
          <w:sz w:val="20"/>
          <w:lang w:val="fr-FR"/>
        </w:rPr>
        <w:t>corned beef</w:t>
      </w:r>
      <w:r w:rsidRPr="00577EB1">
        <w:rPr>
          <w:sz w:val="20"/>
          <w:lang w:val="fr-FR"/>
        </w:rPr>
        <w:t>, sardines et huile en 2008</w:t>
      </w:r>
      <w:r w:rsidR="0007340F">
        <w:rPr>
          <w:sz w:val="20"/>
          <w:lang w:val="fr-FR"/>
        </w:rPr>
        <w:t xml:space="preserve"> </w:t>
      </w:r>
      <w:r w:rsidRPr="00577EB1">
        <w:rPr>
          <w:sz w:val="20"/>
          <w:lang w:val="fr-FR"/>
        </w:rPr>
        <w:t>biscuits BP5, dattes, conserves et sucre en 2007) avec également des produits non alimentaires.</w:t>
      </w:r>
    </w:p>
    <w:p w:rsidR="004B3541" w:rsidRDefault="00CF3516">
      <w:pPr>
        <w:keepLines/>
        <w:spacing w:before="120" w:after="480"/>
        <w:rPr>
          <w:sz w:val="20"/>
          <w:lang w:val="fr-FR"/>
        </w:rPr>
      </w:pPr>
      <w:r w:rsidRPr="00577EB1">
        <w:rPr>
          <w:i/>
          <w:sz w:val="20"/>
          <w:lang w:val="fr-FR"/>
        </w:rPr>
        <w:t>Source</w:t>
      </w:r>
      <w:r w:rsidR="003203FB">
        <w:rPr>
          <w:i/>
          <w:sz w:val="20"/>
          <w:lang w:val="fr-FR"/>
        </w:rPr>
        <w:t> :</w:t>
      </w:r>
      <w:r w:rsidR="0007340F">
        <w:rPr>
          <w:i/>
          <w:sz w:val="20"/>
          <w:lang w:val="fr-FR"/>
        </w:rPr>
        <w:t xml:space="preserve"> </w:t>
      </w:r>
      <w:r w:rsidRPr="00577EB1">
        <w:rPr>
          <w:sz w:val="20"/>
          <w:lang w:val="fr-FR"/>
        </w:rPr>
        <w:t>SP/CONASUR, 2008a et 2008b.</w:t>
      </w:r>
    </w:p>
    <w:p w:rsidR="00CF3516" w:rsidRPr="00577EB1" w:rsidRDefault="00CF3516" w:rsidP="00E52A30">
      <w:pPr>
        <w:numPr>
          <w:ilvl w:val="0"/>
          <w:numId w:val="2"/>
        </w:numPr>
        <w:ind w:left="0" w:firstLine="0"/>
        <w:rPr>
          <w:lang w:val="fr-FR"/>
        </w:rPr>
      </w:pPr>
      <w:r w:rsidRPr="00577EB1">
        <w:rPr>
          <w:b/>
          <w:lang w:val="fr-FR"/>
        </w:rPr>
        <w:t>À l’avenir, le CONASUR aimerait fournir des rations complètes aux populations victimes de catastrophes.</w:t>
      </w:r>
      <w:r w:rsidRPr="00577EB1">
        <w:rPr>
          <w:bCs/>
          <w:lang w:val="fr-FR"/>
        </w:rPr>
        <w:t xml:space="preserve"> L’objectif de sécurité alimentaire du nouveau plan national d’urgence, adopté en février 2009 et administré par le CONASUR, est de maintenir une capacité d’intervention permettant de nourrir adéquatement 300 000 personnes pendant un mois. Le plan propose 4 545 tonnes, dont 3 600 tonnes de céréales, 540 tonnes de légumineuses, 225 tonnes d’huile, 135 tonnes de sucre et 45 tonnes de sel (soit une ration complète de 2 100 Kcal/personne/jour) dans les 13 régions pour réduire le temps de livraison (GdBF 2009a). La mobilisation du stock est décidée au niveau régional tant que le nombre de personnes affectées ne dépasse pas 5 000</w:t>
      </w:r>
      <w:r w:rsidR="0007340F">
        <w:rPr>
          <w:bCs/>
          <w:lang w:val="fr-FR"/>
        </w:rPr>
        <w:t xml:space="preserve"> </w:t>
      </w:r>
      <w:r w:rsidRPr="00577EB1">
        <w:rPr>
          <w:bCs/>
          <w:lang w:val="fr-FR"/>
        </w:rPr>
        <w:t>passé ce seuil, le système central doit être activé. En septembre 2009, ce plan n’était pas encore financé.</w:t>
      </w:r>
    </w:p>
    <w:p w:rsidR="00CF3516" w:rsidRPr="00577EB1" w:rsidRDefault="00CF3516" w:rsidP="00E52A30">
      <w:pPr>
        <w:numPr>
          <w:ilvl w:val="0"/>
          <w:numId w:val="2"/>
        </w:numPr>
        <w:ind w:left="0" w:firstLine="0"/>
        <w:rPr>
          <w:lang w:val="fr-FR"/>
        </w:rPr>
      </w:pPr>
      <w:r w:rsidRPr="00577EB1">
        <w:rPr>
          <w:b/>
          <w:lang w:val="fr-FR"/>
        </w:rPr>
        <w:lastRenderedPageBreak/>
        <w:t xml:space="preserve">Dans l’ensemble, les distributions ciblées de vivres (par le CONASUR, le PAM et le CRS) atteignent probablement moins de 100 000 personnes chaque année, </w:t>
      </w:r>
      <w:r w:rsidRPr="00577EB1">
        <w:rPr>
          <w:bCs/>
          <w:lang w:val="fr-FR"/>
        </w:rPr>
        <w:t>soit beaucoup moins que le Programme de coupons en milieu urbain à lui seul (Tableau 23)</w:t>
      </w:r>
      <w:r w:rsidRPr="00577EB1">
        <w:rPr>
          <w:lang w:val="fr-FR"/>
        </w:rPr>
        <w:t>.</w:t>
      </w:r>
      <w:r w:rsidRPr="00577EB1">
        <w:rPr>
          <w:rStyle w:val="FootnoteReference"/>
          <w:lang w:val="fr-FR"/>
        </w:rPr>
        <w:footnoteReference w:id="38"/>
      </w:r>
      <w:r w:rsidRPr="00577EB1">
        <w:rPr>
          <w:lang w:val="fr-FR"/>
        </w:rPr>
        <w:t xml:space="preserve"> À travers son programme Vivres contre éducation/formation, le PAM fournit des transferts alimentaires conditionnés par la fréquentation des centres d’alphabétisation ou de cours de formation (par exemple sur le maintien des actifs, les techniques agricoles améliorées, etc.). Le programme a progressivement été réorienté vers les provinces du Sahel, où il était en cours de réduction, de 21 provinces en 2005 à 9 en 2010. Par le biais de son programme d’assistance générale (</w:t>
      </w:r>
      <w:r w:rsidRPr="00577EB1">
        <w:rPr>
          <w:i/>
          <w:lang w:val="fr-FR"/>
        </w:rPr>
        <w:t>General Relief</w:t>
      </w:r>
      <w:r w:rsidRPr="00577EB1">
        <w:rPr>
          <w:lang w:val="fr-FR"/>
        </w:rPr>
        <w:t>), le CRS assiste chaque année plus de 13 000 personnes vulnérables (les personnes vivant avec le VIH, les orphelins, les personnes âgées et les handicapés, par exemple).</w:t>
      </w:r>
    </w:p>
    <w:p w:rsidR="00CF3516" w:rsidRPr="00577EB1" w:rsidRDefault="001F3001" w:rsidP="006F1314">
      <w:pPr>
        <w:pStyle w:val="Heading7"/>
        <w:rPr>
          <w:lang w:val="fr-FR"/>
        </w:rPr>
      </w:pPr>
      <w:bookmarkStart w:id="170" w:name="_Toc284528598"/>
      <w:bookmarkStart w:id="171" w:name="_Toc284530534"/>
      <w:r w:rsidRPr="00577EB1">
        <w:rPr>
          <w:lang w:val="fr-FR"/>
        </w:rPr>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23</w:t>
      </w:r>
      <w:r w:rsidR="00725419" w:rsidRPr="00577EB1">
        <w:rPr>
          <w:lang w:val="fr-FR"/>
        </w:rPr>
        <w:fldChar w:fldCharType="end"/>
      </w:r>
      <w:r w:rsidR="003203FB">
        <w:rPr>
          <w:lang w:val="fr-FR"/>
        </w:rPr>
        <w:t> :</w:t>
      </w:r>
      <w:r w:rsidR="0007340F">
        <w:rPr>
          <w:lang w:val="fr-FR"/>
        </w:rPr>
        <w:t xml:space="preserve"> </w:t>
      </w:r>
      <w:r w:rsidR="00CF3516" w:rsidRPr="00577EB1">
        <w:rPr>
          <w:lang w:val="fr-FR"/>
        </w:rPr>
        <w:t>Nombre indicatif des bénéficiaires des distributions ciblées de vivres, 2006-2010</w:t>
      </w:r>
      <w:bookmarkEnd w:id="170"/>
      <w:bookmarkEnd w:id="171"/>
    </w:p>
    <w:tbl>
      <w:tblPr>
        <w:tblW w:w="7654" w:type="dxa"/>
        <w:jc w:val="center"/>
        <w:tblInd w:w="251" w:type="dxa"/>
        <w:tblLayout w:type="fixed"/>
        <w:tblLook w:val="04A0"/>
      </w:tblPr>
      <w:tblGrid>
        <w:gridCol w:w="5670"/>
        <w:gridCol w:w="1984"/>
      </w:tblGrid>
      <w:tr w:rsidR="00CF3516" w:rsidRPr="00652BC6" w:rsidTr="00652BC6">
        <w:trPr>
          <w:jc w:val="center"/>
        </w:trPr>
        <w:tc>
          <w:tcPr>
            <w:tcW w:w="5670" w:type="dxa"/>
            <w:tcBorders>
              <w:top w:val="single" w:sz="4" w:space="0" w:color="auto"/>
              <w:bottom w:val="single" w:sz="4" w:space="0" w:color="auto"/>
            </w:tcBorders>
          </w:tcPr>
          <w:p w:rsidR="004B3541" w:rsidRDefault="00EB214A" w:rsidP="00FF0D12">
            <w:pPr>
              <w:keepNext/>
              <w:keepLines/>
              <w:spacing w:beforeLines="20" w:afterLines="20"/>
              <w:rPr>
                <w:sz w:val="20"/>
                <w:szCs w:val="18"/>
                <w:lang w:val="fr-FR"/>
              </w:rPr>
            </w:pPr>
            <w:r w:rsidRPr="00EB214A">
              <w:rPr>
                <w:rFonts w:eastAsiaTheme="minorEastAsia"/>
                <w:sz w:val="20"/>
                <w:szCs w:val="18"/>
                <w:lang w:val="fr-FR" w:eastAsia="zh-CN"/>
              </w:rPr>
              <w:t>Programme</w:t>
            </w:r>
          </w:p>
        </w:tc>
        <w:tc>
          <w:tcPr>
            <w:tcW w:w="1984" w:type="dxa"/>
            <w:tcBorders>
              <w:top w:val="single" w:sz="4" w:space="0" w:color="auto"/>
              <w:bottom w:val="single" w:sz="4" w:space="0" w:color="auto"/>
            </w:tcBorders>
            <w:vAlign w:val="center"/>
          </w:tcPr>
          <w:p w:rsidR="004B3541" w:rsidRDefault="00EB214A" w:rsidP="00FF0D12">
            <w:pPr>
              <w:keepNext/>
              <w:keepLines/>
              <w:spacing w:beforeLines="20" w:afterLines="20"/>
              <w:jc w:val="right"/>
              <w:rPr>
                <w:rFonts w:eastAsia="Times New Roman"/>
                <w:sz w:val="20"/>
                <w:szCs w:val="18"/>
                <w:lang w:val="fr-FR" w:eastAsia="fr-FR"/>
              </w:rPr>
            </w:pPr>
            <w:r w:rsidRPr="00EB214A">
              <w:rPr>
                <w:rFonts w:eastAsia="Times New Roman"/>
                <w:sz w:val="20"/>
                <w:szCs w:val="18"/>
                <w:lang w:val="fr-FR" w:eastAsia="fr-FR"/>
              </w:rPr>
              <w:t>2008/2009</w:t>
            </w:r>
          </w:p>
        </w:tc>
      </w:tr>
      <w:tr w:rsidR="00CF3516" w:rsidRPr="00652BC6" w:rsidTr="00652BC6">
        <w:trPr>
          <w:jc w:val="center"/>
        </w:trPr>
        <w:tc>
          <w:tcPr>
            <w:tcW w:w="5670" w:type="dxa"/>
            <w:tcBorders>
              <w:top w:val="single" w:sz="4" w:space="0" w:color="auto"/>
            </w:tcBorders>
          </w:tcPr>
          <w:p w:rsidR="004B3541" w:rsidRDefault="00EB214A" w:rsidP="00FF0D12">
            <w:pPr>
              <w:keepNext/>
              <w:keepLines/>
              <w:spacing w:beforeLines="20" w:afterLines="20"/>
              <w:rPr>
                <w:sz w:val="20"/>
                <w:szCs w:val="18"/>
                <w:lang w:val="fr-FR"/>
              </w:rPr>
            </w:pPr>
            <w:r w:rsidRPr="00EB214A">
              <w:rPr>
                <w:rFonts w:eastAsiaTheme="minorEastAsia"/>
                <w:sz w:val="20"/>
                <w:szCs w:val="18"/>
                <w:lang w:val="fr-FR" w:eastAsia="zh-CN"/>
              </w:rPr>
              <w:t xml:space="preserve">Vivres contre </w:t>
            </w:r>
            <w:r w:rsidRPr="00EB214A">
              <w:rPr>
                <w:sz w:val="20"/>
                <w:szCs w:val="18"/>
                <w:lang w:val="fr-FR"/>
              </w:rPr>
              <w:t>é</w:t>
            </w:r>
            <w:r w:rsidRPr="00EB214A">
              <w:rPr>
                <w:rFonts w:eastAsiaTheme="minorEastAsia"/>
                <w:sz w:val="20"/>
                <w:szCs w:val="18"/>
                <w:lang w:val="fr-FR" w:eastAsia="zh-CN"/>
              </w:rPr>
              <w:t>ducation du PAM (données 2009)</w:t>
            </w:r>
          </w:p>
        </w:tc>
        <w:tc>
          <w:tcPr>
            <w:tcW w:w="1984" w:type="dxa"/>
            <w:tcBorders>
              <w:top w:val="single" w:sz="4" w:space="0" w:color="auto"/>
            </w:tcBorders>
            <w:vAlign w:val="center"/>
          </w:tcPr>
          <w:p w:rsidR="004B3541" w:rsidRDefault="00EB214A" w:rsidP="00FF0D12">
            <w:pPr>
              <w:keepNext/>
              <w:keepLines/>
              <w:spacing w:beforeLines="20" w:afterLines="20"/>
              <w:jc w:val="right"/>
              <w:rPr>
                <w:rFonts w:eastAsia="Times New Roman"/>
                <w:sz w:val="20"/>
                <w:szCs w:val="18"/>
                <w:lang w:val="fr-FR" w:eastAsia="fr-FR"/>
              </w:rPr>
            </w:pPr>
            <w:r w:rsidRPr="00EB214A">
              <w:rPr>
                <w:rFonts w:eastAsia="Times New Roman"/>
                <w:sz w:val="20"/>
                <w:szCs w:val="18"/>
                <w:lang w:val="fr-FR" w:eastAsia="fr-FR"/>
              </w:rPr>
              <w:t>36 648</w:t>
            </w:r>
          </w:p>
        </w:tc>
      </w:tr>
      <w:tr w:rsidR="00CF3516" w:rsidRPr="00652BC6" w:rsidTr="00652BC6">
        <w:trPr>
          <w:jc w:val="center"/>
        </w:trPr>
        <w:tc>
          <w:tcPr>
            <w:tcW w:w="5670" w:type="dxa"/>
            <w:vAlign w:val="center"/>
          </w:tcPr>
          <w:p w:rsidR="004B3541" w:rsidRDefault="00EB214A" w:rsidP="00FF0D12">
            <w:pPr>
              <w:keepNext/>
              <w:keepLines/>
              <w:spacing w:beforeLines="20" w:afterLines="20"/>
              <w:ind w:firstLine="601"/>
              <w:rPr>
                <w:i/>
                <w:sz w:val="20"/>
                <w:szCs w:val="18"/>
                <w:lang w:val="fr-FR"/>
              </w:rPr>
            </w:pPr>
            <w:r w:rsidRPr="00EB214A">
              <w:rPr>
                <w:rFonts w:eastAsiaTheme="minorEastAsia"/>
                <w:i/>
                <w:sz w:val="20"/>
                <w:szCs w:val="18"/>
                <w:lang w:val="fr-FR" w:eastAsia="zh-CN"/>
              </w:rPr>
              <w:t>Bénéficiaires femmes</w:t>
            </w:r>
          </w:p>
        </w:tc>
        <w:tc>
          <w:tcPr>
            <w:tcW w:w="1984" w:type="dxa"/>
            <w:vAlign w:val="center"/>
          </w:tcPr>
          <w:p w:rsidR="004B3541" w:rsidRDefault="00EB214A" w:rsidP="00FF0D12">
            <w:pPr>
              <w:keepNext/>
              <w:keepLines/>
              <w:spacing w:beforeLines="20" w:afterLines="20"/>
              <w:jc w:val="right"/>
              <w:rPr>
                <w:rFonts w:eastAsia="Times New Roman"/>
                <w:i/>
                <w:sz w:val="20"/>
                <w:szCs w:val="18"/>
                <w:lang w:val="fr-FR" w:eastAsia="fr-FR"/>
              </w:rPr>
            </w:pPr>
            <w:r w:rsidRPr="00EB214A">
              <w:rPr>
                <w:rFonts w:eastAsia="Times New Roman"/>
                <w:i/>
                <w:sz w:val="20"/>
                <w:szCs w:val="18"/>
                <w:lang w:val="fr-FR" w:eastAsia="fr-FR"/>
              </w:rPr>
              <w:t>20 300</w:t>
            </w:r>
          </w:p>
        </w:tc>
      </w:tr>
      <w:tr w:rsidR="00CF3516" w:rsidRPr="00652BC6" w:rsidTr="00652BC6">
        <w:trPr>
          <w:jc w:val="center"/>
        </w:trPr>
        <w:tc>
          <w:tcPr>
            <w:tcW w:w="5670" w:type="dxa"/>
            <w:vAlign w:val="center"/>
          </w:tcPr>
          <w:p w:rsidR="004B3541" w:rsidRDefault="00EB214A" w:rsidP="00FF0D12">
            <w:pPr>
              <w:keepNext/>
              <w:keepLines/>
              <w:spacing w:beforeLines="20" w:afterLines="20"/>
              <w:ind w:firstLine="601"/>
              <w:rPr>
                <w:i/>
                <w:sz w:val="20"/>
                <w:szCs w:val="18"/>
                <w:lang w:val="fr-FR"/>
              </w:rPr>
            </w:pPr>
            <w:r w:rsidRPr="00EB214A">
              <w:rPr>
                <w:rFonts w:eastAsiaTheme="minorEastAsia"/>
                <w:i/>
                <w:sz w:val="20"/>
                <w:szCs w:val="18"/>
                <w:lang w:val="fr-FR" w:eastAsia="zh-CN"/>
              </w:rPr>
              <w:t>Bénéficiaires hommes</w:t>
            </w:r>
          </w:p>
        </w:tc>
        <w:tc>
          <w:tcPr>
            <w:tcW w:w="1984" w:type="dxa"/>
            <w:vAlign w:val="center"/>
          </w:tcPr>
          <w:p w:rsidR="004B3541" w:rsidRDefault="00EB214A" w:rsidP="00FF0D12">
            <w:pPr>
              <w:keepNext/>
              <w:keepLines/>
              <w:spacing w:beforeLines="20" w:afterLines="20"/>
              <w:jc w:val="right"/>
              <w:rPr>
                <w:rFonts w:eastAsia="Times New Roman"/>
                <w:i/>
                <w:sz w:val="20"/>
                <w:szCs w:val="18"/>
                <w:lang w:val="fr-FR" w:eastAsia="fr-FR"/>
              </w:rPr>
            </w:pPr>
            <w:r w:rsidRPr="00EB214A">
              <w:rPr>
                <w:rFonts w:eastAsia="Times New Roman"/>
                <w:i/>
                <w:sz w:val="20"/>
                <w:szCs w:val="18"/>
                <w:lang w:val="fr-FR" w:eastAsia="fr-FR"/>
              </w:rPr>
              <w:t>16 348</w:t>
            </w:r>
          </w:p>
        </w:tc>
      </w:tr>
      <w:tr w:rsidR="00CF3516" w:rsidRPr="00652BC6" w:rsidTr="00652BC6">
        <w:trPr>
          <w:jc w:val="center"/>
        </w:trPr>
        <w:tc>
          <w:tcPr>
            <w:tcW w:w="5670" w:type="dxa"/>
          </w:tcPr>
          <w:p w:rsidR="004B3541" w:rsidRDefault="00EB214A" w:rsidP="00FF0D12">
            <w:pPr>
              <w:keepNext/>
              <w:keepLines/>
              <w:spacing w:beforeLines="20" w:afterLines="20"/>
              <w:rPr>
                <w:sz w:val="20"/>
                <w:szCs w:val="18"/>
                <w:lang w:val="fr-FR"/>
              </w:rPr>
            </w:pPr>
            <w:r w:rsidRPr="00EB214A">
              <w:rPr>
                <w:rFonts w:eastAsiaTheme="minorEastAsia"/>
                <w:i/>
                <w:color w:val="000000"/>
                <w:sz w:val="20"/>
                <w:szCs w:val="18"/>
                <w:lang w:val="fr-FR" w:eastAsia="zh-CN"/>
              </w:rPr>
              <w:t>General Relief</w:t>
            </w:r>
            <w:r w:rsidRPr="00EB214A">
              <w:rPr>
                <w:rFonts w:eastAsiaTheme="minorEastAsia"/>
                <w:color w:val="000000"/>
                <w:sz w:val="20"/>
                <w:szCs w:val="18"/>
                <w:lang w:val="fr-FR" w:eastAsia="zh-CN"/>
              </w:rPr>
              <w:t xml:space="preserve"> </w:t>
            </w:r>
            <w:r w:rsidRPr="00EB214A">
              <w:rPr>
                <w:color w:val="000000"/>
                <w:sz w:val="20"/>
                <w:szCs w:val="18"/>
                <w:lang w:val="fr-FR"/>
              </w:rPr>
              <w:t xml:space="preserve">de CRS </w:t>
            </w:r>
            <w:r w:rsidRPr="00EB214A">
              <w:rPr>
                <w:rFonts w:eastAsiaTheme="minorEastAsia"/>
                <w:color w:val="000000"/>
                <w:sz w:val="20"/>
                <w:szCs w:val="18"/>
                <w:lang w:val="fr-FR" w:eastAsia="zh-CN"/>
              </w:rPr>
              <w:t>(</w:t>
            </w:r>
            <w:r w:rsidRPr="00EB214A">
              <w:rPr>
                <w:color w:val="000000"/>
                <w:sz w:val="20"/>
                <w:szCs w:val="18"/>
                <w:lang w:val="fr-FR"/>
              </w:rPr>
              <w:t xml:space="preserve">données </w:t>
            </w:r>
            <w:r w:rsidRPr="00EB214A">
              <w:rPr>
                <w:rFonts w:eastAsiaTheme="minorEastAsia"/>
                <w:color w:val="000000"/>
                <w:sz w:val="20"/>
                <w:szCs w:val="18"/>
                <w:lang w:val="fr-FR" w:eastAsia="zh-CN"/>
              </w:rPr>
              <w:t>2008)</w:t>
            </w:r>
          </w:p>
        </w:tc>
        <w:tc>
          <w:tcPr>
            <w:tcW w:w="1984" w:type="dxa"/>
            <w:vAlign w:val="center"/>
          </w:tcPr>
          <w:p w:rsidR="004B3541" w:rsidRDefault="00EB214A" w:rsidP="00FF0D12">
            <w:pPr>
              <w:keepNext/>
              <w:keepLines/>
              <w:spacing w:beforeLines="20" w:afterLines="20"/>
              <w:jc w:val="right"/>
              <w:rPr>
                <w:rFonts w:eastAsia="Times New Roman"/>
                <w:sz w:val="20"/>
                <w:szCs w:val="18"/>
                <w:lang w:val="fr-FR" w:eastAsia="fr-FR"/>
              </w:rPr>
            </w:pPr>
            <w:r w:rsidRPr="00EB214A">
              <w:rPr>
                <w:rFonts w:eastAsia="Times New Roman"/>
                <w:sz w:val="20"/>
                <w:szCs w:val="18"/>
                <w:lang w:val="fr-FR" w:eastAsia="fr-FR"/>
              </w:rPr>
              <w:t>14 842</w:t>
            </w:r>
          </w:p>
        </w:tc>
      </w:tr>
      <w:tr w:rsidR="00CF3516" w:rsidRPr="00652BC6" w:rsidTr="00652BC6">
        <w:trPr>
          <w:jc w:val="center"/>
        </w:trPr>
        <w:tc>
          <w:tcPr>
            <w:tcW w:w="5670" w:type="dxa"/>
            <w:vAlign w:val="center"/>
          </w:tcPr>
          <w:p w:rsidR="004B3541" w:rsidRDefault="00EB214A" w:rsidP="00FF0D12">
            <w:pPr>
              <w:keepNext/>
              <w:keepLines/>
              <w:spacing w:beforeLines="20" w:afterLines="20"/>
              <w:rPr>
                <w:color w:val="000000"/>
                <w:sz w:val="20"/>
                <w:szCs w:val="18"/>
                <w:lang w:val="fr-FR"/>
              </w:rPr>
            </w:pPr>
            <w:r w:rsidRPr="00EB214A">
              <w:rPr>
                <w:rFonts w:eastAsiaTheme="minorEastAsia"/>
                <w:color w:val="000000"/>
                <w:sz w:val="20"/>
                <w:szCs w:val="18"/>
                <w:lang w:val="fr-FR" w:eastAsia="zh-CN"/>
              </w:rPr>
              <w:t xml:space="preserve">CONASUR </w:t>
            </w:r>
            <w:r w:rsidRPr="00EB214A">
              <w:rPr>
                <w:color w:val="000000"/>
                <w:sz w:val="20"/>
                <w:szCs w:val="18"/>
                <w:lang w:val="fr-FR"/>
              </w:rPr>
              <w:t>Populations v</w:t>
            </w:r>
            <w:r w:rsidRPr="00EB214A">
              <w:rPr>
                <w:rFonts w:eastAsiaTheme="minorEastAsia"/>
                <w:color w:val="000000"/>
                <w:sz w:val="20"/>
                <w:szCs w:val="18"/>
                <w:lang w:val="fr-FR" w:eastAsia="zh-CN"/>
              </w:rPr>
              <w:t xml:space="preserve">ulnérables </w:t>
            </w:r>
            <w:r w:rsidRPr="00EB214A">
              <w:rPr>
                <w:rFonts w:eastAsiaTheme="minorEastAsia"/>
                <w:color w:val="000000"/>
                <w:sz w:val="20"/>
                <w:szCs w:val="18"/>
                <w:vertAlign w:val="superscript"/>
                <w:lang w:val="fr-FR" w:eastAsia="zh-CN"/>
              </w:rPr>
              <w:t>(*)</w:t>
            </w:r>
            <w:r w:rsidRPr="00EB214A">
              <w:rPr>
                <w:rFonts w:eastAsiaTheme="minorEastAsia"/>
                <w:color w:val="000000"/>
                <w:sz w:val="20"/>
                <w:szCs w:val="18"/>
                <w:lang w:val="fr-FR" w:eastAsia="zh-CN"/>
              </w:rPr>
              <w:t xml:space="preserve"> (</w:t>
            </w:r>
            <w:r w:rsidRPr="00EB214A">
              <w:rPr>
                <w:color w:val="000000"/>
                <w:sz w:val="20"/>
                <w:szCs w:val="18"/>
                <w:lang w:val="fr-FR"/>
              </w:rPr>
              <w:t xml:space="preserve">données </w:t>
            </w:r>
            <w:r w:rsidRPr="00EB214A">
              <w:rPr>
                <w:rFonts w:eastAsiaTheme="minorEastAsia"/>
                <w:color w:val="000000"/>
                <w:sz w:val="20"/>
                <w:szCs w:val="18"/>
                <w:lang w:val="fr-FR" w:eastAsia="zh-CN"/>
              </w:rPr>
              <w:t>2008)</w:t>
            </w:r>
          </w:p>
        </w:tc>
        <w:tc>
          <w:tcPr>
            <w:tcW w:w="1984" w:type="dxa"/>
          </w:tcPr>
          <w:p w:rsidR="004B3541" w:rsidRDefault="00EB214A" w:rsidP="00FF0D12">
            <w:pPr>
              <w:keepNext/>
              <w:keepLines/>
              <w:spacing w:beforeLines="20" w:afterLines="20"/>
              <w:jc w:val="right"/>
              <w:rPr>
                <w:sz w:val="20"/>
                <w:szCs w:val="18"/>
                <w:lang w:val="fr-FR"/>
              </w:rPr>
            </w:pPr>
            <w:r w:rsidRPr="00EB214A">
              <w:rPr>
                <w:rFonts w:eastAsiaTheme="minorEastAsia"/>
                <w:sz w:val="20"/>
                <w:szCs w:val="18"/>
                <w:lang w:val="fr-FR" w:eastAsia="zh-CN"/>
              </w:rPr>
              <w:t>31 800</w:t>
            </w:r>
          </w:p>
        </w:tc>
      </w:tr>
      <w:tr w:rsidR="00CF3516" w:rsidRPr="00652BC6" w:rsidTr="00652BC6">
        <w:trPr>
          <w:jc w:val="center"/>
        </w:trPr>
        <w:tc>
          <w:tcPr>
            <w:tcW w:w="5670" w:type="dxa"/>
            <w:tcBorders>
              <w:bottom w:val="single" w:sz="4" w:space="0" w:color="auto"/>
            </w:tcBorders>
            <w:vAlign w:val="center"/>
          </w:tcPr>
          <w:p w:rsidR="004B3541" w:rsidRDefault="00EB214A" w:rsidP="00FF0D12">
            <w:pPr>
              <w:keepNext/>
              <w:keepLines/>
              <w:spacing w:beforeLines="20" w:afterLines="20"/>
              <w:rPr>
                <w:color w:val="000000"/>
                <w:sz w:val="20"/>
                <w:szCs w:val="18"/>
                <w:lang w:val="fr-FR"/>
              </w:rPr>
            </w:pPr>
            <w:r w:rsidRPr="00EB214A">
              <w:rPr>
                <w:rFonts w:eastAsiaTheme="minorEastAsia"/>
                <w:color w:val="000000"/>
                <w:sz w:val="20"/>
                <w:szCs w:val="18"/>
                <w:lang w:val="fr-FR" w:eastAsia="zh-CN"/>
              </w:rPr>
              <w:t>CONASUR</w:t>
            </w:r>
            <w:r w:rsidRPr="00EB214A">
              <w:rPr>
                <w:rFonts w:eastAsiaTheme="minorEastAsia"/>
                <w:sz w:val="20"/>
                <w:szCs w:val="18"/>
                <w:lang w:val="fr-FR" w:eastAsia="zh-CN"/>
              </w:rPr>
              <w:t xml:space="preserve"> </w:t>
            </w:r>
            <w:r w:rsidRPr="00EB214A">
              <w:rPr>
                <w:sz w:val="20"/>
                <w:szCs w:val="18"/>
                <w:lang w:val="fr-FR"/>
              </w:rPr>
              <w:t>Personnes victimes de catastrophes</w:t>
            </w:r>
            <w:r w:rsidRPr="00EB214A">
              <w:rPr>
                <w:rFonts w:eastAsiaTheme="minorEastAsia"/>
                <w:sz w:val="20"/>
                <w:szCs w:val="18"/>
                <w:lang w:val="fr-FR" w:eastAsia="zh-CN"/>
              </w:rPr>
              <w:t xml:space="preserve"> </w:t>
            </w:r>
            <w:r w:rsidRPr="00EB214A">
              <w:rPr>
                <w:rFonts w:eastAsiaTheme="minorEastAsia"/>
                <w:sz w:val="20"/>
                <w:szCs w:val="18"/>
                <w:vertAlign w:val="superscript"/>
                <w:lang w:val="fr-FR" w:eastAsia="zh-CN"/>
              </w:rPr>
              <w:t>(**)</w:t>
            </w:r>
            <w:r w:rsidRPr="00EB214A">
              <w:rPr>
                <w:rFonts w:eastAsiaTheme="minorEastAsia"/>
                <w:sz w:val="20"/>
                <w:szCs w:val="18"/>
                <w:lang w:val="fr-FR" w:eastAsia="zh-CN"/>
              </w:rPr>
              <w:t xml:space="preserve"> (</w:t>
            </w:r>
            <w:r w:rsidRPr="00EB214A">
              <w:rPr>
                <w:color w:val="000000"/>
                <w:sz w:val="20"/>
                <w:szCs w:val="18"/>
                <w:lang w:val="fr-FR"/>
              </w:rPr>
              <w:t xml:space="preserve">données </w:t>
            </w:r>
            <w:r w:rsidRPr="00EB214A">
              <w:rPr>
                <w:rFonts w:eastAsiaTheme="minorEastAsia"/>
                <w:sz w:val="20"/>
                <w:szCs w:val="18"/>
                <w:lang w:val="fr-FR" w:eastAsia="zh-CN"/>
              </w:rPr>
              <w:t>2008)</w:t>
            </w:r>
          </w:p>
        </w:tc>
        <w:tc>
          <w:tcPr>
            <w:tcW w:w="1984" w:type="dxa"/>
            <w:tcBorders>
              <w:bottom w:val="single" w:sz="4" w:space="0" w:color="auto"/>
            </w:tcBorders>
          </w:tcPr>
          <w:p w:rsidR="004B3541" w:rsidRDefault="00EB214A" w:rsidP="00FF0D12">
            <w:pPr>
              <w:keepNext/>
              <w:keepLines/>
              <w:spacing w:beforeLines="20" w:afterLines="20"/>
              <w:jc w:val="right"/>
              <w:rPr>
                <w:sz w:val="20"/>
                <w:szCs w:val="18"/>
                <w:lang w:val="fr-FR"/>
              </w:rPr>
            </w:pPr>
            <w:r w:rsidRPr="00EB214A">
              <w:rPr>
                <w:rFonts w:eastAsiaTheme="minorEastAsia"/>
                <w:sz w:val="20"/>
                <w:szCs w:val="18"/>
                <w:lang w:val="fr-FR" w:eastAsia="zh-CN"/>
              </w:rPr>
              <w:t>12 550</w:t>
            </w:r>
          </w:p>
        </w:tc>
      </w:tr>
      <w:tr w:rsidR="00CF3516" w:rsidRPr="00652BC6" w:rsidTr="00652BC6">
        <w:trPr>
          <w:jc w:val="center"/>
        </w:trPr>
        <w:tc>
          <w:tcPr>
            <w:tcW w:w="5670" w:type="dxa"/>
            <w:tcBorders>
              <w:top w:val="single" w:sz="4" w:space="0" w:color="auto"/>
              <w:bottom w:val="single" w:sz="4" w:space="0" w:color="auto"/>
            </w:tcBorders>
          </w:tcPr>
          <w:p w:rsidR="004B3541" w:rsidRDefault="00EB214A" w:rsidP="00FF0D12">
            <w:pPr>
              <w:keepNext/>
              <w:keepLines/>
              <w:spacing w:beforeLines="20" w:afterLines="20"/>
              <w:rPr>
                <w:sz w:val="20"/>
                <w:szCs w:val="18"/>
                <w:lang w:val="fr-FR"/>
              </w:rPr>
            </w:pPr>
            <w:r w:rsidRPr="00EB214A">
              <w:rPr>
                <w:rFonts w:eastAsiaTheme="minorEastAsia"/>
                <w:sz w:val="20"/>
                <w:szCs w:val="18"/>
                <w:lang w:val="fr-FR" w:eastAsia="zh-CN"/>
              </w:rPr>
              <w:t>Total</w:t>
            </w:r>
          </w:p>
        </w:tc>
        <w:tc>
          <w:tcPr>
            <w:tcW w:w="1984" w:type="dxa"/>
            <w:tcBorders>
              <w:top w:val="single" w:sz="4" w:space="0" w:color="auto"/>
              <w:bottom w:val="single" w:sz="4" w:space="0" w:color="auto"/>
            </w:tcBorders>
          </w:tcPr>
          <w:p w:rsidR="004B3541" w:rsidRDefault="00EB214A" w:rsidP="00FF0D12">
            <w:pPr>
              <w:keepNext/>
              <w:keepLines/>
              <w:spacing w:beforeLines="20" w:afterLines="20"/>
              <w:jc w:val="right"/>
              <w:rPr>
                <w:sz w:val="20"/>
                <w:szCs w:val="18"/>
                <w:lang w:val="fr-FR"/>
              </w:rPr>
            </w:pPr>
            <w:r w:rsidRPr="00EB214A">
              <w:rPr>
                <w:rFonts w:eastAsiaTheme="minorEastAsia"/>
                <w:sz w:val="20"/>
                <w:szCs w:val="18"/>
                <w:lang w:val="fr-FR" w:eastAsia="zh-CN"/>
              </w:rPr>
              <w:t>95,840</w:t>
            </w:r>
          </w:p>
        </w:tc>
      </w:tr>
    </w:tbl>
    <w:p w:rsidR="004B3541" w:rsidRDefault="00EB214A">
      <w:pPr>
        <w:tabs>
          <w:tab w:val="clear" w:pos="709"/>
          <w:tab w:val="left" w:pos="851"/>
        </w:tabs>
        <w:spacing w:after="0"/>
        <w:ind w:left="567"/>
        <w:rPr>
          <w:sz w:val="20"/>
          <w:szCs w:val="20"/>
          <w:lang w:val="fr-FR"/>
        </w:rPr>
      </w:pPr>
      <w:r w:rsidRPr="00EB214A">
        <w:rPr>
          <w:sz w:val="20"/>
          <w:vertAlign w:val="superscript"/>
          <w:lang w:val="fr-FR"/>
        </w:rPr>
        <w:t>(*)</w:t>
      </w:r>
      <w:r w:rsidRPr="00EB214A">
        <w:rPr>
          <w:sz w:val="20"/>
          <w:lang w:val="fr-FR"/>
        </w:rPr>
        <w:t xml:space="preserve"> </w:t>
      </w:r>
      <w:r w:rsidR="00652BC6">
        <w:rPr>
          <w:sz w:val="20"/>
          <w:lang w:val="fr-FR"/>
        </w:rPr>
        <w:tab/>
      </w:r>
      <w:r w:rsidR="00652BC6">
        <w:rPr>
          <w:sz w:val="20"/>
          <w:szCs w:val="20"/>
          <w:lang w:val="fr-FR"/>
        </w:rPr>
        <w:t>E</w:t>
      </w:r>
      <w:r w:rsidR="00CF3516" w:rsidRPr="00577EB1">
        <w:rPr>
          <w:sz w:val="20"/>
          <w:szCs w:val="20"/>
          <w:lang w:val="fr-FR"/>
        </w:rPr>
        <w:t>quivalent en rations individuelles mensuelles de la quantité de céréales fournies.</w:t>
      </w:r>
    </w:p>
    <w:p w:rsidR="004B3541" w:rsidRDefault="00652BC6">
      <w:pPr>
        <w:tabs>
          <w:tab w:val="clear" w:pos="709"/>
          <w:tab w:val="left" w:pos="851"/>
        </w:tabs>
        <w:spacing w:after="0"/>
        <w:ind w:left="567"/>
        <w:rPr>
          <w:i/>
          <w:sz w:val="20"/>
          <w:szCs w:val="20"/>
          <w:lang w:val="fr-FR"/>
        </w:rPr>
      </w:pPr>
      <w:r w:rsidRPr="00652BC6">
        <w:rPr>
          <w:sz w:val="20"/>
          <w:vertAlign w:val="superscript"/>
          <w:lang w:val="fr-FR"/>
        </w:rPr>
        <w:t>(</w:t>
      </w:r>
      <w:r>
        <w:rPr>
          <w:sz w:val="20"/>
          <w:vertAlign w:val="superscript"/>
          <w:lang w:val="fr-FR"/>
        </w:rPr>
        <w:t>*</w:t>
      </w:r>
      <w:r w:rsidRPr="00652BC6">
        <w:rPr>
          <w:sz w:val="20"/>
          <w:vertAlign w:val="superscript"/>
          <w:lang w:val="fr-FR"/>
        </w:rPr>
        <w:t>*)</w:t>
      </w:r>
      <w:r>
        <w:rPr>
          <w:sz w:val="20"/>
          <w:vertAlign w:val="superscript"/>
          <w:lang w:val="fr-FR"/>
        </w:rPr>
        <w:tab/>
      </w:r>
      <w:r w:rsidR="00EB214A" w:rsidRPr="00EB214A">
        <w:rPr>
          <w:sz w:val="20"/>
          <w:lang w:val="fr-FR"/>
        </w:rPr>
        <w:t>E</w:t>
      </w:r>
      <w:r>
        <w:rPr>
          <w:sz w:val="20"/>
          <w:lang w:val="fr-FR"/>
        </w:rPr>
        <w:t xml:space="preserve">quivalent en </w:t>
      </w:r>
      <w:r w:rsidRPr="00577EB1">
        <w:rPr>
          <w:sz w:val="20"/>
          <w:szCs w:val="20"/>
          <w:lang w:val="fr-FR"/>
        </w:rPr>
        <w:t>rations individuelles mensuelles de la quantité de céréales fournies</w:t>
      </w:r>
      <w:r w:rsidRPr="00652BC6">
        <w:rPr>
          <w:sz w:val="20"/>
          <w:szCs w:val="20"/>
          <w:lang w:val="fr-FR"/>
        </w:rPr>
        <w:t xml:space="preserve"> </w:t>
      </w:r>
      <w:r w:rsidR="00EB214A" w:rsidRPr="00EB214A">
        <w:rPr>
          <w:sz w:val="20"/>
          <w:szCs w:val="20"/>
          <w:lang w:val="fr-FR"/>
        </w:rPr>
        <w:t>En 2008, le CONASUR a enregistré 27 383 personnes victimes de catastrophes.</w:t>
      </w:r>
    </w:p>
    <w:p w:rsidR="004B3541" w:rsidRDefault="00CF3516">
      <w:pPr>
        <w:spacing w:before="120" w:after="480"/>
        <w:ind w:left="567"/>
        <w:rPr>
          <w:sz w:val="20"/>
          <w:szCs w:val="20"/>
          <w:lang w:val="fr-FR"/>
        </w:rPr>
      </w:pPr>
      <w:r w:rsidRPr="00577EB1">
        <w:rPr>
          <w:i/>
          <w:sz w:val="20"/>
          <w:szCs w:val="20"/>
          <w:lang w:val="fr-FR"/>
        </w:rPr>
        <w:t>Source</w:t>
      </w:r>
      <w:r w:rsidR="003203FB">
        <w:rPr>
          <w:i/>
          <w:sz w:val="20"/>
          <w:szCs w:val="20"/>
          <w:lang w:val="fr-FR"/>
        </w:rPr>
        <w:t> :</w:t>
      </w:r>
      <w:r w:rsidR="0007340F">
        <w:rPr>
          <w:i/>
          <w:sz w:val="20"/>
          <w:szCs w:val="20"/>
          <w:lang w:val="fr-FR"/>
        </w:rPr>
        <w:t xml:space="preserve"> </w:t>
      </w:r>
      <w:r w:rsidRPr="00577EB1">
        <w:rPr>
          <w:sz w:val="20"/>
          <w:szCs w:val="20"/>
          <w:lang w:val="fr-FR"/>
        </w:rPr>
        <w:t>PAM</w:t>
      </w:r>
      <w:r w:rsidR="0007340F">
        <w:rPr>
          <w:sz w:val="20"/>
          <w:szCs w:val="20"/>
          <w:lang w:val="fr-FR"/>
        </w:rPr>
        <w:t xml:space="preserve"> </w:t>
      </w:r>
      <w:r w:rsidRPr="00577EB1">
        <w:rPr>
          <w:sz w:val="20"/>
          <w:szCs w:val="20"/>
          <w:lang w:val="fr-FR"/>
        </w:rPr>
        <w:t>CRS</w:t>
      </w:r>
      <w:r w:rsidR="0007340F">
        <w:rPr>
          <w:sz w:val="20"/>
          <w:szCs w:val="20"/>
          <w:lang w:val="fr-FR"/>
        </w:rPr>
        <w:t xml:space="preserve"> </w:t>
      </w:r>
      <w:r w:rsidRPr="00577EB1">
        <w:rPr>
          <w:sz w:val="20"/>
          <w:szCs w:val="20"/>
          <w:lang w:val="fr-FR"/>
        </w:rPr>
        <w:t>CONASUR.</w:t>
      </w:r>
    </w:p>
    <w:p w:rsidR="00CF3516" w:rsidRPr="00577EB1" w:rsidRDefault="00CF3516" w:rsidP="00E52A30">
      <w:pPr>
        <w:widowControl w:val="0"/>
        <w:numPr>
          <w:ilvl w:val="0"/>
          <w:numId w:val="2"/>
        </w:numPr>
        <w:ind w:left="0" w:firstLine="0"/>
        <w:rPr>
          <w:lang w:val="fr-FR"/>
        </w:rPr>
      </w:pPr>
      <w:r w:rsidRPr="00577EB1">
        <w:rPr>
          <w:b/>
          <w:lang w:val="fr-FR"/>
        </w:rPr>
        <w:t>L’insécurité alimentaire est principalement un problème d’accès au Burkina Faso, et le choix des transferts monétaires pourrait être préféré.</w:t>
      </w:r>
      <w:r w:rsidRPr="00577EB1">
        <w:rPr>
          <w:bCs/>
          <w:lang w:val="fr-FR"/>
        </w:rPr>
        <w:t xml:space="preserve"> La production agricole est dominée par les céréales traditionnelles qui sont largement destinées à la consommation intérieure. Dans les régions du Nord et du Sahel, où la production est faible, les ménages ont besoin de sources de revenu pour acheter les céréales sur le marché. La production brute par habitant a augmenté de 20 % entre 1996 (0,236 tonnes) et 2009 (0,283 tonnes). L’accès est en cours d’amélioration à travers le développement de l’économie de marché et les efforts visant à l’étendre aux zones isolées. Les interventions monétaires associées aux interventions de marché peuvent avoir un impact positif sur le développement local (Encadré 7). Les transferts alimentaires peuvent nuire aux marchés locaux et entraver encore plus l’essor des négociants privés. Les vivres sont parfois fournis parce qu’il y a plus de chances que les femmes exercent un meilleur contrôle sur la nourriture qui leur est confiée et que cela devrait avoir un plus grand impact sur le bien être de la famille. Que ces avantages soient réels ou dignes des coûts supplémentaires demeure discutable. Il est clair que les transferts alimentaires resteront probablement nécessaires dans les années de sécheresse si les marchés ne parviennent pas à réagir de manière efficace. Finalement, les programmes devraient envisager de passer aux coupons monétaires chaque fois que possible, en particulier pour répondre à l’insécurité alimentaire/pauvreté chronique.</w:t>
      </w:r>
    </w:p>
    <w:p w:rsidR="00CF3516" w:rsidRPr="00577EB1" w:rsidRDefault="005738FE" w:rsidP="005738FE">
      <w:pPr>
        <w:pStyle w:val="Heading9"/>
      </w:pPr>
      <w:bookmarkStart w:id="172" w:name="_Ref135727402"/>
      <w:bookmarkStart w:id="173" w:name="_Toc129060277"/>
      <w:bookmarkStart w:id="174" w:name="_Toc262170079"/>
      <w:bookmarkStart w:id="175" w:name="_Toc269723980"/>
      <w:bookmarkStart w:id="176" w:name="_Toc269724020"/>
      <w:bookmarkStart w:id="177" w:name="_Toc269724126"/>
      <w:bookmarkStart w:id="178" w:name="_Toc284613567"/>
      <w:r w:rsidRPr="005738FE">
        <w:lastRenderedPageBreak/>
        <w:t xml:space="preserve">Encadré </w:t>
      </w:r>
      <w:r w:rsidR="00725419">
        <w:fldChar w:fldCharType="begin"/>
      </w:r>
      <w:r w:rsidRPr="005738FE">
        <w:instrText xml:space="preserve"> SEQ Encadré \* ARABIC </w:instrText>
      </w:r>
      <w:r w:rsidR="00725419">
        <w:fldChar w:fldCharType="separate"/>
      </w:r>
      <w:r w:rsidR="00EF56B2">
        <w:rPr>
          <w:noProof/>
        </w:rPr>
        <w:t>7</w:t>
      </w:r>
      <w:r w:rsidR="00725419">
        <w:fldChar w:fldCharType="end"/>
      </w:r>
      <w:bookmarkEnd w:id="172"/>
      <w:r w:rsidR="003203FB">
        <w:t> :</w:t>
      </w:r>
      <w:r w:rsidR="0007340F">
        <w:t xml:space="preserve"> </w:t>
      </w:r>
      <w:r w:rsidR="00CF3516" w:rsidRPr="00577EB1">
        <w:t>Transferts monétaires et en nature</w:t>
      </w:r>
      <w:r w:rsidR="0007340F">
        <w:t xml:space="preserve"> </w:t>
      </w:r>
      <w:r w:rsidR="00CF3516" w:rsidRPr="00577EB1">
        <w:t>Alternatives ou compléments ?</w:t>
      </w:r>
      <w:bookmarkEnd w:id="173"/>
      <w:bookmarkEnd w:id="174"/>
      <w:bookmarkEnd w:id="175"/>
      <w:bookmarkEnd w:id="176"/>
      <w:bookmarkEnd w:id="177"/>
      <w:bookmarkEnd w:id="178"/>
    </w:p>
    <w:tbl>
      <w:tblPr>
        <w:tblW w:w="5000" w:type="pct"/>
        <w:tblBorders>
          <w:top w:val="single" w:sz="4" w:space="0" w:color="auto"/>
          <w:left w:val="single" w:sz="4" w:space="0" w:color="auto"/>
          <w:bottom w:val="single" w:sz="4" w:space="0" w:color="auto"/>
          <w:right w:val="single" w:sz="4" w:space="0" w:color="auto"/>
        </w:tblBorders>
        <w:tblCellMar>
          <w:top w:w="227" w:type="dxa"/>
          <w:left w:w="227" w:type="dxa"/>
          <w:bottom w:w="227" w:type="dxa"/>
          <w:right w:w="227" w:type="dxa"/>
        </w:tblCellMar>
        <w:tblLook w:val="01E0"/>
      </w:tblPr>
      <w:tblGrid>
        <w:gridCol w:w="9243"/>
      </w:tblGrid>
      <w:tr w:rsidR="00CF3516" w:rsidRPr="000A70E6" w:rsidTr="008C3350">
        <w:tc>
          <w:tcPr>
            <w:tcW w:w="5000" w:type="pct"/>
            <w:shd w:val="clear" w:color="auto" w:fill="auto"/>
          </w:tcPr>
          <w:p w:rsidR="004B3541" w:rsidRDefault="00CF3516">
            <w:pPr>
              <w:keepNext/>
              <w:keepLines/>
              <w:autoSpaceDE w:val="0"/>
              <w:autoSpaceDN w:val="0"/>
              <w:adjustRightInd w:val="0"/>
              <w:rPr>
                <w:b/>
                <w:sz w:val="20"/>
                <w:szCs w:val="20"/>
                <w:lang w:val="fr-FR"/>
              </w:rPr>
            </w:pPr>
            <w:r w:rsidRPr="00577EB1">
              <w:rPr>
                <w:sz w:val="20"/>
                <w:szCs w:val="20"/>
                <w:lang w:val="fr-FR"/>
              </w:rPr>
              <w:t>Quand les programmes de transferts alimentaires sont-ils appropriés</w:t>
            </w:r>
            <w:r w:rsidR="0007340F">
              <w:rPr>
                <w:sz w:val="20"/>
                <w:szCs w:val="20"/>
                <w:lang w:val="fr-FR"/>
              </w:rPr>
              <w:t xml:space="preserve"> </w:t>
            </w:r>
            <w:r w:rsidRPr="00577EB1">
              <w:rPr>
                <w:sz w:val="20"/>
                <w:szCs w:val="20"/>
                <w:lang w:val="fr-FR"/>
              </w:rPr>
              <w:t>Quels sont les critères à considérer en décidant de la quantité à distribuer sous forme de rations et du montant en espèces. Les concepteurs de programmes devraient penser aux quatre considérations clés suivantes en décidant si les programmes de transferts alimentaires sont appropriés ou nécessaires</w:t>
            </w:r>
            <w:r w:rsidR="0007340F">
              <w:rPr>
                <w:sz w:val="20"/>
                <w:szCs w:val="20"/>
                <w:lang w:val="fr-FR"/>
              </w:rPr>
              <w:t xml:space="preserve"> </w:t>
            </w:r>
          </w:p>
          <w:p w:rsidR="004B3541" w:rsidRDefault="00CF3516">
            <w:pPr>
              <w:keepNext/>
              <w:keepLines/>
              <w:numPr>
                <w:ilvl w:val="0"/>
                <w:numId w:val="10"/>
              </w:numPr>
              <w:tabs>
                <w:tab w:val="clear" w:pos="709"/>
              </w:tabs>
              <w:autoSpaceDE w:val="0"/>
              <w:autoSpaceDN w:val="0"/>
              <w:adjustRightInd w:val="0"/>
              <w:spacing w:before="120" w:after="0"/>
              <w:ind w:left="284" w:hanging="284"/>
              <w:rPr>
                <w:b/>
                <w:sz w:val="20"/>
                <w:szCs w:val="20"/>
                <w:lang w:val="fr-FR"/>
              </w:rPr>
            </w:pPr>
            <w:r w:rsidRPr="00577EB1">
              <w:rPr>
                <w:b/>
                <w:sz w:val="20"/>
                <w:szCs w:val="20"/>
                <w:lang w:val="fr-FR"/>
              </w:rPr>
              <w:t xml:space="preserve">Le fonctionnement des marchés alimentaires, y compris l’accès, le transport et l’entreposage, et comment il se reflète sur les prix des denrées alimentaires. </w:t>
            </w:r>
            <w:r w:rsidRPr="00577EB1">
              <w:rPr>
                <w:sz w:val="20"/>
                <w:szCs w:val="20"/>
                <w:lang w:val="fr-FR"/>
              </w:rPr>
              <w:t>Si les marchés sont bien intégrés entre les régions, les transferts monétaires présentent un avantage du fait de la capacité supérieure du secteur privé à déplacer les produits alimentaires ou autres plus efficacement que le secteur public. En outre, certaines soutiennent que les transferts en espèces peuvent avoir un impact positif sur le petit commerce et d’autres activités économiques (Devereux, 2000). Par contre, lorsque les marchés sont étroits, pauvrement intégrés entre les régions ou monopolistiques, les transferts en espèces peuvent faire grimper les prix, ce qui réduit la valeur du transfert et risque de causer des difficultés supplémentaires aux ménages pauvres qui ne bénéficient d’aucun transfert (Devereux, Mvula, et Solomon 2006). Un suivi étroit des prix, pas de la production, est requis pour évaluer la situation.</w:t>
            </w:r>
          </w:p>
          <w:p w:rsidR="004B3541" w:rsidRDefault="00CF3516">
            <w:pPr>
              <w:keepNext/>
              <w:keepLines/>
              <w:numPr>
                <w:ilvl w:val="0"/>
                <w:numId w:val="10"/>
              </w:numPr>
              <w:tabs>
                <w:tab w:val="clear" w:pos="709"/>
              </w:tabs>
              <w:autoSpaceDE w:val="0"/>
              <w:autoSpaceDN w:val="0"/>
              <w:adjustRightInd w:val="0"/>
              <w:spacing w:before="120" w:after="0"/>
              <w:ind w:left="284" w:hanging="284"/>
              <w:rPr>
                <w:b/>
                <w:sz w:val="20"/>
                <w:szCs w:val="20"/>
                <w:lang w:val="fr-FR"/>
              </w:rPr>
            </w:pPr>
            <w:r w:rsidRPr="00577EB1">
              <w:rPr>
                <w:b/>
                <w:sz w:val="20"/>
                <w:szCs w:val="20"/>
                <w:lang w:val="fr-FR"/>
              </w:rPr>
              <w:t xml:space="preserve">Le niveau des coûts de transaction pour le programme et pour les bénéficiaires. </w:t>
            </w:r>
            <w:r w:rsidRPr="00577EB1">
              <w:rPr>
                <w:sz w:val="20"/>
                <w:szCs w:val="20"/>
                <w:lang w:val="fr-FR"/>
              </w:rPr>
              <w:t>La plupart des arguments relatifs aux coûts de transaction font référence au coût élevé de la distribution des vivres fournis par les bailleurs de fonds par rapport au coût relativement plus bas de la distribution d’espèces. L’organisation de la distribution de produits alimentaires prend du temps, les denrées doivent être entreposées et transportées et sont sujettes à des pertes et à des vols</w:t>
            </w:r>
            <w:r w:rsidR="0007340F">
              <w:rPr>
                <w:sz w:val="20"/>
                <w:szCs w:val="20"/>
                <w:lang w:val="fr-FR"/>
              </w:rPr>
              <w:t xml:space="preserve"> </w:t>
            </w:r>
            <w:r w:rsidRPr="00577EB1">
              <w:rPr>
                <w:sz w:val="20"/>
                <w:szCs w:val="20"/>
                <w:lang w:val="fr-FR"/>
              </w:rPr>
              <w:t>et le secteur public a tendance à être peu efficace lorsqu’il s’agit de garder les prix à un bas niveau. Néanmoins, dans certains endroits où les canaux de commercialisation et de transport ne sont pas développés, le secteur public est le seul qui puisse approvisionner les marchés locaux adéquatement. Les coûts de transaction pour le bénéficiaire doivent être également pris en considération. Ils incluent le temps et le coût du déplacement vers marchés locaux, qui risquent d’augmenter lorsque les localités sont éloignées ou peu sûres.</w:t>
            </w:r>
          </w:p>
          <w:p w:rsidR="004B3541" w:rsidRDefault="00CF3516">
            <w:pPr>
              <w:keepNext/>
              <w:keepLines/>
              <w:numPr>
                <w:ilvl w:val="0"/>
                <w:numId w:val="10"/>
              </w:numPr>
              <w:tabs>
                <w:tab w:val="clear" w:pos="709"/>
              </w:tabs>
              <w:autoSpaceDE w:val="0"/>
              <w:autoSpaceDN w:val="0"/>
              <w:adjustRightInd w:val="0"/>
              <w:spacing w:before="120" w:after="0"/>
              <w:ind w:left="284" w:hanging="284"/>
              <w:rPr>
                <w:b/>
                <w:sz w:val="20"/>
                <w:szCs w:val="20"/>
                <w:lang w:val="fr-FR"/>
              </w:rPr>
            </w:pPr>
            <w:r w:rsidRPr="00577EB1">
              <w:rPr>
                <w:b/>
                <w:sz w:val="20"/>
                <w:szCs w:val="20"/>
                <w:lang w:val="fr-FR"/>
              </w:rPr>
              <w:t>L’impact de la forme et de la taille du transfert dans la détermination du niveau de consommation</w:t>
            </w:r>
            <w:r w:rsidRPr="00577EB1">
              <w:rPr>
                <w:sz w:val="20"/>
                <w:szCs w:val="20"/>
                <w:lang w:val="fr-FR"/>
              </w:rPr>
              <w:t xml:space="preserve"> </w:t>
            </w:r>
            <w:r w:rsidRPr="00577EB1">
              <w:rPr>
                <w:b/>
                <w:sz w:val="20"/>
                <w:szCs w:val="20"/>
                <w:lang w:val="fr-FR"/>
              </w:rPr>
              <w:t xml:space="preserve">alimentaire. </w:t>
            </w:r>
            <w:r w:rsidRPr="00577EB1">
              <w:rPr>
                <w:sz w:val="20"/>
                <w:szCs w:val="20"/>
                <w:lang w:val="fr-FR"/>
              </w:rPr>
              <w:t>Les ménages pauvres sont plus susceptibles de pouvoir consommer de la nourriture et d’en manger une qui soit de bonne qualité s’ils reçoivent un petit transfert. Certains avancent que les hommes peuvent utiliser les transferts monétaires pour acheter des produits tels que des cigarettes ou de l’alcool, et la littérature indique que de petits transferts de vivres entrainent une consommation alimentaire plus élevée que des transferts monétaires (del Ninno et Dorosh 2003</w:t>
            </w:r>
            <w:r w:rsidR="0007340F">
              <w:rPr>
                <w:sz w:val="20"/>
                <w:szCs w:val="20"/>
                <w:lang w:val="fr-FR"/>
              </w:rPr>
              <w:t xml:space="preserve"> </w:t>
            </w:r>
            <w:r w:rsidRPr="00577EB1">
              <w:rPr>
                <w:sz w:val="20"/>
                <w:szCs w:val="20"/>
                <w:lang w:val="fr-FR"/>
              </w:rPr>
              <w:t xml:space="preserve">Fraker 1990). En outre, Hoddinott et Islam (2007) ainsi que Jacoby (2002) montrent que, lorsqu’ils ont accès à de petits transferts de vivres de qualité, les ménages ont tendance à adhérer (en vertu de ce qu’on appelle le </w:t>
            </w:r>
            <w:r w:rsidRPr="00577EB1">
              <w:rPr>
                <w:i/>
                <w:sz w:val="20"/>
                <w:szCs w:val="20"/>
                <w:lang w:val="fr-FR"/>
              </w:rPr>
              <w:t>flypaper effect</w:t>
            </w:r>
            <w:r w:rsidRPr="00577EB1">
              <w:rPr>
                <w:sz w:val="20"/>
                <w:szCs w:val="20"/>
                <w:lang w:val="fr-FR"/>
              </w:rPr>
              <w:t xml:space="preserve"> ou effet papier tue-mouches, qui veut que l’argent reste là où il « s’est posé ») à des schémas de consommation et de répartition au sein du ménage, qui ont un impact positif sur la nutrition des enfants .</w:t>
            </w:r>
          </w:p>
          <w:p w:rsidR="004B3541" w:rsidRDefault="00CF3516">
            <w:pPr>
              <w:keepNext/>
              <w:keepLines/>
              <w:numPr>
                <w:ilvl w:val="0"/>
                <w:numId w:val="10"/>
              </w:numPr>
              <w:tabs>
                <w:tab w:val="clear" w:pos="709"/>
              </w:tabs>
              <w:autoSpaceDE w:val="0"/>
              <w:autoSpaceDN w:val="0"/>
              <w:adjustRightInd w:val="0"/>
              <w:spacing w:before="120" w:after="0"/>
              <w:ind w:left="284" w:hanging="284"/>
              <w:rPr>
                <w:b/>
                <w:sz w:val="20"/>
                <w:szCs w:val="20"/>
                <w:lang w:val="fr-FR"/>
              </w:rPr>
            </w:pPr>
            <w:r w:rsidRPr="00577EB1">
              <w:rPr>
                <w:b/>
                <w:sz w:val="20"/>
                <w:szCs w:val="20"/>
                <w:lang w:val="fr-FR"/>
              </w:rPr>
              <w:t>Les préférences des bénéficiaires.</w:t>
            </w:r>
            <w:r w:rsidRPr="00577EB1">
              <w:rPr>
                <w:sz w:val="20"/>
                <w:szCs w:val="20"/>
                <w:lang w:val="fr-FR"/>
              </w:rPr>
              <w:t xml:space="preserve"> Les préférences des bénéficiaires peuvent varier selon les circonstances. Même s’ils peuvent préférer les transferts monétaires, parce que ceux-ci sont plus flexibles, ils veulent quand même maximiser le niveau du transfert et leur contrôle sur ce dernier. C’est pourquoi dans certaines circonstances, les femmes peuvent préférer les vivres à l’argent (voir Ahmed, Quisumbing et Hoddinott 2007 sur le Bangladesh</w:t>
            </w:r>
            <w:r w:rsidR="0007340F">
              <w:rPr>
                <w:sz w:val="20"/>
                <w:szCs w:val="20"/>
                <w:lang w:val="fr-FR"/>
              </w:rPr>
              <w:t xml:space="preserve"> </w:t>
            </w:r>
            <w:r w:rsidRPr="00577EB1">
              <w:rPr>
                <w:sz w:val="20"/>
                <w:szCs w:val="20"/>
                <w:lang w:val="fr-FR"/>
              </w:rPr>
              <w:t>et Sharma 2006 sur le Sri Lanka).</w:t>
            </w:r>
            <w:r w:rsidRPr="00577EB1">
              <w:rPr>
                <w:b/>
                <w:lang w:val="fr-FR"/>
              </w:rPr>
              <w:t xml:space="preserve"> </w:t>
            </w:r>
          </w:p>
        </w:tc>
      </w:tr>
    </w:tbl>
    <w:p w:rsidR="004B3541" w:rsidRDefault="00CF3516">
      <w:pPr>
        <w:keepLines/>
        <w:spacing w:before="120" w:after="480"/>
        <w:rPr>
          <w:sz w:val="20"/>
          <w:lang w:val="fr-FR"/>
        </w:rPr>
      </w:pPr>
      <w:r w:rsidRPr="00577EB1">
        <w:rPr>
          <w:i/>
          <w:sz w:val="20"/>
          <w:lang w:val="fr-FR"/>
        </w:rPr>
        <w:t>Source</w:t>
      </w:r>
      <w:r w:rsidR="003203FB">
        <w:rPr>
          <w:i/>
          <w:sz w:val="20"/>
          <w:lang w:val="fr-FR"/>
        </w:rPr>
        <w:t> :</w:t>
      </w:r>
      <w:r w:rsidR="0007340F">
        <w:rPr>
          <w:i/>
          <w:sz w:val="20"/>
          <w:lang w:val="fr-FR"/>
        </w:rPr>
        <w:t xml:space="preserve"> </w:t>
      </w:r>
      <w:r w:rsidRPr="00577EB1">
        <w:rPr>
          <w:sz w:val="20"/>
          <w:lang w:val="fr-FR"/>
        </w:rPr>
        <w:t>Grosh et coll., 2008.</w:t>
      </w:r>
    </w:p>
    <w:p w:rsidR="00CF3516" w:rsidRPr="00577EB1" w:rsidRDefault="00CF3516" w:rsidP="00CF3516">
      <w:pPr>
        <w:pStyle w:val="Style3"/>
        <w:jc w:val="left"/>
        <w:rPr>
          <w:lang w:val="fr-FR"/>
        </w:rPr>
      </w:pPr>
      <w:r w:rsidRPr="00577EB1">
        <w:rPr>
          <w:lang w:val="fr-FR"/>
        </w:rPr>
        <w:t>Programmes de nutrition</w:t>
      </w:r>
    </w:p>
    <w:p w:rsidR="00CF3516" w:rsidRPr="00577EB1" w:rsidRDefault="00CF3516" w:rsidP="00E52A30">
      <w:pPr>
        <w:numPr>
          <w:ilvl w:val="0"/>
          <w:numId w:val="2"/>
        </w:numPr>
        <w:tabs>
          <w:tab w:val="clear" w:pos="709"/>
        </w:tabs>
        <w:ind w:left="0" w:firstLine="0"/>
        <w:rPr>
          <w:bCs/>
          <w:szCs w:val="20"/>
          <w:lang w:val="fr-FR"/>
        </w:rPr>
      </w:pPr>
      <w:r w:rsidRPr="00577EB1">
        <w:rPr>
          <w:b/>
          <w:lang w:val="fr-FR"/>
        </w:rPr>
        <w:t>Le Burkina Faso et ses partenaires, l’UNICEF et la Banque mondiale en particulier, ont fait des efforts substantiels depuis 2003 pour accroitre les interventions nutritionnelles.</w:t>
      </w:r>
      <w:r w:rsidRPr="00577EB1">
        <w:rPr>
          <w:lang w:val="fr-FR"/>
        </w:rPr>
        <w:t xml:space="preserve"> L’UNICEF, le PAM, </w:t>
      </w:r>
      <w:r w:rsidR="00CE66B6">
        <w:rPr>
          <w:lang w:val="fr-FR"/>
        </w:rPr>
        <w:t>l’</w:t>
      </w:r>
      <w:r w:rsidRPr="00577EB1">
        <w:rPr>
          <w:lang w:val="fr-FR"/>
        </w:rPr>
        <w:t xml:space="preserve">ECHO et leurs ONG partenaires sont particulièrement actifs au niveau du traitement des enfants de moins de 5 ans modérément et sévèrement malnutris, ainsi que des femmes enceintes et allaitantes. Le PAM fournit aussi un </w:t>
      </w:r>
      <w:r w:rsidR="00A23A26">
        <w:rPr>
          <w:lang w:val="fr-FR"/>
        </w:rPr>
        <w:t>soutien alimentaire</w:t>
      </w:r>
      <w:r w:rsidRPr="00577EB1">
        <w:rPr>
          <w:lang w:val="fr-FR"/>
        </w:rPr>
        <w:t xml:space="preserve"> aux personnes vivant avec le VIH. Bien que le système national d’information sur la santé n’arrive pas encore à suivre les données sur la </w:t>
      </w:r>
      <w:r w:rsidRPr="00577EB1">
        <w:rPr>
          <w:lang w:val="fr-FR"/>
        </w:rPr>
        <w:lastRenderedPageBreak/>
        <w:t>nutrition, l’UNICEF estime le nombre d’enfants sévèrement malnutris traités en 2009 à environ 25 000</w:t>
      </w:r>
      <w:r w:rsidR="0007340F">
        <w:rPr>
          <w:lang w:val="fr-FR"/>
        </w:rPr>
        <w:t xml:space="preserve"> </w:t>
      </w:r>
      <w:r w:rsidRPr="00577EB1">
        <w:rPr>
          <w:lang w:val="fr-FR"/>
        </w:rPr>
        <w:t xml:space="preserve">dont 90 % vont mieux, 2 % ont abandonné le traitement et 2 % sont morts (pas d’information sur les 6 % restant). Les rapports de Médecins sans frontières sur les districts de Titao et de Yako faisaient état de plus de 20 000 enfants sévèrement malnutris traités en 2008. </w:t>
      </w:r>
    </w:p>
    <w:p w:rsidR="00CF3516" w:rsidRPr="00577EB1" w:rsidRDefault="00CF3516" w:rsidP="00E52A30">
      <w:pPr>
        <w:numPr>
          <w:ilvl w:val="0"/>
          <w:numId w:val="2"/>
        </w:numPr>
        <w:tabs>
          <w:tab w:val="clear" w:pos="709"/>
        </w:tabs>
        <w:ind w:left="0" w:firstLine="0"/>
        <w:rPr>
          <w:bCs/>
          <w:szCs w:val="20"/>
          <w:lang w:val="fr-FR"/>
        </w:rPr>
      </w:pPr>
      <w:r w:rsidRPr="00577EB1">
        <w:rPr>
          <w:b/>
          <w:lang w:val="fr-FR"/>
        </w:rPr>
        <w:t>La couverture inadéquate</w:t>
      </w:r>
      <w:r w:rsidRPr="00577EB1">
        <w:rPr>
          <w:lang w:val="fr-FR"/>
        </w:rPr>
        <w:t xml:space="preserve"> </w:t>
      </w:r>
      <w:r w:rsidRPr="00577EB1">
        <w:rPr>
          <w:b/>
          <w:lang w:val="fr-FR"/>
        </w:rPr>
        <w:t xml:space="preserve">du dépistage et de la gestion de la malnutrition aiguë sévère constitue un des principaux défis pour la réalisation des OMD liés à la nutrition </w:t>
      </w:r>
      <w:r w:rsidRPr="00577EB1">
        <w:rPr>
          <w:lang w:val="fr-FR"/>
        </w:rPr>
        <w:t>(Encadré 8).</w:t>
      </w:r>
      <w:r w:rsidR="0007340F">
        <w:rPr>
          <w:b/>
          <w:lang w:val="fr-FR"/>
        </w:rPr>
        <w:t xml:space="preserve"> </w:t>
      </w:r>
      <w:r w:rsidRPr="00577EB1">
        <w:rPr>
          <w:lang w:val="fr-FR"/>
        </w:rPr>
        <w:t xml:space="preserve"> Malgré des efforts considérables, la situation nutritionnelle demeure alarmante. Environ 2 enfants de moins de 5 ans sur 5 souffrent de malnutrition aiguë, en particulier les enfants âgés de 24 à 59 mois. Plus d’un enfant sur trois accuse un retard de croissance</w:t>
      </w:r>
      <w:r w:rsidR="0007340F">
        <w:rPr>
          <w:lang w:val="fr-FR"/>
        </w:rPr>
        <w:t xml:space="preserve"> </w:t>
      </w:r>
      <w:r w:rsidRPr="00577EB1">
        <w:rPr>
          <w:lang w:val="fr-FR"/>
        </w:rPr>
        <w:t>avec d’énormes disparités géographiques. Dans les zones rurales, une fille de 15 à 19 ans sur sept souffre de malnutrition. La hausse des prix alimentaires depuis 2006 a constitué un facteur de risque majeur d’augmentation de la malnutrition, en particulier en zones urbaines. Un des défis est de montrer comment le leadership du MdS en faveur de la nutrition pourrait créer des liens efficaces avec d’autres secteurs concernés, tels que la protection sociale, l’eau et l’environnement et le développement communautaire.</w:t>
      </w:r>
    </w:p>
    <w:p w:rsidR="00CF3516" w:rsidRPr="00577EB1" w:rsidRDefault="005738FE" w:rsidP="005738FE">
      <w:pPr>
        <w:pStyle w:val="Heading9"/>
      </w:pPr>
      <w:bookmarkStart w:id="179" w:name="_Toc269723981"/>
      <w:bookmarkStart w:id="180" w:name="_Toc269724021"/>
      <w:bookmarkStart w:id="181" w:name="_Toc269724127"/>
      <w:bookmarkStart w:id="182" w:name="_Toc284613568"/>
      <w:bookmarkStart w:id="183" w:name="_Ref135727414"/>
      <w:bookmarkStart w:id="184" w:name="_Toc262170080"/>
      <w:r w:rsidRPr="005738FE">
        <w:lastRenderedPageBreak/>
        <w:t xml:space="preserve">Encadré </w:t>
      </w:r>
      <w:r w:rsidR="00725419">
        <w:fldChar w:fldCharType="begin"/>
      </w:r>
      <w:r w:rsidRPr="005738FE">
        <w:instrText xml:space="preserve"> SEQ Encadré \* ARABIC </w:instrText>
      </w:r>
      <w:r w:rsidR="00725419">
        <w:fldChar w:fldCharType="separate"/>
      </w:r>
      <w:r w:rsidR="00EF56B2">
        <w:rPr>
          <w:noProof/>
        </w:rPr>
        <w:t>8</w:t>
      </w:r>
      <w:r w:rsidR="00725419">
        <w:fldChar w:fldCharType="end"/>
      </w:r>
      <w:r w:rsidR="003203FB">
        <w:t> :</w:t>
      </w:r>
      <w:r w:rsidR="0007340F">
        <w:t xml:space="preserve"> </w:t>
      </w:r>
      <w:r w:rsidR="00CF3516" w:rsidRPr="00577EB1">
        <w:t>Planification pour le passage à l’échelle supérieure des intervenions nutritionnelles</w:t>
      </w:r>
      <w:bookmarkEnd w:id="179"/>
      <w:bookmarkEnd w:id="180"/>
      <w:bookmarkEnd w:id="181"/>
      <w:bookmarkEnd w:id="182"/>
    </w:p>
    <w:tbl>
      <w:tblPr>
        <w:tblW w:w="9044" w:type="dxa"/>
        <w:tblBorders>
          <w:top w:val="single" w:sz="4" w:space="0" w:color="auto"/>
          <w:left w:val="single" w:sz="4" w:space="0" w:color="auto"/>
          <w:bottom w:val="single" w:sz="4" w:space="0" w:color="auto"/>
          <w:right w:val="single" w:sz="4" w:space="0" w:color="auto"/>
        </w:tblBorders>
        <w:tblLayout w:type="fixed"/>
        <w:tblCellMar>
          <w:left w:w="113" w:type="dxa"/>
          <w:right w:w="113" w:type="dxa"/>
        </w:tblCellMar>
        <w:tblLook w:val="01E0"/>
      </w:tblPr>
      <w:tblGrid>
        <w:gridCol w:w="9044"/>
      </w:tblGrid>
      <w:tr w:rsidR="00CF3516" w:rsidRPr="000A70E6" w:rsidTr="0050199E">
        <w:tc>
          <w:tcPr>
            <w:tcW w:w="9044" w:type="dxa"/>
            <w:shd w:val="clear" w:color="auto" w:fill="auto"/>
          </w:tcPr>
          <w:bookmarkEnd w:id="183"/>
          <w:bookmarkEnd w:id="184"/>
          <w:p w:rsidR="004B3541" w:rsidRDefault="00CF3516">
            <w:pPr>
              <w:keepNext/>
              <w:keepLines/>
              <w:spacing w:after="120"/>
              <w:rPr>
                <w:b/>
                <w:sz w:val="18"/>
                <w:szCs w:val="18"/>
                <w:lang w:val="fr-FR"/>
              </w:rPr>
            </w:pPr>
            <w:r w:rsidRPr="00577EB1">
              <w:rPr>
                <w:b/>
                <w:sz w:val="18"/>
                <w:szCs w:val="18"/>
                <w:lang w:val="fr-FR"/>
              </w:rPr>
              <w:t xml:space="preserve">Le gouvernement et ses partenaires, l’UNICEF et la Banque mondiale en particulier, ont fait des efforts considérables depuis 2003 pour accroitre les interventions nutritionnelles. </w:t>
            </w:r>
            <w:r w:rsidRPr="00577EB1">
              <w:rPr>
                <w:sz w:val="18"/>
                <w:szCs w:val="18"/>
                <w:lang w:val="fr-FR"/>
              </w:rPr>
              <w:t xml:space="preserve">De 1993 à 2003, l’insuffisance pondérale a augmenté de 0,5 % par an, compromettant la réalisation des OMD et atteignant 35 % de personnes en sous poids en 2003. La résolution des problèmes de malnutrition a gagné en importance dans l’agenda du gouvernement et ceci a entrainé des résultats encourageants. </w:t>
            </w:r>
          </w:p>
          <w:p w:rsidR="004B3541" w:rsidRDefault="00CF3516">
            <w:pPr>
              <w:pStyle w:val="Caption"/>
              <w:keepNext/>
              <w:keepLines/>
              <w:spacing w:before="120"/>
              <w:rPr>
                <w:sz w:val="18"/>
                <w:szCs w:val="18"/>
                <w:lang w:val="fr-FR"/>
              </w:rPr>
            </w:pPr>
            <w:r w:rsidRPr="00577EB1">
              <w:rPr>
                <w:sz w:val="18"/>
                <w:szCs w:val="18"/>
                <w:lang w:val="fr-FR"/>
              </w:rPr>
              <w:t>Figure B6.1</w:t>
            </w:r>
            <w:r w:rsidR="0007340F">
              <w:rPr>
                <w:sz w:val="18"/>
                <w:szCs w:val="18"/>
                <w:lang w:val="fr-FR"/>
              </w:rPr>
              <w:t xml:space="preserve"> </w:t>
            </w:r>
            <w:r w:rsidRPr="00577EB1">
              <w:rPr>
                <w:sz w:val="18"/>
                <w:szCs w:val="18"/>
                <w:lang w:val="fr-FR"/>
              </w:rPr>
              <w:t>Tournant de la prévalence de l’insuffisance pondérale</w:t>
            </w:r>
          </w:p>
          <w:p w:rsidR="004B3541" w:rsidRDefault="00CF3516">
            <w:pPr>
              <w:keepNext/>
              <w:keepLines/>
              <w:jc w:val="center"/>
              <w:rPr>
                <w:b/>
                <w:sz w:val="18"/>
                <w:szCs w:val="18"/>
                <w:lang w:val="fr-FR"/>
              </w:rPr>
            </w:pPr>
            <w:r w:rsidRPr="00577EB1">
              <w:rPr>
                <w:lang w:val="fr-FR"/>
              </w:rPr>
              <w:object w:dxaOrig="6555"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157.4pt" o:ole="">
                  <v:imagedata r:id="rId30" o:title=""/>
                </v:shape>
                <o:OLEObject Type="Embed" ProgID="PBrush" ShapeID="_x0000_i1025" DrawAspect="Content" ObjectID="_1365855062" r:id="rId31"/>
              </w:object>
            </w:r>
          </w:p>
          <w:p w:rsidR="004B3541" w:rsidRDefault="00CF3516">
            <w:pPr>
              <w:pStyle w:val="Caption"/>
              <w:keepNext/>
              <w:keepLines/>
              <w:tabs>
                <w:tab w:val="clear" w:pos="709"/>
                <w:tab w:val="left" w:pos="1134"/>
              </w:tabs>
              <w:spacing w:before="0"/>
              <w:ind w:left="1276"/>
              <w:jc w:val="both"/>
              <w:rPr>
                <w:b w:val="0"/>
                <w:sz w:val="18"/>
                <w:szCs w:val="18"/>
                <w:lang w:val="fr-FR"/>
              </w:rPr>
            </w:pPr>
            <w:r w:rsidRPr="00577EB1">
              <w:rPr>
                <w:b w:val="0"/>
                <w:i/>
                <w:sz w:val="18"/>
                <w:szCs w:val="18"/>
                <w:lang w:val="fr-FR"/>
              </w:rPr>
              <w:t>Source</w:t>
            </w:r>
            <w:r w:rsidR="0007340F">
              <w:rPr>
                <w:b w:val="0"/>
                <w:i/>
                <w:sz w:val="18"/>
                <w:szCs w:val="18"/>
                <w:lang w:val="fr-FR"/>
              </w:rPr>
              <w:t xml:space="preserve"> </w:t>
            </w:r>
            <w:r w:rsidRPr="00577EB1">
              <w:rPr>
                <w:b w:val="0"/>
                <w:sz w:val="18"/>
                <w:szCs w:val="18"/>
                <w:lang w:val="fr-FR"/>
              </w:rPr>
              <w:t>OMS 2009, référence OMS 2005.</w:t>
            </w:r>
          </w:p>
          <w:p w:rsidR="004B3541" w:rsidRDefault="00CF3516">
            <w:pPr>
              <w:keepNext/>
              <w:keepLines/>
              <w:spacing w:after="120"/>
              <w:rPr>
                <w:sz w:val="18"/>
                <w:szCs w:val="18"/>
                <w:lang w:val="fr-FR"/>
              </w:rPr>
            </w:pPr>
            <w:r w:rsidRPr="00577EB1">
              <w:rPr>
                <w:b/>
                <w:sz w:val="18"/>
                <w:szCs w:val="18"/>
                <w:lang w:val="fr-FR" w:eastAsia="zh-CN"/>
              </w:rPr>
              <w:t>La réalisation</w:t>
            </w:r>
            <w:r w:rsidRPr="00577EB1">
              <w:rPr>
                <w:b/>
                <w:sz w:val="18"/>
                <w:szCs w:val="18"/>
                <w:lang w:val="fr-FR"/>
              </w:rPr>
              <w:t xml:space="preserve"> des OMD liés à la nutrition est possible</w:t>
            </w:r>
            <w:r w:rsidRPr="00577EB1">
              <w:rPr>
                <w:sz w:val="18"/>
                <w:szCs w:val="18"/>
                <w:lang w:val="fr-FR"/>
              </w:rPr>
              <w:t xml:space="preserve">. Il est urgent d’accélérer les efforts pour faire encore baisser la prévalence de l’insuffisance pondérale. </w:t>
            </w:r>
          </w:p>
          <w:p w:rsidR="004B3541" w:rsidRDefault="00CF3516">
            <w:pPr>
              <w:keepNext/>
              <w:keepLines/>
              <w:spacing w:after="120"/>
              <w:rPr>
                <w:sz w:val="18"/>
                <w:szCs w:val="18"/>
                <w:lang w:val="fr-FR"/>
              </w:rPr>
            </w:pPr>
            <w:r w:rsidRPr="00577EB1">
              <w:rPr>
                <w:b/>
                <w:sz w:val="18"/>
                <w:szCs w:val="18"/>
                <w:lang w:val="fr-FR"/>
              </w:rPr>
              <w:t>Aujourd’hui, le pays a</w:t>
            </w:r>
            <w:r w:rsidR="0007340F">
              <w:rPr>
                <w:b/>
                <w:sz w:val="18"/>
                <w:szCs w:val="18"/>
                <w:lang w:val="fr-FR"/>
              </w:rPr>
              <w:t xml:space="preserve"> </w:t>
            </w:r>
            <w:r w:rsidRPr="00577EB1">
              <w:rPr>
                <w:sz w:val="18"/>
                <w:szCs w:val="18"/>
                <w:lang w:val="fr-FR"/>
              </w:rPr>
              <w:t xml:space="preserve">un cadre approprié d'organisations, une vision bien définie et un Plan stratégique national de nutrition basé sur des résultats, incluant un plan d’action chiffré détaillé. Les principales sources de financement en matière de nutrition sont des fonds mis en commun (43 %, dont 8 % proviennent du fonds de la Banque mondiale pour la nutrition et 31 % de l’UNICEF). </w:t>
            </w:r>
          </w:p>
          <w:p w:rsidR="004B3541" w:rsidRDefault="00CF3516">
            <w:pPr>
              <w:keepNext/>
              <w:keepLines/>
              <w:spacing w:after="120"/>
              <w:rPr>
                <w:sz w:val="18"/>
                <w:szCs w:val="18"/>
                <w:lang w:val="fr-FR"/>
              </w:rPr>
            </w:pPr>
            <w:r w:rsidRPr="00577EB1">
              <w:rPr>
                <w:b/>
                <w:sz w:val="18"/>
                <w:szCs w:val="18"/>
                <w:lang w:val="fr-FR"/>
              </w:rPr>
              <w:t>Le Burkina Faso dispose d’un environnement favorable à la réussite</w:t>
            </w:r>
            <w:r w:rsidRPr="00577EB1">
              <w:rPr>
                <w:sz w:val="18"/>
                <w:szCs w:val="18"/>
                <w:lang w:val="fr-FR"/>
              </w:rPr>
              <w:t>, avec</w:t>
            </w:r>
            <w:r w:rsidR="0007340F">
              <w:rPr>
                <w:sz w:val="18"/>
                <w:szCs w:val="18"/>
                <w:lang w:val="fr-FR"/>
              </w:rPr>
              <w:t xml:space="preserve"> </w:t>
            </w:r>
            <w:r w:rsidRPr="00577EB1">
              <w:rPr>
                <w:sz w:val="18"/>
                <w:szCs w:val="18"/>
                <w:lang w:val="fr-FR"/>
              </w:rPr>
              <w:t>un engagement envers le Partenariat international pour la santé (IHP+) et la préparation du PACTE</w:t>
            </w:r>
            <w:r w:rsidR="0007340F">
              <w:rPr>
                <w:sz w:val="18"/>
                <w:szCs w:val="18"/>
                <w:lang w:val="fr-FR"/>
              </w:rPr>
              <w:t xml:space="preserve"> </w:t>
            </w:r>
            <w:r w:rsidRPr="00577EB1">
              <w:rPr>
                <w:sz w:val="18"/>
                <w:szCs w:val="18"/>
                <w:lang w:val="fr-FR"/>
              </w:rPr>
              <w:t>des mécanismes bien établis de financement en commun de la santé</w:t>
            </w:r>
            <w:r w:rsidR="0007340F">
              <w:rPr>
                <w:sz w:val="18"/>
                <w:szCs w:val="18"/>
                <w:lang w:val="fr-FR"/>
              </w:rPr>
              <w:t xml:space="preserve"> </w:t>
            </w:r>
            <w:r w:rsidRPr="00577EB1">
              <w:rPr>
                <w:sz w:val="18"/>
                <w:szCs w:val="18"/>
                <w:lang w:val="fr-FR"/>
              </w:rPr>
              <w:t>un solide appui au niveau de la nouvelle approche de passation de contrats avec des ONG en vue d’accélérer les programmes communautaires de santé et de nutrition</w:t>
            </w:r>
            <w:r w:rsidR="0007340F">
              <w:rPr>
                <w:sz w:val="18"/>
                <w:szCs w:val="18"/>
                <w:lang w:val="fr-FR"/>
              </w:rPr>
              <w:t xml:space="preserve"> </w:t>
            </w:r>
            <w:r w:rsidRPr="00577EB1">
              <w:rPr>
                <w:sz w:val="18"/>
                <w:szCs w:val="18"/>
                <w:lang w:val="fr-FR"/>
              </w:rPr>
              <w:t>et la mise en place d’un système de financement basé sur les performances.</w:t>
            </w:r>
          </w:p>
          <w:p w:rsidR="004B3541" w:rsidRDefault="00CF3516">
            <w:pPr>
              <w:keepNext/>
              <w:keepLines/>
              <w:spacing w:after="120"/>
              <w:rPr>
                <w:sz w:val="18"/>
                <w:szCs w:val="18"/>
                <w:lang w:val="fr-FR"/>
              </w:rPr>
            </w:pPr>
            <w:r w:rsidRPr="00577EB1">
              <w:rPr>
                <w:b/>
                <w:sz w:val="18"/>
                <w:szCs w:val="18"/>
                <w:lang w:val="fr-FR"/>
              </w:rPr>
              <w:t>Les principaux défis liés à la réalisation des OMD sont</w:t>
            </w:r>
            <w:r w:rsidR="0007340F">
              <w:rPr>
                <w:b/>
                <w:sz w:val="18"/>
                <w:szCs w:val="18"/>
                <w:lang w:val="fr-FR"/>
              </w:rPr>
              <w:t xml:space="preserve"> </w:t>
            </w:r>
            <w:r w:rsidRPr="00577EB1">
              <w:rPr>
                <w:sz w:val="18"/>
                <w:szCs w:val="18"/>
                <w:lang w:val="fr-FR"/>
              </w:rPr>
              <w:t>les pratiques inappropriées d’alimentation des nourrissons et enfants en bas âge (allaitement maternel exclusif pendant six mois et alimentation complémentaire)</w:t>
            </w:r>
            <w:r w:rsidR="0007340F">
              <w:rPr>
                <w:sz w:val="18"/>
                <w:szCs w:val="18"/>
                <w:lang w:val="fr-FR"/>
              </w:rPr>
              <w:t xml:space="preserve"> </w:t>
            </w:r>
            <w:r w:rsidRPr="00577EB1">
              <w:rPr>
                <w:sz w:val="18"/>
                <w:szCs w:val="18"/>
                <w:lang w:val="fr-FR"/>
              </w:rPr>
              <w:t>l’inadéquation de la couverture du dépistage et de la gestion de la malnutrition aiguë sévère</w:t>
            </w:r>
            <w:r w:rsidR="0007340F">
              <w:rPr>
                <w:sz w:val="18"/>
                <w:szCs w:val="18"/>
                <w:lang w:val="fr-FR"/>
              </w:rPr>
              <w:t xml:space="preserve"> </w:t>
            </w:r>
            <w:r w:rsidRPr="00577EB1">
              <w:rPr>
                <w:sz w:val="18"/>
                <w:szCs w:val="18"/>
                <w:lang w:val="fr-FR"/>
              </w:rPr>
              <w:t>l’utilisation inadéquate du zinc dans le traitement de la diarrhée chez les jeunes enfants</w:t>
            </w:r>
            <w:r w:rsidR="0007340F">
              <w:rPr>
                <w:sz w:val="18"/>
                <w:szCs w:val="18"/>
                <w:lang w:val="fr-FR"/>
              </w:rPr>
              <w:t xml:space="preserve"> </w:t>
            </w:r>
            <w:r w:rsidRPr="00577EB1">
              <w:rPr>
                <w:sz w:val="18"/>
                <w:szCs w:val="18"/>
                <w:lang w:val="fr-FR"/>
              </w:rPr>
              <w:t>la faible utilisation des moustiquaires traitées aux insecticides de longue durée par les femmes et les enfants</w:t>
            </w:r>
            <w:r w:rsidR="0007340F">
              <w:rPr>
                <w:sz w:val="18"/>
                <w:szCs w:val="18"/>
                <w:lang w:val="fr-FR"/>
              </w:rPr>
              <w:t xml:space="preserve"> </w:t>
            </w:r>
            <w:r w:rsidRPr="00577EB1">
              <w:rPr>
                <w:sz w:val="18"/>
                <w:szCs w:val="18"/>
                <w:lang w:val="fr-FR"/>
              </w:rPr>
              <w:t>le faible taux d’assainissement et les pratiques d’hygiène inadéquates</w:t>
            </w:r>
            <w:r w:rsidR="0007340F">
              <w:rPr>
                <w:sz w:val="18"/>
                <w:szCs w:val="18"/>
                <w:lang w:val="fr-FR"/>
              </w:rPr>
              <w:t xml:space="preserve"> </w:t>
            </w:r>
            <w:r w:rsidRPr="00577EB1">
              <w:rPr>
                <w:sz w:val="18"/>
                <w:szCs w:val="18"/>
                <w:lang w:val="fr-FR"/>
              </w:rPr>
              <w:t>l’insuffisance de personnes qualifiées pour la communication sur la nutrition et le changement des comportements</w:t>
            </w:r>
            <w:r w:rsidR="0007340F">
              <w:rPr>
                <w:sz w:val="18"/>
                <w:szCs w:val="18"/>
                <w:lang w:val="fr-FR"/>
              </w:rPr>
              <w:t xml:space="preserve"> </w:t>
            </w:r>
            <w:r w:rsidRPr="00577EB1">
              <w:rPr>
                <w:sz w:val="18"/>
                <w:szCs w:val="18"/>
                <w:lang w:val="fr-FR"/>
              </w:rPr>
              <w:t>et le financement inadéquat de la prévention de la malnutrition.</w:t>
            </w:r>
          </w:p>
          <w:p w:rsidR="004B3541" w:rsidRDefault="00CF3516">
            <w:pPr>
              <w:keepNext/>
              <w:keepLines/>
              <w:rPr>
                <w:sz w:val="18"/>
                <w:szCs w:val="18"/>
                <w:lang w:val="fr-FR"/>
              </w:rPr>
            </w:pPr>
            <w:r w:rsidRPr="00577EB1">
              <w:rPr>
                <w:b/>
                <w:sz w:val="18"/>
                <w:szCs w:val="18"/>
                <w:lang w:val="fr-FR"/>
              </w:rPr>
              <w:t>Pour étendre les interventions nutritionnelles et atteindre les OMD, le Burkina Faso doit encore</w:t>
            </w:r>
            <w:r w:rsidR="0007340F">
              <w:rPr>
                <w:b/>
                <w:sz w:val="18"/>
                <w:szCs w:val="18"/>
                <w:lang w:val="fr-FR"/>
              </w:rPr>
              <w:t xml:space="preserve"> </w:t>
            </w:r>
            <w:r w:rsidRPr="00577EB1">
              <w:rPr>
                <w:sz w:val="18"/>
                <w:szCs w:val="18"/>
                <w:lang w:val="fr-FR"/>
              </w:rPr>
              <w:t>renforcer la capacité nutritionnelle à tous les niveaux</w:t>
            </w:r>
            <w:r w:rsidR="0007340F">
              <w:rPr>
                <w:sz w:val="18"/>
                <w:szCs w:val="18"/>
                <w:lang w:val="fr-FR"/>
              </w:rPr>
              <w:t xml:space="preserve"> </w:t>
            </w:r>
            <w:r w:rsidRPr="00577EB1">
              <w:rPr>
                <w:sz w:val="18"/>
                <w:szCs w:val="18"/>
                <w:lang w:val="fr-FR"/>
              </w:rPr>
              <w:t>renforcer l’implication des ONG et des organisations communautaires dans les activités de nutrition communautaires</w:t>
            </w:r>
            <w:r w:rsidR="0007340F">
              <w:rPr>
                <w:sz w:val="18"/>
                <w:szCs w:val="18"/>
                <w:lang w:val="fr-FR"/>
              </w:rPr>
              <w:t xml:space="preserve"> </w:t>
            </w:r>
            <w:r w:rsidRPr="00577EB1">
              <w:rPr>
                <w:sz w:val="18"/>
                <w:szCs w:val="18"/>
                <w:lang w:val="fr-FR"/>
              </w:rPr>
              <w:t xml:space="preserve">et s’assurer des investissements adéquats et constants de la part du budget national et des partenaires au développement international. </w:t>
            </w:r>
          </w:p>
        </w:tc>
      </w:tr>
    </w:tbl>
    <w:p w:rsidR="004B3541" w:rsidRDefault="00CF3516">
      <w:pPr>
        <w:keepLines/>
        <w:spacing w:before="120" w:after="480"/>
        <w:rPr>
          <w:lang w:val="fr-FR"/>
        </w:rPr>
      </w:pPr>
      <w:r w:rsidRPr="00577EB1">
        <w:rPr>
          <w:i/>
          <w:sz w:val="20"/>
          <w:lang w:val="fr-FR"/>
        </w:rPr>
        <w:t>Source</w:t>
      </w:r>
      <w:r w:rsidR="003203FB">
        <w:rPr>
          <w:i/>
          <w:sz w:val="20"/>
          <w:lang w:val="fr-FR"/>
        </w:rPr>
        <w:t> :</w:t>
      </w:r>
      <w:r w:rsidR="0007340F">
        <w:rPr>
          <w:i/>
          <w:sz w:val="20"/>
          <w:lang w:val="fr-FR"/>
        </w:rPr>
        <w:t xml:space="preserve"> </w:t>
      </w:r>
      <w:r w:rsidRPr="00577EB1">
        <w:rPr>
          <w:sz w:val="20"/>
          <w:lang w:val="fr-FR"/>
        </w:rPr>
        <w:t>MdS, 2009.</w:t>
      </w:r>
    </w:p>
    <w:p w:rsidR="0050199E" w:rsidRPr="00577EB1" w:rsidRDefault="0050199E" w:rsidP="0050199E">
      <w:pPr>
        <w:keepNext/>
        <w:tabs>
          <w:tab w:val="left" w:pos="567"/>
        </w:tabs>
        <w:ind w:right="-90"/>
        <w:rPr>
          <w:b/>
          <w:szCs w:val="20"/>
          <w:lang w:val="fr-FR"/>
        </w:rPr>
      </w:pPr>
      <w:r w:rsidRPr="00577EB1">
        <w:rPr>
          <w:b/>
          <w:szCs w:val="20"/>
          <w:lang w:val="fr-FR"/>
        </w:rPr>
        <w:t>Cantines scolaires</w:t>
      </w:r>
    </w:p>
    <w:p w:rsidR="0050199E" w:rsidRPr="00577EB1" w:rsidRDefault="0050199E" w:rsidP="00E52A30">
      <w:pPr>
        <w:keepNext/>
        <w:numPr>
          <w:ilvl w:val="0"/>
          <w:numId w:val="2"/>
        </w:numPr>
        <w:ind w:left="0" w:right="-90" w:firstLine="0"/>
        <w:rPr>
          <w:szCs w:val="20"/>
          <w:lang w:val="fr-FR"/>
        </w:rPr>
      </w:pPr>
      <w:r w:rsidRPr="00577EB1">
        <w:rPr>
          <w:b/>
          <w:szCs w:val="20"/>
          <w:lang w:val="fr-FR"/>
        </w:rPr>
        <w:t xml:space="preserve">Les cantines scolaires constituent un des principaux programmes de filets sociaux actuellement en place au Burkina Faso. </w:t>
      </w:r>
      <w:r w:rsidRPr="00577EB1">
        <w:rPr>
          <w:bCs/>
          <w:szCs w:val="20"/>
          <w:lang w:val="fr-FR"/>
        </w:rPr>
        <w:t xml:space="preserve">En 2009, il représentait 24 % des dépenses totales consacrées aux filets sociaux et environ 38 % du nombre total estimé des bénéficiaires des filets sociaux (hors subvention de la nourriture et du carburant). Entre 2005 et 2009, le MEBA a dépensé à lui seul une moyenne de 4,2 milliards de francs CFA par an pour des activités « endogènes » de cantines scolaires (initiées par les communautés </w:t>
      </w:r>
      <w:r w:rsidRPr="00577EB1">
        <w:rPr>
          <w:bCs/>
          <w:szCs w:val="20"/>
          <w:lang w:val="fr-FR"/>
        </w:rPr>
        <w:lastRenderedPageBreak/>
        <w:t xml:space="preserve">et soutenues par l’État) dans les écoles primaires. CRS et le PAM mènent par ailleurs des programmes de cantines scolaires « assistées » dans les zones les plus vénérables. Actuellement, les écoles ne sont approvisionnées en vivres qu’une fois tous les trois mois par le MEBA, tandis que les programmes de CRS et du PAM leur fournissent </w:t>
      </w:r>
      <w:r w:rsidR="00A23A26">
        <w:rPr>
          <w:bCs/>
          <w:szCs w:val="20"/>
          <w:lang w:val="fr-FR"/>
        </w:rPr>
        <w:t>un</w:t>
      </w:r>
      <w:r w:rsidRPr="00577EB1">
        <w:rPr>
          <w:bCs/>
          <w:szCs w:val="20"/>
          <w:lang w:val="fr-FR"/>
        </w:rPr>
        <w:t xml:space="preserve"> appui pour toute l’année scolaire. Le programme du MEBA est complété par des contributions communautaires, soutenant les modèles de cantines scolaires endogènes. En 2005/2006, le DAMSE a révélé qu’un total de 4 636 écoles</w:t>
      </w:r>
      <w:r w:rsidR="0007340F">
        <w:rPr>
          <w:bCs/>
          <w:szCs w:val="20"/>
          <w:lang w:val="fr-FR"/>
        </w:rPr>
        <w:t xml:space="preserve"> </w:t>
      </w:r>
      <w:r w:rsidRPr="00577EB1">
        <w:rPr>
          <w:bCs/>
          <w:szCs w:val="20"/>
          <w:lang w:val="fr-FR"/>
        </w:rPr>
        <w:t>légèrement moins que la moitié du nombre total d’écoles primaires</w:t>
      </w:r>
      <w:r w:rsidR="0007340F">
        <w:rPr>
          <w:bCs/>
          <w:szCs w:val="20"/>
          <w:lang w:val="fr-FR"/>
        </w:rPr>
        <w:t xml:space="preserve"> </w:t>
      </w:r>
      <w:r w:rsidRPr="00577EB1">
        <w:rPr>
          <w:bCs/>
          <w:szCs w:val="20"/>
          <w:lang w:val="fr-FR"/>
        </w:rPr>
        <w:t>avait bénéficié de programmes de cantines scolaires assistés par CRS (46 %), le MEBA (45 %) et le PAM (9 %). La stratégie des cantines scolaires prévoit la reprise progressive des programmes de cantines scolaires de CRS par le MEBA et le maintien des programmes de cantines scolaires assistées au SAHEL cette région étant une zone d’insécurité alimentaire (Tableau 24). Le MESSRS soutient également des cantines scolaires dans les écoles secondaires</w:t>
      </w:r>
      <w:r w:rsidRPr="00577EB1">
        <w:rPr>
          <w:szCs w:val="20"/>
          <w:lang w:val="fr-FR"/>
        </w:rPr>
        <w:t>.</w:t>
      </w:r>
      <w:r w:rsidRPr="00577EB1">
        <w:rPr>
          <w:sz w:val="20"/>
          <w:szCs w:val="20"/>
          <w:vertAlign w:val="superscript"/>
          <w:lang w:val="fr-FR"/>
        </w:rPr>
        <w:footnoteReference w:id="39"/>
      </w:r>
      <w:r w:rsidRPr="00577EB1">
        <w:rPr>
          <w:szCs w:val="20"/>
          <w:lang w:val="fr-FR"/>
        </w:rPr>
        <w:t xml:space="preserve"> En 2007-2008, 20 700 élèves ont bénéficié de repas subventionnés dans 310 écoles. Bien que la demande soit en hausse, le budget de 2009 de 760 millions de francs CFA ne couvrait même pas 10 % des élèves. Le programme souffre également des faibles taux de recouvrement (45,73 % en 2007) et de divers problèmes de mise en œuvre (MESSRS 2009). </w:t>
      </w:r>
    </w:p>
    <w:p w:rsidR="0050199E" w:rsidRPr="00577EB1" w:rsidRDefault="001F3001" w:rsidP="006F1314">
      <w:pPr>
        <w:pStyle w:val="Heading7"/>
        <w:rPr>
          <w:lang w:val="fr-FR"/>
        </w:rPr>
      </w:pPr>
      <w:bookmarkStart w:id="185" w:name="_Ref135727438"/>
      <w:bookmarkStart w:id="186" w:name="_Toc262170055"/>
      <w:bookmarkStart w:id="187" w:name="_Toc284528599"/>
      <w:bookmarkStart w:id="188" w:name="_Toc284530535"/>
      <w:r w:rsidRPr="00577EB1">
        <w:rPr>
          <w:lang w:val="fr-FR"/>
        </w:rPr>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24</w:t>
      </w:r>
      <w:r w:rsidR="00725419" w:rsidRPr="00577EB1">
        <w:rPr>
          <w:lang w:val="fr-FR"/>
        </w:rPr>
        <w:fldChar w:fldCharType="end"/>
      </w:r>
      <w:bookmarkEnd w:id="185"/>
      <w:r w:rsidR="003203FB">
        <w:rPr>
          <w:lang w:val="fr-FR"/>
        </w:rPr>
        <w:t xml:space="preserve"> : </w:t>
      </w:r>
      <w:r w:rsidR="0050199E" w:rsidRPr="00577EB1">
        <w:rPr>
          <w:lang w:val="fr-FR"/>
        </w:rPr>
        <w:t>Principales caractéristiques des programmes de cantines scolaires dans les écoles primaires</w:t>
      </w:r>
      <w:bookmarkEnd w:id="186"/>
      <w:bookmarkEnd w:id="187"/>
      <w:bookmarkEnd w:id="188"/>
    </w:p>
    <w:tbl>
      <w:tblPr>
        <w:tblW w:w="0" w:type="auto"/>
        <w:tblLook w:val="00A0"/>
      </w:tblPr>
      <w:tblGrid>
        <w:gridCol w:w="1752"/>
        <w:gridCol w:w="1781"/>
        <w:gridCol w:w="1757"/>
        <w:gridCol w:w="1760"/>
        <w:gridCol w:w="1955"/>
      </w:tblGrid>
      <w:tr w:rsidR="0050199E" w:rsidRPr="00577EB1" w:rsidTr="0050199E">
        <w:tc>
          <w:tcPr>
            <w:tcW w:w="1801" w:type="dxa"/>
            <w:tcBorders>
              <w:top w:val="single" w:sz="4" w:space="0" w:color="auto"/>
              <w:bottom w:val="single" w:sz="4" w:space="0" w:color="auto"/>
              <w:right w:val="single" w:sz="4" w:space="0" w:color="auto"/>
            </w:tcBorders>
            <w:vAlign w:val="center"/>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Type de programme</w:t>
            </w:r>
          </w:p>
        </w:tc>
        <w:tc>
          <w:tcPr>
            <w:tcW w:w="5403" w:type="dxa"/>
            <w:gridSpan w:val="3"/>
            <w:tcBorders>
              <w:top w:val="single" w:sz="4" w:space="0" w:color="auto"/>
              <w:left w:val="single" w:sz="4" w:space="0" w:color="auto"/>
              <w:bottom w:val="single" w:sz="4" w:space="0" w:color="auto"/>
              <w:right w:val="single" w:sz="4" w:space="0" w:color="auto"/>
            </w:tcBorders>
            <w:vAlign w:val="center"/>
          </w:tcPr>
          <w:p w:rsidR="004B3541" w:rsidRDefault="0050199E" w:rsidP="00FF0D12">
            <w:pPr>
              <w:keepNext/>
              <w:keepLines/>
              <w:spacing w:beforeLines="20" w:afterLines="20"/>
              <w:ind w:right="-91"/>
              <w:jc w:val="center"/>
              <w:rPr>
                <w:rFonts w:eastAsia="SimSun"/>
                <w:bCs/>
                <w:sz w:val="18"/>
                <w:szCs w:val="18"/>
                <w:lang w:val="fr-FR"/>
              </w:rPr>
            </w:pPr>
            <w:r w:rsidRPr="00577EB1">
              <w:rPr>
                <w:rFonts w:eastAsia="SimSun"/>
                <w:bCs/>
                <w:sz w:val="18"/>
                <w:szCs w:val="18"/>
                <w:lang w:val="fr-FR"/>
              </w:rPr>
              <w:t>Cantine scolaire assistée</w:t>
            </w:r>
          </w:p>
        </w:tc>
        <w:tc>
          <w:tcPr>
            <w:tcW w:w="1801" w:type="dxa"/>
            <w:tcBorders>
              <w:top w:val="single" w:sz="4" w:space="0" w:color="auto"/>
              <w:left w:val="single" w:sz="4" w:space="0" w:color="auto"/>
              <w:bottom w:val="single" w:sz="4" w:space="0" w:color="auto"/>
            </w:tcBorders>
            <w:vAlign w:val="center"/>
          </w:tcPr>
          <w:p w:rsidR="004B3541" w:rsidRDefault="0050199E" w:rsidP="00FF0D12">
            <w:pPr>
              <w:keepNext/>
              <w:keepLines/>
              <w:spacing w:beforeLines="20" w:afterLines="20"/>
              <w:ind w:right="-91"/>
              <w:jc w:val="center"/>
              <w:rPr>
                <w:rFonts w:eastAsia="SimSun"/>
                <w:bCs/>
                <w:sz w:val="18"/>
                <w:szCs w:val="18"/>
                <w:lang w:val="fr-FR"/>
              </w:rPr>
            </w:pPr>
            <w:r w:rsidRPr="00577EB1">
              <w:rPr>
                <w:rFonts w:eastAsia="SimSun"/>
                <w:bCs/>
                <w:sz w:val="18"/>
                <w:szCs w:val="18"/>
                <w:lang w:val="fr-FR"/>
              </w:rPr>
              <w:t>Cantine scolaire endogène</w:t>
            </w:r>
          </w:p>
        </w:tc>
      </w:tr>
      <w:tr w:rsidR="0050199E" w:rsidRPr="00577EB1" w:rsidTr="0050199E">
        <w:tc>
          <w:tcPr>
            <w:tcW w:w="1801" w:type="dxa"/>
            <w:tcBorders>
              <w:top w:val="single" w:sz="4" w:space="0" w:color="auto"/>
              <w:bottom w:val="single" w:sz="4" w:space="0" w:color="BFBFBF" w:themeColor="background1" w:themeShade="BF"/>
              <w:right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 xml:space="preserve">Mise en œuvre </w:t>
            </w:r>
          </w:p>
        </w:tc>
        <w:tc>
          <w:tcPr>
            <w:tcW w:w="1801" w:type="dxa"/>
            <w:tcBorders>
              <w:top w:val="single" w:sz="4" w:space="0" w:color="auto"/>
              <w:left w:val="single" w:sz="4" w:space="0" w:color="auto"/>
              <w:bottom w:val="single" w:sz="4" w:space="0" w:color="BFBFBF" w:themeColor="background1" w:themeShade="BF"/>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CRS</w:t>
            </w:r>
          </w:p>
        </w:tc>
        <w:tc>
          <w:tcPr>
            <w:tcW w:w="1801" w:type="dxa"/>
            <w:tcBorders>
              <w:top w:val="single" w:sz="4" w:space="0" w:color="auto"/>
              <w:bottom w:val="single" w:sz="4" w:space="0" w:color="BFBFBF" w:themeColor="background1" w:themeShade="BF"/>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CRS</w:t>
            </w:r>
          </w:p>
        </w:tc>
        <w:tc>
          <w:tcPr>
            <w:tcW w:w="1801" w:type="dxa"/>
            <w:tcBorders>
              <w:top w:val="single" w:sz="4" w:space="0" w:color="auto"/>
              <w:bottom w:val="single" w:sz="4" w:space="0" w:color="BFBFBF" w:themeColor="background1" w:themeShade="BF"/>
              <w:right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PAM et ONG</w:t>
            </w:r>
          </w:p>
        </w:tc>
        <w:tc>
          <w:tcPr>
            <w:tcW w:w="1801" w:type="dxa"/>
            <w:tcBorders>
              <w:top w:val="single" w:sz="4" w:space="0" w:color="auto"/>
              <w:left w:val="single" w:sz="4" w:space="0" w:color="auto"/>
              <w:bottom w:val="single" w:sz="4" w:space="0" w:color="BFBFBF" w:themeColor="background1" w:themeShade="BF"/>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MEBA</w:t>
            </w:r>
          </w:p>
        </w:tc>
      </w:tr>
      <w:tr w:rsidR="0050199E" w:rsidRPr="00577EB1" w:rsidTr="0050199E">
        <w:tc>
          <w:tcPr>
            <w:tcW w:w="1801" w:type="dxa"/>
            <w:tcBorders>
              <w:top w:val="single" w:sz="4" w:space="0" w:color="BFBFBF" w:themeColor="background1" w:themeShade="BF"/>
              <w:bottom w:val="single" w:sz="4" w:space="0" w:color="BFBFBF" w:themeColor="background1" w:themeShade="BF"/>
              <w:right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Financement</w:t>
            </w:r>
          </w:p>
        </w:tc>
        <w:tc>
          <w:tcPr>
            <w:tcW w:w="1801" w:type="dxa"/>
            <w:tcBorders>
              <w:top w:val="single" w:sz="4" w:space="0" w:color="BFBFBF" w:themeColor="background1" w:themeShade="BF"/>
              <w:left w:val="single" w:sz="4" w:space="0" w:color="auto"/>
              <w:bottom w:val="single" w:sz="4" w:space="0" w:color="BFBFBF" w:themeColor="background1" w:themeShade="BF"/>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USAID (FFP)</w:t>
            </w:r>
          </w:p>
        </w:tc>
        <w:tc>
          <w:tcPr>
            <w:tcW w:w="1801" w:type="dxa"/>
            <w:tcBorders>
              <w:top w:val="single" w:sz="4" w:space="0" w:color="BFBFBF" w:themeColor="background1" w:themeShade="BF"/>
              <w:bottom w:val="single" w:sz="4" w:space="0" w:color="BFBFBF" w:themeColor="background1" w:themeShade="BF"/>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USAID (MCA)</w:t>
            </w:r>
          </w:p>
        </w:tc>
        <w:tc>
          <w:tcPr>
            <w:tcW w:w="1801" w:type="dxa"/>
            <w:tcBorders>
              <w:top w:val="single" w:sz="4" w:space="0" w:color="BFBFBF" w:themeColor="background1" w:themeShade="BF"/>
              <w:bottom w:val="single" w:sz="4" w:space="0" w:color="BFBFBF" w:themeColor="background1" w:themeShade="BF"/>
              <w:right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Multilatéral</w:t>
            </w:r>
          </w:p>
        </w:tc>
        <w:tc>
          <w:tcPr>
            <w:tcW w:w="1801" w:type="dxa"/>
            <w:tcBorders>
              <w:top w:val="single" w:sz="4" w:space="0" w:color="BFBFBF" w:themeColor="background1" w:themeShade="BF"/>
              <w:left w:val="single" w:sz="4" w:space="0" w:color="auto"/>
              <w:bottom w:val="single" w:sz="4" w:space="0" w:color="BFBFBF" w:themeColor="background1" w:themeShade="BF"/>
            </w:tcBorders>
          </w:tcPr>
          <w:p w:rsidR="004B3541" w:rsidRDefault="0050199E" w:rsidP="00FF0D12">
            <w:pPr>
              <w:keepNext/>
              <w:keepLines/>
              <w:spacing w:beforeLines="20" w:afterLines="20"/>
              <w:ind w:right="-91"/>
              <w:jc w:val="left"/>
              <w:rPr>
                <w:rFonts w:eastAsia="SimSun"/>
                <w:bCs/>
                <w:sz w:val="18"/>
                <w:szCs w:val="18"/>
                <w:lang w:val="fr-FR"/>
              </w:rPr>
            </w:pPr>
            <w:r w:rsidRPr="00577EB1">
              <w:rPr>
                <w:sz w:val="18"/>
                <w:szCs w:val="18"/>
                <w:lang w:val="fr-FR"/>
              </w:rPr>
              <w:t>É</w:t>
            </w:r>
            <w:r w:rsidRPr="00577EB1">
              <w:rPr>
                <w:rFonts w:eastAsia="SimSun"/>
                <w:bCs/>
                <w:sz w:val="18"/>
                <w:szCs w:val="18"/>
                <w:lang w:val="fr-FR"/>
              </w:rPr>
              <w:t>tat (CAST)</w:t>
            </w:r>
          </w:p>
        </w:tc>
      </w:tr>
      <w:tr w:rsidR="0050199E" w:rsidRPr="00577EB1" w:rsidTr="0050199E">
        <w:tc>
          <w:tcPr>
            <w:tcW w:w="1801" w:type="dxa"/>
            <w:tcBorders>
              <w:top w:val="single" w:sz="4" w:space="0" w:color="BFBFBF" w:themeColor="background1" w:themeShade="BF"/>
              <w:bottom w:val="single" w:sz="4" w:space="0" w:color="BFBFBF" w:themeColor="background1" w:themeShade="BF"/>
              <w:right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Repas chaud à l’école</w:t>
            </w:r>
          </w:p>
        </w:tc>
        <w:tc>
          <w:tcPr>
            <w:tcW w:w="1801" w:type="dxa"/>
            <w:tcBorders>
              <w:top w:val="single" w:sz="4" w:space="0" w:color="BFBFBF" w:themeColor="background1" w:themeShade="BF"/>
              <w:left w:val="single" w:sz="4" w:space="0" w:color="auto"/>
              <w:bottom w:val="single" w:sz="4" w:space="0" w:color="BFBFBF" w:themeColor="background1" w:themeShade="BF"/>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Déjeuner</w:t>
            </w:r>
          </w:p>
        </w:tc>
        <w:tc>
          <w:tcPr>
            <w:tcW w:w="1801" w:type="dxa"/>
            <w:tcBorders>
              <w:top w:val="single" w:sz="4" w:space="0" w:color="BFBFBF" w:themeColor="background1" w:themeShade="BF"/>
              <w:bottom w:val="single" w:sz="4" w:space="0" w:color="BFBFBF" w:themeColor="background1" w:themeShade="BF"/>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Déjeuner</w:t>
            </w:r>
          </w:p>
        </w:tc>
        <w:tc>
          <w:tcPr>
            <w:tcW w:w="1801" w:type="dxa"/>
            <w:tcBorders>
              <w:top w:val="single" w:sz="4" w:space="0" w:color="BFBFBF" w:themeColor="background1" w:themeShade="BF"/>
              <w:bottom w:val="single" w:sz="4" w:space="0" w:color="BFBFBF" w:themeColor="background1" w:themeShade="BF"/>
              <w:right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Déjeuner et petit déjeuner</w:t>
            </w:r>
          </w:p>
        </w:tc>
        <w:tc>
          <w:tcPr>
            <w:tcW w:w="1801" w:type="dxa"/>
            <w:tcBorders>
              <w:top w:val="single" w:sz="4" w:space="0" w:color="BFBFBF" w:themeColor="background1" w:themeShade="BF"/>
              <w:left w:val="single" w:sz="4" w:space="0" w:color="auto"/>
              <w:bottom w:val="single" w:sz="4" w:space="0" w:color="BFBFBF" w:themeColor="background1" w:themeShade="BF"/>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Déjeuner</w:t>
            </w:r>
          </w:p>
        </w:tc>
      </w:tr>
      <w:tr w:rsidR="0050199E" w:rsidRPr="00577EB1" w:rsidTr="0050199E">
        <w:tc>
          <w:tcPr>
            <w:tcW w:w="1801" w:type="dxa"/>
            <w:tcBorders>
              <w:top w:val="single" w:sz="4" w:space="0" w:color="BFBFBF" w:themeColor="background1" w:themeShade="BF"/>
              <w:bottom w:val="single" w:sz="4" w:space="0" w:color="BFBFBF" w:themeColor="background1" w:themeShade="BF"/>
              <w:right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Ration à emporter à la maison</w:t>
            </w:r>
          </w:p>
        </w:tc>
        <w:tc>
          <w:tcPr>
            <w:tcW w:w="1801" w:type="dxa"/>
            <w:tcBorders>
              <w:top w:val="single" w:sz="4" w:space="0" w:color="BFBFBF" w:themeColor="background1" w:themeShade="BF"/>
              <w:left w:val="single" w:sz="4" w:space="0" w:color="auto"/>
              <w:bottom w:val="single" w:sz="4" w:space="0" w:color="BFBFBF" w:themeColor="background1" w:themeShade="BF"/>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8 kg de farine de maïs fortifié par fille et par mois pour toutes les filles fréquentant l’école primaire</w:t>
            </w:r>
          </w:p>
        </w:tc>
        <w:tc>
          <w:tcPr>
            <w:tcW w:w="1801" w:type="dxa"/>
            <w:tcBorders>
              <w:top w:val="single" w:sz="4" w:space="0" w:color="BFBFBF" w:themeColor="background1" w:themeShade="BF"/>
              <w:bottom w:val="single" w:sz="4" w:space="0" w:color="BFBFBF" w:themeColor="background1" w:themeShade="BF"/>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5 kg de riz par fille et par mois pour toutes les filles fréquentant l’école</w:t>
            </w:r>
          </w:p>
        </w:tc>
        <w:tc>
          <w:tcPr>
            <w:tcW w:w="1801" w:type="dxa"/>
            <w:tcBorders>
              <w:top w:val="single" w:sz="4" w:space="0" w:color="BFBFBF" w:themeColor="background1" w:themeShade="BF"/>
              <w:bottom w:val="single" w:sz="4" w:space="0" w:color="BFBFBF" w:themeColor="background1" w:themeShade="BF"/>
              <w:right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10 kg de céréales par fille et par mois pour les filles fréquentant les deux dernières années du primaire</w:t>
            </w:r>
          </w:p>
        </w:tc>
        <w:tc>
          <w:tcPr>
            <w:tcW w:w="1801" w:type="dxa"/>
            <w:tcBorders>
              <w:top w:val="single" w:sz="4" w:space="0" w:color="BFBFBF" w:themeColor="background1" w:themeShade="BF"/>
              <w:left w:val="single" w:sz="4" w:space="0" w:color="auto"/>
              <w:bottom w:val="single" w:sz="4" w:space="0" w:color="BFBFBF" w:themeColor="background1" w:themeShade="BF"/>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Aucun</w:t>
            </w:r>
          </w:p>
        </w:tc>
      </w:tr>
      <w:tr w:rsidR="0050199E" w:rsidRPr="000A70E6" w:rsidTr="0050199E">
        <w:tc>
          <w:tcPr>
            <w:tcW w:w="1801" w:type="dxa"/>
            <w:tcBorders>
              <w:top w:val="single" w:sz="4" w:space="0" w:color="BFBFBF" w:themeColor="background1" w:themeShade="BF"/>
              <w:right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 xml:space="preserve">Origine des produits </w:t>
            </w:r>
          </w:p>
        </w:tc>
        <w:tc>
          <w:tcPr>
            <w:tcW w:w="1801" w:type="dxa"/>
            <w:tcBorders>
              <w:top w:val="single" w:sz="4" w:space="0" w:color="BFBFBF" w:themeColor="background1" w:themeShade="BF"/>
              <w:left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 xml:space="preserve">Contributions en nature des États-Unis d’Amérique </w:t>
            </w:r>
          </w:p>
        </w:tc>
        <w:tc>
          <w:tcPr>
            <w:tcW w:w="1801" w:type="dxa"/>
            <w:tcBorders>
              <w:top w:val="single" w:sz="4" w:space="0" w:color="BFBFBF" w:themeColor="background1" w:themeShade="BF"/>
            </w:tcBorders>
          </w:tcPr>
          <w:p w:rsidR="004B3541" w:rsidRDefault="0050199E" w:rsidP="00FF0D12">
            <w:pPr>
              <w:keepNext/>
              <w:keepLines/>
              <w:spacing w:beforeLines="20" w:afterLines="20"/>
              <w:ind w:right="-91"/>
              <w:jc w:val="left"/>
              <w:rPr>
                <w:rFonts w:eastAsia="SimSun"/>
                <w:sz w:val="18"/>
                <w:szCs w:val="18"/>
                <w:lang w:val="fr-FR"/>
              </w:rPr>
            </w:pPr>
            <w:r w:rsidRPr="00577EB1">
              <w:rPr>
                <w:rFonts w:eastAsia="SimSun"/>
                <w:bCs/>
                <w:sz w:val="18"/>
                <w:szCs w:val="18"/>
                <w:lang w:val="fr-FR"/>
              </w:rPr>
              <w:t>Contributions en nature des États-Unis d’Amérique</w:t>
            </w:r>
          </w:p>
        </w:tc>
        <w:tc>
          <w:tcPr>
            <w:tcW w:w="1801" w:type="dxa"/>
            <w:tcBorders>
              <w:top w:val="single" w:sz="4" w:space="0" w:color="BFBFBF" w:themeColor="background1" w:themeShade="BF"/>
              <w:right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Achats locaux et internationaux</w:t>
            </w:r>
          </w:p>
        </w:tc>
        <w:tc>
          <w:tcPr>
            <w:tcW w:w="1801" w:type="dxa"/>
            <w:tcBorders>
              <w:top w:val="single" w:sz="4" w:space="0" w:color="BFBFBF" w:themeColor="background1" w:themeShade="BF"/>
              <w:left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Contributions communautaires et achats locaux</w:t>
            </w:r>
          </w:p>
        </w:tc>
      </w:tr>
      <w:tr w:rsidR="0050199E" w:rsidRPr="00577EB1" w:rsidTr="0050199E">
        <w:tc>
          <w:tcPr>
            <w:tcW w:w="1801" w:type="dxa"/>
            <w:tcBorders>
              <w:bottom w:val="single" w:sz="4" w:space="0" w:color="auto"/>
              <w:right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Dynamique</w:t>
            </w:r>
          </w:p>
        </w:tc>
        <w:tc>
          <w:tcPr>
            <w:tcW w:w="1801" w:type="dxa"/>
            <w:tcBorders>
              <w:left w:val="single" w:sz="4" w:space="0" w:color="auto"/>
              <w:bottom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Retrait progressif/transfert au MEBA</w:t>
            </w:r>
          </w:p>
        </w:tc>
        <w:tc>
          <w:tcPr>
            <w:tcW w:w="1801" w:type="dxa"/>
            <w:tcBorders>
              <w:bottom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Stable</w:t>
            </w:r>
          </w:p>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 xml:space="preserve">(écoles BRIGHT) </w:t>
            </w:r>
          </w:p>
        </w:tc>
        <w:tc>
          <w:tcPr>
            <w:tcW w:w="1801" w:type="dxa"/>
            <w:tcBorders>
              <w:bottom w:val="single" w:sz="4" w:space="0" w:color="auto"/>
              <w:right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Stable</w:t>
            </w:r>
          </w:p>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(Sahel)</w:t>
            </w:r>
          </w:p>
        </w:tc>
        <w:tc>
          <w:tcPr>
            <w:tcW w:w="1801" w:type="dxa"/>
            <w:tcBorders>
              <w:left w:val="single" w:sz="4" w:space="0" w:color="auto"/>
              <w:bottom w:val="single" w:sz="4" w:space="0" w:color="auto"/>
            </w:tcBorders>
          </w:tcPr>
          <w:p w:rsidR="004B3541" w:rsidRDefault="0050199E" w:rsidP="00FF0D12">
            <w:pPr>
              <w:keepNext/>
              <w:keepLines/>
              <w:spacing w:beforeLines="20" w:afterLines="20"/>
              <w:ind w:right="-91"/>
              <w:jc w:val="left"/>
              <w:rPr>
                <w:rFonts w:eastAsia="SimSun"/>
                <w:bCs/>
                <w:sz w:val="18"/>
                <w:szCs w:val="18"/>
                <w:lang w:val="fr-FR"/>
              </w:rPr>
            </w:pPr>
            <w:r w:rsidRPr="00577EB1">
              <w:rPr>
                <w:rFonts w:eastAsia="SimSun"/>
                <w:bCs/>
                <w:sz w:val="18"/>
                <w:szCs w:val="18"/>
                <w:lang w:val="fr-FR"/>
              </w:rPr>
              <w:t>Expansion/remplacement de CRS</w:t>
            </w:r>
          </w:p>
        </w:tc>
      </w:tr>
    </w:tbl>
    <w:p w:rsidR="004B3541" w:rsidRDefault="0050199E">
      <w:pPr>
        <w:keepLines/>
        <w:spacing w:before="120" w:after="480"/>
        <w:ind w:right="-91"/>
        <w:rPr>
          <w:rFonts w:eastAsia="SimSun"/>
          <w:sz w:val="20"/>
          <w:lang w:val="fr-FR" w:eastAsia="en-GB"/>
        </w:rPr>
      </w:pPr>
      <w:r w:rsidRPr="00577EB1">
        <w:rPr>
          <w:rFonts w:eastAsia="SimSun"/>
          <w:i/>
          <w:sz w:val="20"/>
          <w:lang w:val="fr-FR" w:eastAsia="en-GB"/>
        </w:rPr>
        <w:t>Source:</w:t>
      </w:r>
      <w:r w:rsidRPr="00577EB1">
        <w:rPr>
          <w:rFonts w:eastAsia="SimSun"/>
          <w:sz w:val="20"/>
          <w:lang w:val="fr-FR" w:eastAsia="en-GB"/>
        </w:rPr>
        <w:t xml:space="preserve"> CRS; WFP; MEBA; Auteurs</w:t>
      </w:r>
      <w:r w:rsidR="005738FE">
        <w:rPr>
          <w:rFonts w:eastAsia="SimSun"/>
          <w:sz w:val="20"/>
          <w:lang w:val="fr-FR" w:eastAsia="en-GB"/>
        </w:rPr>
        <w:t>.</w:t>
      </w:r>
    </w:p>
    <w:p w:rsidR="0050199E" w:rsidRPr="00577EB1" w:rsidRDefault="0050199E" w:rsidP="00E52A30">
      <w:pPr>
        <w:numPr>
          <w:ilvl w:val="0"/>
          <w:numId w:val="2"/>
        </w:numPr>
        <w:ind w:left="0" w:right="-91" w:firstLine="0"/>
        <w:rPr>
          <w:szCs w:val="20"/>
          <w:lang w:val="fr-FR"/>
        </w:rPr>
      </w:pPr>
      <w:r w:rsidRPr="00577EB1">
        <w:rPr>
          <w:b/>
          <w:bCs/>
          <w:szCs w:val="20"/>
          <w:lang w:val="fr-FR"/>
        </w:rPr>
        <w:t>Un passage à une échelle nettement supérieure des activités de cantines scolaires dans les écoles primaires est prévu pour l’année scolaire 2010-2011</w:t>
      </w:r>
      <w:r w:rsidRPr="00577EB1">
        <w:rPr>
          <w:szCs w:val="20"/>
          <w:lang w:val="fr-FR"/>
        </w:rPr>
        <w:t xml:space="preserve">. Dans le cadre du Plan d’action pour la lutte contre la crise, le MEBA s’est vu allouer un budget annuel supplémentaire de 12,3 milliards de francs CFA pour les activités de cantines scolaires en 2010 et 2011 (en plus des 5 270 milliards de francs CFA déjà octroyés en 2010). Le Plan d’action pour la lutte contre la crise vise à procurer un repas chaque jour de </w:t>
      </w:r>
      <w:r w:rsidRPr="00577EB1">
        <w:rPr>
          <w:szCs w:val="20"/>
          <w:lang w:val="fr-FR"/>
        </w:rPr>
        <w:lastRenderedPageBreak/>
        <w:t>classe à 100 % des enfants qui fréquentent l’école publique au lieu des 40 % de la couverture actuelle. En plus de l’achat prévu de 28 548 tonnes de produits alimentaires (céréales et huile), les activités suivantes sont envisagées</w:t>
      </w:r>
      <w:r w:rsidR="0007340F">
        <w:rPr>
          <w:szCs w:val="20"/>
          <w:lang w:val="fr-FR"/>
        </w:rPr>
        <w:t xml:space="preserve"> </w:t>
      </w:r>
      <w:r w:rsidRPr="00577EB1">
        <w:rPr>
          <w:szCs w:val="20"/>
          <w:lang w:val="fr-FR"/>
        </w:rPr>
        <w:t>i) la construction/location d’un lieu d’entreposage régional</w:t>
      </w:r>
      <w:r w:rsidR="0007340F">
        <w:rPr>
          <w:szCs w:val="20"/>
          <w:lang w:val="fr-FR"/>
        </w:rPr>
        <w:t xml:space="preserve"> </w:t>
      </w:r>
      <w:r w:rsidRPr="00577EB1">
        <w:rPr>
          <w:szCs w:val="20"/>
          <w:lang w:val="fr-FR"/>
        </w:rPr>
        <w:t>ii) l’achat de palettes pour le stockage</w:t>
      </w:r>
      <w:r w:rsidR="0007340F">
        <w:rPr>
          <w:szCs w:val="20"/>
          <w:lang w:val="fr-FR"/>
        </w:rPr>
        <w:t xml:space="preserve"> </w:t>
      </w:r>
      <w:r w:rsidRPr="00577EB1">
        <w:rPr>
          <w:szCs w:val="20"/>
          <w:lang w:val="fr-FR"/>
        </w:rPr>
        <w:t>iii) l’achat de fournitures de bureau et d’ordinateurs</w:t>
      </w:r>
      <w:r w:rsidR="0007340F">
        <w:rPr>
          <w:szCs w:val="20"/>
          <w:lang w:val="fr-FR"/>
        </w:rPr>
        <w:t xml:space="preserve"> </w:t>
      </w:r>
      <w:r w:rsidRPr="00577EB1">
        <w:rPr>
          <w:szCs w:val="20"/>
          <w:lang w:val="fr-FR"/>
        </w:rPr>
        <w:t>iv) le transport des denrées alimentaires depuis les magasins régionaux jusqu’aux écoles</w:t>
      </w:r>
      <w:r w:rsidR="0007340F">
        <w:rPr>
          <w:szCs w:val="20"/>
          <w:lang w:val="fr-FR"/>
        </w:rPr>
        <w:t xml:space="preserve"> </w:t>
      </w:r>
      <w:r w:rsidRPr="00577EB1">
        <w:rPr>
          <w:szCs w:val="20"/>
          <w:lang w:val="fr-FR"/>
        </w:rPr>
        <w:t>v) le suivi et évaluation de la gestion des denrées</w:t>
      </w:r>
      <w:r w:rsidR="0007340F">
        <w:rPr>
          <w:szCs w:val="20"/>
          <w:lang w:val="fr-FR"/>
        </w:rPr>
        <w:t xml:space="preserve"> </w:t>
      </w:r>
      <w:r w:rsidRPr="00577EB1">
        <w:rPr>
          <w:szCs w:val="20"/>
          <w:lang w:val="fr-FR"/>
        </w:rPr>
        <w:t xml:space="preserve">et vi) la formation des contrôleurs et magasiniers à la gestion des stocks et à la maintenance de l’entreposage. Il n’est toujours pas clair si l’expansion planifiée des activités de cantines scolaires à toutes les écoles primaires pendant toute l’année est une mesure temporaire pour atténuer les effets de la crise récente ou une stratégie à long terme. La </w:t>
      </w:r>
      <w:r w:rsidR="00BD550B">
        <w:rPr>
          <w:szCs w:val="20"/>
          <w:lang w:val="fr-FR"/>
        </w:rPr>
        <w:t>viabilité</w:t>
      </w:r>
      <w:r w:rsidRPr="00577EB1">
        <w:rPr>
          <w:szCs w:val="20"/>
          <w:lang w:val="fr-FR"/>
        </w:rPr>
        <w:t xml:space="preserve"> d’une telle stratégie nécessitera des ressources substantielles. Même si l’expansion des programmes de cantines scolaires est une réponse légitime à la crise alimentaire, les autorités doivent continuer à rechercher l’instrument de filet social le plus approprié à long terme. De plus, étant donné les contraintes financières, les mécanismes de ciblage et le rôle des contributions communautaires doivent être examinés pour assurer la </w:t>
      </w:r>
      <w:r w:rsidR="00BD550B">
        <w:rPr>
          <w:szCs w:val="20"/>
          <w:lang w:val="fr-FR"/>
        </w:rPr>
        <w:t>viabilité</w:t>
      </w:r>
      <w:r w:rsidRPr="00577EB1">
        <w:rPr>
          <w:szCs w:val="20"/>
          <w:lang w:val="fr-FR"/>
        </w:rPr>
        <w:t xml:space="preserve"> du programme.</w:t>
      </w:r>
    </w:p>
    <w:p w:rsidR="0050199E" w:rsidRPr="00577EB1" w:rsidRDefault="0050199E" w:rsidP="00E52A30">
      <w:pPr>
        <w:numPr>
          <w:ilvl w:val="0"/>
          <w:numId w:val="2"/>
        </w:numPr>
        <w:ind w:left="0" w:right="-91" w:firstLine="0"/>
        <w:rPr>
          <w:szCs w:val="20"/>
          <w:lang w:val="fr-FR"/>
        </w:rPr>
      </w:pPr>
      <w:r w:rsidRPr="00577EB1">
        <w:rPr>
          <w:b/>
          <w:szCs w:val="20"/>
          <w:lang w:val="fr-FR"/>
        </w:rPr>
        <w:t xml:space="preserve">En 2008, une évaluation de l’impact de deux </w:t>
      </w:r>
      <w:r w:rsidR="00652BC6">
        <w:rPr>
          <w:b/>
          <w:szCs w:val="20"/>
          <w:lang w:val="fr-FR"/>
        </w:rPr>
        <w:t>for</w:t>
      </w:r>
      <w:r w:rsidR="00652BC6" w:rsidRPr="00577EB1">
        <w:rPr>
          <w:b/>
          <w:szCs w:val="20"/>
          <w:lang w:val="fr-FR"/>
        </w:rPr>
        <w:t xml:space="preserve">mes </w:t>
      </w:r>
      <w:r w:rsidRPr="00577EB1">
        <w:rPr>
          <w:b/>
          <w:szCs w:val="20"/>
          <w:lang w:val="fr-FR"/>
        </w:rPr>
        <w:t>de cantines scolaires sur les résultats pédagogiques et la santé des enfants issus de ménages à faible revenu a abouti à des conclusions mitigées.</w:t>
      </w:r>
      <w:r w:rsidRPr="00577EB1">
        <w:rPr>
          <w:szCs w:val="20"/>
          <w:lang w:val="fr-FR"/>
        </w:rPr>
        <w:t xml:space="preserve"> Les </w:t>
      </w:r>
      <w:r w:rsidR="00652BC6">
        <w:rPr>
          <w:szCs w:val="20"/>
          <w:lang w:val="fr-FR"/>
        </w:rPr>
        <w:t>deux formes</w:t>
      </w:r>
      <w:r w:rsidRPr="00577EB1">
        <w:rPr>
          <w:szCs w:val="20"/>
          <w:lang w:val="fr-FR"/>
        </w:rPr>
        <w:t xml:space="preserve"> de cantines scolaires examinés étaient les repas scolaires</w:t>
      </w:r>
      <w:r w:rsidR="00652BC6">
        <w:rPr>
          <w:szCs w:val="20"/>
          <w:lang w:val="fr-FR"/>
        </w:rPr>
        <w:t>,</w:t>
      </w:r>
      <w:r w:rsidRPr="00577EB1">
        <w:rPr>
          <w:szCs w:val="20"/>
          <w:lang w:val="fr-FR"/>
        </w:rPr>
        <w:t xml:space="preserve"> </w:t>
      </w:r>
      <w:r w:rsidR="00652BC6">
        <w:rPr>
          <w:szCs w:val="20"/>
          <w:lang w:val="fr-FR"/>
        </w:rPr>
        <w:t xml:space="preserve">où un </w:t>
      </w:r>
      <w:r w:rsidRPr="00577EB1">
        <w:rPr>
          <w:szCs w:val="20"/>
          <w:lang w:val="fr-FR"/>
        </w:rPr>
        <w:t xml:space="preserve">déjeuner </w:t>
      </w:r>
      <w:r w:rsidR="00652BC6">
        <w:rPr>
          <w:szCs w:val="20"/>
          <w:lang w:val="fr-FR"/>
        </w:rPr>
        <w:t xml:space="preserve">est fourni aux élèves </w:t>
      </w:r>
      <w:r w:rsidRPr="00577EB1">
        <w:rPr>
          <w:szCs w:val="20"/>
          <w:lang w:val="fr-FR"/>
        </w:rPr>
        <w:t>chaque jour de classe</w:t>
      </w:r>
      <w:r w:rsidR="00652BC6">
        <w:rPr>
          <w:szCs w:val="20"/>
          <w:lang w:val="fr-FR"/>
        </w:rPr>
        <w:t>,</w:t>
      </w:r>
      <w:r w:rsidRPr="00577EB1">
        <w:rPr>
          <w:szCs w:val="20"/>
          <w:lang w:val="fr-FR"/>
        </w:rPr>
        <w:t xml:space="preserve"> et les rations à emporter de 10 kg de farine de céréales fournies chaque mois aux </w:t>
      </w:r>
      <w:r w:rsidR="00652BC6">
        <w:rPr>
          <w:szCs w:val="20"/>
          <w:lang w:val="fr-FR"/>
        </w:rPr>
        <w:t>fille</w:t>
      </w:r>
      <w:r w:rsidR="00652BC6" w:rsidRPr="00577EB1">
        <w:rPr>
          <w:szCs w:val="20"/>
          <w:lang w:val="fr-FR"/>
        </w:rPr>
        <w:t xml:space="preserve">s </w:t>
      </w:r>
      <w:r w:rsidRPr="00577EB1">
        <w:rPr>
          <w:szCs w:val="20"/>
          <w:lang w:val="fr-FR"/>
        </w:rPr>
        <w:t>condition</w:t>
      </w:r>
      <w:r w:rsidR="00652BC6">
        <w:rPr>
          <w:szCs w:val="20"/>
          <w:lang w:val="fr-FR"/>
        </w:rPr>
        <w:t>nées</w:t>
      </w:r>
      <w:r w:rsidRPr="00577EB1">
        <w:rPr>
          <w:szCs w:val="20"/>
          <w:lang w:val="fr-FR"/>
        </w:rPr>
        <w:t xml:space="preserve"> </w:t>
      </w:r>
      <w:r w:rsidR="00652BC6">
        <w:rPr>
          <w:szCs w:val="20"/>
          <w:lang w:val="fr-FR"/>
        </w:rPr>
        <w:t>à un taux de</w:t>
      </w:r>
      <w:r w:rsidRPr="00577EB1">
        <w:rPr>
          <w:szCs w:val="20"/>
          <w:lang w:val="fr-FR"/>
        </w:rPr>
        <w:t xml:space="preserve"> fréquentation scolaire de 90 %</w:t>
      </w:r>
      <w:r w:rsidR="00652BC6">
        <w:rPr>
          <w:szCs w:val="20"/>
          <w:lang w:val="fr-FR"/>
        </w:rPr>
        <w:t xml:space="preserve"> (les deux sont mis en œuvre au se</w:t>
      </w:r>
      <w:r w:rsidR="0000290C">
        <w:rPr>
          <w:szCs w:val="20"/>
          <w:lang w:val="fr-FR"/>
        </w:rPr>
        <w:t>i</w:t>
      </w:r>
      <w:r w:rsidR="00652BC6">
        <w:rPr>
          <w:szCs w:val="20"/>
          <w:lang w:val="fr-FR"/>
        </w:rPr>
        <w:t>n du programme PAM)</w:t>
      </w:r>
      <w:r w:rsidRPr="00577EB1">
        <w:rPr>
          <w:szCs w:val="20"/>
          <w:lang w:val="fr-FR"/>
        </w:rPr>
        <w:t xml:space="preserve">. Après une année scolaire de fonctionnement, l’étude a trouvé que les deux programmes avaient augmenté l’inscription des filles de </w:t>
      </w:r>
      <w:r w:rsidR="00652BC6">
        <w:rPr>
          <w:szCs w:val="20"/>
          <w:lang w:val="fr-FR"/>
        </w:rPr>
        <w:t xml:space="preserve">5 à </w:t>
      </w:r>
      <w:r w:rsidRPr="00577EB1">
        <w:rPr>
          <w:szCs w:val="20"/>
          <w:lang w:val="fr-FR"/>
        </w:rPr>
        <w:t>6 %</w:t>
      </w:r>
      <w:r w:rsidR="00652BC6">
        <w:rPr>
          <w:szCs w:val="20"/>
          <w:lang w:val="fr-FR"/>
        </w:rPr>
        <w:t xml:space="preserve"> - et aucune évidence que </w:t>
      </w:r>
      <w:r w:rsidR="0000290C">
        <w:rPr>
          <w:szCs w:val="20"/>
          <w:lang w:val="fr-FR"/>
        </w:rPr>
        <w:t>les rations à emporter ciblant les filles réduisaient l’inscription des garçons</w:t>
      </w:r>
      <w:r w:rsidRPr="00577EB1">
        <w:rPr>
          <w:szCs w:val="20"/>
          <w:lang w:val="fr-FR"/>
        </w:rPr>
        <w:t xml:space="preserve">. </w:t>
      </w:r>
      <w:r w:rsidR="0000290C">
        <w:rPr>
          <w:szCs w:val="20"/>
          <w:lang w:val="fr-FR"/>
        </w:rPr>
        <w:t>Un effet négatif des repas scolaires sur les scores bruts en mathématiques a été observé pour les garçons  de 13 à 15 ans, laissant supposer que les repas scolaires peuvent avoir un effet négatif sur les écoles qui sont moins bien organisées. A</w:t>
      </w:r>
      <w:r w:rsidRPr="00577EB1">
        <w:rPr>
          <w:szCs w:val="20"/>
          <w:lang w:val="fr-FR"/>
        </w:rPr>
        <w:t xml:space="preserve">ucun </w:t>
      </w:r>
      <w:r w:rsidR="0000290C">
        <w:rPr>
          <w:szCs w:val="20"/>
          <w:lang w:val="fr-FR"/>
        </w:rPr>
        <w:t xml:space="preserve">autre </w:t>
      </w:r>
      <w:r w:rsidRPr="00577EB1">
        <w:rPr>
          <w:szCs w:val="20"/>
          <w:lang w:val="fr-FR"/>
        </w:rPr>
        <w:t xml:space="preserve">impact significatif n’a été observé sur les scores bruts en mathématiques, </w:t>
      </w:r>
      <w:r w:rsidR="0000290C">
        <w:rPr>
          <w:szCs w:val="20"/>
          <w:lang w:val="fr-FR"/>
        </w:rPr>
        <w:t xml:space="preserve">mais </w:t>
      </w:r>
      <w:r w:rsidRPr="00577EB1">
        <w:rPr>
          <w:szCs w:val="20"/>
          <w:lang w:val="fr-FR"/>
        </w:rPr>
        <w:t xml:space="preserve">les scores </w:t>
      </w:r>
      <w:r w:rsidR="0000290C">
        <w:rPr>
          <w:szCs w:val="20"/>
          <w:lang w:val="fr-FR"/>
        </w:rPr>
        <w:t>ramenés au temps</w:t>
      </w:r>
      <w:r w:rsidRPr="00577EB1">
        <w:rPr>
          <w:szCs w:val="20"/>
          <w:lang w:val="fr-FR"/>
        </w:rPr>
        <w:t xml:space="preserve"> indiquaient une légère amélioration chez les filles</w:t>
      </w:r>
      <w:r w:rsidR="0000290C">
        <w:rPr>
          <w:szCs w:val="20"/>
          <w:lang w:val="fr-FR"/>
        </w:rPr>
        <w:t xml:space="preserve"> dans les villages recevant des repas scolaires</w:t>
      </w:r>
      <w:r w:rsidRPr="00577EB1">
        <w:rPr>
          <w:szCs w:val="20"/>
          <w:lang w:val="fr-FR"/>
        </w:rPr>
        <w:t xml:space="preserve">. </w:t>
      </w:r>
      <w:r w:rsidR="0000290C">
        <w:rPr>
          <w:szCs w:val="20"/>
          <w:lang w:val="fr-FR"/>
        </w:rPr>
        <w:t>De façon inattendue, u</w:t>
      </w:r>
      <w:r w:rsidRPr="00577EB1">
        <w:rPr>
          <w:szCs w:val="20"/>
          <w:lang w:val="fr-FR"/>
        </w:rPr>
        <w:t>n taux moyen de fréquentation plus faible a été observé</w:t>
      </w:r>
      <w:r w:rsidR="0000290C">
        <w:rPr>
          <w:szCs w:val="20"/>
          <w:lang w:val="fr-FR"/>
        </w:rPr>
        <w:t xml:space="preserve"> – un enregistrement accru peut s’accompagner d’une fréquentation réduite</w:t>
      </w:r>
      <w:r w:rsidRPr="00577EB1">
        <w:rPr>
          <w:szCs w:val="20"/>
          <w:lang w:val="fr-FR"/>
        </w:rPr>
        <w:t xml:space="preserve">. Les auteurs pensent que cela reflèterait l’absence d’un marché du travail actif et le fait que les ménages manquent de bras et/ou que le travail des enfants complète celui des adultes. Les interventions semblent être à l’origine d’une baisse de la fréquentation scolaire des enfants issus de ménages où l’offre de main-d’œuvre enfantine est faible tandis que la fréquentation scolaire s’est améliorée pour les ménages disposant d’une offre de main-d’œuvre enfantine relativement élevée, en concordance avec les contraintes du travail. Ceci, à son tour, explique les effets mitigés observés sur les résultats de l’apprentissage. Finalement, pour les frères et sœurs plus jeunes des bénéficiaires, âgés de 12 à 60 mois et n’allant pas à l’école, les rations à emporter ont fait augmenter le poids selon l’âge d’un écart-type de 0,38 et le poids selon la taille d’un écart-type de 0,33. Les repas scolaires par contre n’ont eu aucun impact significatif sur la nutrition de ces enfants plus jeunes. [Kazianga et </w:t>
      </w:r>
      <w:r w:rsidR="005E551A">
        <w:rPr>
          <w:szCs w:val="20"/>
          <w:lang w:val="fr-FR"/>
        </w:rPr>
        <w:t>coll</w:t>
      </w:r>
      <w:r w:rsidRPr="00577EB1">
        <w:rPr>
          <w:szCs w:val="20"/>
          <w:lang w:val="fr-FR"/>
        </w:rPr>
        <w:t>. 2008].</w:t>
      </w:r>
    </w:p>
    <w:p w:rsidR="0050199E" w:rsidRPr="00577EB1" w:rsidRDefault="0050199E" w:rsidP="00E52A30">
      <w:pPr>
        <w:numPr>
          <w:ilvl w:val="0"/>
          <w:numId w:val="2"/>
        </w:numPr>
        <w:ind w:left="0" w:right="-91" w:firstLine="0"/>
        <w:rPr>
          <w:rFonts w:eastAsia="SimSun"/>
          <w:b/>
          <w:lang w:val="fr-FR"/>
        </w:rPr>
      </w:pPr>
      <w:r w:rsidRPr="00577EB1">
        <w:rPr>
          <w:rFonts w:eastAsia="SimSun"/>
          <w:b/>
          <w:lang w:val="fr-FR"/>
        </w:rPr>
        <w:t xml:space="preserve">Ces résultats mitigés invitent éventuellement à reconsidérer le choix du modèle le plus économiquement rentable pour accroitre la fréquentation scolaire au sein des populations les plus pauvres et les plus vulnérables. </w:t>
      </w:r>
      <w:r w:rsidRPr="00577EB1">
        <w:rPr>
          <w:rFonts w:eastAsia="SimSun"/>
          <w:lang w:val="fr-FR"/>
        </w:rPr>
        <w:t xml:space="preserve">Au cours des dernières années, les inscriptions, la fréquentation et les indicateurs de résultats de l’école primaire se sont améliorés. Il n’est pas cependant clair si cela est dû aux cantines scolaires ou à d’autres initiatives Éducation pour tous, et si de meilleurs résultats auraient pu être obtenus de façon </w:t>
      </w:r>
      <w:r w:rsidRPr="00577EB1">
        <w:rPr>
          <w:rFonts w:eastAsia="SimSun"/>
          <w:lang w:val="fr-FR"/>
        </w:rPr>
        <w:lastRenderedPageBreak/>
        <w:t>plus économique avec d’autres instruments. Les options suivantes peuvent être envisagées pour augmenter les taux de fréquentation scolaire</w:t>
      </w:r>
      <w:r w:rsidR="0075722A">
        <w:rPr>
          <w:rFonts w:eastAsia="SimSun"/>
          <w:lang w:val="fr-FR"/>
        </w:rPr>
        <w:t> : repas pris à l’école uniquement</w:t>
      </w:r>
      <w:r w:rsidRPr="00577EB1">
        <w:rPr>
          <w:rFonts w:eastAsia="SimSun"/>
          <w:lang w:val="fr-FR"/>
        </w:rPr>
        <w:t> ; rations à emporter uniquement</w:t>
      </w:r>
      <w:r w:rsidR="0075722A">
        <w:rPr>
          <w:rFonts w:eastAsia="SimSun"/>
          <w:lang w:val="fr-FR"/>
        </w:rPr>
        <w:t> ;</w:t>
      </w:r>
      <w:r w:rsidR="0007340F">
        <w:rPr>
          <w:rFonts w:eastAsia="SimSun"/>
          <w:lang w:val="fr-FR"/>
        </w:rPr>
        <w:t xml:space="preserve"> </w:t>
      </w:r>
      <w:r w:rsidRPr="00577EB1">
        <w:rPr>
          <w:rFonts w:eastAsia="SimSun"/>
          <w:lang w:val="fr-FR"/>
        </w:rPr>
        <w:t>transferts monétaires conditionnels</w:t>
      </w:r>
      <w:r w:rsidR="0007340F">
        <w:rPr>
          <w:rFonts w:eastAsia="SimSun"/>
          <w:lang w:val="fr-FR"/>
        </w:rPr>
        <w:t xml:space="preserve"> </w:t>
      </w:r>
      <w:r w:rsidRPr="00577EB1">
        <w:rPr>
          <w:rFonts w:eastAsia="SimSun"/>
          <w:lang w:val="fr-FR"/>
        </w:rPr>
        <w:t>et transferts monétaires non conditionnels. Pour éclairer une telle réflexion, il faudrait plus d’information et de faits sur le coût</w:t>
      </w:r>
      <w:r w:rsidR="0075722A" w:rsidRPr="00577EB1">
        <w:rPr>
          <w:rFonts w:eastAsia="SimSun"/>
          <w:sz w:val="20"/>
          <w:vertAlign w:val="superscript"/>
          <w:lang w:val="fr-FR"/>
        </w:rPr>
        <w:footnoteReference w:id="40"/>
      </w:r>
      <w:r w:rsidRPr="00577EB1">
        <w:rPr>
          <w:rFonts w:eastAsia="SimSun"/>
          <w:lang w:val="fr-FR"/>
        </w:rPr>
        <w:t xml:space="preserve"> et l’impact (sur la fréquentation scolaire, le développement local, etc.) des différents types de programmes ainsi qu’une mise en cohérence des stratégies d’intervention au niveau de la demande et au niveau de l’offre. </w:t>
      </w:r>
    </w:p>
    <w:p w:rsidR="0050199E" w:rsidRPr="00577EB1" w:rsidRDefault="0050199E" w:rsidP="00E52A30">
      <w:pPr>
        <w:widowControl w:val="0"/>
        <w:numPr>
          <w:ilvl w:val="0"/>
          <w:numId w:val="2"/>
        </w:numPr>
        <w:ind w:left="0" w:right="-90" w:firstLine="0"/>
        <w:rPr>
          <w:rFonts w:eastAsia="SimSun"/>
          <w:lang w:val="fr-FR"/>
        </w:rPr>
      </w:pPr>
      <w:r w:rsidRPr="00577EB1">
        <w:rPr>
          <w:rFonts w:eastAsia="SimSun"/>
          <w:b/>
          <w:lang w:val="fr-FR"/>
        </w:rPr>
        <w:t>Malgré la preuve globale de l’impact positif des cantines scolaires, des recherches supplémentaires sont nécessaires pour évaluer les mérites relatifs à long terme de l’alimentation à l’école par rapport aux rations à emporter ou à d’autres instruments de filets sociaux (transferts monétaires conditionnels).</w:t>
      </w:r>
      <w:r w:rsidRPr="00577EB1">
        <w:rPr>
          <w:rFonts w:eastAsia="SimSun"/>
          <w:lang w:val="fr-FR"/>
        </w:rPr>
        <w:t xml:space="preserve"> Les programmes de cantines scolaires peuvent faire augmenter la fréquentation scolaire, la cognition et les résultats pédagogiques, en particulier lorsqu’ils sont appuyés par des actions complémentaires telles que le déparasitage et l’apport de micronutriments ou la supplémentation [Bundy et coll. 2009]. dans leur discussion de l’efficacité des modalités des cantines scolaires, Bundy et coll. [2009] reconnaissent qu’il est particulièrement nécessaire d’obtenir de meilleures données sur l’efficience des approches et des modalités de cantines scolaires qui sont disponibles.</w:t>
      </w:r>
    </w:p>
    <w:p w:rsidR="0050199E" w:rsidRPr="00577EB1" w:rsidRDefault="0050199E" w:rsidP="00E52A30">
      <w:pPr>
        <w:widowControl w:val="0"/>
        <w:numPr>
          <w:ilvl w:val="0"/>
          <w:numId w:val="2"/>
        </w:numPr>
        <w:ind w:left="0" w:right="-90" w:firstLine="0"/>
        <w:rPr>
          <w:rFonts w:eastAsia="SimSun"/>
          <w:lang w:val="fr-FR"/>
        </w:rPr>
      </w:pPr>
      <w:r w:rsidRPr="00577EB1">
        <w:rPr>
          <w:rFonts w:eastAsia="SimSun"/>
          <w:b/>
          <w:lang w:val="fr-FR"/>
        </w:rPr>
        <w:t>Les programmes de cantines scolaires peuvent ne pas atteindre les plus pauvres et les plus vulnérables.</w:t>
      </w:r>
      <w:r w:rsidRPr="00577EB1">
        <w:rPr>
          <w:rFonts w:eastAsia="SimSun"/>
          <w:lang w:val="fr-FR"/>
        </w:rPr>
        <w:t xml:space="preserve"> Dans les zones les plus pauvres où la scolarisation est faible, les cantines scolaires peuvent ne pas atteindre les plus pauvres. Premièrement, les pauvres sont moins susceptibles d’aller à l’école que les non-pauvres. Deuxièmement, il est très difficile de cibler les avantages en faveur les pauvres au sein d’une école, sauf si on utilise les rations à emporter, qui ne sont pas tellement différentes des transferts monétaires conditionnels. Troisièmement, les activités de cantines scolaires sont coûteuses et doivent être géographiquement ciblées, mais alors, le programme ne profite plus à la majorité des pauvres vivant dans les zones qui ne sont pas couvertes.</w:t>
      </w:r>
    </w:p>
    <w:p w:rsidR="0050199E" w:rsidRPr="00577EB1" w:rsidRDefault="0050199E" w:rsidP="00E52A30">
      <w:pPr>
        <w:widowControl w:val="0"/>
        <w:numPr>
          <w:ilvl w:val="0"/>
          <w:numId w:val="2"/>
        </w:numPr>
        <w:ind w:left="0" w:right="-90" w:firstLine="0"/>
        <w:rPr>
          <w:rFonts w:eastAsia="SimSun"/>
          <w:lang w:val="fr-FR"/>
        </w:rPr>
      </w:pPr>
      <w:r w:rsidRPr="00577EB1">
        <w:rPr>
          <w:rFonts w:eastAsia="SimSun"/>
          <w:b/>
          <w:lang w:val="fr-FR"/>
        </w:rPr>
        <w:t xml:space="preserve">Il faudrait établir de meilleurs liens entre les programmes d’aide alimentaire et la production locale. </w:t>
      </w:r>
      <w:r w:rsidRPr="00577EB1">
        <w:rPr>
          <w:rFonts w:eastAsia="SimSun"/>
          <w:lang w:val="fr-FR"/>
        </w:rPr>
        <w:t>Petit à petit, l’approvisionnement local a été mis en avant et de meilleurs liens entre les programmes d’aide alimentaire et les programmes d’appui aux petits exploitants agricoles ont été établis. Au niveau mondial, l’approvisionnement local est activement évalué en tant que moyen de réaliser des programmes durables et, en même temps, d’utiliser le pouvoir d’achat des programme comme une force multiplicatrice et un stimulant pour l’économie agricole locale [Bund</w:t>
      </w:r>
      <w:r w:rsidRPr="00577EB1">
        <w:rPr>
          <w:rFonts w:eastAsia="SimSun"/>
          <w:bCs/>
          <w:lang w:val="fr-FR"/>
        </w:rPr>
        <w:t>y et coll. 2009]. Pourtant, dans les programmes financés par l’USAID, les vivres sont fournis en nature par les Etats-Unis. Cette approche ne soutient pas les marchés locaux, nationaux ou régionaux. Le PAM, par contre, a introduit le programme Achats pour le progrès (P4P) qui vise à acheter une quantité significative de vivres aux associations de petits exploitants agricoles.</w:t>
      </w:r>
      <w:r w:rsidRPr="00577EB1">
        <w:rPr>
          <w:rFonts w:eastAsia="SimSun"/>
          <w:sz w:val="20"/>
          <w:vertAlign w:val="superscript"/>
          <w:lang w:val="fr-FR"/>
        </w:rPr>
        <w:footnoteReference w:id="41"/>
      </w:r>
      <w:r w:rsidRPr="00577EB1">
        <w:rPr>
          <w:rFonts w:eastAsia="SimSun"/>
          <w:bCs/>
          <w:lang w:val="fr-FR"/>
        </w:rPr>
        <w:t xml:space="preserve"> La promotion des produits locaux fait aussi partie de « </w:t>
      </w:r>
      <w:r w:rsidRPr="00577EB1">
        <w:rPr>
          <w:rFonts w:eastAsia="SimSun"/>
          <w:lang w:val="fr-FR"/>
        </w:rPr>
        <w:t>Burkina 2025 » et du plan d’urgence pour la réalisation de la sécurité alimentaire et nutritionnelle au Burkina Faso (2008-2012).</w:t>
      </w:r>
    </w:p>
    <w:p w:rsidR="0050199E" w:rsidRPr="00577EB1" w:rsidRDefault="0050199E" w:rsidP="0050199E">
      <w:pPr>
        <w:pStyle w:val="Heading2"/>
      </w:pPr>
      <w:bookmarkStart w:id="189" w:name="_Toc261967415"/>
      <w:bookmarkStart w:id="190" w:name="_Toc262169637"/>
      <w:bookmarkStart w:id="191" w:name="_Toc264748736"/>
      <w:r w:rsidRPr="00577EB1">
        <w:lastRenderedPageBreak/>
        <w:t xml:space="preserve">Subventions universelles des produits alimentaires et </w:t>
      </w:r>
      <w:bookmarkEnd w:id="189"/>
      <w:bookmarkEnd w:id="190"/>
      <w:r w:rsidR="001C657B" w:rsidRPr="00577EB1">
        <w:t>pétroliers</w:t>
      </w:r>
      <w:bookmarkEnd w:id="191"/>
    </w:p>
    <w:p w:rsidR="0050199E" w:rsidRPr="00577EB1" w:rsidRDefault="0050199E" w:rsidP="00E52A30">
      <w:pPr>
        <w:widowControl w:val="0"/>
        <w:numPr>
          <w:ilvl w:val="0"/>
          <w:numId w:val="2"/>
        </w:numPr>
        <w:ind w:left="0" w:right="-72" w:firstLine="0"/>
        <w:rPr>
          <w:rFonts w:eastAsia="SimSun"/>
          <w:lang w:val="fr-FR"/>
        </w:rPr>
      </w:pPr>
      <w:r w:rsidRPr="00577EB1">
        <w:rPr>
          <w:rFonts w:eastAsia="SimSun"/>
          <w:b/>
          <w:lang w:val="fr-FR"/>
        </w:rPr>
        <w:t>La subvention alimentaire universelle introduite en 2008 par le Gouvernement en réponse à la crise induite par la flambée des cours mondiaux était très coûteuse et très inefficace pour atteindre les pauvres.</w:t>
      </w:r>
      <w:r w:rsidRPr="00577EB1">
        <w:rPr>
          <w:rFonts w:eastAsia="SimSun"/>
          <w:lang w:val="fr-FR"/>
        </w:rPr>
        <w:t xml:space="preserve"> Pour atténuer les effets négatifs de la hausse des prix alimentaires mondiaux, le Gouvernement a suspendu, en mars 2008, la TVA ou le tarif sur les importations pour un certain nombre de denrées alimentaires de base (Tableau 25). La perte générée par ces mesures a été estimée à plus de 4 milliards de francs CFA (0,1 % du PIB). En termes d’impact sur les prix alimentaires, les mois qui ont suivi ont connu une augmentation du prix du riz et pas de réduction des prix des autres produits subventionnés. En termes d’effet sur le bien-être des ménages, les deux quintiles les plus pauvres ont été les plus frappés par les prix alimentaires élevés et ont donc très peu bénéficié de ces exonérations de taxes</w:t>
      </w:r>
      <w:r w:rsidR="0007340F">
        <w:rPr>
          <w:rFonts w:eastAsia="SimSun"/>
          <w:lang w:val="fr-FR"/>
        </w:rPr>
        <w:t xml:space="preserve"> </w:t>
      </w:r>
      <w:r w:rsidRPr="00577EB1">
        <w:rPr>
          <w:rFonts w:eastAsia="SimSun"/>
          <w:lang w:val="fr-FR"/>
        </w:rPr>
        <w:t xml:space="preserve">seuls 10 % des avantages ont atteint le quintile le plus pauvre. Dans les six mois (octobre 2008), ces mesures ont été abandonnées et ce programme peu performant clôturé. </w:t>
      </w:r>
    </w:p>
    <w:p w:rsidR="0050199E" w:rsidRPr="00577EB1" w:rsidRDefault="001F3001" w:rsidP="006F1314">
      <w:pPr>
        <w:pStyle w:val="Heading7"/>
        <w:rPr>
          <w:lang w:val="fr-FR"/>
        </w:rPr>
      </w:pPr>
      <w:bookmarkStart w:id="192" w:name="_Ref135727458"/>
      <w:bookmarkStart w:id="193" w:name="_Toc262170056"/>
      <w:bookmarkStart w:id="194" w:name="_Toc284528600"/>
      <w:bookmarkStart w:id="195" w:name="_Toc284530536"/>
      <w:r w:rsidRPr="00577EB1">
        <w:rPr>
          <w:lang w:val="fr-FR"/>
        </w:rPr>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25</w:t>
      </w:r>
      <w:r w:rsidR="00725419" w:rsidRPr="00577EB1">
        <w:rPr>
          <w:lang w:val="fr-FR"/>
        </w:rPr>
        <w:fldChar w:fldCharType="end"/>
      </w:r>
      <w:bookmarkEnd w:id="192"/>
      <w:r>
        <w:rPr>
          <w:lang w:val="fr-FR"/>
        </w:rPr>
        <w:t xml:space="preserve"> </w:t>
      </w:r>
      <w:r w:rsidR="003203FB">
        <w:rPr>
          <w:lang w:val="fr-FR"/>
        </w:rPr>
        <w:t>:</w:t>
      </w:r>
      <w:r w:rsidR="0007340F">
        <w:rPr>
          <w:lang w:val="fr-FR"/>
        </w:rPr>
        <w:t xml:space="preserve"> </w:t>
      </w:r>
      <w:r w:rsidR="0050199E" w:rsidRPr="00577EB1">
        <w:rPr>
          <w:lang w:val="fr-FR"/>
        </w:rPr>
        <w:t xml:space="preserve">Implication pour les prix des exonérations sur les produits de première </w:t>
      </w:r>
      <w:bookmarkEnd w:id="193"/>
      <w:r w:rsidR="0050199E" w:rsidRPr="00577EB1">
        <w:rPr>
          <w:lang w:val="fr-FR"/>
        </w:rPr>
        <w:t>nécessité ciblés</w:t>
      </w:r>
      <w:bookmarkEnd w:id="194"/>
      <w:bookmarkEnd w:id="195"/>
    </w:p>
    <w:tbl>
      <w:tblPr>
        <w:tblW w:w="9039" w:type="dxa"/>
        <w:tblLook w:val="00A0"/>
      </w:tblPr>
      <w:tblGrid>
        <w:gridCol w:w="3060"/>
        <w:gridCol w:w="3060"/>
        <w:gridCol w:w="2919"/>
      </w:tblGrid>
      <w:tr w:rsidR="0050199E" w:rsidRPr="000A70E6" w:rsidTr="0050199E">
        <w:tc>
          <w:tcPr>
            <w:tcW w:w="3060" w:type="dxa"/>
            <w:tcBorders>
              <w:top w:val="single" w:sz="4" w:space="0" w:color="auto"/>
              <w:bottom w:val="single" w:sz="4" w:space="0" w:color="auto"/>
            </w:tcBorders>
          </w:tcPr>
          <w:p w:rsidR="0050199E" w:rsidRPr="00577EB1" w:rsidRDefault="0050199E" w:rsidP="0050199E">
            <w:pPr>
              <w:keepNext/>
              <w:keepLines/>
              <w:spacing w:after="0"/>
              <w:ind w:right="-90"/>
              <w:rPr>
                <w:rFonts w:eastAsia="SimSun" w:cs="Arial"/>
                <w:b/>
                <w:bCs/>
                <w:iCs/>
                <w:sz w:val="20"/>
                <w:szCs w:val="28"/>
                <w:lang w:val="fr-FR"/>
              </w:rPr>
            </w:pPr>
            <w:r w:rsidRPr="00577EB1">
              <w:rPr>
                <w:rFonts w:eastAsia="SimSun"/>
                <w:sz w:val="20"/>
                <w:lang w:val="fr-FR"/>
              </w:rPr>
              <w:t>Produit</w:t>
            </w:r>
          </w:p>
        </w:tc>
        <w:tc>
          <w:tcPr>
            <w:tcW w:w="3060" w:type="dxa"/>
            <w:tcBorders>
              <w:top w:val="single" w:sz="4" w:space="0" w:color="auto"/>
              <w:bottom w:val="single" w:sz="4" w:space="0" w:color="auto"/>
            </w:tcBorders>
          </w:tcPr>
          <w:p w:rsidR="0050199E" w:rsidRPr="00577EB1" w:rsidRDefault="0050199E" w:rsidP="0050199E">
            <w:pPr>
              <w:keepNext/>
              <w:keepLines/>
              <w:spacing w:after="0"/>
              <w:ind w:right="-90"/>
              <w:jc w:val="center"/>
              <w:rPr>
                <w:rFonts w:eastAsia="SimSun" w:cs="Arial"/>
                <w:b/>
                <w:bCs/>
                <w:iCs/>
                <w:sz w:val="20"/>
                <w:szCs w:val="28"/>
                <w:lang w:val="fr-FR"/>
              </w:rPr>
            </w:pPr>
            <w:r w:rsidRPr="00577EB1">
              <w:rPr>
                <w:rFonts w:eastAsia="SimSun"/>
                <w:sz w:val="20"/>
                <w:lang w:val="fr-FR"/>
              </w:rPr>
              <w:t>Type d’exonération</w:t>
            </w:r>
          </w:p>
        </w:tc>
        <w:tc>
          <w:tcPr>
            <w:tcW w:w="2919" w:type="dxa"/>
            <w:tcBorders>
              <w:top w:val="single" w:sz="4" w:space="0" w:color="auto"/>
              <w:bottom w:val="single" w:sz="4" w:space="0" w:color="auto"/>
            </w:tcBorders>
          </w:tcPr>
          <w:p w:rsidR="0050199E" w:rsidRPr="00577EB1" w:rsidRDefault="0050199E" w:rsidP="0050199E">
            <w:pPr>
              <w:keepNext/>
              <w:keepLines/>
              <w:spacing w:after="0"/>
              <w:ind w:right="-90"/>
              <w:jc w:val="center"/>
              <w:rPr>
                <w:rFonts w:eastAsia="SimSun" w:cs="Arial"/>
                <w:b/>
                <w:bCs/>
                <w:iCs/>
                <w:sz w:val="20"/>
                <w:szCs w:val="28"/>
                <w:lang w:val="fr-FR"/>
              </w:rPr>
            </w:pPr>
            <w:r w:rsidRPr="00577EB1">
              <w:rPr>
                <w:rFonts w:eastAsia="SimSun"/>
                <w:sz w:val="20"/>
                <w:lang w:val="fr-FR"/>
              </w:rPr>
              <w:t>Taux de la taxe suspendue (%)</w:t>
            </w:r>
          </w:p>
        </w:tc>
      </w:tr>
      <w:tr w:rsidR="0050199E" w:rsidRPr="00577EB1" w:rsidTr="0050199E">
        <w:tc>
          <w:tcPr>
            <w:tcW w:w="3060" w:type="dxa"/>
            <w:tcBorders>
              <w:top w:val="single" w:sz="4" w:space="0" w:color="auto"/>
            </w:tcBorders>
          </w:tcPr>
          <w:p w:rsidR="0050199E" w:rsidRPr="00577EB1" w:rsidRDefault="0050199E" w:rsidP="0050199E">
            <w:pPr>
              <w:keepNext/>
              <w:keepLines/>
              <w:spacing w:after="0"/>
              <w:ind w:right="-90"/>
              <w:rPr>
                <w:rFonts w:eastAsia="SimSun" w:cs="Arial"/>
                <w:b/>
                <w:bCs/>
                <w:iCs/>
                <w:sz w:val="20"/>
                <w:szCs w:val="28"/>
                <w:lang w:val="fr-FR"/>
              </w:rPr>
            </w:pPr>
            <w:r w:rsidRPr="00577EB1">
              <w:rPr>
                <w:rFonts w:eastAsia="SimSun"/>
                <w:sz w:val="20"/>
                <w:lang w:val="fr-FR"/>
              </w:rPr>
              <w:t>Riz</w:t>
            </w:r>
          </w:p>
        </w:tc>
        <w:tc>
          <w:tcPr>
            <w:tcW w:w="3060" w:type="dxa"/>
            <w:tcBorders>
              <w:top w:val="single" w:sz="4" w:space="0" w:color="auto"/>
            </w:tcBorders>
          </w:tcPr>
          <w:p w:rsidR="0050199E" w:rsidRPr="00577EB1" w:rsidRDefault="0050199E" w:rsidP="0050199E">
            <w:pPr>
              <w:keepNext/>
              <w:keepLines/>
              <w:spacing w:after="0"/>
              <w:ind w:right="-90"/>
              <w:jc w:val="center"/>
              <w:rPr>
                <w:rFonts w:eastAsia="SimSun" w:cs="Arial"/>
                <w:b/>
                <w:bCs/>
                <w:iCs/>
                <w:sz w:val="20"/>
                <w:szCs w:val="28"/>
                <w:lang w:val="fr-FR"/>
              </w:rPr>
            </w:pPr>
            <w:r w:rsidRPr="00577EB1">
              <w:rPr>
                <w:rFonts w:eastAsia="SimSun"/>
                <w:sz w:val="20"/>
                <w:lang w:val="fr-FR"/>
              </w:rPr>
              <w:t>Tarif sur les importations</w:t>
            </w:r>
          </w:p>
        </w:tc>
        <w:tc>
          <w:tcPr>
            <w:tcW w:w="2919" w:type="dxa"/>
            <w:tcBorders>
              <w:top w:val="single" w:sz="4" w:space="0" w:color="auto"/>
            </w:tcBorders>
          </w:tcPr>
          <w:p w:rsidR="0050199E" w:rsidRPr="00577EB1" w:rsidRDefault="0050199E" w:rsidP="0050199E">
            <w:pPr>
              <w:keepNext/>
              <w:keepLines/>
              <w:spacing w:after="0"/>
              <w:ind w:right="-90"/>
              <w:jc w:val="center"/>
              <w:rPr>
                <w:rFonts w:eastAsia="SimSun" w:cs="Arial"/>
                <w:b/>
                <w:bCs/>
                <w:iCs/>
                <w:sz w:val="20"/>
                <w:szCs w:val="28"/>
                <w:lang w:val="fr-FR"/>
              </w:rPr>
            </w:pPr>
            <w:r w:rsidRPr="00577EB1">
              <w:rPr>
                <w:rFonts w:eastAsia="SimSun"/>
                <w:sz w:val="20"/>
                <w:lang w:val="fr-FR"/>
              </w:rPr>
              <w:t>10</w:t>
            </w:r>
          </w:p>
        </w:tc>
      </w:tr>
      <w:tr w:rsidR="0050199E" w:rsidRPr="00577EB1" w:rsidTr="0050199E">
        <w:tc>
          <w:tcPr>
            <w:tcW w:w="3060" w:type="dxa"/>
          </w:tcPr>
          <w:p w:rsidR="0050199E" w:rsidRPr="00577EB1" w:rsidRDefault="0050199E" w:rsidP="0050199E">
            <w:pPr>
              <w:keepNext/>
              <w:keepLines/>
              <w:spacing w:after="0"/>
              <w:ind w:right="-90"/>
              <w:rPr>
                <w:rFonts w:eastAsia="SimSun" w:cs="Arial"/>
                <w:b/>
                <w:bCs/>
                <w:iCs/>
                <w:sz w:val="20"/>
                <w:szCs w:val="28"/>
                <w:lang w:val="fr-FR"/>
              </w:rPr>
            </w:pPr>
            <w:r w:rsidRPr="00577EB1">
              <w:rPr>
                <w:rFonts w:eastAsia="SimSun"/>
                <w:sz w:val="20"/>
                <w:lang w:val="fr-FR"/>
              </w:rPr>
              <w:t>Sel</w:t>
            </w:r>
          </w:p>
        </w:tc>
        <w:tc>
          <w:tcPr>
            <w:tcW w:w="3060" w:type="dxa"/>
          </w:tcPr>
          <w:p w:rsidR="0050199E" w:rsidRPr="00577EB1" w:rsidRDefault="0050199E" w:rsidP="0050199E">
            <w:pPr>
              <w:keepNext/>
              <w:keepLines/>
              <w:spacing w:after="0"/>
              <w:ind w:right="-90"/>
              <w:jc w:val="center"/>
              <w:rPr>
                <w:rFonts w:eastAsia="SimSun" w:cs="Arial"/>
                <w:b/>
                <w:bCs/>
                <w:iCs/>
                <w:sz w:val="20"/>
                <w:szCs w:val="28"/>
                <w:lang w:val="fr-FR"/>
              </w:rPr>
            </w:pPr>
            <w:r w:rsidRPr="00577EB1">
              <w:rPr>
                <w:rFonts w:eastAsia="SimSun"/>
                <w:sz w:val="20"/>
                <w:lang w:val="fr-FR"/>
              </w:rPr>
              <w:t>Tarif sur les importations</w:t>
            </w:r>
          </w:p>
        </w:tc>
        <w:tc>
          <w:tcPr>
            <w:tcW w:w="2919" w:type="dxa"/>
          </w:tcPr>
          <w:p w:rsidR="0050199E" w:rsidRPr="00577EB1" w:rsidRDefault="0050199E" w:rsidP="0050199E">
            <w:pPr>
              <w:keepNext/>
              <w:keepLines/>
              <w:spacing w:after="0"/>
              <w:ind w:right="-90"/>
              <w:jc w:val="center"/>
              <w:rPr>
                <w:rFonts w:eastAsia="SimSun" w:cs="Arial"/>
                <w:b/>
                <w:bCs/>
                <w:iCs/>
                <w:sz w:val="20"/>
                <w:szCs w:val="28"/>
                <w:lang w:val="fr-FR"/>
              </w:rPr>
            </w:pPr>
            <w:r w:rsidRPr="00577EB1">
              <w:rPr>
                <w:rFonts w:eastAsia="SimSun"/>
                <w:sz w:val="20"/>
                <w:lang w:val="fr-FR"/>
              </w:rPr>
              <w:t>5</w:t>
            </w:r>
          </w:p>
        </w:tc>
      </w:tr>
      <w:tr w:rsidR="0050199E" w:rsidRPr="00577EB1" w:rsidTr="0050199E">
        <w:tc>
          <w:tcPr>
            <w:tcW w:w="3060" w:type="dxa"/>
          </w:tcPr>
          <w:p w:rsidR="0050199E" w:rsidRPr="00577EB1" w:rsidRDefault="0050199E" w:rsidP="0050199E">
            <w:pPr>
              <w:keepNext/>
              <w:keepLines/>
              <w:spacing w:after="0"/>
              <w:ind w:right="-90"/>
              <w:rPr>
                <w:rFonts w:eastAsia="SimSun" w:cs="Arial"/>
                <w:b/>
                <w:bCs/>
                <w:iCs/>
                <w:sz w:val="20"/>
                <w:szCs w:val="28"/>
                <w:lang w:val="fr-FR"/>
              </w:rPr>
            </w:pPr>
            <w:r w:rsidRPr="00577EB1">
              <w:rPr>
                <w:rFonts w:eastAsia="SimSun"/>
                <w:sz w:val="20"/>
                <w:lang w:val="fr-FR"/>
              </w:rPr>
              <w:t>Lait et produits laitiers</w:t>
            </w:r>
          </w:p>
        </w:tc>
        <w:tc>
          <w:tcPr>
            <w:tcW w:w="3060" w:type="dxa"/>
          </w:tcPr>
          <w:p w:rsidR="0050199E" w:rsidRPr="00577EB1" w:rsidRDefault="0050199E" w:rsidP="0050199E">
            <w:pPr>
              <w:keepNext/>
              <w:keepLines/>
              <w:spacing w:after="0"/>
              <w:ind w:right="-90"/>
              <w:jc w:val="center"/>
              <w:rPr>
                <w:rFonts w:eastAsia="SimSun" w:cs="Arial"/>
                <w:b/>
                <w:bCs/>
                <w:iCs/>
                <w:sz w:val="20"/>
                <w:szCs w:val="28"/>
                <w:lang w:val="fr-FR"/>
              </w:rPr>
            </w:pPr>
            <w:r w:rsidRPr="00577EB1">
              <w:rPr>
                <w:rFonts w:eastAsia="SimSun"/>
                <w:sz w:val="20"/>
                <w:lang w:val="fr-FR"/>
              </w:rPr>
              <w:t>Tarif sur les importations</w:t>
            </w:r>
          </w:p>
        </w:tc>
        <w:tc>
          <w:tcPr>
            <w:tcW w:w="2919" w:type="dxa"/>
          </w:tcPr>
          <w:p w:rsidR="0050199E" w:rsidRPr="00577EB1" w:rsidRDefault="0050199E" w:rsidP="0050199E">
            <w:pPr>
              <w:keepNext/>
              <w:keepLines/>
              <w:spacing w:after="0"/>
              <w:ind w:right="-90"/>
              <w:jc w:val="center"/>
              <w:rPr>
                <w:rFonts w:eastAsia="SimSun" w:cs="Arial"/>
                <w:b/>
                <w:bCs/>
                <w:iCs/>
                <w:sz w:val="20"/>
                <w:szCs w:val="28"/>
                <w:lang w:val="fr-FR"/>
              </w:rPr>
            </w:pPr>
            <w:r w:rsidRPr="00577EB1">
              <w:rPr>
                <w:rFonts w:eastAsia="SimSun"/>
                <w:sz w:val="20"/>
                <w:lang w:val="fr-FR"/>
              </w:rPr>
              <w:t>9</w:t>
            </w:r>
          </w:p>
        </w:tc>
      </w:tr>
      <w:tr w:rsidR="0050199E" w:rsidRPr="00577EB1" w:rsidTr="0050199E">
        <w:tc>
          <w:tcPr>
            <w:tcW w:w="3060" w:type="dxa"/>
          </w:tcPr>
          <w:p w:rsidR="0050199E" w:rsidRPr="00577EB1" w:rsidRDefault="0050199E" w:rsidP="0050199E">
            <w:pPr>
              <w:keepNext/>
              <w:keepLines/>
              <w:spacing w:after="0"/>
              <w:ind w:right="-90"/>
              <w:rPr>
                <w:rFonts w:eastAsia="SimSun" w:cs="Arial"/>
                <w:b/>
                <w:bCs/>
                <w:iCs/>
                <w:sz w:val="20"/>
                <w:szCs w:val="28"/>
                <w:lang w:val="fr-FR"/>
              </w:rPr>
            </w:pPr>
            <w:r w:rsidRPr="00577EB1">
              <w:rPr>
                <w:rFonts w:eastAsia="SimSun"/>
                <w:sz w:val="20"/>
                <w:lang w:val="fr-FR"/>
              </w:rPr>
              <w:t>Pâtes</w:t>
            </w:r>
          </w:p>
        </w:tc>
        <w:tc>
          <w:tcPr>
            <w:tcW w:w="3060" w:type="dxa"/>
          </w:tcPr>
          <w:p w:rsidR="0050199E" w:rsidRPr="00577EB1" w:rsidRDefault="0050199E" w:rsidP="0050199E">
            <w:pPr>
              <w:keepNext/>
              <w:keepLines/>
              <w:spacing w:after="0"/>
              <w:ind w:right="-90"/>
              <w:jc w:val="center"/>
              <w:rPr>
                <w:rFonts w:eastAsia="SimSun" w:cs="Arial"/>
                <w:b/>
                <w:bCs/>
                <w:iCs/>
                <w:sz w:val="20"/>
                <w:szCs w:val="28"/>
                <w:lang w:val="fr-FR"/>
              </w:rPr>
            </w:pPr>
            <w:r w:rsidRPr="00577EB1">
              <w:rPr>
                <w:rFonts w:eastAsia="SimSun"/>
                <w:sz w:val="20"/>
                <w:lang w:val="fr-FR"/>
              </w:rPr>
              <w:t>TVA</w:t>
            </w:r>
          </w:p>
        </w:tc>
        <w:tc>
          <w:tcPr>
            <w:tcW w:w="2919" w:type="dxa"/>
          </w:tcPr>
          <w:p w:rsidR="0050199E" w:rsidRPr="00577EB1" w:rsidRDefault="0050199E" w:rsidP="0050199E">
            <w:pPr>
              <w:keepNext/>
              <w:keepLines/>
              <w:spacing w:after="0"/>
              <w:ind w:right="-90"/>
              <w:jc w:val="center"/>
              <w:rPr>
                <w:rFonts w:eastAsia="SimSun" w:cs="Arial"/>
                <w:b/>
                <w:bCs/>
                <w:iCs/>
                <w:sz w:val="20"/>
                <w:szCs w:val="28"/>
                <w:lang w:val="fr-FR"/>
              </w:rPr>
            </w:pPr>
            <w:r w:rsidRPr="00577EB1">
              <w:rPr>
                <w:rFonts w:eastAsia="SimSun"/>
                <w:sz w:val="20"/>
                <w:lang w:val="fr-FR"/>
              </w:rPr>
              <w:t>18</w:t>
            </w:r>
          </w:p>
        </w:tc>
      </w:tr>
      <w:tr w:rsidR="0050199E" w:rsidRPr="00577EB1" w:rsidTr="0050199E">
        <w:tc>
          <w:tcPr>
            <w:tcW w:w="3060" w:type="dxa"/>
          </w:tcPr>
          <w:p w:rsidR="0050199E" w:rsidRPr="00577EB1" w:rsidRDefault="0050199E" w:rsidP="0050199E">
            <w:pPr>
              <w:keepNext/>
              <w:keepLines/>
              <w:spacing w:after="0"/>
              <w:ind w:right="-90"/>
              <w:rPr>
                <w:rFonts w:eastAsia="SimSun" w:cs="Arial"/>
                <w:b/>
                <w:bCs/>
                <w:iCs/>
                <w:sz w:val="20"/>
                <w:szCs w:val="28"/>
                <w:lang w:val="fr-FR"/>
              </w:rPr>
            </w:pPr>
            <w:r w:rsidRPr="00577EB1">
              <w:rPr>
                <w:rFonts w:eastAsia="SimSun"/>
                <w:sz w:val="20"/>
                <w:lang w:val="fr-FR"/>
              </w:rPr>
              <w:t>Savon</w:t>
            </w:r>
          </w:p>
        </w:tc>
        <w:tc>
          <w:tcPr>
            <w:tcW w:w="3060" w:type="dxa"/>
          </w:tcPr>
          <w:p w:rsidR="0050199E" w:rsidRPr="00577EB1" w:rsidRDefault="0050199E" w:rsidP="0050199E">
            <w:pPr>
              <w:keepNext/>
              <w:keepLines/>
              <w:spacing w:after="0"/>
              <w:ind w:right="-90"/>
              <w:jc w:val="center"/>
              <w:rPr>
                <w:rFonts w:eastAsia="SimSun" w:cs="Arial"/>
                <w:b/>
                <w:bCs/>
                <w:iCs/>
                <w:sz w:val="20"/>
                <w:szCs w:val="28"/>
                <w:lang w:val="fr-FR"/>
              </w:rPr>
            </w:pPr>
            <w:r w:rsidRPr="00577EB1">
              <w:rPr>
                <w:rFonts w:eastAsia="SimSun"/>
                <w:sz w:val="20"/>
                <w:lang w:val="fr-FR"/>
              </w:rPr>
              <w:t>TVA</w:t>
            </w:r>
          </w:p>
        </w:tc>
        <w:tc>
          <w:tcPr>
            <w:tcW w:w="2919" w:type="dxa"/>
          </w:tcPr>
          <w:p w:rsidR="0050199E" w:rsidRPr="00577EB1" w:rsidRDefault="0050199E" w:rsidP="0050199E">
            <w:pPr>
              <w:keepNext/>
              <w:keepLines/>
              <w:spacing w:after="0"/>
              <w:ind w:right="-90"/>
              <w:jc w:val="center"/>
              <w:rPr>
                <w:rFonts w:eastAsia="SimSun" w:cs="Arial"/>
                <w:b/>
                <w:bCs/>
                <w:iCs/>
                <w:sz w:val="20"/>
                <w:szCs w:val="28"/>
                <w:lang w:val="fr-FR"/>
              </w:rPr>
            </w:pPr>
            <w:r w:rsidRPr="00577EB1">
              <w:rPr>
                <w:rFonts w:eastAsia="SimSun"/>
                <w:sz w:val="20"/>
                <w:lang w:val="fr-FR"/>
              </w:rPr>
              <w:t>18</w:t>
            </w:r>
          </w:p>
        </w:tc>
      </w:tr>
      <w:tr w:rsidR="0050199E" w:rsidRPr="00577EB1" w:rsidTr="0050199E">
        <w:tc>
          <w:tcPr>
            <w:tcW w:w="3060" w:type="dxa"/>
            <w:tcBorders>
              <w:bottom w:val="single" w:sz="4" w:space="0" w:color="auto"/>
            </w:tcBorders>
          </w:tcPr>
          <w:p w:rsidR="0050199E" w:rsidRPr="00577EB1" w:rsidRDefault="0050199E" w:rsidP="0050199E">
            <w:pPr>
              <w:keepNext/>
              <w:keepLines/>
              <w:spacing w:after="0"/>
              <w:ind w:right="-90"/>
              <w:rPr>
                <w:rFonts w:eastAsia="SimSun" w:cs="Arial"/>
                <w:b/>
                <w:bCs/>
                <w:iCs/>
                <w:sz w:val="20"/>
                <w:szCs w:val="28"/>
                <w:lang w:val="fr-FR"/>
              </w:rPr>
            </w:pPr>
            <w:r w:rsidRPr="00577EB1">
              <w:rPr>
                <w:rFonts w:eastAsia="SimSun"/>
                <w:sz w:val="20"/>
                <w:lang w:val="fr-FR"/>
              </w:rPr>
              <w:t>Huile végétale</w:t>
            </w:r>
          </w:p>
        </w:tc>
        <w:tc>
          <w:tcPr>
            <w:tcW w:w="3060" w:type="dxa"/>
            <w:tcBorders>
              <w:bottom w:val="single" w:sz="4" w:space="0" w:color="auto"/>
            </w:tcBorders>
          </w:tcPr>
          <w:p w:rsidR="0050199E" w:rsidRPr="00577EB1" w:rsidRDefault="0050199E" w:rsidP="0050199E">
            <w:pPr>
              <w:keepNext/>
              <w:keepLines/>
              <w:spacing w:after="0"/>
              <w:ind w:right="-90"/>
              <w:jc w:val="center"/>
              <w:rPr>
                <w:rFonts w:eastAsia="SimSun" w:cs="Arial"/>
                <w:b/>
                <w:bCs/>
                <w:iCs/>
                <w:sz w:val="20"/>
                <w:szCs w:val="28"/>
                <w:lang w:val="fr-FR"/>
              </w:rPr>
            </w:pPr>
            <w:r w:rsidRPr="00577EB1">
              <w:rPr>
                <w:rFonts w:eastAsia="SimSun"/>
                <w:sz w:val="20"/>
                <w:lang w:val="fr-FR"/>
              </w:rPr>
              <w:t>TVA</w:t>
            </w:r>
          </w:p>
        </w:tc>
        <w:tc>
          <w:tcPr>
            <w:tcW w:w="2919" w:type="dxa"/>
            <w:tcBorders>
              <w:bottom w:val="single" w:sz="4" w:space="0" w:color="auto"/>
            </w:tcBorders>
          </w:tcPr>
          <w:p w:rsidR="0050199E" w:rsidRPr="00577EB1" w:rsidRDefault="0050199E" w:rsidP="0050199E">
            <w:pPr>
              <w:keepNext/>
              <w:keepLines/>
              <w:spacing w:after="0"/>
              <w:ind w:right="-90"/>
              <w:jc w:val="center"/>
              <w:rPr>
                <w:rFonts w:eastAsia="SimSun" w:cs="Arial"/>
                <w:b/>
                <w:bCs/>
                <w:iCs/>
                <w:sz w:val="20"/>
                <w:szCs w:val="28"/>
                <w:lang w:val="fr-FR"/>
              </w:rPr>
            </w:pPr>
            <w:r w:rsidRPr="00577EB1">
              <w:rPr>
                <w:rFonts w:eastAsia="SimSun"/>
                <w:sz w:val="20"/>
                <w:lang w:val="fr-FR"/>
              </w:rPr>
              <w:t>18</w:t>
            </w:r>
          </w:p>
        </w:tc>
      </w:tr>
    </w:tbl>
    <w:p w:rsidR="004B3541" w:rsidRDefault="0050199E">
      <w:pPr>
        <w:keepLines/>
        <w:tabs>
          <w:tab w:val="left" w:pos="0"/>
        </w:tabs>
        <w:spacing w:before="120" w:after="480"/>
        <w:ind w:right="-91"/>
        <w:rPr>
          <w:rFonts w:eastAsia="SimSun"/>
          <w:sz w:val="20"/>
          <w:lang w:val="fr-FR"/>
        </w:rPr>
      </w:pPr>
      <w:r w:rsidRPr="00577EB1">
        <w:rPr>
          <w:rFonts w:eastAsia="SimSun"/>
          <w:i/>
          <w:sz w:val="20"/>
          <w:lang w:val="fr-FR"/>
        </w:rPr>
        <w:t>Source</w:t>
      </w:r>
      <w:r w:rsidR="003203FB">
        <w:rPr>
          <w:rFonts w:eastAsia="SimSun"/>
          <w:i/>
          <w:sz w:val="20"/>
          <w:lang w:val="fr-FR"/>
        </w:rPr>
        <w:t> :</w:t>
      </w:r>
      <w:r w:rsidR="0007340F">
        <w:rPr>
          <w:rFonts w:eastAsia="SimSun"/>
          <w:i/>
          <w:sz w:val="20"/>
          <w:lang w:val="fr-FR"/>
        </w:rPr>
        <w:t xml:space="preserve"> </w:t>
      </w:r>
      <w:r w:rsidRPr="00577EB1">
        <w:rPr>
          <w:rFonts w:eastAsia="SimSun"/>
          <w:sz w:val="20"/>
          <w:lang w:val="fr-FR"/>
        </w:rPr>
        <w:t xml:space="preserve">FMI, </w:t>
      </w:r>
      <w:r w:rsidR="008E7B13">
        <w:rPr>
          <w:rFonts w:eastAsia="SimSun"/>
          <w:sz w:val="20"/>
          <w:lang w:val="fr-FR"/>
        </w:rPr>
        <w:t xml:space="preserve">non-publié, </w:t>
      </w:r>
      <w:r w:rsidRPr="00577EB1">
        <w:rPr>
          <w:rFonts w:eastAsia="SimSun"/>
          <w:sz w:val="20"/>
          <w:lang w:val="fr-FR"/>
        </w:rPr>
        <w:t>2008.</w:t>
      </w:r>
    </w:p>
    <w:p w:rsidR="0050199E" w:rsidRPr="00577EB1" w:rsidRDefault="0050199E" w:rsidP="00E52A30">
      <w:pPr>
        <w:widowControl w:val="0"/>
        <w:numPr>
          <w:ilvl w:val="0"/>
          <w:numId w:val="2"/>
        </w:numPr>
        <w:ind w:left="0" w:right="-90" w:firstLine="0"/>
        <w:rPr>
          <w:rFonts w:eastAsia="SimSun"/>
          <w:lang w:val="fr-FR"/>
        </w:rPr>
      </w:pPr>
      <w:r w:rsidRPr="00577EB1">
        <w:rPr>
          <w:rFonts w:eastAsia="SimSun"/>
          <w:b/>
          <w:lang w:val="fr-FR"/>
        </w:rPr>
        <w:t>Le Gouvernement a pendant des années subventionné un certain nombre de produits pétroliers malgré le coût élevé pour les finances publiques et l’impact très limité sur les ménages les plus pauvres</w:t>
      </w:r>
      <w:r w:rsidRPr="00577EB1">
        <w:rPr>
          <w:rFonts w:eastAsia="SimSun"/>
          <w:lang w:val="fr-FR"/>
        </w:rPr>
        <w:t>.</w:t>
      </w:r>
      <w:r w:rsidRPr="00577EB1">
        <w:rPr>
          <w:rFonts w:eastAsia="SimSun"/>
          <w:sz w:val="20"/>
          <w:vertAlign w:val="superscript"/>
          <w:lang w:val="fr-FR"/>
        </w:rPr>
        <w:footnoteReference w:id="42"/>
      </w:r>
      <w:r w:rsidRPr="00577EB1">
        <w:rPr>
          <w:rFonts w:eastAsia="SimSun"/>
          <w:lang w:val="fr-FR"/>
        </w:rPr>
        <w:t xml:space="preserve"> Depuis juillet 2007, le gouvernement a utilisé un mécanisme de rétrocession immédiate pour les produits pétroliers, sur une base plus opportuniste qu’automatique. Les coûts budgétaires générés ont été estimés à 0,8 % du PIB. Pour empêcher l’usage du charbon de bois et encourager la conservation de l’environnement, le gaz butane (LPG)</w:t>
      </w:r>
      <w:r w:rsidRPr="00577EB1">
        <w:rPr>
          <w:rFonts w:eastAsia="SimSun"/>
          <w:i/>
          <w:lang w:val="fr-FR"/>
        </w:rPr>
        <w:t xml:space="preserve"> </w:t>
      </w:r>
      <w:r w:rsidRPr="00577EB1">
        <w:rPr>
          <w:rFonts w:eastAsia="SimSun"/>
          <w:lang w:val="fr-FR"/>
        </w:rPr>
        <w:t>a été subsidié à travers une subvention au distributeur, pour un coût atteignant 0,3 % du PIB. Dans un effort pour contenir le prix de l’électricité, le carburant utilisé par les génératrices productrices d’électricité a également été subventionné à hauteur de 0,4 % du PIB. En 2007, le coût de l’ensemble des subventions du carburant a atteint 0,73 % du PIB.</w:t>
      </w:r>
      <w:r w:rsidRPr="00577EB1">
        <w:rPr>
          <w:rStyle w:val="FootnoteReference"/>
          <w:lang w:val="fr-FR"/>
        </w:rPr>
        <w:footnoteReference w:id="43"/>
      </w:r>
      <w:r w:rsidRPr="00577EB1">
        <w:rPr>
          <w:rFonts w:eastAsia="SimSun"/>
          <w:lang w:val="fr-FR"/>
        </w:rPr>
        <w:t xml:space="preserve"> Il s’agit là d’un coût extrêmement élevé pour un impact très limité sur les pauvres. En fait, on estime que plus de 84 % des avantages sont allés aux non-pauvres, 98 % si on ne considère que les avantages de la subvention du butane. La subvention du kérosène (pétrole lampant) a davantage profité aux pauvres, 38 % des avantages ayant atteint les quintiles les plus défavorisés. </w:t>
      </w:r>
    </w:p>
    <w:p w:rsidR="0050199E" w:rsidRPr="00577EB1" w:rsidRDefault="00EB214A" w:rsidP="0050199E">
      <w:pPr>
        <w:keepNext/>
        <w:spacing w:before="240" w:after="120"/>
        <w:ind w:right="-91"/>
        <w:jc w:val="center"/>
        <w:rPr>
          <w:b/>
          <w:bCs/>
          <w:sz w:val="20"/>
          <w:szCs w:val="20"/>
          <w:lang w:val="fr-FR"/>
        </w:rPr>
      </w:pPr>
      <w:bookmarkStart w:id="196" w:name="_Toc262170057"/>
      <w:bookmarkStart w:id="197" w:name="_Toc284530537"/>
      <w:r w:rsidRPr="00EB214A">
        <w:rPr>
          <w:b/>
          <w:sz w:val="20"/>
          <w:lang w:val="fr-FR"/>
        </w:rPr>
        <w:lastRenderedPageBreak/>
        <w:t xml:space="preserve">Tableau </w:t>
      </w:r>
      <w:r w:rsidR="00725419" w:rsidRPr="00EB214A">
        <w:rPr>
          <w:b/>
          <w:sz w:val="20"/>
          <w:lang w:val="fr-FR"/>
        </w:rPr>
        <w:fldChar w:fldCharType="begin"/>
      </w:r>
      <w:r w:rsidRPr="00EB214A">
        <w:rPr>
          <w:b/>
          <w:sz w:val="20"/>
          <w:lang w:val="fr-FR"/>
        </w:rPr>
        <w:instrText xml:space="preserve"> SEQ Table \* ARABIC </w:instrText>
      </w:r>
      <w:r w:rsidR="00725419" w:rsidRPr="00EB214A">
        <w:rPr>
          <w:b/>
          <w:sz w:val="20"/>
          <w:lang w:val="fr-FR"/>
        </w:rPr>
        <w:fldChar w:fldCharType="separate"/>
      </w:r>
      <w:r w:rsidR="00EF56B2">
        <w:rPr>
          <w:b/>
          <w:noProof/>
          <w:sz w:val="20"/>
          <w:lang w:val="fr-FR"/>
        </w:rPr>
        <w:t>26</w:t>
      </w:r>
      <w:r w:rsidR="00725419" w:rsidRPr="00EB214A">
        <w:rPr>
          <w:b/>
          <w:sz w:val="20"/>
          <w:lang w:val="fr-FR"/>
        </w:rPr>
        <w:fldChar w:fldCharType="end"/>
      </w:r>
      <w:r w:rsidR="003203FB">
        <w:rPr>
          <w:b/>
          <w:bCs/>
          <w:sz w:val="20"/>
          <w:szCs w:val="20"/>
          <w:lang w:val="fr-FR"/>
        </w:rPr>
        <w:t> :</w:t>
      </w:r>
      <w:r w:rsidR="0007340F">
        <w:rPr>
          <w:b/>
          <w:bCs/>
          <w:sz w:val="20"/>
          <w:szCs w:val="20"/>
          <w:lang w:val="fr-FR"/>
        </w:rPr>
        <w:t xml:space="preserve"> </w:t>
      </w:r>
      <w:r w:rsidR="0050199E" w:rsidRPr="00577EB1">
        <w:rPr>
          <w:b/>
          <w:bCs/>
          <w:sz w:val="20"/>
          <w:szCs w:val="20"/>
          <w:lang w:val="fr-FR"/>
        </w:rPr>
        <w:t>Implications des exemptions sur les prix des carburants ciblés, 2008</w:t>
      </w:r>
      <w:bookmarkEnd w:id="196"/>
      <w:bookmarkEnd w:id="197"/>
    </w:p>
    <w:tbl>
      <w:tblPr>
        <w:tblW w:w="5000" w:type="pct"/>
        <w:tblCellMar>
          <w:left w:w="57" w:type="dxa"/>
          <w:right w:w="57" w:type="dxa"/>
        </w:tblCellMar>
        <w:tblLook w:val="00A0"/>
      </w:tblPr>
      <w:tblGrid>
        <w:gridCol w:w="3238"/>
        <w:gridCol w:w="1133"/>
        <w:gridCol w:w="1133"/>
        <w:gridCol w:w="1133"/>
        <w:gridCol w:w="1132"/>
        <w:gridCol w:w="1134"/>
      </w:tblGrid>
      <w:tr w:rsidR="0050199E" w:rsidRPr="00577EB1" w:rsidTr="008C3350">
        <w:tc>
          <w:tcPr>
            <w:tcW w:w="1817" w:type="pct"/>
            <w:tcBorders>
              <w:top w:val="single" w:sz="4" w:space="0" w:color="auto"/>
              <w:bottom w:val="single" w:sz="4" w:space="0" w:color="auto"/>
            </w:tcBorders>
          </w:tcPr>
          <w:p w:rsidR="0050199E" w:rsidRPr="00577EB1" w:rsidRDefault="0050199E" w:rsidP="0050199E">
            <w:pPr>
              <w:keepNext/>
              <w:keepLines/>
              <w:spacing w:before="20" w:after="20"/>
              <w:ind w:right="-91"/>
              <w:rPr>
                <w:rFonts w:eastAsia="SimSun"/>
                <w:sz w:val="20"/>
                <w:lang w:val="fr-FR"/>
              </w:rPr>
            </w:pPr>
          </w:p>
        </w:tc>
        <w:tc>
          <w:tcPr>
            <w:tcW w:w="636" w:type="pct"/>
            <w:tcBorders>
              <w:top w:val="single" w:sz="4" w:space="0" w:color="auto"/>
              <w:bottom w:val="single" w:sz="4" w:space="0" w:color="auto"/>
            </w:tcBorders>
          </w:tcPr>
          <w:p w:rsidR="0050199E" w:rsidRPr="00577EB1" w:rsidRDefault="0050199E" w:rsidP="0050199E">
            <w:pPr>
              <w:keepNext/>
              <w:keepLines/>
              <w:spacing w:before="20" w:after="20"/>
              <w:ind w:right="-91"/>
              <w:jc w:val="center"/>
              <w:rPr>
                <w:rFonts w:eastAsia="SimSun"/>
                <w:sz w:val="20"/>
                <w:lang w:val="fr-FR"/>
              </w:rPr>
            </w:pPr>
            <w:r w:rsidRPr="00577EB1">
              <w:rPr>
                <w:rFonts w:eastAsia="SimSun"/>
                <w:sz w:val="20"/>
                <w:lang w:val="fr-FR"/>
              </w:rPr>
              <w:t>Essence</w:t>
            </w:r>
          </w:p>
          <w:p w:rsidR="0050199E" w:rsidRPr="00577EB1" w:rsidRDefault="0050199E" w:rsidP="0050199E">
            <w:pPr>
              <w:keepNext/>
              <w:keepLines/>
              <w:spacing w:before="20" w:after="20"/>
              <w:ind w:right="-91"/>
              <w:jc w:val="center"/>
              <w:rPr>
                <w:rFonts w:eastAsia="SimSun"/>
                <w:sz w:val="20"/>
                <w:lang w:val="fr-FR"/>
              </w:rPr>
            </w:pPr>
            <w:r w:rsidRPr="00577EB1">
              <w:rPr>
                <w:rFonts w:eastAsia="SimSun"/>
                <w:sz w:val="20"/>
                <w:lang w:val="fr-FR"/>
              </w:rPr>
              <w:t>(</w:t>
            </w:r>
            <w:r w:rsidRPr="00577EB1">
              <w:rPr>
                <w:rFonts w:eastAsia="SimSun"/>
                <w:i/>
                <w:sz w:val="20"/>
                <w:lang w:val="fr-FR"/>
              </w:rPr>
              <w:t>super</w:t>
            </w:r>
            <w:r w:rsidRPr="00577EB1">
              <w:rPr>
                <w:rFonts w:eastAsia="SimSun"/>
                <w:sz w:val="20"/>
                <w:lang w:val="fr-FR"/>
              </w:rPr>
              <w:t>)</w:t>
            </w:r>
          </w:p>
        </w:tc>
        <w:tc>
          <w:tcPr>
            <w:tcW w:w="636" w:type="pct"/>
            <w:tcBorders>
              <w:top w:val="single" w:sz="4" w:space="0" w:color="auto"/>
              <w:bottom w:val="single" w:sz="4" w:space="0" w:color="auto"/>
            </w:tcBorders>
          </w:tcPr>
          <w:p w:rsidR="0050199E" w:rsidRPr="00577EB1" w:rsidRDefault="0050199E" w:rsidP="0050199E">
            <w:pPr>
              <w:keepNext/>
              <w:keepLines/>
              <w:spacing w:before="20" w:after="20"/>
              <w:ind w:right="-91"/>
              <w:jc w:val="center"/>
              <w:rPr>
                <w:rFonts w:eastAsia="SimSun"/>
                <w:sz w:val="20"/>
                <w:lang w:val="fr-FR"/>
              </w:rPr>
            </w:pPr>
            <w:r w:rsidRPr="00577EB1">
              <w:rPr>
                <w:rFonts w:eastAsia="SimSun"/>
                <w:sz w:val="20"/>
                <w:lang w:val="fr-FR"/>
              </w:rPr>
              <w:t xml:space="preserve">LPG </w:t>
            </w:r>
            <w:r w:rsidRPr="00577EB1">
              <w:rPr>
                <w:rFonts w:eastAsia="SimSun"/>
                <w:sz w:val="20"/>
                <w:lang w:val="fr-FR"/>
              </w:rPr>
              <w:br/>
              <w:t>(</w:t>
            </w:r>
            <w:r w:rsidRPr="00577EB1">
              <w:rPr>
                <w:rFonts w:eastAsia="SimSun"/>
                <w:i/>
                <w:sz w:val="20"/>
                <w:lang w:val="fr-FR"/>
              </w:rPr>
              <w:t>butane</w:t>
            </w:r>
            <w:r w:rsidRPr="00577EB1">
              <w:rPr>
                <w:rFonts w:eastAsia="SimSun"/>
                <w:sz w:val="20"/>
                <w:lang w:val="fr-FR"/>
              </w:rPr>
              <w:t>)</w:t>
            </w:r>
          </w:p>
        </w:tc>
        <w:tc>
          <w:tcPr>
            <w:tcW w:w="636" w:type="pct"/>
            <w:tcBorders>
              <w:top w:val="single" w:sz="4" w:space="0" w:color="auto"/>
              <w:bottom w:val="single" w:sz="4" w:space="0" w:color="auto"/>
            </w:tcBorders>
          </w:tcPr>
          <w:p w:rsidR="0050199E" w:rsidRPr="00577EB1" w:rsidRDefault="0050199E" w:rsidP="0050199E">
            <w:pPr>
              <w:keepNext/>
              <w:keepLines/>
              <w:spacing w:before="20" w:after="20"/>
              <w:ind w:right="-91"/>
              <w:jc w:val="center"/>
              <w:rPr>
                <w:rFonts w:eastAsia="SimSun"/>
                <w:sz w:val="20"/>
                <w:lang w:val="fr-FR"/>
              </w:rPr>
            </w:pPr>
            <w:r w:rsidRPr="00577EB1">
              <w:rPr>
                <w:rFonts w:eastAsia="SimSun"/>
                <w:sz w:val="20"/>
                <w:lang w:val="fr-FR"/>
              </w:rPr>
              <w:t>Kérosène (</w:t>
            </w:r>
            <w:r w:rsidRPr="00577EB1">
              <w:rPr>
                <w:rFonts w:eastAsia="SimSun"/>
                <w:i/>
                <w:sz w:val="20"/>
                <w:lang w:val="fr-FR"/>
              </w:rPr>
              <w:t>pétrole</w:t>
            </w:r>
            <w:r w:rsidRPr="00577EB1">
              <w:rPr>
                <w:rFonts w:eastAsia="SimSun"/>
                <w:sz w:val="20"/>
                <w:lang w:val="fr-FR"/>
              </w:rPr>
              <w:t>)</w:t>
            </w:r>
          </w:p>
        </w:tc>
        <w:tc>
          <w:tcPr>
            <w:tcW w:w="636" w:type="pct"/>
            <w:tcBorders>
              <w:top w:val="single" w:sz="4" w:space="0" w:color="auto"/>
              <w:bottom w:val="single" w:sz="4" w:space="0" w:color="auto"/>
            </w:tcBorders>
          </w:tcPr>
          <w:p w:rsidR="0050199E" w:rsidRPr="00577EB1" w:rsidRDefault="0050199E" w:rsidP="0050199E">
            <w:pPr>
              <w:keepNext/>
              <w:keepLines/>
              <w:spacing w:before="20" w:after="20"/>
              <w:ind w:right="-91"/>
              <w:jc w:val="center"/>
              <w:rPr>
                <w:rFonts w:eastAsia="SimSun"/>
                <w:sz w:val="20"/>
                <w:lang w:val="fr-FR"/>
              </w:rPr>
            </w:pPr>
            <w:r w:rsidRPr="00577EB1">
              <w:rPr>
                <w:rFonts w:eastAsia="SimSun"/>
                <w:sz w:val="20"/>
                <w:lang w:val="fr-FR"/>
              </w:rPr>
              <w:t>Diesel 1 (</w:t>
            </w:r>
            <w:r w:rsidRPr="00577EB1">
              <w:rPr>
                <w:rFonts w:eastAsia="SimSun"/>
                <w:i/>
                <w:sz w:val="20"/>
                <w:lang w:val="fr-FR"/>
              </w:rPr>
              <w:t>gasoil</w:t>
            </w:r>
            <w:r w:rsidRPr="00577EB1">
              <w:rPr>
                <w:rFonts w:eastAsia="SimSun"/>
                <w:sz w:val="20"/>
                <w:lang w:val="fr-FR"/>
              </w:rPr>
              <w:t>)</w:t>
            </w:r>
          </w:p>
        </w:tc>
        <w:tc>
          <w:tcPr>
            <w:tcW w:w="637" w:type="pct"/>
            <w:tcBorders>
              <w:top w:val="single" w:sz="4" w:space="0" w:color="auto"/>
              <w:bottom w:val="single" w:sz="4" w:space="0" w:color="auto"/>
            </w:tcBorders>
          </w:tcPr>
          <w:p w:rsidR="0050199E" w:rsidRPr="00577EB1" w:rsidRDefault="0050199E" w:rsidP="0050199E">
            <w:pPr>
              <w:keepNext/>
              <w:keepLines/>
              <w:spacing w:before="20" w:after="20"/>
              <w:ind w:right="-91"/>
              <w:jc w:val="center"/>
              <w:rPr>
                <w:rFonts w:eastAsia="SimSun"/>
                <w:sz w:val="20"/>
                <w:lang w:val="fr-FR"/>
              </w:rPr>
            </w:pPr>
            <w:r w:rsidRPr="00577EB1">
              <w:rPr>
                <w:rFonts w:eastAsia="SimSun"/>
                <w:sz w:val="20"/>
                <w:lang w:val="fr-FR"/>
              </w:rPr>
              <w:t>Diesel 2 (DGM)</w:t>
            </w:r>
          </w:p>
        </w:tc>
      </w:tr>
      <w:tr w:rsidR="0050199E" w:rsidRPr="00577EB1" w:rsidTr="008C3350">
        <w:tc>
          <w:tcPr>
            <w:tcW w:w="1817" w:type="pct"/>
            <w:tcBorders>
              <w:top w:val="single" w:sz="4" w:space="0" w:color="auto"/>
            </w:tcBorders>
          </w:tcPr>
          <w:p w:rsidR="0050199E" w:rsidRPr="00577EB1" w:rsidRDefault="0050199E" w:rsidP="0050199E">
            <w:pPr>
              <w:keepNext/>
              <w:keepLines/>
              <w:spacing w:before="20" w:after="20"/>
              <w:ind w:right="-91"/>
              <w:rPr>
                <w:rFonts w:eastAsia="SimSun"/>
                <w:sz w:val="20"/>
                <w:lang w:val="fr-FR"/>
              </w:rPr>
            </w:pPr>
            <w:r w:rsidRPr="00577EB1">
              <w:rPr>
                <w:rFonts w:eastAsia="SimSun"/>
                <w:sz w:val="20"/>
                <w:lang w:val="fr-FR"/>
              </w:rPr>
              <w:t>Subvention explicite (aux distributeurs)</w:t>
            </w:r>
          </w:p>
        </w:tc>
        <w:tc>
          <w:tcPr>
            <w:tcW w:w="636" w:type="pct"/>
            <w:tcBorders>
              <w:top w:val="single" w:sz="4" w:space="0" w:color="auto"/>
            </w:tcBorders>
          </w:tcPr>
          <w:p w:rsidR="0050199E" w:rsidRPr="00577EB1" w:rsidRDefault="0050199E" w:rsidP="0050199E">
            <w:pPr>
              <w:keepNext/>
              <w:keepLines/>
              <w:spacing w:before="20" w:after="20"/>
              <w:ind w:right="-91"/>
              <w:jc w:val="center"/>
              <w:rPr>
                <w:rFonts w:eastAsia="SimSun"/>
                <w:sz w:val="20"/>
                <w:lang w:val="fr-FR"/>
              </w:rPr>
            </w:pPr>
          </w:p>
        </w:tc>
        <w:tc>
          <w:tcPr>
            <w:tcW w:w="636" w:type="pct"/>
            <w:tcBorders>
              <w:top w:val="single" w:sz="4" w:space="0" w:color="auto"/>
            </w:tcBorders>
          </w:tcPr>
          <w:p w:rsidR="0050199E" w:rsidRPr="00577EB1" w:rsidRDefault="0050199E" w:rsidP="0050199E">
            <w:pPr>
              <w:keepNext/>
              <w:keepLines/>
              <w:spacing w:before="20" w:after="20"/>
              <w:ind w:right="-91"/>
              <w:jc w:val="center"/>
              <w:rPr>
                <w:rFonts w:eastAsia="SimSun"/>
                <w:sz w:val="20"/>
                <w:lang w:val="fr-FR"/>
              </w:rPr>
            </w:pPr>
            <w:r w:rsidRPr="00577EB1">
              <w:rPr>
                <w:rFonts w:eastAsia="SimSun"/>
                <w:lang w:val="fr-FR"/>
              </w:rPr>
              <w:sym w:font="Wingdings" w:char="F0FC"/>
            </w:r>
            <w:r w:rsidRPr="00577EB1">
              <w:rPr>
                <w:rFonts w:eastAsia="SimSun"/>
                <w:lang w:val="fr-FR"/>
              </w:rPr>
              <w:t xml:space="preserve"> types</w:t>
            </w:r>
          </w:p>
        </w:tc>
        <w:tc>
          <w:tcPr>
            <w:tcW w:w="636" w:type="pct"/>
            <w:tcBorders>
              <w:top w:val="single" w:sz="4" w:space="0" w:color="auto"/>
            </w:tcBorders>
          </w:tcPr>
          <w:p w:rsidR="0050199E" w:rsidRPr="00577EB1" w:rsidRDefault="0050199E" w:rsidP="0050199E">
            <w:pPr>
              <w:keepNext/>
              <w:keepLines/>
              <w:spacing w:before="20" w:after="20"/>
              <w:ind w:right="-91"/>
              <w:jc w:val="center"/>
              <w:rPr>
                <w:rFonts w:eastAsia="SimSun"/>
                <w:sz w:val="20"/>
                <w:lang w:val="fr-FR"/>
              </w:rPr>
            </w:pPr>
          </w:p>
        </w:tc>
        <w:tc>
          <w:tcPr>
            <w:tcW w:w="636" w:type="pct"/>
            <w:tcBorders>
              <w:top w:val="single" w:sz="4" w:space="0" w:color="auto"/>
            </w:tcBorders>
          </w:tcPr>
          <w:p w:rsidR="0050199E" w:rsidRPr="00577EB1" w:rsidRDefault="0050199E" w:rsidP="0050199E">
            <w:pPr>
              <w:keepNext/>
              <w:keepLines/>
              <w:spacing w:before="20" w:after="20"/>
              <w:ind w:right="-91"/>
              <w:jc w:val="center"/>
              <w:rPr>
                <w:rFonts w:eastAsia="SimSun"/>
                <w:sz w:val="20"/>
                <w:lang w:val="fr-FR"/>
              </w:rPr>
            </w:pPr>
          </w:p>
        </w:tc>
        <w:tc>
          <w:tcPr>
            <w:tcW w:w="637" w:type="pct"/>
            <w:tcBorders>
              <w:top w:val="single" w:sz="4" w:space="0" w:color="auto"/>
            </w:tcBorders>
          </w:tcPr>
          <w:p w:rsidR="0050199E" w:rsidRPr="00577EB1" w:rsidRDefault="0050199E" w:rsidP="0050199E">
            <w:pPr>
              <w:keepNext/>
              <w:keepLines/>
              <w:spacing w:before="20" w:after="20"/>
              <w:ind w:right="-91"/>
              <w:jc w:val="center"/>
              <w:rPr>
                <w:rFonts w:eastAsia="SimSun"/>
                <w:sz w:val="20"/>
                <w:lang w:val="fr-FR"/>
              </w:rPr>
            </w:pPr>
          </w:p>
        </w:tc>
      </w:tr>
      <w:tr w:rsidR="0050199E" w:rsidRPr="00577EB1" w:rsidTr="008C3350">
        <w:tc>
          <w:tcPr>
            <w:tcW w:w="1817" w:type="pct"/>
          </w:tcPr>
          <w:p w:rsidR="0050199E" w:rsidRPr="00577EB1" w:rsidRDefault="0050199E" w:rsidP="0050199E">
            <w:pPr>
              <w:keepNext/>
              <w:keepLines/>
              <w:spacing w:before="20" w:after="20"/>
              <w:ind w:right="-91"/>
              <w:rPr>
                <w:rFonts w:eastAsia="SimSun"/>
                <w:sz w:val="20"/>
                <w:lang w:val="fr-FR"/>
              </w:rPr>
            </w:pPr>
            <w:r w:rsidRPr="00577EB1">
              <w:rPr>
                <w:rFonts w:eastAsia="SimSun"/>
                <w:sz w:val="20"/>
                <w:lang w:val="fr-FR"/>
              </w:rPr>
              <w:t>Subvention implicite (SONABHY)</w:t>
            </w:r>
          </w:p>
        </w:tc>
        <w:tc>
          <w:tcPr>
            <w:tcW w:w="636" w:type="pct"/>
          </w:tcPr>
          <w:p w:rsidR="0050199E" w:rsidRPr="00577EB1" w:rsidRDefault="0050199E" w:rsidP="0050199E">
            <w:pPr>
              <w:keepNext/>
              <w:keepLines/>
              <w:spacing w:before="20" w:after="20"/>
              <w:ind w:right="-91"/>
              <w:jc w:val="center"/>
              <w:rPr>
                <w:rFonts w:eastAsia="SimSun"/>
                <w:sz w:val="20"/>
                <w:lang w:val="fr-FR"/>
              </w:rPr>
            </w:pPr>
            <w:r w:rsidRPr="00577EB1">
              <w:rPr>
                <w:rFonts w:eastAsia="SimSun"/>
                <w:lang w:val="fr-FR"/>
              </w:rPr>
              <w:sym w:font="Wingdings" w:char="F0FC"/>
            </w:r>
          </w:p>
        </w:tc>
        <w:tc>
          <w:tcPr>
            <w:tcW w:w="636" w:type="pct"/>
          </w:tcPr>
          <w:p w:rsidR="0050199E" w:rsidRPr="00577EB1" w:rsidRDefault="0050199E" w:rsidP="0050199E">
            <w:pPr>
              <w:keepNext/>
              <w:keepLines/>
              <w:spacing w:before="20" w:after="20"/>
              <w:ind w:right="-91"/>
              <w:jc w:val="center"/>
              <w:rPr>
                <w:rFonts w:eastAsia="SimSun"/>
                <w:sz w:val="20"/>
                <w:lang w:val="fr-FR"/>
              </w:rPr>
            </w:pPr>
            <w:r w:rsidRPr="00577EB1">
              <w:rPr>
                <w:rFonts w:eastAsia="SimSun"/>
                <w:lang w:val="fr-FR"/>
              </w:rPr>
              <w:sym w:font="Wingdings" w:char="F0FC"/>
            </w:r>
          </w:p>
        </w:tc>
        <w:tc>
          <w:tcPr>
            <w:tcW w:w="636" w:type="pct"/>
          </w:tcPr>
          <w:p w:rsidR="0050199E" w:rsidRPr="00577EB1" w:rsidRDefault="0050199E" w:rsidP="0050199E">
            <w:pPr>
              <w:keepNext/>
              <w:keepLines/>
              <w:spacing w:before="20" w:after="20"/>
              <w:ind w:right="-91"/>
              <w:jc w:val="center"/>
              <w:rPr>
                <w:rFonts w:eastAsia="SimSun"/>
                <w:sz w:val="20"/>
                <w:lang w:val="fr-FR"/>
              </w:rPr>
            </w:pPr>
            <w:r w:rsidRPr="00577EB1">
              <w:rPr>
                <w:rFonts w:eastAsia="SimSun"/>
                <w:lang w:val="fr-FR"/>
              </w:rPr>
              <w:sym w:font="Wingdings" w:char="F0FC"/>
            </w:r>
          </w:p>
        </w:tc>
        <w:tc>
          <w:tcPr>
            <w:tcW w:w="636" w:type="pct"/>
          </w:tcPr>
          <w:p w:rsidR="0050199E" w:rsidRPr="00577EB1" w:rsidRDefault="0050199E" w:rsidP="0050199E">
            <w:pPr>
              <w:keepNext/>
              <w:keepLines/>
              <w:spacing w:before="20" w:after="20"/>
              <w:ind w:right="-91"/>
              <w:jc w:val="center"/>
              <w:rPr>
                <w:rFonts w:eastAsia="SimSun"/>
                <w:sz w:val="20"/>
                <w:lang w:val="fr-FR"/>
              </w:rPr>
            </w:pPr>
            <w:r w:rsidRPr="00577EB1">
              <w:rPr>
                <w:rFonts w:eastAsia="SimSun"/>
                <w:lang w:val="fr-FR"/>
              </w:rPr>
              <w:sym w:font="Wingdings" w:char="F0FC"/>
            </w:r>
          </w:p>
        </w:tc>
        <w:tc>
          <w:tcPr>
            <w:tcW w:w="637" w:type="pct"/>
          </w:tcPr>
          <w:p w:rsidR="0050199E" w:rsidRPr="00577EB1" w:rsidRDefault="0050199E" w:rsidP="0050199E">
            <w:pPr>
              <w:keepNext/>
              <w:keepLines/>
              <w:spacing w:before="20" w:after="20"/>
              <w:ind w:right="-91"/>
              <w:jc w:val="center"/>
              <w:rPr>
                <w:rFonts w:eastAsia="SimSun"/>
                <w:sz w:val="20"/>
                <w:lang w:val="fr-FR"/>
              </w:rPr>
            </w:pPr>
            <w:r w:rsidRPr="00577EB1">
              <w:rPr>
                <w:rFonts w:eastAsia="SimSun"/>
                <w:lang w:val="fr-FR"/>
              </w:rPr>
              <w:sym w:font="Wingdings" w:char="F0FC"/>
            </w:r>
          </w:p>
        </w:tc>
      </w:tr>
      <w:tr w:rsidR="0050199E" w:rsidRPr="000A70E6" w:rsidTr="008C3350">
        <w:tc>
          <w:tcPr>
            <w:tcW w:w="1817" w:type="pct"/>
          </w:tcPr>
          <w:p w:rsidR="0050199E" w:rsidRPr="00577EB1" w:rsidRDefault="0050199E" w:rsidP="0050199E">
            <w:pPr>
              <w:keepNext/>
              <w:keepLines/>
              <w:spacing w:before="20" w:after="20"/>
              <w:ind w:right="-91"/>
              <w:rPr>
                <w:rFonts w:eastAsia="SimSun"/>
                <w:sz w:val="20"/>
                <w:lang w:val="fr-FR"/>
              </w:rPr>
            </w:pPr>
            <w:r w:rsidRPr="00577EB1">
              <w:rPr>
                <w:rFonts w:eastAsia="SimSun"/>
                <w:sz w:val="20"/>
                <w:lang w:val="fr-FR"/>
              </w:rPr>
              <w:t>Suspension des droits de douanes</w:t>
            </w:r>
          </w:p>
        </w:tc>
        <w:tc>
          <w:tcPr>
            <w:tcW w:w="636" w:type="pct"/>
          </w:tcPr>
          <w:p w:rsidR="0050199E" w:rsidRPr="00577EB1" w:rsidRDefault="0050199E" w:rsidP="0050199E">
            <w:pPr>
              <w:keepNext/>
              <w:keepLines/>
              <w:spacing w:before="20" w:after="20"/>
              <w:ind w:right="-91"/>
              <w:jc w:val="center"/>
              <w:rPr>
                <w:rFonts w:eastAsia="SimSun"/>
                <w:sz w:val="20"/>
                <w:lang w:val="fr-FR"/>
              </w:rPr>
            </w:pPr>
          </w:p>
        </w:tc>
        <w:tc>
          <w:tcPr>
            <w:tcW w:w="636" w:type="pct"/>
          </w:tcPr>
          <w:p w:rsidR="0050199E" w:rsidRPr="00577EB1" w:rsidRDefault="0050199E" w:rsidP="0050199E">
            <w:pPr>
              <w:keepNext/>
              <w:keepLines/>
              <w:spacing w:before="20" w:after="20"/>
              <w:ind w:right="-91"/>
              <w:jc w:val="center"/>
              <w:rPr>
                <w:rFonts w:eastAsia="SimSun"/>
                <w:sz w:val="20"/>
                <w:lang w:val="fr-FR"/>
              </w:rPr>
            </w:pPr>
          </w:p>
        </w:tc>
        <w:tc>
          <w:tcPr>
            <w:tcW w:w="636" w:type="pct"/>
          </w:tcPr>
          <w:p w:rsidR="0050199E" w:rsidRPr="00577EB1" w:rsidRDefault="0050199E" w:rsidP="0050199E">
            <w:pPr>
              <w:keepNext/>
              <w:keepLines/>
              <w:spacing w:before="20" w:after="20"/>
              <w:ind w:right="-91"/>
              <w:jc w:val="center"/>
              <w:rPr>
                <w:rFonts w:eastAsia="SimSun"/>
                <w:sz w:val="20"/>
                <w:lang w:val="fr-FR"/>
              </w:rPr>
            </w:pPr>
          </w:p>
        </w:tc>
        <w:tc>
          <w:tcPr>
            <w:tcW w:w="636" w:type="pct"/>
          </w:tcPr>
          <w:p w:rsidR="0050199E" w:rsidRPr="00577EB1" w:rsidRDefault="0050199E" w:rsidP="0050199E">
            <w:pPr>
              <w:keepNext/>
              <w:keepLines/>
              <w:spacing w:before="20" w:after="20"/>
              <w:ind w:right="-91"/>
              <w:jc w:val="center"/>
              <w:rPr>
                <w:rFonts w:eastAsia="SimSun"/>
                <w:sz w:val="20"/>
                <w:lang w:val="fr-FR"/>
              </w:rPr>
            </w:pPr>
          </w:p>
        </w:tc>
        <w:tc>
          <w:tcPr>
            <w:tcW w:w="637" w:type="pct"/>
          </w:tcPr>
          <w:p w:rsidR="0050199E" w:rsidRPr="00577EB1" w:rsidRDefault="0050199E" w:rsidP="0050199E">
            <w:pPr>
              <w:keepNext/>
              <w:keepLines/>
              <w:spacing w:before="20" w:after="20"/>
              <w:ind w:right="-91"/>
              <w:jc w:val="center"/>
              <w:rPr>
                <w:rFonts w:eastAsia="SimSun"/>
                <w:sz w:val="20"/>
                <w:lang w:val="fr-FR"/>
              </w:rPr>
            </w:pPr>
          </w:p>
        </w:tc>
      </w:tr>
      <w:tr w:rsidR="0050199E" w:rsidRPr="00577EB1" w:rsidTr="008C3350">
        <w:tc>
          <w:tcPr>
            <w:tcW w:w="1817" w:type="pct"/>
          </w:tcPr>
          <w:p w:rsidR="0050199E" w:rsidRPr="00577EB1" w:rsidRDefault="0050199E" w:rsidP="0050199E">
            <w:pPr>
              <w:keepNext/>
              <w:keepLines/>
              <w:spacing w:before="20" w:after="20"/>
              <w:ind w:right="-91"/>
              <w:rPr>
                <w:rFonts w:eastAsia="SimSun"/>
                <w:sz w:val="20"/>
                <w:lang w:val="fr-FR"/>
              </w:rPr>
            </w:pPr>
            <w:r w:rsidRPr="00577EB1">
              <w:rPr>
                <w:rFonts w:eastAsia="SimSun"/>
                <w:sz w:val="20"/>
                <w:lang w:val="fr-FR"/>
              </w:rPr>
              <w:t>Suspension des accises sur le pétrole</w:t>
            </w:r>
          </w:p>
        </w:tc>
        <w:tc>
          <w:tcPr>
            <w:tcW w:w="636" w:type="pct"/>
          </w:tcPr>
          <w:p w:rsidR="0050199E" w:rsidRPr="00577EB1" w:rsidRDefault="0050199E" w:rsidP="0050199E">
            <w:pPr>
              <w:keepNext/>
              <w:keepLines/>
              <w:spacing w:before="20" w:after="20"/>
              <w:ind w:right="-91"/>
              <w:jc w:val="center"/>
              <w:rPr>
                <w:rFonts w:eastAsia="SimSun"/>
                <w:sz w:val="20"/>
                <w:lang w:val="fr-FR"/>
              </w:rPr>
            </w:pPr>
          </w:p>
        </w:tc>
        <w:tc>
          <w:tcPr>
            <w:tcW w:w="636" w:type="pct"/>
          </w:tcPr>
          <w:p w:rsidR="0050199E" w:rsidRPr="00577EB1" w:rsidRDefault="0050199E" w:rsidP="0050199E">
            <w:pPr>
              <w:keepNext/>
              <w:keepLines/>
              <w:spacing w:before="20" w:after="20"/>
              <w:ind w:right="-91"/>
              <w:jc w:val="center"/>
              <w:rPr>
                <w:rFonts w:eastAsia="SimSun"/>
                <w:sz w:val="20"/>
                <w:lang w:val="fr-FR"/>
              </w:rPr>
            </w:pPr>
            <w:r w:rsidRPr="00577EB1">
              <w:rPr>
                <w:rFonts w:eastAsia="SimSun"/>
                <w:lang w:val="fr-FR"/>
              </w:rPr>
              <w:sym w:font="Wingdings" w:char="F0FC"/>
            </w:r>
          </w:p>
        </w:tc>
        <w:tc>
          <w:tcPr>
            <w:tcW w:w="636" w:type="pct"/>
          </w:tcPr>
          <w:p w:rsidR="0050199E" w:rsidRPr="00577EB1" w:rsidRDefault="0050199E" w:rsidP="0050199E">
            <w:pPr>
              <w:keepNext/>
              <w:keepLines/>
              <w:spacing w:before="20" w:after="20"/>
              <w:ind w:right="-91"/>
              <w:jc w:val="center"/>
              <w:rPr>
                <w:rFonts w:eastAsia="SimSun"/>
                <w:sz w:val="20"/>
                <w:lang w:val="fr-FR"/>
              </w:rPr>
            </w:pPr>
            <w:r w:rsidRPr="00577EB1">
              <w:rPr>
                <w:rFonts w:eastAsia="SimSun"/>
                <w:lang w:val="fr-FR"/>
              </w:rPr>
              <w:sym w:font="Wingdings" w:char="F0FC"/>
            </w:r>
          </w:p>
        </w:tc>
        <w:tc>
          <w:tcPr>
            <w:tcW w:w="636" w:type="pct"/>
          </w:tcPr>
          <w:p w:rsidR="0050199E" w:rsidRPr="00577EB1" w:rsidRDefault="0050199E" w:rsidP="0050199E">
            <w:pPr>
              <w:keepNext/>
              <w:keepLines/>
              <w:spacing w:before="20" w:after="20"/>
              <w:ind w:right="-91"/>
              <w:jc w:val="center"/>
              <w:rPr>
                <w:rFonts w:eastAsia="SimSun"/>
                <w:sz w:val="20"/>
                <w:lang w:val="fr-FR"/>
              </w:rPr>
            </w:pPr>
          </w:p>
        </w:tc>
        <w:tc>
          <w:tcPr>
            <w:tcW w:w="637" w:type="pct"/>
          </w:tcPr>
          <w:p w:rsidR="0050199E" w:rsidRPr="00577EB1" w:rsidRDefault="0050199E" w:rsidP="0050199E">
            <w:pPr>
              <w:keepNext/>
              <w:keepLines/>
              <w:spacing w:before="20" w:after="20"/>
              <w:ind w:right="-91"/>
              <w:jc w:val="center"/>
              <w:rPr>
                <w:rFonts w:eastAsia="SimSun"/>
                <w:sz w:val="20"/>
                <w:lang w:val="fr-FR"/>
              </w:rPr>
            </w:pPr>
            <w:r w:rsidRPr="00577EB1">
              <w:rPr>
                <w:rFonts w:eastAsia="SimSun"/>
                <w:lang w:val="fr-FR"/>
              </w:rPr>
              <w:sym w:font="Wingdings" w:char="F0FC"/>
            </w:r>
          </w:p>
        </w:tc>
      </w:tr>
      <w:tr w:rsidR="0050199E" w:rsidRPr="00577EB1" w:rsidTr="008C3350">
        <w:tc>
          <w:tcPr>
            <w:tcW w:w="1817" w:type="pct"/>
            <w:tcBorders>
              <w:bottom w:val="single" w:sz="4" w:space="0" w:color="auto"/>
            </w:tcBorders>
          </w:tcPr>
          <w:p w:rsidR="0050199E" w:rsidRPr="00577EB1" w:rsidRDefault="0050199E" w:rsidP="0050199E">
            <w:pPr>
              <w:keepNext/>
              <w:keepLines/>
              <w:spacing w:before="20" w:after="20"/>
              <w:ind w:right="-91"/>
              <w:rPr>
                <w:rFonts w:eastAsia="SimSun"/>
                <w:sz w:val="20"/>
                <w:lang w:val="fr-FR"/>
              </w:rPr>
            </w:pPr>
            <w:r w:rsidRPr="00577EB1">
              <w:rPr>
                <w:rFonts w:eastAsia="SimSun"/>
                <w:sz w:val="20"/>
                <w:lang w:val="fr-FR"/>
              </w:rPr>
              <w:t>Suspension de la TVA</w:t>
            </w:r>
          </w:p>
        </w:tc>
        <w:tc>
          <w:tcPr>
            <w:tcW w:w="636" w:type="pct"/>
            <w:tcBorders>
              <w:bottom w:val="single" w:sz="4" w:space="0" w:color="auto"/>
            </w:tcBorders>
          </w:tcPr>
          <w:p w:rsidR="0050199E" w:rsidRPr="00577EB1" w:rsidRDefault="0050199E" w:rsidP="0050199E">
            <w:pPr>
              <w:keepNext/>
              <w:keepLines/>
              <w:spacing w:before="20" w:after="20"/>
              <w:ind w:right="-91"/>
              <w:jc w:val="center"/>
              <w:rPr>
                <w:rFonts w:eastAsia="SimSun"/>
                <w:sz w:val="20"/>
                <w:lang w:val="fr-FR"/>
              </w:rPr>
            </w:pPr>
          </w:p>
        </w:tc>
        <w:tc>
          <w:tcPr>
            <w:tcW w:w="636" w:type="pct"/>
            <w:tcBorders>
              <w:bottom w:val="single" w:sz="4" w:space="0" w:color="auto"/>
            </w:tcBorders>
          </w:tcPr>
          <w:p w:rsidR="0050199E" w:rsidRPr="00577EB1" w:rsidRDefault="0050199E" w:rsidP="0050199E">
            <w:pPr>
              <w:keepNext/>
              <w:keepLines/>
              <w:spacing w:before="20" w:after="20"/>
              <w:ind w:right="-91"/>
              <w:jc w:val="center"/>
              <w:rPr>
                <w:rFonts w:eastAsia="SimSun"/>
                <w:sz w:val="20"/>
                <w:lang w:val="fr-FR"/>
              </w:rPr>
            </w:pPr>
            <w:r w:rsidRPr="00577EB1">
              <w:rPr>
                <w:rFonts w:eastAsia="SimSun"/>
                <w:lang w:val="fr-FR"/>
              </w:rPr>
              <w:sym w:font="Wingdings" w:char="F0FC"/>
            </w:r>
          </w:p>
        </w:tc>
        <w:tc>
          <w:tcPr>
            <w:tcW w:w="636" w:type="pct"/>
            <w:tcBorders>
              <w:bottom w:val="single" w:sz="4" w:space="0" w:color="auto"/>
            </w:tcBorders>
          </w:tcPr>
          <w:p w:rsidR="0050199E" w:rsidRPr="00577EB1" w:rsidRDefault="0050199E" w:rsidP="0050199E">
            <w:pPr>
              <w:keepNext/>
              <w:keepLines/>
              <w:spacing w:before="20" w:after="20"/>
              <w:ind w:right="-91"/>
              <w:jc w:val="center"/>
              <w:rPr>
                <w:rFonts w:eastAsia="SimSun"/>
                <w:sz w:val="20"/>
                <w:lang w:val="fr-FR"/>
              </w:rPr>
            </w:pPr>
            <w:r w:rsidRPr="00577EB1">
              <w:rPr>
                <w:rFonts w:eastAsia="SimSun"/>
                <w:lang w:val="fr-FR"/>
              </w:rPr>
              <w:sym w:font="Wingdings" w:char="F0FC"/>
            </w:r>
          </w:p>
        </w:tc>
        <w:tc>
          <w:tcPr>
            <w:tcW w:w="636" w:type="pct"/>
            <w:tcBorders>
              <w:bottom w:val="single" w:sz="4" w:space="0" w:color="auto"/>
            </w:tcBorders>
          </w:tcPr>
          <w:p w:rsidR="0050199E" w:rsidRPr="00577EB1" w:rsidRDefault="0050199E" w:rsidP="0050199E">
            <w:pPr>
              <w:keepNext/>
              <w:keepLines/>
              <w:spacing w:before="20" w:after="20"/>
              <w:ind w:right="-91"/>
              <w:jc w:val="center"/>
              <w:rPr>
                <w:rFonts w:eastAsia="SimSun"/>
                <w:sz w:val="20"/>
                <w:lang w:val="fr-FR"/>
              </w:rPr>
            </w:pPr>
          </w:p>
        </w:tc>
        <w:tc>
          <w:tcPr>
            <w:tcW w:w="637" w:type="pct"/>
            <w:tcBorders>
              <w:bottom w:val="single" w:sz="4" w:space="0" w:color="auto"/>
            </w:tcBorders>
          </w:tcPr>
          <w:p w:rsidR="0050199E" w:rsidRPr="00577EB1" w:rsidRDefault="0050199E" w:rsidP="0050199E">
            <w:pPr>
              <w:keepNext/>
              <w:keepLines/>
              <w:spacing w:before="20" w:after="20"/>
              <w:ind w:right="-91"/>
              <w:jc w:val="center"/>
              <w:rPr>
                <w:rFonts w:eastAsia="SimSun"/>
                <w:sz w:val="20"/>
                <w:lang w:val="fr-FR"/>
              </w:rPr>
            </w:pPr>
            <w:r w:rsidRPr="00577EB1">
              <w:rPr>
                <w:rFonts w:eastAsia="SimSun"/>
                <w:lang w:val="fr-FR"/>
              </w:rPr>
              <w:sym w:font="Wingdings" w:char="F0FC"/>
            </w:r>
          </w:p>
        </w:tc>
      </w:tr>
      <w:tr w:rsidR="0050199E" w:rsidRPr="00577EB1" w:rsidTr="008C3350">
        <w:tc>
          <w:tcPr>
            <w:tcW w:w="1817" w:type="pct"/>
            <w:tcBorders>
              <w:top w:val="single" w:sz="4" w:space="0" w:color="auto"/>
              <w:bottom w:val="single" w:sz="4" w:space="0" w:color="auto"/>
            </w:tcBorders>
          </w:tcPr>
          <w:p w:rsidR="0050199E" w:rsidRPr="00577EB1" w:rsidRDefault="0050199E" w:rsidP="0050199E">
            <w:pPr>
              <w:keepNext/>
              <w:keepLines/>
              <w:spacing w:before="20" w:after="20"/>
              <w:ind w:right="-91"/>
              <w:rPr>
                <w:rFonts w:eastAsia="SimSun"/>
                <w:sz w:val="20"/>
                <w:lang w:val="fr-FR"/>
              </w:rPr>
            </w:pPr>
            <w:r w:rsidRPr="00577EB1">
              <w:rPr>
                <w:rFonts w:eastAsia="SimSun"/>
                <w:sz w:val="20"/>
                <w:lang w:val="fr-FR"/>
              </w:rPr>
              <w:t>Subvention totale, % du prix actuel</w:t>
            </w:r>
            <w:r w:rsidRPr="00577EB1">
              <w:rPr>
                <w:rFonts w:eastAsia="SimSun"/>
                <w:sz w:val="20"/>
                <w:vertAlign w:val="superscript"/>
                <w:lang w:val="fr-FR"/>
              </w:rPr>
              <w:t>(*)</w:t>
            </w:r>
          </w:p>
        </w:tc>
        <w:tc>
          <w:tcPr>
            <w:tcW w:w="636" w:type="pct"/>
            <w:tcBorders>
              <w:top w:val="single" w:sz="4" w:space="0" w:color="auto"/>
              <w:bottom w:val="single" w:sz="4" w:space="0" w:color="auto"/>
            </w:tcBorders>
          </w:tcPr>
          <w:p w:rsidR="0050199E" w:rsidRPr="00577EB1" w:rsidRDefault="0050199E" w:rsidP="0050199E">
            <w:pPr>
              <w:keepNext/>
              <w:keepLines/>
              <w:spacing w:before="20" w:after="20"/>
              <w:ind w:right="-91"/>
              <w:jc w:val="center"/>
              <w:rPr>
                <w:rFonts w:eastAsia="SimSun"/>
                <w:sz w:val="20"/>
                <w:lang w:val="fr-FR"/>
              </w:rPr>
            </w:pPr>
            <w:r w:rsidRPr="00577EB1">
              <w:rPr>
                <w:rFonts w:eastAsia="SimSun"/>
                <w:sz w:val="20"/>
                <w:lang w:val="fr-FR"/>
              </w:rPr>
              <w:t>10 %</w:t>
            </w:r>
          </w:p>
        </w:tc>
        <w:tc>
          <w:tcPr>
            <w:tcW w:w="636" w:type="pct"/>
            <w:tcBorders>
              <w:top w:val="single" w:sz="4" w:space="0" w:color="auto"/>
              <w:bottom w:val="single" w:sz="4" w:space="0" w:color="auto"/>
            </w:tcBorders>
          </w:tcPr>
          <w:p w:rsidR="0050199E" w:rsidRPr="00577EB1" w:rsidRDefault="0050199E" w:rsidP="0050199E">
            <w:pPr>
              <w:keepNext/>
              <w:keepLines/>
              <w:spacing w:before="20" w:after="20"/>
              <w:ind w:right="-91"/>
              <w:jc w:val="center"/>
              <w:rPr>
                <w:rFonts w:eastAsia="SimSun"/>
                <w:sz w:val="20"/>
                <w:lang w:val="fr-FR"/>
              </w:rPr>
            </w:pPr>
            <w:r w:rsidRPr="00577EB1">
              <w:rPr>
                <w:rFonts w:eastAsia="SimSun"/>
                <w:sz w:val="20"/>
                <w:lang w:val="fr-FR"/>
              </w:rPr>
              <w:t>240 %</w:t>
            </w:r>
          </w:p>
        </w:tc>
        <w:tc>
          <w:tcPr>
            <w:tcW w:w="636" w:type="pct"/>
            <w:tcBorders>
              <w:top w:val="single" w:sz="4" w:space="0" w:color="auto"/>
              <w:bottom w:val="single" w:sz="4" w:space="0" w:color="auto"/>
            </w:tcBorders>
          </w:tcPr>
          <w:p w:rsidR="0050199E" w:rsidRPr="00577EB1" w:rsidRDefault="0050199E" w:rsidP="0050199E">
            <w:pPr>
              <w:keepNext/>
              <w:keepLines/>
              <w:spacing w:before="20" w:after="20"/>
              <w:ind w:right="-91"/>
              <w:jc w:val="center"/>
              <w:rPr>
                <w:rFonts w:eastAsia="SimSun"/>
                <w:sz w:val="20"/>
                <w:lang w:val="fr-FR"/>
              </w:rPr>
            </w:pPr>
            <w:r w:rsidRPr="00577EB1">
              <w:rPr>
                <w:rFonts w:eastAsia="SimSun"/>
                <w:sz w:val="20"/>
                <w:lang w:val="fr-FR"/>
              </w:rPr>
              <w:t>81 %</w:t>
            </w:r>
          </w:p>
        </w:tc>
        <w:tc>
          <w:tcPr>
            <w:tcW w:w="636" w:type="pct"/>
            <w:tcBorders>
              <w:top w:val="single" w:sz="4" w:space="0" w:color="auto"/>
              <w:bottom w:val="single" w:sz="4" w:space="0" w:color="auto"/>
            </w:tcBorders>
          </w:tcPr>
          <w:p w:rsidR="0050199E" w:rsidRPr="00577EB1" w:rsidRDefault="0050199E" w:rsidP="0050199E">
            <w:pPr>
              <w:keepNext/>
              <w:keepLines/>
              <w:spacing w:before="20" w:after="20"/>
              <w:ind w:right="-91"/>
              <w:jc w:val="center"/>
              <w:rPr>
                <w:rFonts w:eastAsia="SimSun"/>
                <w:sz w:val="20"/>
                <w:lang w:val="fr-FR"/>
              </w:rPr>
            </w:pPr>
            <w:r w:rsidRPr="00577EB1">
              <w:rPr>
                <w:rFonts w:eastAsia="SimSun"/>
                <w:sz w:val="20"/>
                <w:lang w:val="fr-FR"/>
              </w:rPr>
              <w:t>22 %</w:t>
            </w:r>
          </w:p>
        </w:tc>
        <w:tc>
          <w:tcPr>
            <w:tcW w:w="637" w:type="pct"/>
            <w:tcBorders>
              <w:top w:val="single" w:sz="4" w:space="0" w:color="auto"/>
              <w:bottom w:val="single" w:sz="4" w:space="0" w:color="auto"/>
            </w:tcBorders>
          </w:tcPr>
          <w:p w:rsidR="0050199E" w:rsidRPr="00577EB1" w:rsidRDefault="0050199E" w:rsidP="0050199E">
            <w:pPr>
              <w:keepNext/>
              <w:keepLines/>
              <w:spacing w:before="20" w:after="20"/>
              <w:ind w:right="-91"/>
              <w:jc w:val="center"/>
              <w:rPr>
                <w:rFonts w:eastAsia="SimSun"/>
                <w:sz w:val="20"/>
                <w:lang w:val="fr-FR"/>
              </w:rPr>
            </w:pPr>
            <w:r w:rsidRPr="00577EB1">
              <w:rPr>
                <w:rFonts w:eastAsia="SimSun"/>
                <w:sz w:val="20"/>
                <w:lang w:val="fr-FR"/>
              </w:rPr>
              <w:t>75 %</w:t>
            </w:r>
          </w:p>
        </w:tc>
      </w:tr>
    </w:tbl>
    <w:p w:rsidR="0050199E" w:rsidRPr="00577EB1" w:rsidRDefault="0050199E" w:rsidP="0050199E">
      <w:pPr>
        <w:keepNext/>
        <w:keepLines/>
        <w:spacing w:after="0"/>
        <w:ind w:right="-91"/>
        <w:rPr>
          <w:rFonts w:eastAsia="SimSun"/>
          <w:sz w:val="20"/>
          <w:lang w:val="fr-FR"/>
        </w:rPr>
      </w:pPr>
      <w:r w:rsidRPr="00577EB1">
        <w:rPr>
          <w:rFonts w:eastAsia="SimSun"/>
          <w:sz w:val="20"/>
          <w:vertAlign w:val="superscript"/>
          <w:lang w:val="fr-FR"/>
        </w:rPr>
        <w:t xml:space="preserve">(*) </w:t>
      </w:r>
      <w:r w:rsidRPr="00577EB1">
        <w:rPr>
          <w:rFonts w:eastAsia="SimSun"/>
          <w:sz w:val="20"/>
          <w:lang w:val="fr-FR"/>
        </w:rPr>
        <w:t>en septembre 2008</w:t>
      </w:r>
    </w:p>
    <w:p w:rsidR="004B3541" w:rsidRDefault="0050199E">
      <w:pPr>
        <w:keepLines/>
        <w:spacing w:before="120" w:after="480"/>
        <w:ind w:right="-91"/>
        <w:rPr>
          <w:rFonts w:eastAsia="SimSun"/>
          <w:sz w:val="20"/>
          <w:lang w:val="fr-FR"/>
        </w:rPr>
      </w:pPr>
      <w:r w:rsidRPr="00577EB1">
        <w:rPr>
          <w:rFonts w:eastAsia="SimSun"/>
          <w:i/>
          <w:sz w:val="20"/>
          <w:lang w:val="fr-FR"/>
        </w:rPr>
        <w:t>Source:</w:t>
      </w:r>
      <w:r w:rsidRPr="00577EB1">
        <w:rPr>
          <w:rFonts w:eastAsia="SimSun"/>
          <w:sz w:val="20"/>
          <w:lang w:val="fr-FR"/>
        </w:rPr>
        <w:t xml:space="preserve"> FMI, </w:t>
      </w:r>
      <w:r w:rsidR="008E7B13">
        <w:rPr>
          <w:rFonts w:eastAsia="SimSun"/>
          <w:sz w:val="20"/>
          <w:lang w:val="fr-FR"/>
        </w:rPr>
        <w:t xml:space="preserve">non-publié, </w:t>
      </w:r>
      <w:r w:rsidRPr="00577EB1">
        <w:rPr>
          <w:rFonts w:eastAsia="SimSun"/>
          <w:sz w:val="20"/>
          <w:lang w:val="fr-FR"/>
        </w:rPr>
        <w:t>2008.</w:t>
      </w:r>
    </w:p>
    <w:p w:rsidR="0050199E" w:rsidRPr="00577EB1" w:rsidRDefault="00847527" w:rsidP="006F1314">
      <w:pPr>
        <w:pStyle w:val="Heading8"/>
        <w:tabs>
          <w:tab w:val="clear" w:pos="709"/>
        </w:tabs>
        <w:spacing w:after="0"/>
      </w:pPr>
      <w:bookmarkStart w:id="198" w:name="_Toc262170066"/>
      <w:bookmarkStart w:id="199" w:name="_Toc269722140"/>
      <w:r w:rsidRPr="00577EB1">
        <w:t xml:space="preserve">Figure </w:t>
      </w:r>
      <w:r w:rsidR="00725419">
        <w:fldChar w:fldCharType="begin"/>
      </w:r>
      <w:r>
        <w:instrText xml:space="preserve"> SEQ Figure \* ARABIC </w:instrText>
      </w:r>
      <w:r w:rsidR="00725419">
        <w:fldChar w:fldCharType="separate"/>
      </w:r>
      <w:r w:rsidR="00EF56B2">
        <w:rPr>
          <w:noProof/>
        </w:rPr>
        <w:t>11</w:t>
      </w:r>
      <w:r w:rsidR="00725419">
        <w:fldChar w:fldCharType="end"/>
      </w:r>
      <w:r>
        <w:t xml:space="preserve"> </w:t>
      </w:r>
      <w:r w:rsidR="0023017C">
        <w:t>:</w:t>
      </w:r>
      <w:r w:rsidR="0007340F">
        <w:t xml:space="preserve"> </w:t>
      </w:r>
      <w:r w:rsidR="0050199E" w:rsidRPr="00577EB1">
        <w:t>Répartition des avantages des subvention</w:t>
      </w:r>
      <w:bookmarkEnd w:id="198"/>
      <w:r w:rsidR="0050199E" w:rsidRPr="00577EB1">
        <w:t>s</w:t>
      </w:r>
      <w:bookmarkEnd w:id="199"/>
    </w:p>
    <w:p w:rsidR="0050199E" w:rsidRPr="00577EB1" w:rsidRDefault="0050199E" w:rsidP="0050199E">
      <w:pPr>
        <w:keepNext/>
        <w:keepLines/>
        <w:spacing w:after="0" w:line="360" w:lineRule="auto"/>
        <w:ind w:right="-91"/>
        <w:jc w:val="center"/>
        <w:rPr>
          <w:b/>
          <w:bCs/>
          <w:sz w:val="20"/>
          <w:szCs w:val="20"/>
          <w:lang w:val="fr-FR"/>
        </w:rPr>
      </w:pPr>
      <w:r w:rsidRPr="00577EB1">
        <w:rPr>
          <w:b/>
          <w:bCs/>
          <w:sz w:val="20"/>
          <w:szCs w:val="20"/>
          <w:lang w:val="fr-FR"/>
        </w:rPr>
        <w:t>(par rapport à la dépense totale de subvention des produits pétroliers et de première nécessité)</w:t>
      </w:r>
    </w:p>
    <w:p w:rsidR="0050199E" w:rsidRPr="00577EB1" w:rsidRDefault="0050199E" w:rsidP="006F1314">
      <w:pPr>
        <w:spacing w:after="0"/>
        <w:ind w:right="-91"/>
        <w:jc w:val="center"/>
        <w:rPr>
          <w:rFonts w:eastAsia="SimSun"/>
          <w:lang w:val="fr-FR"/>
        </w:rPr>
      </w:pPr>
      <w:r w:rsidRPr="00577EB1">
        <w:rPr>
          <w:rFonts w:eastAsia="SimSun"/>
          <w:noProof/>
        </w:rPr>
        <w:drawing>
          <wp:inline distT="0" distB="0" distL="0" distR="0">
            <wp:extent cx="3367719" cy="2535637"/>
            <wp:effectExtent l="19050" t="0" r="4131"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370270" cy="2537558"/>
                    </a:xfrm>
                    <a:prstGeom prst="rect">
                      <a:avLst/>
                    </a:prstGeom>
                    <a:noFill/>
                    <a:ln w="9525">
                      <a:noFill/>
                      <a:miter lim="800000"/>
                      <a:headEnd/>
                      <a:tailEnd/>
                    </a:ln>
                  </pic:spPr>
                </pic:pic>
              </a:graphicData>
            </a:graphic>
          </wp:inline>
        </w:drawing>
      </w:r>
    </w:p>
    <w:p w:rsidR="004B3541" w:rsidRDefault="0050199E">
      <w:pPr>
        <w:keepLines/>
        <w:spacing w:before="120" w:after="480"/>
        <w:ind w:left="1843" w:right="-91"/>
        <w:rPr>
          <w:rFonts w:eastAsia="SimSun"/>
          <w:sz w:val="20"/>
          <w:szCs w:val="20"/>
          <w:lang w:val="fr-FR"/>
        </w:rPr>
      </w:pPr>
      <w:r w:rsidRPr="00577EB1">
        <w:rPr>
          <w:rFonts w:eastAsia="SimSun"/>
          <w:i/>
          <w:sz w:val="20"/>
          <w:szCs w:val="20"/>
          <w:lang w:val="fr-FR"/>
        </w:rPr>
        <w:t>Source:</w:t>
      </w:r>
      <w:r w:rsidRPr="00577EB1">
        <w:rPr>
          <w:rFonts w:eastAsia="SimSun"/>
          <w:sz w:val="20"/>
          <w:szCs w:val="20"/>
          <w:lang w:val="fr-FR"/>
        </w:rPr>
        <w:t xml:space="preserve"> FMI, </w:t>
      </w:r>
      <w:r w:rsidR="008E7B13">
        <w:rPr>
          <w:rFonts w:eastAsia="SimSun"/>
          <w:sz w:val="20"/>
          <w:szCs w:val="20"/>
          <w:lang w:val="fr-FR"/>
        </w:rPr>
        <w:t xml:space="preserve">non-publié, </w:t>
      </w:r>
      <w:r w:rsidRPr="00577EB1">
        <w:rPr>
          <w:rFonts w:eastAsia="SimSun"/>
          <w:sz w:val="20"/>
          <w:szCs w:val="20"/>
          <w:lang w:val="fr-FR"/>
        </w:rPr>
        <w:t>2008</w:t>
      </w:r>
      <w:r w:rsidR="008E7B13">
        <w:rPr>
          <w:rFonts w:eastAsia="SimSun"/>
          <w:sz w:val="20"/>
          <w:szCs w:val="20"/>
          <w:lang w:val="fr-FR"/>
        </w:rPr>
        <w:t>, et sous révision.</w:t>
      </w:r>
    </w:p>
    <w:p w:rsidR="0050199E" w:rsidRPr="00577EB1" w:rsidRDefault="0050199E" w:rsidP="0050199E">
      <w:pPr>
        <w:keepLines/>
        <w:spacing w:after="0"/>
        <w:ind w:left="1559" w:right="-91"/>
        <w:rPr>
          <w:rFonts w:eastAsia="SimSun"/>
          <w:sz w:val="20"/>
          <w:szCs w:val="20"/>
          <w:lang w:val="fr-FR"/>
        </w:rPr>
      </w:pPr>
    </w:p>
    <w:p w:rsidR="0050199E" w:rsidRPr="00577EB1" w:rsidRDefault="0050199E" w:rsidP="0050199E">
      <w:pPr>
        <w:pStyle w:val="Heading2"/>
      </w:pPr>
      <w:bookmarkStart w:id="200" w:name="_Toc261967416"/>
      <w:bookmarkStart w:id="201" w:name="_Toc262169638"/>
      <w:bookmarkStart w:id="202" w:name="_Toc264748737"/>
      <w:r w:rsidRPr="00577EB1">
        <w:t xml:space="preserve">Travaux publics à haute intensité de main-d’œuvre et Argent/vivres contre </w:t>
      </w:r>
      <w:bookmarkEnd w:id="200"/>
      <w:bookmarkEnd w:id="201"/>
      <w:r w:rsidRPr="00577EB1">
        <w:t>travail</w:t>
      </w:r>
      <w:bookmarkEnd w:id="202"/>
    </w:p>
    <w:p w:rsidR="0050199E" w:rsidRPr="00577EB1" w:rsidRDefault="0050199E" w:rsidP="00E52A30">
      <w:pPr>
        <w:widowControl w:val="0"/>
        <w:numPr>
          <w:ilvl w:val="0"/>
          <w:numId w:val="2"/>
        </w:numPr>
        <w:ind w:left="0" w:right="-90" w:firstLine="0"/>
        <w:rPr>
          <w:rFonts w:eastAsia="SimSun"/>
          <w:lang w:val="fr-FR"/>
        </w:rPr>
      </w:pPr>
      <w:r w:rsidRPr="00577EB1">
        <w:rPr>
          <w:rFonts w:eastAsia="SimSun"/>
          <w:b/>
          <w:lang w:val="fr-FR"/>
        </w:rPr>
        <w:t>À travers la Politique nationale de l’emploi, le ministère de la Jeunesse et de l’Emploi cherche à promouvoir l’utilisation de l’approche basée sur les travaux publics à haute intensité de main-d’œuvre.</w:t>
      </w:r>
      <w:r w:rsidRPr="00577EB1">
        <w:rPr>
          <w:rFonts w:eastAsia="SimSun"/>
          <w:lang w:val="fr-FR"/>
        </w:rPr>
        <w:t xml:space="preserve"> De récentes simulations suggèrent que l’investissement dans l’infrastructure peut avoir un impact positif substantiel sur la croissance économique et les progrès en direction des OMD [Banque mondiale 2009b]. Le ministère de la Jeunesse et de l’Emploi (MJE) a initié un examen critique des expériences passées en matière de projets de travaux publics</w:t>
      </w:r>
      <w:r w:rsidR="0007340F">
        <w:rPr>
          <w:rFonts w:eastAsia="SimSun"/>
          <w:lang w:val="fr-FR"/>
        </w:rPr>
        <w:t xml:space="preserve"> </w:t>
      </w:r>
      <w:r w:rsidRPr="00577EB1">
        <w:rPr>
          <w:rFonts w:eastAsia="SimSun"/>
          <w:lang w:val="fr-FR"/>
        </w:rPr>
        <w:t>dont beaucoup ont échoué</w:t>
      </w:r>
      <w:r w:rsidR="0007340F">
        <w:rPr>
          <w:rFonts w:eastAsia="SimSun"/>
          <w:lang w:val="fr-FR"/>
        </w:rPr>
        <w:t xml:space="preserve"> </w:t>
      </w:r>
      <w:r w:rsidRPr="00577EB1">
        <w:rPr>
          <w:rFonts w:eastAsia="SimSun"/>
          <w:lang w:val="fr-FR"/>
        </w:rPr>
        <w:t>afin d’en dégager les enseignements et il envisage de concevoir deux nouveaux projets pilotes</w:t>
      </w:r>
      <w:r w:rsidR="0007340F">
        <w:rPr>
          <w:rFonts w:eastAsia="SimSun"/>
          <w:lang w:val="fr-FR"/>
        </w:rPr>
        <w:t xml:space="preserve"> </w:t>
      </w:r>
      <w:r w:rsidRPr="00577EB1">
        <w:rPr>
          <w:rFonts w:eastAsia="SimSun"/>
          <w:lang w:val="fr-FR"/>
        </w:rPr>
        <w:t>un en milieu urbain, l’autre en milieu rural.</w:t>
      </w:r>
      <w:r w:rsidRPr="00577EB1">
        <w:rPr>
          <w:rFonts w:eastAsia="SimSun"/>
          <w:sz w:val="20"/>
          <w:vertAlign w:val="superscript"/>
          <w:lang w:val="fr-FR"/>
        </w:rPr>
        <w:footnoteReference w:id="44"/>
      </w:r>
    </w:p>
    <w:p w:rsidR="0050199E" w:rsidRPr="00577EB1" w:rsidRDefault="0050199E" w:rsidP="00E52A30">
      <w:pPr>
        <w:widowControl w:val="0"/>
        <w:numPr>
          <w:ilvl w:val="0"/>
          <w:numId w:val="2"/>
        </w:numPr>
        <w:ind w:left="0" w:right="-90" w:firstLine="0"/>
        <w:rPr>
          <w:rFonts w:eastAsia="SimSun"/>
          <w:lang w:val="fr-FR"/>
        </w:rPr>
      </w:pPr>
      <w:r w:rsidRPr="00577EB1">
        <w:rPr>
          <w:rFonts w:eastAsia="SimSun"/>
          <w:b/>
          <w:lang w:val="fr-FR"/>
        </w:rPr>
        <w:lastRenderedPageBreak/>
        <w:t>Le projet PrEst actuellement en cours applique une approche à haute intensité de main-d’œuvre pour la création d’infrastructures en milieu rural, même s’il n’est pas conçu comme un programme de travaux publics destiné à atteindre spécifiquement les pauvres. Bien que positive, cette expérience n’a pas permis de dégager des connaissances reproductibles.</w:t>
      </w:r>
      <w:r w:rsidRPr="00577EB1">
        <w:rPr>
          <w:rFonts w:eastAsia="SimSun"/>
          <w:b/>
          <w:sz w:val="20"/>
          <w:vertAlign w:val="superscript"/>
          <w:lang w:val="fr-FR"/>
        </w:rPr>
        <w:footnoteReference w:id="45"/>
      </w:r>
      <w:r w:rsidRPr="00577EB1">
        <w:rPr>
          <w:rFonts w:eastAsia="SimSun"/>
          <w:b/>
          <w:lang w:val="fr-FR"/>
        </w:rPr>
        <w:t xml:space="preserve"> </w:t>
      </w:r>
      <w:r w:rsidRPr="00577EB1">
        <w:rPr>
          <w:rFonts w:eastAsia="SimSun"/>
          <w:lang w:val="fr-FR"/>
        </w:rPr>
        <w:t>Le programme a fait état d’impacts positifs sur la réduction de la pauvreté et le développement local tels que l’utilisation accrue des services de santé, l’augmentation de la scolarisation, une légère réduction de la mortalité infantile, la réduction de la migration des jeunes, et la réduction de la pauvreté au sein des bénéficiaires directs. [Helvetas 2008</w:t>
      </w:r>
      <w:r w:rsidR="0007340F">
        <w:rPr>
          <w:rFonts w:eastAsia="SimSun"/>
          <w:lang w:val="fr-FR"/>
        </w:rPr>
        <w:t xml:space="preserve"> </w:t>
      </w:r>
      <w:r w:rsidRPr="00577EB1">
        <w:rPr>
          <w:rFonts w:eastAsia="SimSun"/>
          <w:lang w:val="fr-FR"/>
        </w:rPr>
        <w:t>Balkouma Boursin 2008]. Il est mis en œuvre par l’ONG Helvetas depuis 2002, sous la supervision du ministère de l’Infrastructure et devrait continuer jusqu’en 2011. Entre 2003 et 2008, plus de 200 kilomètres de pistes rurales ont été construits dans les provinces de Gourma, Gnagna et Tapoa, pour desservir 42 villages et une population estimée à 492 000 habitants.</w:t>
      </w:r>
      <w:r w:rsidRPr="00577EB1">
        <w:rPr>
          <w:rFonts w:eastAsia="SimSun"/>
          <w:sz w:val="20"/>
          <w:vertAlign w:val="superscript"/>
          <w:lang w:val="fr-FR"/>
        </w:rPr>
        <w:footnoteReference w:id="46"/>
      </w:r>
      <w:r w:rsidRPr="00577EB1">
        <w:rPr>
          <w:rFonts w:eastAsia="SimSun"/>
          <w:lang w:val="fr-FR"/>
        </w:rPr>
        <w:t xml:space="preserve"> Entre 2005 et 2007, le projet a employé annuellement une moyenne de 865 personnes (principalement des jeunes de 20 à 35 ans, dont 16 % de femmes) pendant environ 6 mois. La rémunération moyenne était de 130 950 francs CFA par an (fluctuant entre 19 275 et 26 437 francs CFA par mois), soit légèrement moins que le salaire minimum garanti (33 139 francs CFA par mois), mais bien plus que le seuil de pauvreté (82 672 francs CFA par an dans la région de l’Est) [Helvetas 2008]. Le PrEst a été conçu pour créer des pistes rurales gérées localement, en se focalisant sur le développement local comme stratégie de réduction de la pauvreté. Il a aussi offert des activités complémentaires telles que la formation aux questions liées au genre, à l’environnement et au VIH-SIDA. Il n’était cependant pas conçu comme un programme de filets sociaux en soi. Le programme est pourtant parvenu à renforcer la capacité des communautés locales, des autorités et des entreprises privées en matière d’approche basée sur le travail à haute intensité de main-d’œuvre. Les principes fondamentaux du PrEst offrent aux acteurs nationaux un schéma de base pour des programmes de travaux publics susceptibles d’être élargis pour atteindre les pauvres (</w:t>
      </w:r>
      <w:fldSimple w:instr=" REF _Ref135727507 \h  \* MERGEFORMAT ">
        <w:r w:rsidR="00EF56B2" w:rsidRPr="00EF56B2">
          <w:rPr>
            <w:rFonts w:eastAsia="SimSun"/>
            <w:lang w:val="fr-FR"/>
          </w:rPr>
          <w:t>Encadré 9</w:t>
        </w:r>
      </w:fldSimple>
      <w:r w:rsidR="00EB214A" w:rsidRPr="00EB214A">
        <w:rPr>
          <w:lang w:val="fr-FR"/>
        </w:rPr>
        <w:t>9</w:t>
      </w:r>
      <w:r w:rsidRPr="00577EB1">
        <w:rPr>
          <w:rFonts w:eastAsia="SimSun"/>
          <w:lang w:val="fr-FR"/>
        </w:rPr>
        <w:t>).</w:t>
      </w:r>
    </w:p>
    <w:p w:rsidR="0050199E" w:rsidRPr="00577EB1" w:rsidRDefault="005738FE" w:rsidP="0000290C">
      <w:pPr>
        <w:pStyle w:val="Heading9"/>
      </w:pPr>
      <w:bookmarkStart w:id="203" w:name="_Ref135727507"/>
      <w:bookmarkStart w:id="204" w:name="_Toc129060278"/>
      <w:bookmarkStart w:id="205" w:name="_Toc262170081"/>
      <w:bookmarkStart w:id="206" w:name="_Toc269723982"/>
      <w:bookmarkStart w:id="207" w:name="_Toc269724022"/>
      <w:bookmarkStart w:id="208" w:name="_Toc269724128"/>
      <w:bookmarkStart w:id="209" w:name="_Toc284613569"/>
      <w:r w:rsidRPr="005738FE">
        <w:lastRenderedPageBreak/>
        <w:t xml:space="preserve">Encadré </w:t>
      </w:r>
      <w:r w:rsidR="00725419">
        <w:fldChar w:fldCharType="begin"/>
      </w:r>
      <w:r w:rsidRPr="005738FE">
        <w:instrText xml:space="preserve"> SEQ Encadré \* ARABIC </w:instrText>
      </w:r>
      <w:r w:rsidR="00725419">
        <w:fldChar w:fldCharType="separate"/>
      </w:r>
      <w:r w:rsidR="00EF56B2">
        <w:rPr>
          <w:noProof/>
        </w:rPr>
        <w:t>9</w:t>
      </w:r>
      <w:r w:rsidR="00725419">
        <w:fldChar w:fldCharType="end"/>
      </w:r>
      <w:bookmarkEnd w:id="203"/>
      <w:r w:rsidR="003203FB">
        <w:t> :</w:t>
      </w:r>
      <w:r w:rsidR="0007340F">
        <w:t xml:space="preserve"> </w:t>
      </w:r>
      <w:r w:rsidR="0050199E" w:rsidRPr="00577EB1">
        <w:t>Programmes de travaux publics</w:t>
      </w:r>
      <w:r w:rsidR="0007340F">
        <w:t xml:space="preserve"> </w:t>
      </w:r>
      <w:r w:rsidR="0050199E" w:rsidRPr="00577EB1">
        <w:t>Eléments requis pour atteindre les pauv</w:t>
      </w:r>
      <w:bookmarkEnd w:id="204"/>
      <w:bookmarkEnd w:id="205"/>
      <w:r w:rsidR="0050199E" w:rsidRPr="00577EB1">
        <w:t>res</w:t>
      </w:r>
      <w:bookmarkEnd w:id="206"/>
      <w:bookmarkEnd w:id="207"/>
      <w:bookmarkEnd w:id="208"/>
      <w:bookmarkEnd w:id="209"/>
      <w:r w:rsidR="0050199E" w:rsidRPr="00577EB1">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2" w:type="dxa"/>
          <w:right w:w="142" w:type="dxa"/>
        </w:tblCellMar>
        <w:tblLook w:val="00A0"/>
      </w:tblPr>
      <w:tblGrid>
        <w:gridCol w:w="9005"/>
      </w:tblGrid>
      <w:tr w:rsidR="0050199E" w:rsidRPr="000A70E6" w:rsidTr="0050199E">
        <w:tc>
          <w:tcPr>
            <w:tcW w:w="9005" w:type="dxa"/>
          </w:tcPr>
          <w:p w:rsidR="004B3541" w:rsidRDefault="0050199E">
            <w:pPr>
              <w:keepNext/>
              <w:keepLines/>
              <w:spacing w:before="120" w:after="120"/>
              <w:rPr>
                <w:rFonts w:eastAsia="SimSun" w:cs="Arial"/>
                <w:b/>
                <w:bCs/>
                <w:iCs/>
                <w:sz w:val="20"/>
                <w:szCs w:val="20"/>
                <w:lang w:val="fr-FR"/>
              </w:rPr>
            </w:pPr>
            <w:r w:rsidRPr="00577EB1">
              <w:rPr>
                <w:rFonts w:eastAsia="SimSun"/>
                <w:b/>
                <w:sz w:val="20"/>
                <w:szCs w:val="20"/>
                <w:lang w:val="fr-FR"/>
              </w:rPr>
              <w:t>Auto-ciblage en fixant le taux des salaires à un niveau approprié.</w:t>
            </w:r>
            <w:r w:rsidRPr="00577EB1">
              <w:rPr>
                <w:rFonts w:eastAsia="SimSun"/>
                <w:bCs/>
                <w:sz w:val="20"/>
                <w:szCs w:val="20"/>
                <w:lang w:val="fr-FR"/>
              </w:rPr>
              <w:t xml:space="preserve"> Dans un contexte</w:t>
            </w:r>
            <w:r w:rsidRPr="00577EB1">
              <w:rPr>
                <w:rFonts w:eastAsia="SimSun"/>
                <w:sz w:val="20"/>
                <w:szCs w:val="20"/>
                <w:lang w:val="fr-FR"/>
              </w:rPr>
              <w:t xml:space="preserve"> où le ciblage de la pauvreté semble particulièrement difficile et où les capacités financières et administratives demeurent limitées, on peut être tenté de s’appuyer sur l’auto-ciblage. Cependant, ce n’est possible que si le salaire du marché est supérieur au salaire minimum. En effet, le salaire du programme financé par des fonds publics ne peut être inférieur au salaire minimum et sera donc supérieur au salaire local de la main-d’œuvre non-qualifiée, donc susceptible d’attirer les non pauvres vers le programme de travaux publics. Donc, si le salaire minimum est égal ou supérieur au salaire du marché et si les lois restrictives de l’emploi empêchent de le fixer en-dessous du niveau minimum, la possibilité d’utiliser l’auto-ciblage s’en trouve entravée et d’autres mécanismes de ciblage doivent être introduits. L’utilisation de l’auto-sélection pure pourrait aussi ne pas suffire pour atteindre les groupes vulnérables des zones pauvres ou lorsque la demande de participation est très importante et qu’une certaine forme de rationnement de l’emploi est nécessaire. Le fait que les jeunes de 15 à 24 ans représentent un tiers des chômeurs</w:t>
            </w:r>
            <w:r w:rsidR="0007340F">
              <w:rPr>
                <w:rFonts w:eastAsia="SimSun"/>
                <w:sz w:val="20"/>
                <w:szCs w:val="20"/>
                <w:lang w:val="fr-FR"/>
              </w:rPr>
              <w:t xml:space="preserve"> </w:t>
            </w:r>
            <w:r w:rsidRPr="00577EB1">
              <w:rPr>
                <w:rFonts w:eastAsia="SimSun"/>
                <w:sz w:val="20"/>
                <w:szCs w:val="20"/>
                <w:lang w:val="fr-FR"/>
              </w:rPr>
              <w:t>les jeunes femmes étant encore plus touchées que les jeunes hommes</w:t>
            </w:r>
            <w:r w:rsidR="0007340F">
              <w:rPr>
                <w:rFonts w:eastAsia="SimSun"/>
                <w:sz w:val="20"/>
                <w:szCs w:val="20"/>
                <w:lang w:val="fr-FR"/>
              </w:rPr>
              <w:t xml:space="preserve"> </w:t>
            </w:r>
            <w:r w:rsidRPr="00577EB1">
              <w:rPr>
                <w:rFonts w:eastAsia="SimSun"/>
                <w:sz w:val="20"/>
                <w:szCs w:val="20"/>
                <w:lang w:val="fr-FR"/>
              </w:rPr>
              <w:t>peut aussi suggérer l’adoption de méthodes de ciblage visant spécifiquement ces catégories. En outre, si le salaire du programme est trop bas, il risque d’exclure des ménages pauvres pour lesquels le coût d’opportunité de ce travail est trop élevé (lorsque le salaire du programme est inférieur au salaire d’acceptation) ou de rater les objectifs du programme (par exemple, l’objectif de nutrition si le salaire du programme est nettement inférieur au coût du panier minimum). Il est essentiel de veiller à ce que le salaire du programme soit fixé en tenant compte des objectifs du projet.</w:t>
            </w:r>
          </w:p>
          <w:p w:rsidR="004B3541" w:rsidRDefault="0050199E">
            <w:pPr>
              <w:keepNext/>
              <w:keepLines/>
              <w:spacing w:after="120"/>
              <w:rPr>
                <w:rFonts w:eastAsia="SimSun"/>
                <w:b/>
                <w:sz w:val="20"/>
                <w:szCs w:val="20"/>
                <w:lang w:val="fr-FR"/>
              </w:rPr>
            </w:pPr>
            <w:r w:rsidRPr="00577EB1">
              <w:rPr>
                <w:rFonts w:eastAsia="SimSun"/>
                <w:b/>
                <w:sz w:val="20"/>
                <w:szCs w:val="20"/>
                <w:lang w:val="fr-FR"/>
              </w:rPr>
              <w:t xml:space="preserve">La fourniture de biens publics de qualité est essentielle. </w:t>
            </w:r>
            <w:r w:rsidRPr="00577EB1">
              <w:rPr>
                <w:rFonts w:eastAsia="SimSun"/>
                <w:bCs/>
                <w:sz w:val="20"/>
                <w:szCs w:val="20"/>
                <w:lang w:val="fr-FR"/>
              </w:rPr>
              <w:t>Sur la base de l’expérience internationale, la promotion des travaux publics en tant qu’instrument de mise en place d’un filet social ne doit avoir lieu que si les biens publics produits ont un impact positif sur la communauté et que s’ils sont réalisés à un coût similaire à celui atteint en utilisant les procédures contractuelles d’embauche. Ils ne peuvent être introduits comme des stratégies de transferts sociaux aux pauvres « méritants ». Les projets de travaux publics peuvent inclure des projets d’infrastructure traditionnelle ou des projets publics d’amélioration de l’environnement (par exemple, les projets d’assainissement pour faire reculer le paludisme, les projets de réduction des risques de catastrophe naturelle</w:t>
            </w:r>
            <w:r w:rsidRPr="00577EB1">
              <w:rPr>
                <w:rFonts w:eastAsia="SimSun"/>
                <w:sz w:val="20"/>
                <w:szCs w:val="20"/>
                <w:lang w:val="fr-FR"/>
              </w:rPr>
              <w:t>), mais aussi des activités sociales (par exemple, les travailleurs donnant des soins à domicile et ceux chargés du développement de la petite enfance en Afrique du Sud), ou des activités économiques (par exemple, des petites entreprises et des coopératives). S’ils sont pertinents, bien exécutés et entretenus, les biens publics produits peuvent jouer un rôle important dans l’allègement des contraintes empêchant des rendements plus élevés pour les personnes pauvres, indépendamment du fait qu’elles participent ou non au programme. Depuis 2004, le PAM encourage des synergies entre les programmes Vivres contre travail et les programmes de cantines scolaires et de nutrition (par exemple, la construction de salles de classe, d’entrepôts, de latrines, etc.). Le PAM accorde également une priorité aux projets communautaires bénéficiant aux femmes.</w:t>
            </w:r>
          </w:p>
          <w:p w:rsidR="004B3541" w:rsidRDefault="0050199E">
            <w:pPr>
              <w:keepNext/>
              <w:keepLines/>
              <w:spacing w:after="120"/>
              <w:rPr>
                <w:rFonts w:eastAsia="SimSun"/>
                <w:b/>
                <w:sz w:val="28"/>
                <w:lang w:val="fr-FR"/>
              </w:rPr>
            </w:pPr>
            <w:r w:rsidRPr="00577EB1">
              <w:rPr>
                <w:rFonts w:eastAsia="SimSun"/>
                <w:b/>
                <w:sz w:val="20"/>
                <w:szCs w:val="20"/>
                <w:lang w:val="fr-FR"/>
              </w:rPr>
              <w:t xml:space="preserve">Pour aborder le problème de la pauvreté chronique, les programmes de travaux publics devraient opérer pendant toute l’année à différents degrés d’intensité. </w:t>
            </w:r>
            <w:r w:rsidRPr="00577EB1">
              <w:rPr>
                <w:rFonts w:eastAsia="SimSun"/>
                <w:bCs/>
                <w:sz w:val="20"/>
                <w:szCs w:val="20"/>
                <w:lang w:val="fr-FR"/>
              </w:rPr>
              <w:t>Un programme n’opérant que pendant la morte-saison agricole, quand le coût d’opportunité du travail est bas, permettrait aux ménages pauvres de « lisser leur consommation » mais ne leur apporterait pas l’assurance de trouver un emploi chaque fois qu’ils en ont besoin. Un programme opérant tout au long de l’année à divers degrés d’intensité fournira aux ménages pauvres à la fois l’ « assurance » et le « lissage de la consommation ». Dans les pays où le chômage et le sous emploi sont largement répandus, les programmes standards de travaux publics à court terme se sont révélés incapables de sortir les pauvres chroniques de la pauvreté. Le Brésil, l’Argentine, l’Inde et le Bangladesh représentent quelques exemples de bonnes pratiques où le programme a rempli les fonctions d’assurance, de lissage de la consommation et de réduction de la pauvreté. Pour assurer une couverture supplémentaire, on peut rationner le nombre de jours travaillés et appliquer un système de rotation. Par exemple, l’Inde garantit légalement 100 jours d’emploi par an à tout ménage rural disposé à effectuer des travaux publics au salaire minimum légal et l’Éthiopie assiste plus de 7 millions de personnes en état d’insécurité alimentaire chronique</w:t>
            </w:r>
            <w:r w:rsidR="0007340F">
              <w:rPr>
                <w:rFonts w:eastAsia="SimSun"/>
                <w:bCs/>
                <w:sz w:val="20"/>
                <w:szCs w:val="20"/>
                <w:lang w:val="fr-FR"/>
              </w:rPr>
              <w:t xml:space="preserve"> </w:t>
            </w:r>
            <w:r w:rsidRPr="00577EB1">
              <w:rPr>
                <w:rFonts w:eastAsia="SimSun"/>
                <w:bCs/>
                <w:sz w:val="20"/>
                <w:szCs w:val="20"/>
                <w:lang w:val="fr-FR"/>
              </w:rPr>
              <w:t>environ 10 % de la population</w:t>
            </w:r>
            <w:r w:rsidR="0007340F">
              <w:rPr>
                <w:rFonts w:eastAsia="SimSun"/>
                <w:bCs/>
                <w:sz w:val="20"/>
                <w:szCs w:val="20"/>
                <w:lang w:val="fr-FR"/>
              </w:rPr>
              <w:t xml:space="preserve"> </w:t>
            </w:r>
            <w:r w:rsidRPr="00577EB1">
              <w:rPr>
                <w:rFonts w:eastAsia="SimSun"/>
                <w:bCs/>
                <w:sz w:val="20"/>
                <w:szCs w:val="20"/>
                <w:lang w:val="fr-FR"/>
              </w:rPr>
              <w:t>à travers les mécanismes d’emploi de son Programme de filet social productif et des transferts alimentaires et monétaires. Ceci étant dit, les projets à haute intensité de main-d’œuvre peuvent également être utilisés efficacement dans la foulée des catastrophes</w:t>
            </w:r>
            <w:r w:rsidR="0007340F">
              <w:rPr>
                <w:rFonts w:eastAsia="SimSun"/>
                <w:bCs/>
                <w:sz w:val="20"/>
                <w:szCs w:val="20"/>
                <w:lang w:val="fr-FR"/>
              </w:rPr>
              <w:t xml:space="preserve"> </w:t>
            </w:r>
            <w:r w:rsidRPr="00577EB1">
              <w:rPr>
                <w:rFonts w:eastAsia="SimSun"/>
                <w:bCs/>
                <w:sz w:val="20"/>
                <w:szCs w:val="20"/>
                <w:lang w:val="fr-FR"/>
              </w:rPr>
              <w:t>naturelles, pour la réhabilitation et la reconstruction d’infrastructures abimées ou détruites</w:t>
            </w:r>
            <w:r w:rsidRPr="00577EB1">
              <w:rPr>
                <w:rFonts w:eastAsia="SimSun"/>
                <w:bCs/>
                <w:lang w:val="fr-FR"/>
              </w:rPr>
              <w:t>.</w:t>
            </w:r>
          </w:p>
        </w:tc>
      </w:tr>
    </w:tbl>
    <w:p w:rsidR="004B3541" w:rsidRDefault="0050199E">
      <w:pPr>
        <w:keepLines/>
        <w:spacing w:before="120" w:after="480"/>
        <w:ind w:right="-91"/>
        <w:rPr>
          <w:rFonts w:eastAsia="SimSun"/>
          <w:sz w:val="20"/>
          <w:lang w:val="fr-FR"/>
        </w:rPr>
      </w:pPr>
      <w:r w:rsidRPr="00577EB1">
        <w:rPr>
          <w:rFonts w:eastAsia="SimSun"/>
          <w:i/>
          <w:sz w:val="20"/>
          <w:lang w:val="fr-FR"/>
        </w:rPr>
        <w:t>Source</w:t>
      </w:r>
      <w:r w:rsidR="003203FB">
        <w:rPr>
          <w:rFonts w:eastAsia="SimSun"/>
          <w:i/>
          <w:sz w:val="20"/>
          <w:lang w:val="fr-FR"/>
        </w:rPr>
        <w:t> :</w:t>
      </w:r>
      <w:r w:rsidR="0007340F">
        <w:rPr>
          <w:rFonts w:eastAsia="SimSun"/>
          <w:i/>
          <w:sz w:val="20"/>
          <w:lang w:val="fr-FR"/>
        </w:rPr>
        <w:t xml:space="preserve"> </w:t>
      </w:r>
      <w:r w:rsidRPr="00577EB1">
        <w:rPr>
          <w:rFonts w:eastAsia="SimSun"/>
          <w:sz w:val="20"/>
          <w:lang w:val="fr-FR"/>
        </w:rPr>
        <w:t>Grosh et coll., 2008</w:t>
      </w:r>
      <w:r w:rsidR="0007340F">
        <w:rPr>
          <w:rFonts w:eastAsia="SimSun"/>
          <w:sz w:val="20"/>
          <w:lang w:val="fr-FR"/>
        </w:rPr>
        <w:t xml:space="preserve"> </w:t>
      </w:r>
      <w:r w:rsidRPr="00577EB1">
        <w:rPr>
          <w:rFonts w:eastAsia="SimSun"/>
          <w:sz w:val="20"/>
          <w:lang w:val="fr-FR"/>
        </w:rPr>
        <w:t>del Ninno et coll., 2009.</w:t>
      </w:r>
    </w:p>
    <w:p w:rsidR="0050199E" w:rsidRPr="00577EB1" w:rsidRDefault="0050199E" w:rsidP="00E52A30">
      <w:pPr>
        <w:widowControl w:val="0"/>
        <w:numPr>
          <w:ilvl w:val="0"/>
          <w:numId w:val="2"/>
        </w:numPr>
        <w:ind w:left="0" w:right="-90" w:firstLine="0"/>
        <w:rPr>
          <w:rFonts w:eastAsia="SimSun"/>
          <w:lang w:val="fr-FR"/>
        </w:rPr>
      </w:pPr>
      <w:r w:rsidRPr="00577EB1">
        <w:rPr>
          <w:rFonts w:eastAsia="SimSun"/>
          <w:b/>
          <w:bCs/>
          <w:lang w:val="fr-FR"/>
        </w:rPr>
        <w:t xml:space="preserve">Des enseignements peuvent être </w:t>
      </w:r>
      <w:r w:rsidRPr="00577EB1">
        <w:rPr>
          <w:rFonts w:eastAsia="SimSun"/>
          <w:b/>
          <w:lang w:val="fr-FR"/>
        </w:rPr>
        <w:t>tirés</w:t>
      </w:r>
      <w:r w:rsidRPr="00577EB1">
        <w:rPr>
          <w:rFonts w:eastAsia="SimSun"/>
          <w:b/>
          <w:bCs/>
          <w:lang w:val="fr-FR"/>
        </w:rPr>
        <w:t xml:space="preserve"> du programme Vivres contre </w:t>
      </w:r>
      <w:r w:rsidRPr="00577EB1">
        <w:rPr>
          <w:rFonts w:eastAsia="SimSun"/>
          <w:b/>
          <w:bCs/>
          <w:lang w:val="fr-FR"/>
        </w:rPr>
        <w:lastRenderedPageBreak/>
        <w:t xml:space="preserve">infrastructure du PAM, bien qu’encore une fois, l’accent de ce programme soit principalement placé sur la construction d’actifs de qualité et, à un moindre degré, sur l’intensité de main-d’œuvre du projet. </w:t>
      </w:r>
      <w:r w:rsidRPr="00577EB1">
        <w:rPr>
          <w:rFonts w:eastAsia="SimSun"/>
          <w:lang w:val="fr-FR"/>
        </w:rPr>
        <w:t>L’aide alimentaire est utilisée en tant que mesure incitative pour effectuer des travaux communautaires tels que de petites digues et des berges anti-érosion ou des travaux dont les résultats ne sont apparents qu’après un an ou plus, tels que le drainage de marécages ou la construction de digues. Le programme contribue à atténuer la dégradation continue du sol sur des terres arables ou potentiellement arables et à appuyer les initiatives destinées à l’aménagement ou à l’exploitation agricole de terres arables hautement productives</w:t>
      </w:r>
      <w:r w:rsidR="0007340F">
        <w:rPr>
          <w:rFonts w:eastAsia="SimSun"/>
          <w:lang w:val="fr-FR"/>
        </w:rPr>
        <w:t xml:space="preserve"> </w:t>
      </w:r>
      <w:r w:rsidRPr="00577EB1">
        <w:rPr>
          <w:rFonts w:eastAsia="SimSun"/>
          <w:lang w:val="fr-FR"/>
        </w:rPr>
        <w:t>cultures maraichères sur des terre défrichées ou sous irrigation à petite échelle</w:t>
      </w:r>
      <w:r w:rsidRPr="00577EB1">
        <w:rPr>
          <w:rFonts w:eastAsia="SimSun"/>
          <w:i/>
          <w:lang w:val="fr-FR"/>
        </w:rPr>
        <w:t>.</w:t>
      </w:r>
      <w:r w:rsidRPr="00577EB1">
        <w:rPr>
          <w:rFonts w:eastAsia="SimSun"/>
          <w:lang w:val="fr-FR"/>
        </w:rPr>
        <w:t xml:space="preserve"> </w:t>
      </w:r>
      <w:r w:rsidRPr="00577EB1">
        <w:rPr>
          <w:rFonts w:eastAsia="SimSun"/>
          <w:lang w:val="fr-FR" w:eastAsia="en-GB"/>
        </w:rPr>
        <w:t>Les ressources et la portée du programme ont augmenté avec le temps. (</w:t>
      </w:r>
      <w:r w:rsidRPr="00577EB1">
        <w:rPr>
          <w:lang w:val="fr-FR"/>
        </w:rPr>
        <w:t>Tableau 27</w:t>
      </w:r>
      <w:r w:rsidRPr="00577EB1">
        <w:rPr>
          <w:rFonts w:eastAsia="SimSun"/>
          <w:lang w:val="fr-FR" w:eastAsia="en-GB"/>
        </w:rPr>
        <w:t>).</w:t>
      </w:r>
    </w:p>
    <w:p w:rsidR="0050199E" w:rsidRPr="00577EB1" w:rsidRDefault="001F3001" w:rsidP="006F1314">
      <w:pPr>
        <w:pStyle w:val="Heading7"/>
        <w:rPr>
          <w:lang w:val="fr-FR"/>
        </w:rPr>
      </w:pPr>
      <w:bookmarkStart w:id="210" w:name="_Ref135727527"/>
      <w:bookmarkStart w:id="211" w:name="_Toc262170058"/>
      <w:bookmarkStart w:id="212" w:name="_Toc284528601"/>
      <w:bookmarkStart w:id="213" w:name="_Toc284530538"/>
      <w:r w:rsidRPr="00577EB1">
        <w:rPr>
          <w:lang w:val="fr-FR"/>
        </w:rPr>
        <w:t xml:space="preserve">Tableau </w:t>
      </w:r>
      <w:r w:rsidR="00725419" w:rsidRPr="00577EB1">
        <w:rPr>
          <w:lang w:val="fr-FR"/>
        </w:rPr>
        <w:fldChar w:fldCharType="begin"/>
      </w:r>
      <w:r w:rsidRPr="00577EB1">
        <w:rPr>
          <w:lang w:val="fr-FR"/>
        </w:rPr>
        <w:instrText xml:space="preserve"> SEQ Table \* ARABIC </w:instrText>
      </w:r>
      <w:r w:rsidR="00725419" w:rsidRPr="00577EB1">
        <w:rPr>
          <w:lang w:val="fr-FR"/>
        </w:rPr>
        <w:fldChar w:fldCharType="separate"/>
      </w:r>
      <w:r w:rsidR="00EF56B2">
        <w:rPr>
          <w:lang w:val="fr-FR"/>
        </w:rPr>
        <w:t>27</w:t>
      </w:r>
      <w:r w:rsidR="00725419" w:rsidRPr="00577EB1">
        <w:rPr>
          <w:lang w:val="fr-FR"/>
        </w:rPr>
        <w:fldChar w:fldCharType="end"/>
      </w:r>
      <w:bookmarkEnd w:id="210"/>
      <w:r w:rsidR="003203FB">
        <w:rPr>
          <w:lang w:val="fr-FR"/>
        </w:rPr>
        <w:t> :</w:t>
      </w:r>
      <w:r w:rsidR="0007340F">
        <w:rPr>
          <w:lang w:val="fr-FR"/>
        </w:rPr>
        <w:t xml:space="preserve"> </w:t>
      </w:r>
      <w:r w:rsidR="0000290C">
        <w:rPr>
          <w:lang w:val="fr-FR"/>
        </w:rPr>
        <w:t>P</w:t>
      </w:r>
      <w:r w:rsidR="0050199E" w:rsidRPr="00577EB1">
        <w:rPr>
          <w:lang w:val="fr-FR"/>
        </w:rPr>
        <w:t>rogrammes Vivres contre infrastructure du PAM (bénéficiaires et budgets), 2006-2010</w:t>
      </w:r>
      <w:bookmarkEnd w:id="211"/>
      <w:bookmarkEnd w:id="212"/>
      <w:bookmarkEnd w:id="213"/>
    </w:p>
    <w:tbl>
      <w:tblPr>
        <w:tblW w:w="4980" w:type="pct"/>
        <w:tblLook w:val="00A0"/>
      </w:tblPr>
      <w:tblGrid>
        <w:gridCol w:w="3568"/>
        <w:gridCol w:w="791"/>
        <w:gridCol w:w="1152"/>
        <w:gridCol w:w="1153"/>
        <w:gridCol w:w="1152"/>
        <w:gridCol w:w="1153"/>
      </w:tblGrid>
      <w:tr w:rsidR="0050199E" w:rsidRPr="00577EB1" w:rsidTr="0050199E">
        <w:tc>
          <w:tcPr>
            <w:tcW w:w="1989" w:type="pct"/>
            <w:tcBorders>
              <w:top w:val="single" w:sz="4" w:space="0" w:color="auto"/>
              <w:bottom w:val="single" w:sz="4" w:space="0" w:color="auto"/>
            </w:tcBorders>
          </w:tcPr>
          <w:p w:rsidR="004B3541" w:rsidRDefault="004B3541">
            <w:pPr>
              <w:keepNext/>
              <w:keepLines/>
              <w:spacing w:after="0"/>
              <w:ind w:right="-91"/>
              <w:rPr>
                <w:rFonts w:eastAsia="SimSun" w:cs="Arial"/>
                <w:b/>
                <w:bCs/>
                <w:caps/>
                <w:smallCaps/>
                <w:kern w:val="28"/>
                <w:sz w:val="20"/>
                <w:szCs w:val="20"/>
                <w:lang w:val="fr-FR"/>
              </w:rPr>
            </w:pPr>
          </w:p>
        </w:tc>
        <w:tc>
          <w:tcPr>
            <w:tcW w:w="441" w:type="pct"/>
            <w:tcBorders>
              <w:top w:val="single" w:sz="4" w:space="0" w:color="auto"/>
              <w:bottom w:val="single" w:sz="4" w:space="0" w:color="auto"/>
            </w:tcBorders>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2006</w:t>
            </w:r>
          </w:p>
        </w:tc>
        <w:tc>
          <w:tcPr>
            <w:tcW w:w="642" w:type="pct"/>
            <w:tcBorders>
              <w:top w:val="single" w:sz="4" w:space="0" w:color="auto"/>
              <w:bottom w:val="single" w:sz="4" w:space="0" w:color="auto"/>
            </w:tcBorders>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2007</w:t>
            </w:r>
          </w:p>
        </w:tc>
        <w:tc>
          <w:tcPr>
            <w:tcW w:w="643" w:type="pct"/>
            <w:tcBorders>
              <w:top w:val="single" w:sz="4" w:space="0" w:color="auto"/>
              <w:bottom w:val="single" w:sz="4" w:space="0" w:color="auto"/>
            </w:tcBorders>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2008</w:t>
            </w:r>
          </w:p>
        </w:tc>
        <w:tc>
          <w:tcPr>
            <w:tcW w:w="642" w:type="pct"/>
            <w:tcBorders>
              <w:top w:val="single" w:sz="4" w:space="0" w:color="auto"/>
              <w:bottom w:val="single" w:sz="4" w:space="0" w:color="auto"/>
            </w:tcBorders>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2009</w:t>
            </w:r>
          </w:p>
        </w:tc>
        <w:tc>
          <w:tcPr>
            <w:tcW w:w="643" w:type="pct"/>
            <w:tcBorders>
              <w:top w:val="single" w:sz="4" w:space="0" w:color="auto"/>
              <w:bottom w:val="single" w:sz="4" w:space="0" w:color="auto"/>
            </w:tcBorders>
          </w:tcPr>
          <w:p w:rsidR="004B3541" w:rsidRDefault="0050199E">
            <w:pPr>
              <w:keepNext/>
              <w:keepLines/>
              <w:spacing w:after="0"/>
              <w:ind w:right="-91"/>
              <w:jc w:val="right"/>
              <w:rPr>
                <w:sz w:val="20"/>
                <w:szCs w:val="20"/>
                <w:lang w:val="fr-FR" w:eastAsia="fr-FR"/>
              </w:rPr>
            </w:pPr>
            <w:r w:rsidRPr="00577EB1">
              <w:rPr>
                <w:sz w:val="20"/>
                <w:szCs w:val="20"/>
                <w:lang w:val="fr-FR" w:eastAsia="fr-FR"/>
              </w:rPr>
              <w:t>2010</w:t>
            </w:r>
          </w:p>
        </w:tc>
      </w:tr>
      <w:tr w:rsidR="0050199E" w:rsidRPr="00577EB1" w:rsidTr="0050199E">
        <w:tc>
          <w:tcPr>
            <w:tcW w:w="1989" w:type="pct"/>
            <w:tcBorders>
              <w:top w:val="single" w:sz="4" w:space="0" w:color="auto"/>
            </w:tcBorders>
          </w:tcPr>
          <w:p w:rsidR="004B3541" w:rsidRDefault="0050199E">
            <w:pPr>
              <w:keepNext/>
              <w:keepLines/>
              <w:spacing w:after="0"/>
              <w:ind w:right="-91"/>
              <w:rPr>
                <w:rFonts w:eastAsia="SimSun"/>
                <w:sz w:val="20"/>
                <w:szCs w:val="20"/>
                <w:lang w:val="fr-FR"/>
              </w:rPr>
            </w:pPr>
            <w:r w:rsidRPr="00577EB1">
              <w:rPr>
                <w:rFonts w:eastAsia="SimSun"/>
                <w:sz w:val="20"/>
                <w:szCs w:val="20"/>
                <w:lang w:val="fr-FR"/>
              </w:rPr>
              <w:t>Bénéficiaires femmes</w:t>
            </w:r>
          </w:p>
        </w:tc>
        <w:tc>
          <w:tcPr>
            <w:tcW w:w="441" w:type="pct"/>
            <w:tcBorders>
              <w:top w:val="single" w:sz="4" w:space="0" w:color="auto"/>
            </w:tcBorders>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14 800</w:t>
            </w:r>
          </w:p>
        </w:tc>
        <w:tc>
          <w:tcPr>
            <w:tcW w:w="642" w:type="pct"/>
            <w:tcBorders>
              <w:top w:val="single" w:sz="4" w:space="0" w:color="auto"/>
            </w:tcBorders>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13 870</w:t>
            </w:r>
          </w:p>
        </w:tc>
        <w:tc>
          <w:tcPr>
            <w:tcW w:w="643" w:type="pct"/>
            <w:tcBorders>
              <w:top w:val="single" w:sz="4" w:space="0" w:color="auto"/>
            </w:tcBorders>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21 606</w:t>
            </w:r>
          </w:p>
        </w:tc>
        <w:tc>
          <w:tcPr>
            <w:tcW w:w="642" w:type="pct"/>
            <w:tcBorders>
              <w:top w:val="single" w:sz="4" w:space="0" w:color="auto"/>
            </w:tcBorders>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30 808</w:t>
            </w:r>
          </w:p>
        </w:tc>
        <w:tc>
          <w:tcPr>
            <w:tcW w:w="643" w:type="pct"/>
            <w:tcBorders>
              <w:top w:val="single" w:sz="4" w:space="0" w:color="auto"/>
            </w:tcBorders>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35 300</w:t>
            </w:r>
          </w:p>
        </w:tc>
      </w:tr>
      <w:tr w:rsidR="0050199E" w:rsidRPr="00577EB1" w:rsidTr="0050199E">
        <w:tc>
          <w:tcPr>
            <w:tcW w:w="1989" w:type="pct"/>
          </w:tcPr>
          <w:p w:rsidR="004B3541" w:rsidRDefault="0050199E">
            <w:pPr>
              <w:keepNext/>
              <w:keepLines/>
              <w:spacing w:after="0"/>
              <w:ind w:right="-91"/>
              <w:rPr>
                <w:rFonts w:eastAsia="SimSun"/>
                <w:sz w:val="20"/>
                <w:szCs w:val="20"/>
                <w:lang w:val="fr-FR"/>
              </w:rPr>
            </w:pPr>
            <w:r w:rsidRPr="00577EB1">
              <w:rPr>
                <w:rFonts w:eastAsia="SimSun"/>
                <w:sz w:val="20"/>
                <w:szCs w:val="20"/>
                <w:lang w:val="fr-FR"/>
              </w:rPr>
              <w:t>Bénéficiaires hommes</w:t>
            </w:r>
          </w:p>
        </w:tc>
        <w:tc>
          <w:tcPr>
            <w:tcW w:w="441" w:type="pct"/>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9 920</w:t>
            </w:r>
          </w:p>
        </w:tc>
        <w:tc>
          <w:tcPr>
            <w:tcW w:w="642" w:type="pct"/>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14 880</w:t>
            </w:r>
          </w:p>
        </w:tc>
        <w:tc>
          <w:tcPr>
            <w:tcW w:w="643" w:type="pct"/>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33 794</w:t>
            </w:r>
          </w:p>
        </w:tc>
        <w:tc>
          <w:tcPr>
            <w:tcW w:w="642" w:type="pct"/>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31 408</w:t>
            </w:r>
          </w:p>
        </w:tc>
        <w:tc>
          <w:tcPr>
            <w:tcW w:w="643"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35 300</w:t>
            </w:r>
          </w:p>
        </w:tc>
      </w:tr>
      <w:tr w:rsidR="0050199E" w:rsidRPr="00577EB1" w:rsidTr="0050199E">
        <w:tc>
          <w:tcPr>
            <w:tcW w:w="1989" w:type="pct"/>
          </w:tcPr>
          <w:p w:rsidR="004B3541" w:rsidRDefault="0050199E">
            <w:pPr>
              <w:keepNext/>
              <w:keepLines/>
              <w:spacing w:after="0"/>
              <w:ind w:right="-91"/>
              <w:rPr>
                <w:rFonts w:eastAsia="SimSun"/>
                <w:sz w:val="20"/>
                <w:szCs w:val="20"/>
                <w:lang w:val="fr-FR"/>
              </w:rPr>
            </w:pPr>
            <w:r w:rsidRPr="00577EB1">
              <w:rPr>
                <w:rFonts w:eastAsia="SimSun"/>
                <w:sz w:val="20"/>
                <w:szCs w:val="20"/>
                <w:lang w:val="fr-FR"/>
              </w:rPr>
              <w:t>Total bénéficiaires</w:t>
            </w:r>
          </w:p>
        </w:tc>
        <w:tc>
          <w:tcPr>
            <w:tcW w:w="441" w:type="pct"/>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24 800</w:t>
            </w:r>
          </w:p>
        </w:tc>
        <w:tc>
          <w:tcPr>
            <w:tcW w:w="642" w:type="pct"/>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28 750</w:t>
            </w:r>
          </w:p>
        </w:tc>
        <w:tc>
          <w:tcPr>
            <w:tcW w:w="643" w:type="pct"/>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55 400</w:t>
            </w:r>
          </w:p>
        </w:tc>
        <w:tc>
          <w:tcPr>
            <w:tcW w:w="642" w:type="pct"/>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62 216</w:t>
            </w:r>
          </w:p>
        </w:tc>
        <w:tc>
          <w:tcPr>
            <w:tcW w:w="643" w:type="pct"/>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70 600</w:t>
            </w:r>
          </w:p>
        </w:tc>
      </w:tr>
      <w:tr w:rsidR="0050199E" w:rsidRPr="00577EB1" w:rsidTr="0050199E">
        <w:tc>
          <w:tcPr>
            <w:tcW w:w="1989" w:type="pct"/>
          </w:tcPr>
          <w:p w:rsidR="004B3541" w:rsidRDefault="004B3541">
            <w:pPr>
              <w:keepNext/>
              <w:keepLines/>
              <w:spacing w:after="0"/>
              <w:ind w:right="-91"/>
              <w:rPr>
                <w:rFonts w:eastAsia="SimSun"/>
                <w:sz w:val="20"/>
                <w:szCs w:val="20"/>
                <w:lang w:val="fr-FR"/>
              </w:rPr>
            </w:pPr>
          </w:p>
        </w:tc>
        <w:tc>
          <w:tcPr>
            <w:tcW w:w="441" w:type="pct"/>
            <w:vAlign w:val="center"/>
          </w:tcPr>
          <w:p w:rsidR="004B3541" w:rsidRDefault="004B3541">
            <w:pPr>
              <w:keepNext/>
              <w:keepLines/>
              <w:spacing w:after="0"/>
              <w:ind w:right="-91"/>
              <w:jc w:val="right"/>
              <w:rPr>
                <w:sz w:val="20"/>
                <w:szCs w:val="20"/>
                <w:lang w:val="fr-FR" w:eastAsia="fr-FR"/>
              </w:rPr>
            </w:pPr>
          </w:p>
        </w:tc>
        <w:tc>
          <w:tcPr>
            <w:tcW w:w="642" w:type="pct"/>
            <w:vAlign w:val="center"/>
          </w:tcPr>
          <w:p w:rsidR="004B3541" w:rsidRDefault="004B3541">
            <w:pPr>
              <w:keepNext/>
              <w:keepLines/>
              <w:spacing w:after="0"/>
              <w:ind w:right="-91"/>
              <w:jc w:val="right"/>
              <w:rPr>
                <w:sz w:val="20"/>
                <w:szCs w:val="20"/>
                <w:lang w:val="fr-FR" w:eastAsia="fr-FR"/>
              </w:rPr>
            </w:pPr>
          </w:p>
        </w:tc>
        <w:tc>
          <w:tcPr>
            <w:tcW w:w="643" w:type="pct"/>
            <w:vAlign w:val="center"/>
          </w:tcPr>
          <w:p w:rsidR="004B3541" w:rsidRDefault="004B3541">
            <w:pPr>
              <w:keepNext/>
              <w:keepLines/>
              <w:spacing w:after="0"/>
              <w:ind w:right="-91"/>
              <w:jc w:val="right"/>
              <w:rPr>
                <w:sz w:val="20"/>
                <w:szCs w:val="20"/>
                <w:lang w:val="fr-FR" w:eastAsia="fr-FR"/>
              </w:rPr>
            </w:pPr>
          </w:p>
        </w:tc>
        <w:tc>
          <w:tcPr>
            <w:tcW w:w="642" w:type="pct"/>
            <w:vAlign w:val="center"/>
          </w:tcPr>
          <w:p w:rsidR="004B3541" w:rsidRDefault="004B3541">
            <w:pPr>
              <w:keepNext/>
              <w:keepLines/>
              <w:spacing w:after="0"/>
              <w:ind w:right="-91"/>
              <w:jc w:val="right"/>
              <w:rPr>
                <w:sz w:val="20"/>
                <w:szCs w:val="20"/>
                <w:lang w:val="fr-FR" w:eastAsia="fr-FR"/>
              </w:rPr>
            </w:pPr>
          </w:p>
        </w:tc>
        <w:tc>
          <w:tcPr>
            <w:tcW w:w="643" w:type="pct"/>
            <w:vAlign w:val="center"/>
          </w:tcPr>
          <w:p w:rsidR="004B3541" w:rsidRDefault="004B3541">
            <w:pPr>
              <w:keepNext/>
              <w:keepLines/>
              <w:spacing w:after="0"/>
              <w:ind w:right="-91"/>
              <w:jc w:val="right"/>
              <w:rPr>
                <w:sz w:val="20"/>
                <w:szCs w:val="20"/>
                <w:lang w:val="fr-FR" w:eastAsia="fr-FR"/>
              </w:rPr>
            </w:pPr>
          </w:p>
        </w:tc>
      </w:tr>
      <w:tr w:rsidR="0050199E" w:rsidRPr="00577EB1" w:rsidTr="0050199E">
        <w:trPr>
          <w:trHeight w:val="280"/>
        </w:trPr>
        <w:tc>
          <w:tcPr>
            <w:tcW w:w="1989" w:type="pct"/>
            <w:vAlign w:val="bottom"/>
          </w:tcPr>
          <w:p w:rsidR="004B3541" w:rsidRDefault="0050199E">
            <w:pPr>
              <w:keepNext/>
              <w:keepLines/>
              <w:spacing w:after="0"/>
              <w:ind w:right="-91"/>
              <w:rPr>
                <w:rFonts w:eastAsia="SimSun"/>
                <w:color w:val="000000"/>
                <w:sz w:val="20"/>
                <w:szCs w:val="20"/>
                <w:lang w:val="fr-FR"/>
              </w:rPr>
            </w:pPr>
            <w:r w:rsidRPr="00577EB1">
              <w:rPr>
                <w:rFonts w:eastAsia="SimSun"/>
                <w:color w:val="000000"/>
                <w:sz w:val="20"/>
                <w:szCs w:val="20"/>
                <w:lang w:val="fr-FR"/>
              </w:rPr>
              <w:t>Coûts de l’activité (dollars EU)</w:t>
            </w:r>
          </w:p>
        </w:tc>
        <w:tc>
          <w:tcPr>
            <w:tcW w:w="441"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730 964</w:t>
            </w:r>
          </w:p>
        </w:tc>
        <w:tc>
          <w:tcPr>
            <w:tcW w:w="642"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327 121</w:t>
            </w:r>
          </w:p>
        </w:tc>
        <w:tc>
          <w:tcPr>
            <w:tcW w:w="643"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1 127 271</w:t>
            </w:r>
          </w:p>
        </w:tc>
        <w:tc>
          <w:tcPr>
            <w:tcW w:w="642"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1 022 408</w:t>
            </w:r>
          </w:p>
        </w:tc>
        <w:tc>
          <w:tcPr>
            <w:tcW w:w="643"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1 436 820</w:t>
            </w:r>
          </w:p>
        </w:tc>
      </w:tr>
      <w:tr w:rsidR="0050199E" w:rsidRPr="00577EB1" w:rsidTr="0050199E">
        <w:tc>
          <w:tcPr>
            <w:tcW w:w="1989" w:type="pct"/>
            <w:vAlign w:val="bottom"/>
          </w:tcPr>
          <w:p w:rsidR="004B3541" w:rsidRDefault="0050199E">
            <w:pPr>
              <w:keepNext/>
              <w:keepLines/>
              <w:spacing w:after="0"/>
              <w:ind w:right="-91"/>
              <w:rPr>
                <w:rFonts w:eastAsia="SimSun"/>
                <w:color w:val="000000"/>
                <w:sz w:val="20"/>
                <w:szCs w:val="20"/>
                <w:lang w:val="fr-FR"/>
              </w:rPr>
            </w:pPr>
            <w:r w:rsidRPr="00577EB1">
              <w:rPr>
                <w:rFonts w:eastAsia="SimSun"/>
                <w:color w:val="000000"/>
                <w:sz w:val="20"/>
                <w:szCs w:val="20"/>
                <w:lang w:val="fr-FR"/>
              </w:rPr>
              <w:t>Coûts administratifs (dollars EU)</w:t>
            </w:r>
          </w:p>
        </w:tc>
        <w:tc>
          <w:tcPr>
            <w:tcW w:w="441"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51 167</w:t>
            </w:r>
          </w:p>
        </w:tc>
        <w:tc>
          <w:tcPr>
            <w:tcW w:w="642"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22 898</w:t>
            </w:r>
          </w:p>
        </w:tc>
        <w:tc>
          <w:tcPr>
            <w:tcW w:w="643"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78 909</w:t>
            </w:r>
          </w:p>
        </w:tc>
        <w:tc>
          <w:tcPr>
            <w:tcW w:w="642"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71 568</w:t>
            </w:r>
          </w:p>
        </w:tc>
        <w:tc>
          <w:tcPr>
            <w:tcW w:w="643"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100 580</w:t>
            </w:r>
          </w:p>
        </w:tc>
      </w:tr>
      <w:tr w:rsidR="0050199E" w:rsidRPr="00577EB1" w:rsidTr="0050199E">
        <w:tc>
          <w:tcPr>
            <w:tcW w:w="1989" w:type="pct"/>
            <w:vAlign w:val="bottom"/>
          </w:tcPr>
          <w:p w:rsidR="004B3541" w:rsidRDefault="0050199E">
            <w:pPr>
              <w:keepNext/>
              <w:keepLines/>
              <w:spacing w:after="0"/>
              <w:ind w:right="-91"/>
              <w:rPr>
                <w:rFonts w:eastAsia="SimSun"/>
                <w:color w:val="000000"/>
                <w:sz w:val="20"/>
                <w:szCs w:val="20"/>
                <w:lang w:val="fr-FR"/>
              </w:rPr>
            </w:pPr>
            <w:r w:rsidRPr="00577EB1">
              <w:rPr>
                <w:rFonts w:eastAsia="SimSun"/>
                <w:color w:val="000000"/>
                <w:sz w:val="20"/>
                <w:szCs w:val="20"/>
                <w:lang w:val="fr-FR"/>
              </w:rPr>
              <w:t>Coûts totaux (dollars EU)</w:t>
            </w:r>
          </w:p>
        </w:tc>
        <w:tc>
          <w:tcPr>
            <w:tcW w:w="441"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782 131</w:t>
            </w:r>
          </w:p>
        </w:tc>
        <w:tc>
          <w:tcPr>
            <w:tcW w:w="642"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350 019</w:t>
            </w:r>
          </w:p>
        </w:tc>
        <w:tc>
          <w:tcPr>
            <w:tcW w:w="643"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1 206 180</w:t>
            </w:r>
          </w:p>
        </w:tc>
        <w:tc>
          <w:tcPr>
            <w:tcW w:w="642"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1 093 976</w:t>
            </w:r>
          </w:p>
        </w:tc>
        <w:tc>
          <w:tcPr>
            <w:tcW w:w="643" w:type="pct"/>
            <w:vAlign w:val="bottom"/>
          </w:tcPr>
          <w:p w:rsidR="004B3541" w:rsidRDefault="0050199E">
            <w:pPr>
              <w:keepNext/>
              <w:keepLines/>
              <w:spacing w:after="0"/>
              <w:ind w:right="-91"/>
              <w:jc w:val="right"/>
              <w:rPr>
                <w:sz w:val="20"/>
                <w:szCs w:val="20"/>
                <w:lang w:val="fr-FR" w:eastAsia="fr-FR"/>
              </w:rPr>
            </w:pPr>
            <w:r w:rsidRPr="00577EB1">
              <w:rPr>
                <w:sz w:val="20"/>
                <w:szCs w:val="20"/>
                <w:lang w:val="fr-FR" w:eastAsia="fr-FR"/>
              </w:rPr>
              <w:t>1 537 400</w:t>
            </w:r>
          </w:p>
        </w:tc>
      </w:tr>
      <w:tr w:rsidR="0050199E" w:rsidRPr="00577EB1" w:rsidTr="0050199E">
        <w:tc>
          <w:tcPr>
            <w:tcW w:w="1989" w:type="pct"/>
            <w:vAlign w:val="bottom"/>
          </w:tcPr>
          <w:p w:rsidR="004B3541" w:rsidRDefault="004B3541">
            <w:pPr>
              <w:keepNext/>
              <w:keepLines/>
              <w:spacing w:after="0"/>
              <w:ind w:right="-91"/>
              <w:rPr>
                <w:rFonts w:eastAsia="SimSun"/>
                <w:color w:val="000000"/>
                <w:sz w:val="20"/>
                <w:szCs w:val="20"/>
                <w:lang w:val="fr-FR"/>
              </w:rPr>
            </w:pPr>
          </w:p>
        </w:tc>
        <w:tc>
          <w:tcPr>
            <w:tcW w:w="441" w:type="pct"/>
            <w:vAlign w:val="bottom"/>
          </w:tcPr>
          <w:p w:rsidR="004B3541" w:rsidRDefault="004B3541">
            <w:pPr>
              <w:keepNext/>
              <w:keepLines/>
              <w:spacing w:after="0"/>
              <w:ind w:right="-91"/>
              <w:jc w:val="right"/>
              <w:rPr>
                <w:sz w:val="20"/>
                <w:szCs w:val="20"/>
                <w:lang w:val="fr-FR" w:eastAsia="fr-FR"/>
              </w:rPr>
            </w:pPr>
          </w:p>
        </w:tc>
        <w:tc>
          <w:tcPr>
            <w:tcW w:w="642" w:type="pct"/>
            <w:vAlign w:val="bottom"/>
          </w:tcPr>
          <w:p w:rsidR="004B3541" w:rsidRDefault="004B3541">
            <w:pPr>
              <w:keepNext/>
              <w:keepLines/>
              <w:spacing w:after="0"/>
              <w:ind w:right="-91"/>
              <w:jc w:val="right"/>
              <w:rPr>
                <w:sz w:val="20"/>
                <w:szCs w:val="20"/>
                <w:lang w:val="fr-FR" w:eastAsia="fr-FR"/>
              </w:rPr>
            </w:pPr>
          </w:p>
        </w:tc>
        <w:tc>
          <w:tcPr>
            <w:tcW w:w="643" w:type="pct"/>
            <w:vAlign w:val="bottom"/>
          </w:tcPr>
          <w:p w:rsidR="004B3541" w:rsidRDefault="004B3541">
            <w:pPr>
              <w:keepNext/>
              <w:keepLines/>
              <w:spacing w:after="0"/>
              <w:ind w:right="-91"/>
              <w:jc w:val="right"/>
              <w:rPr>
                <w:sz w:val="20"/>
                <w:szCs w:val="20"/>
                <w:lang w:val="fr-FR" w:eastAsia="fr-FR"/>
              </w:rPr>
            </w:pPr>
          </w:p>
        </w:tc>
        <w:tc>
          <w:tcPr>
            <w:tcW w:w="642" w:type="pct"/>
            <w:vAlign w:val="bottom"/>
          </w:tcPr>
          <w:p w:rsidR="004B3541" w:rsidRDefault="004B3541">
            <w:pPr>
              <w:keepNext/>
              <w:keepLines/>
              <w:spacing w:after="0"/>
              <w:ind w:right="-91"/>
              <w:jc w:val="right"/>
              <w:rPr>
                <w:sz w:val="20"/>
                <w:szCs w:val="20"/>
                <w:lang w:val="fr-FR" w:eastAsia="fr-FR"/>
              </w:rPr>
            </w:pPr>
          </w:p>
        </w:tc>
        <w:tc>
          <w:tcPr>
            <w:tcW w:w="643" w:type="pct"/>
            <w:vAlign w:val="bottom"/>
          </w:tcPr>
          <w:p w:rsidR="004B3541" w:rsidRDefault="004B3541">
            <w:pPr>
              <w:keepNext/>
              <w:keepLines/>
              <w:spacing w:after="0"/>
              <w:ind w:right="-91"/>
              <w:jc w:val="right"/>
              <w:rPr>
                <w:sz w:val="20"/>
                <w:szCs w:val="20"/>
                <w:lang w:val="fr-FR" w:eastAsia="fr-FR"/>
              </w:rPr>
            </w:pPr>
          </w:p>
        </w:tc>
      </w:tr>
      <w:tr w:rsidR="0050199E" w:rsidRPr="00577EB1" w:rsidTr="0050199E">
        <w:tc>
          <w:tcPr>
            <w:tcW w:w="1989" w:type="pct"/>
          </w:tcPr>
          <w:p w:rsidR="004B3541" w:rsidRDefault="0050199E">
            <w:pPr>
              <w:keepNext/>
              <w:keepLines/>
              <w:spacing w:after="0"/>
              <w:ind w:right="-91"/>
              <w:rPr>
                <w:rFonts w:eastAsia="SimSun"/>
                <w:sz w:val="20"/>
                <w:szCs w:val="20"/>
                <w:lang w:val="fr-FR"/>
              </w:rPr>
            </w:pPr>
            <w:r w:rsidRPr="00577EB1">
              <w:rPr>
                <w:rFonts w:eastAsia="SimSun"/>
                <w:sz w:val="20"/>
                <w:szCs w:val="20"/>
                <w:lang w:val="fr-FR"/>
              </w:rPr>
              <w:t xml:space="preserve">Pourcentage des coûts administratifs </w:t>
            </w:r>
          </w:p>
        </w:tc>
        <w:tc>
          <w:tcPr>
            <w:tcW w:w="441" w:type="pct"/>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6,5%</w:t>
            </w:r>
          </w:p>
        </w:tc>
        <w:tc>
          <w:tcPr>
            <w:tcW w:w="642" w:type="pct"/>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6,5%</w:t>
            </w:r>
          </w:p>
        </w:tc>
        <w:tc>
          <w:tcPr>
            <w:tcW w:w="643" w:type="pct"/>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6,5%</w:t>
            </w:r>
          </w:p>
        </w:tc>
        <w:tc>
          <w:tcPr>
            <w:tcW w:w="642" w:type="pct"/>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6,5%</w:t>
            </w:r>
          </w:p>
        </w:tc>
        <w:tc>
          <w:tcPr>
            <w:tcW w:w="643" w:type="pct"/>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6,5%</w:t>
            </w:r>
          </w:p>
        </w:tc>
      </w:tr>
      <w:tr w:rsidR="0050199E" w:rsidRPr="00577EB1" w:rsidTr="0050199E">
        <w:tc>
          <w:tcPr>
            <w:tcW w:w="1989" w:type="pct"/>
            <w:tcBorders>
              <w:bottom w:val="single" w:sz="4" w:space="0" w:color="auto"/>
            </w:tcBorders>
          </w:tcPr>
          <w:p w:rsidR="004B3541" w:rsidRDefault="0050199E">
            <w:pPr>
              <w:keepNext/>
              <w:keepLines/>
              <w:spacing w:after="0"/>
              <w:ind w:right="-91"/>
              <w:rPr>
                <w:rFonts w:eastAsia="SimSun"/>
                <w:sz w:val="20"/>
                <w:szCs w:val="20"/>
                <w:lang w:val="fr-FR"/>
              </w:rPr>
            </w:pPr>
            <w:r w:rsidRPr="00577EB1">
              <w:rPr>
                <w:rFonts w:eastAsia="SimSun"/>
                <w:sz w:val="20"/>
                <w:szCs w:val="20"/>
                <w:lang w:val="fr-FR"/>
              </w:rPr>
              <w:t>Coût moyen par bénéficiaire (dollars EU)</w:t>
            </w:r>
          </w:p>
        </w:tc>
        <w:tc>
          <w:tcPr>
            <w:tcW w:w="441" w:type="pct"/>
            <w:tcBorders>
              <w:bottom w:val="single" w:sz="4" w:space="0" w:color="auto"/>
            </w:tcBorders>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31,54</w:t>
            </w:r>
          </w:p>
        </w:tc>
        <w:tc>
          <w:tcPr>
            <w:tcW w:w="642" w:type="pct"/>
            <w:tcBorders>
              <w:bottom w:val="single" w:sz="4" w:space="0" w:color="auto"/>
            </w:tcBorders>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12,17</w:t>
            </w:r>
          </w:p>
        </w:tc>
        <w:tc>
          <w:tcPr>
            <w:tcW w:w="643" w:type="pct"/>
            <w:tcBorders>
              <w:bottom w:val="single" w:sz="4" w:space="0" w:color="auto"/>
            </w:tcBorders>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21,77</w:t>
            </w:r>
          </w:p>
        </w:tc>
        <w:tc>
          <w:tcPr>
            <w:tcW w:w="642" w:type="pct"/>
            <w:tcBorders>
              <w:bottom w:val="single" w:sz="4" w:space="0" w:color="auto"/>
            </w:tcBorders>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17,58</w:t>
            </w:r>
          </w:p>
        </w:tc>
        <w:tc>
          <w:tcPr>
            <w:tcW w:w="643" w:type="pct"/>
            <w:tcBorders>
              <w:bottom w:val="single" w:sz="4" w:space="0" w:color="auto"/>
            </w:tcBorders>
            <w:vAlign w:val="center"/>
          </w:tcPr>
          <w:p w:rsidR="004B3541" w:rsidRDefault="0050199E">
            <w:pPr>
              <w:keepNext/>
              <w:keepLines/>
              <w:spacing w:after="0"/>
              <w:ind w:right="-91"/>
              <w:jc w:val="right"/>
              <w:rPr>
                <w:sz w:val="20"/>
                <w:szCs w:val="20"/>
                <w:lang w:val="fr-FR" w:eastAsia="fr-FR"/>
              </w:rPr>
            </w:pPr>
            <w:r w:rsidRPr="00577EB1">
              <w:rPr>
                <w:sz w:val="20"/>
                <w:szCs w:val="20"/>
                <w:lang w:val="fr-FR" w:eastAsia="fr-FR"/>
              </w:rPr>
              <w:t>21,78</w:t>
            </w:r>
          </w:p>
        </w:tc>
      </w:tr>
    </w:tbl>
    <w:p w:rsidR="004B3541" w:rsidRDefault="0050199E">
      <w:pPr>
        <w:keepLines/>
        <w:spacing w:before="120" w:after="480"/>
        <w:ind w:right="-91"/>
        <w:rPr>
          <w:rFonts w:eastAsia="SimSun"/>
          <w:sz w:val="20"/>
          <w:lang w:val="fr-FR"/>
        </w:rPr>
      </w:pPr>
      <w:r w:rsidRPr="00577EB1">
        <w:rPr>
          <w:rFonts w:eastAsia="SimSun"/>
          <w:i/>
          <w:sz w:val="20"/>
          <w:lang w:val="fr-FR"/>
        </w:rPr>
        <w:t>Source:</w:t>
      </w:r>
      <w:r w:rsidRPr="00577EB1">
        <w:rPr>
          <w:rFonts w:eastAsia="SimSun"/>
          <w:sz w:val="20"/>
          <w:lang w:val="fr-FR"/>
        </w:rPr>
        <w:t xml:space="preserve"> PAM</w:t>
      </w:r>
    </w:p>
    <w:p w:rsidR="0050199E" w:rsidRPr="00577EB1" w:rsidRDefault="0050199E" w:rsidP="00E52A30">
      <w:pPr>
        <w:widowControl w:val="0"/>
        <w:numPr>
          <w:ilvl w:val="0"/>
          <w:numId w:val="2"/>
        </w:numPr>
        <w:ind w:left="0" w:right="-90" w:firstLine="0"/>
        <w:rPr>
          <w:rFonts w:eastAsia="SimSun"/>
          <w:lang w:val="fr-FR"/>
        </w:rPr>
      </w:pPr>
      <w:r w:rsidRPr="00577EB1">
        <w:rPr>
          <w:rFonts w:eastAsia="SimSun"/>
          <w:b/>
          <w:lang w:val="fr-FR"/>
        </w:rPr>
        <w:t>Sur base de l’expérience et des capacités des programmes PrEst et Vivres contre infrastructure, d’autres types de programmes de travaux publics pourraient être introduits comme instruments efficaces de filets sociaux.</w:t>
      </w:r>
      <w:r w:rsidRPr="00577EB1">
        <w:rPr>
          <w:rFonts w:eastAsia="SimSun"/>
          <w:b/>
          <w:sz w:val="20"/>
          <w:vertAlign w:val="superscript"/>
          <w:lang w:val="fr-FR"/>
        </w:rPr>
        <w:footnoteReference w:id="47"/>
      </w:r>
      <w:r w:rsidRPr="00577EB1">
        <w:rPr>
          <w:rFonts w:eastAsia="SimSun"/>
          <w:lang w:val="fr-FR"/>
        </w:rPr>
        <w:t xml:space="preserve"> Un examen récent de l’expérience de plusieurs pays avec des programmes de travaux publics révèle que des travaux publics bien conçus et exécutés peuvent aider à atténuer les chocs sur le revenu et peuvent être utilisés comme un instrument anti-pauvreté efficace (Encadré 10). Cependant, l’efficacité des travaux publics en tant qu’instrument de filets sociaux dépend grandement de la capacité du programme à fournir des sources supplémentaires de revenus aux populations les plus vulnérables quand elles en ont le plus besoin. Il faudrait, en outre, accorder une plus grande attention aux méthodes de ciblage (Encadré 10), à la durée et au </w:t>
      </w:r>
      <w:r w:rsidRPr="00577EB1">
        <w:rPr>
          <w:rFonts w:eastAsia="SimSun"/>
          <w:bCs/>
          <w:lang w:val="fr-FR"/>
        </w:rPr>
        <w:t>calendrier</w:t>
      </w:r>
      <w:r w:rsidRPr="00577EB1">
        <w:rPr>
          <w:rFonts w:eastAsia="SimSun"/>
          <w:b/>
          <w:bCs/>
          <w:lang w:val="fr-FR"/>
        </w:rPr>
        <w:t xml:space="preserve"> </w:t>
      </w:r>
      <w:r w:rsidRPr="00577EB1">
        <w:rPr>
          <w:rFonts w:eastAsia="SimSun"/>
          <w:lang w:val="fr-FR"/>
        </w:rPr>
        <w:t xml:space="preserve">des travaux, aux caractéristiques de conception particulières qui peuvent accroître la participation des femmes et de la communauté. Le choix de la méthode de rémunération peut en particulier affecter le ciblage et les résultats du programme de travaux publics. Le paiement </w:t>
      </w:r>
      <w:r w:rsidRPr="00577EB1">
        <w:rPr>
          <w:rFonts w:eastAsia="SimSun"/>
          <w:bCs/>
          <w:lang w:val="fr-FR"/>
        </w:rPr>
        <w:t>à la tâche</w:t>
      </w:r>
      <w:r w:rsidRPr="00577EB1">
        <w:rPr>
          <w:rFonts w:eastAsia="SimSun"/>
          <w:b/>
          <w:bCs/>
          <w:lang w:val="fr-FR"/>
        </w:rPr>
        <w:t xml:space="preserve"> </w:t>
      </w:r>
      <w:r w:rsidRPr="00577EB1">
        <w:rPr>
          <w:rFonts w:eastAsia="SimSun"/>
          <w:lang w:val="fr-FR"/>
        </w:rPr>
        <w:t>apporte une certaine flexibilité et peut attirer plus de femmes sur les chantiers. De plus, l’implication de la communauté dans la sélection des projets de travaux publics est essentielle pour assurer que les actifs sont ceux dont elle a le plus besoin et pour faire naître une appropriation.</w:t>
      </w:r>
    </w:p>
    <w:p w:rsidR="0050199E" w:rsidRPr="00577EB1" w:rsidRDefault="005738FE" w:rsidP="005738FE">
      <w:pPr>
        <w:pStyle w:val="Heading9"/>
        <w:rPr>
          <w:color w:val="000000"/>
        </w:rPr>
      </w:pPr>
      <w:bookmarkStart w:id="214" w:name="_Toc269723983"/>
      <w:bookmarkStart w:id="215" w:name="_Toc269724023"/>
      <w:bookmarkStart w:id="216" w:name="_Toc269724129"/>
      <w:bookmarkStart w:id="217" w:name="_Toc284613570"/>
      <w:r w:rsidRPr="005738FE">
        <w:lastRenderedPageBreak/>
        <w:t xml:space="preserve">Encadré </w:t>
      </w:r>
      <w:r w:rsidR="00725419">
        <w:fldChar w:fldCharType="begin"/>
      </w:r>
      <w:r w:rsidRPr="005738FE">
        <w:instrText xml:space="preserve"> SEQ Encadré \* ARABIC </w:instrText>
      </w:r>
      <w:r w:rsidR="00725419">
        <w:fldChar w:fldCharType="separate"/>
      </w:r>
      <w:r w:rsidR="00EF56B2">
        <w:rPr>
          <w:noProof/>
        </w:rPr>
        <w:t>10</w:t>
      </w:r>
      <w:r w:rsidR="00725419">
        <w:fldChar w:fldCharType="end"/>
      </w:r>
      <w:r w:rsidR="003203FB">
        <w:t> :</w:t>
      </w:r>
      <w:r w:rsidR="0007340F">
        <w:t xml:space="preserve"> </w:t>
      </w:r>
      <w:r w:rsidR="0050199E" w:rsidRPr="00577EB1">
        <w:t>Efficacité du ciblage des programmes de travaux publics</w:t>
      </w:r>
      <w:r w:rsidR="0007340F">
        <w:t xml:space="preserve"> </w:t>
      </w:r>
      <w:r w:rsidR="0050199E" w:rsidRPr="00577EB1">
        <w:t>l’expérience internationale</w:t>
      </w:r>
      <w:bookmarkEnd w:id="214"/>
      <w:bookmarkEnd w:id="215"/>
      <w:bookmarkEnd w:id="216"/>
      <w:bookmarkEnd w:id="217"/>
    </w:p>
    <w:p w:rsidR="004B3541" w:rsidRDefault="0050199E">
      <w:pPr>
        <w:keepNext/>
        <w:keepLines/>
        <w:pBdr>
          <w:top w:val="single" w:sz="4" w:space="1" w:color="auto"/>
          <w:left w:val="single" w:sz="4" w:space="4" w:color="auto"/>
          <w:bottom w:val="single" w:sz="4" w:space="5" w:color="auto"/>
          <w:right w:val="single" w:sz="4" w:space="4" w:color="auto"/>
        </w:pBdr>
        <w:spacing w:after="120"/>
        <w:ind w:right="-91"/>
        <w:rPr>
          <w:rFonts w:eastAsia="SimSun"/>
          <w:sz w:val="20"/>
          <w:lang w:val="fr-FR"/>
        </w:rPr>
      </w:pPr>
      <w:r w:rsidRPr="00577EB1">
        <w:rPr>
          <w:rFonts w:eastAsia="SimSun"/>
          <w:sz w:val="20"/>
          <w:lang w:val="fr-FR"/>
        </w:rPr>
        <w:t xml:space="preserve">Même s’il faut garder en mémoire les objectifs ultimes de réduction statique et dynamique de la pauvreté, l’efficacité du ciblage demeure clairement un facteur important de l’évaluation du rapport coût-efficacité des programmes de travaux publics. </w:t>
      </w:r>
    </w:p>
    <w:p w:rsidR="004B3541" w:rsidRDefault="0050199E">
      <w:pPr>
        <w:keepNext/>
        <w:keepLines/>
        <w:pBdr>
          <w:top w:val="single" w:sz="4" w:space="1" w:color="auto"/>
          <w:left w:val="single" w:sz="4" w:space="4" w:color="auto"/>
          <w:bottom w:val="single" w:sz="4" w:space="5" w:color="auto"/>
          <w:right w:val="single" w:sz="4" w:space="4" w:color="auto"/>
        </w:pBdr>
        <w:spacing w:after="120"/>
        <w:ind w:right="-91"/>
        <w:rPr>
          <w:rFonts w:eastAsia="SimSun"/>
          <w:sz w:val="20"/>
          <w:lang w:val="fr-FR"/>
        </w:rPr>
      </w:pPr>
      <w:r w:rsidRPr="00577EB1">
        <w:rPr>
          <w:rFonts w:eastAsia="SimSun"/>
          <w:b/>
          <w:sz w:val="20"/>
          <w:lang w:val="fr-FR"/>
        </w:rPr>
        <w:t>En général, la performance du ciblage a été satisfaisante par rapport aux autres interventions publiques ciblées</w:t>
      </w:r>
      <w:r w:rsidR="0007340F">
        <w:rPr>
          <w:rFonts w:eastAsia="SimSun"/>
          <w:b/>
          <w:sz w:val="20"/>
          <w:lang w:val="fr-FR"/>
        </w:rPr>
        <w:t xml:space="preserve"> </w:t>
      </w:r>
    </w:p>
    <w:p w:rsidR="004B3541" w:rsidRDefault="0050199E">
      <w:pPr>
        <w:keepNext/>
        <w:keepLines/>
        <w:numPr>
          <w:ilvl w:val="0"/>
          <w:numId w:val="15"/>
        </w:numPr>
        <w:pBdr>
          <w:top w:val="single" w:sz="4" w:space="1" w:color="auto"/>
          <w:left w:val="single" w:sz="4" w:space="4" w:color="auto"/>
          <w:bottom w:val="single" w:sz="4" w:space="5" w:color="auto"/>
          <w:right w:val="single" w:sz="4" w:space="4" w:color="auto"/>
        </w:pBdr>
        <w:tabs>
          <w:tab w:val="clear" w:pos="720"/>
          <w:tab w:val="num" w:pos="284"/>
        </w:tabs>
        <w:spacing w:after="120"/>
        <w:ind w:left="284" w:right="-91" w:hanging="284"/>
        <w:rPr>
          <w:rFonts w:eastAsia="SimSun"/>
          <w:sz w:val="20"/>
          <w:lang w:val="fr-FR"/>
        </w:rPr>
      </w:pPr>
      <w:r w:rsidRPr="00577EB1">
        <w:rPr>
          <w:rFonts w:eastAsia="SimSun"/>
          <w:sz w:val="20"/>
          <w:lang w:val="fr-FR"/>
        </w:rPr>
        <w:t xml:space="preserve">Au Chili, près de 100 % des ménages participants étaient pauvres. </w:t>
      </w:r>
    </w:p>
    <w:p w:rsidR="004B3541" w:rsidRDefault="0050199E">
      <w:pPr>
        <w:keepNext/>
        <w:keepLines/>
        <w:numPr>
          <w:ilvl w:val="0"/>
          <w:numId w:val="15"/>
        </w:numPr>
        <w:pBdr>
          <w:top w:val="single" w:sz="4" w:space="1" w:color="auto"/>
          <w:left w:val="single" w:sz="4" w:space="4" w:color="auto"/>
          <w:bottom w:val="single" w:sz="4" w:space="5" w:color="auto"/>
          <w:right w:val="single" w:sz="4" w:space="4" w:color="auto"/>
        </w:pBdr>
        <w:tabs>
          <w:tab w:val="clear" w:pos="720"/>
          <w:tab w:val="num" w:pos="284"/>
        </w:tabs>
        <w:spacing w:after="120"/>
        <w:ind w:left="284" w:right="-91" w:hanging="284"/>
        <w:rPr>
          <w:rFonts w:eastAsia="SimSun"/>
          <w:sz w:val="20"/>
          <w:lang w:val="fr-FR"/>
        </w:rPr>
      </w:pPr>
      <w:r w:rsidRPr="00577EB1">
        <w:rPr>
          <w:rFonts w:eastAsia="SimSun"/>
          <w:sz w:val="20"/>
          <w:lang w:val="fr-FR"/>
        </w:rPr>
        <w:t xml:space="preserve">Dans le programme </w:t>
      </w:r>
      <w:r w:rsidRPr="00577EB1">
        <w:rPr>
          <w:rFonts w:eastAsia="SimSun"/>
          <w:i/>
          <w:sz w:val="20"/>
          <w:lang w:val="fr-FR"/>
        </w:rPr>
        <w:t>Trabajar</w:t>
      </w:r>
      <w:r w:rsidRPr="00577EB1">
        <w:rPr>
          <w:rFonts w:eastAsia="SimSun"/>
          <w:sz w:val="20"/>
          <w:lang w:val="fr-FR"/>
        </w:rPr>
        <w:t xml:space="preserve"> de l’Argentine, environ 80 % des ménages appartenaient au quintile le plus pauvre et 60 % au décile le plus pauvre. En plus du bas salaire payé par le programme, ce résultat a été atteint en incluant le taux local du niveau de la pauvreté dans la formule de notation pour déterminer les allocations du programme.</w:t>
      </w:r>
    </w:p>
    <w:p w:rsidR="004B3541" w:rsidRDefault="0050199E">
      <w:pPr>
        <w:keepNext/>
        <w:keepLines/>
        <w:numPr>
          <w:ilvl w:val="0"/>
          <w:numId w:val="15"/>
        </w:numPr>
        <w:pBdr>
          <w:top w:val="single" w:sz="4" w:space="1" w:color="auto"/>
          <w:left w:val="single" w:sz="4" w:space="4" w:color="auto"/>
          <w:bottom w:val="single" w:sz="4" w:space="5" w:color="auto"/>
          <w:right w:val="single" w:sz="4" w:space="4" w:color="auto"/>
        </w:pBdr>
        <w:tabs>
          <w:tab w:val="clear" w:pos="720"/>
          <w:tab w:val="num" w:pos="284"/>
        </w:tabs>
        <w:spacing w:after="120"/>
        <w:ind w:left="284" w:right="-91" w:hanging="284"/>
        <w:rPr>
          <w:rFonts w:eastAsia="SimSun"/>
          <w:i/>
          <w:sz w:val="20"/>
          <w:lang w:val="fr-FR"/>
        </w:rPr>
      </w:pPr>
      <w:r w:rsidRPr="00577EB1">
        <w:rPr>
          <w:rFonts w:eastAsia="SimSun"/>
          <w:sz w:val="20"/>
          <w:lang w:val="fr-FR"/>
        </w:rPr>
        <w:t>Différents chercheurs ont trouvé des résultats positifs pour le ciblage du Mécanisme de garantie de l’emploi de Maharashtra (MEGS) en Inde, au moins avant l’augmentation du salaire minimum (donc du salaire du programme) en 1988. Une enquête consacrée aux participants du MEGS entre 1978 et 1979 a révélé que 90 % des travailleurs vivaient en-dessous du seuil de pauvreté, même en incluant dans le calcul les salaires du mécanisme de garantie de l’emploi, à un moment où le nombre de personnes vivant dans la pauvreté calculé de manière similaire était de 49 %. Une enquête effectuée plus tard, en 1985-1986, a révélé que les revenus moyens des ménages participant au MEGS étaient de 20 % inférieurs au seuil de pauvreté. Les résultats positifs du ciblage sont confirmés par d’autres analyses de 1979-1982. Des éléments probants indiquent que la performance du ciblage du mécanisme s’est détériorée quand le niveau des salaires a augmenté substantiellement en 1988.</w:t>
      </w:r>
    </w:p>
    <w:p w:rsidR="004B3541" w:rsidRDefault="0050199E">
      <w:pPr>
        <w:keepNext/>
        <w:keepLines/>
        <w:numPr>
          <w:ilvl w:val="0"/>
          <w:numId w:val="15"/>
        </w:numPr>
        <w:pBdr>
          <w:top w:val="single" w:sz="4" w:space="1" w:color="auto"/>
          <w:left w:val="single" w:sz="4" w:space="4" w:color="auto"/>
          <w:bottom w:val="single" w:sz="4" w:space="5" w:color="auto"/>
          <w:right w:val="single" w:sz="4" w:space="4" w:color="auto"/>
        </w:pBdr>
        <w:tabs>
          <w:tab w:val="clear" w:pos="720"/>
          <w:tab w:val="num" w:pos="284"/>
        </w:tabs>
        <w:spacing w:after="120"/>
        <w:ind w:left="284" w:right="-91" w:hanging="284"/>
        <w:rPr>
          <w:rFonts w:eastAsia="SimSun"/>
          <w:sz w:val="20"/>
          <w:lang w:val="fr-FR"/>
        </w:rPr>
      </w:pPr>
      <w:r w:rsidRPr="00577EB1">
        <w:rPr>
          <w:rFonts w:eastAsia="SimSun"/>
          <w:sz w:val="20"/>
          <w:lang w:val="fr-FR"/>
        </w:rPr>
        <w:t xml:space="preserve">Au Bangladesh, le ciblage du programme Vivres contre travail s’est également révélé satisfaisant, les participants provenant de ménages plus pauvres que la population rurale dans son ensemble, et le nombre total de jours/homme de travail créé était encore plus pro-pauvres. Alors qu’environ 25 % de tous les ménages ruraux avaient des revenus inférieurs à 1 500 taka en 1981-82, les revenus d’environ 60 % des participants au programme étaient inférieurs à ce niveau. De même, environ 70 % des emplois du programme étaient occupés par 25 % de ménages ruraux dont les revenus était inférieurs à ce niveau. </w:t>
      </w:r>
    </w:p>
    <w:p w:rsidR="004B3541" w:rsidRDefault="0050199E">
      <w:pPr>
        <w:keepNext/>
        <w:keepLines/>
        <w:numPr>
          <w:ilvl w:val="0"/>
          <w:numId w:val="15"/>
        </w:numPr>
        <w:pBdr>
          <w:top w:val="single" w:sz="4" w:space="1" w:color="auto"/>
          <w:left w:val="single" w:sz="4" w:space="4" w:color="auto"/>
          <w:bottom w:val="single" w:sz="4" w:space="5" w:color="auto"/>
          <w:right w:val="single" w:sz="4" w:space="4" w:color="auto"/>
        </w:pBdr>
        <w:tabs>
          <w:tab w:val="clear" w:pos="720"/>
          <w:tab w:val="num" w:pos="284"/>
        </w:tabs>
        <w:spacing w:after="120"/>
        <w:ind w:left="284" w:right="-91" w:hanging="284"/>
        <w:rPr>
          <w:rFonts w:eastAsia="SimSun"/>
          <w:sz w:val="20"/>
          <w:lang w:val="fr-FR"/>
        </w:rPr>
      </w:pPr>
      <w:r w:rsidRPr="00577EB1">
        <w:rPr>
          <w:rFonts w:eastAsia="SimSun"/>
          <w:sz w:val="20"/>
          <w:lang w:val="fr-FR"/>
        </w:rPr>
        <w:t>77 % des participants du Fonds d’investissement social (FIS) de la Bolivie provenaient des 40 % les plus pauvres de la population. Les évaluations d’autres FIS au Honduras, au Nicaragua et au Pérou ont aussi révélé l’incidence pro-pauvre des avantages du FIS.</w:t>
      </w:r>
    </w:p>
    <w:p w:rsidR="004B3541" w:rsidRDefault="0050199E">
      <w:pPr>
        <w:keepNext/>
        <w:keepLines/>
        <w:numPr>
          <w:ilvl w:val="0"/>
          <w:numId w:val="15"/>
        </w:numPr>
        <w:pBdr>
          <w:top w:val="single" w:sz="4" w:space="1" w:color="auto"/>
          <w:left w:val="single" w:sz="4" w:space="4" w:color="auto"/>
          <w:bottom w:val="single" w:sz="4" w:space="5" w:color="auto"/>
          <w:right w:val="single" w:sz="4" w:space="4" w:color="auto"/>
        </w:pBdr>
        <w:tabs>
          <w:tab w:val="clear" w:pos="720"/>
          <w:tab w:val="num" w:pos="284"/>
        </w:tabs>
        <w:spacing w:after="120"/>
        <w:ind w:left="284" w:right="-91" w:hanging="284"/>
        <w:rPr>
          <w:rFonts w:eastAsia="SimSun"/>
          <w:sz w:val="20"/>
          <w:lang w:val="fr-FR"/>
        </w:rPr>
      </w:pPr>
      <w:r w:rsidRPr="00577EB1">
        <w:rPr>
          <w:rFonts w:eastAsia="SimSun"/>
          <w:sz w:val="20"/>
          <w:lang w:val="fr-FR"/>
        </w:rPr>
        <w:t>Aux Philippines, la majorité des participants aux travaux publics provenaient de ménages marginalement pauvres et non pauvres plutôt que de ménages très pauvres. Ce résultat était largement dû à la rémunération offerte par le programme qui prévoyait le salaire minimum en espèces plus des avantages en nature, ce qui plaçait la rémunération totale au-dessus du salaire du marché.</w:t>
      </w:r>
    </w:p>
    <w:p w:rsidR="004B3541" w:rsidRDefault="0050199E">
      <w:pPr>
        <w:keepNext/>
        <w:keepLines/>
        <w:numPr>
          <w:ilvl w:val="0"/>
          <w:numId w:val="15"/>
        </w:numPr>
        <w:pBdr>
          <w:top w:val="single" w:sz="4" w:space="1" w:color="auto"/>
          <w:left w:val="single" w:sz="4" w:space="4" w:color="auto"/>
          <w:bottom w:val="single" w:sz="4" w:space="5" w:color="auto"/>
          <w:right w:val="single" w:sz="4" w:space="4" w:color="auto"/>
        </w:pBdr>
        <w:tabs>
          <w:tab w:val="clear" w:pos="720"/>
          <w:tab w:val="num" w:pos="284"/>
        </w:tabs>
        <w:spacing w:after="120"/>
        <w:ind w:left="284" w:right="-91" w:hanging="284"/>
        <w:rPr>
          <w:rFonts w:eastAsia="SimSun"/>
          <w:sz w:val="20"/>
          <w:lang w:val="fr-FR"/>
        </w:rPr>
      </w:pPr>
      <w:r w:rsidRPr="00577EB1">
        <w:rPr>
          <w:rFonts w:eastAsia="SimSun"/>
          <w:sz w:val="20"/>
          <w:lang w:val="fr-FR"/>
        </w:rPr>
        <w:t xml:space="preserve">En Indonésie, l’évaluation des programmes de filets sociaux introduits après la crise asiatique a révélé que les systèmes de travaux publics basés sur l’auto-ciblage avaient plus de chance d’atteindre les ménages qui avaient été victimes de chocs importants que les programmes basés sur des méthodes de ciblage administratif tels que le riz subventionné, les bourses d’études et les subventions de la santé. </w:t>
      </w:r>
    </w:p>
    <w:p w:rsidR="004B3541" w:rsidRDefault="0050199E">
      <w:pPr>
        <w:keepNext/>
        <w:keepLines/>
        <w:numPr>
          <w:ilvl w:val="0"/>
          <w:numId w:val="15"/>
        </w:numPr>
        <w:pBdr>
          <w:top w:val="single" w:sz="4" w:space="1" w:color="auto"/>
          <w:left w:val="single" w:sz="4" w:space="4" w:color="auto"/>
          <w:bottom w:val="single" w:sz="4" w:space="5" w:color="auto"/>
          <w:right w:val="single" w:sz="4" w:space="4" w:color="auto"/>
        </w:pBdr>
        <w:tabs>
          <w:tab w:val="clear" w:pos="720"/>
          <w:tab w:val="num" w:pos="284"/>
        </w:tabs>
        <w:spacing w:after="0"/>
        <w:ind w:left="284" w:right="-91" w:hanging="284"/>
        <w:rPr>
          <w:rFonts w:eastAsia="SimSun"/>
          <w:sz w:val="20"/>
          <w:lang w:val="fr-FR"/>
        </w:rPr>
      </w:pPr>
      <w:r w:rsidRPr="00577EB1">
        <w:rPr>
          <w:rFonts w:eastAsia="SimSun"/>
          <w:sz w:val="20"/>
          <w:lang w:val="fr-FR"/>
        </w:rPr>
        <w:t xml:space="preserve">L’analyse des données </w:t>
      </w:r>
      <w:r w:rsidRPr="00577EB1">
        <w:rPr>
          <w:rFonts w:eastAsia="SimSun"/>
          <w:i/>
          <w:sz w:val="20"/>
          <w:lang w:val="fr-FR"/>
        </w:rPr>
        <w:t>all-India NSS</w:t>
      </w:r>
      <w:r w:rsidRPr="00577EB1">
        <w:rPr>
          <w:rFonts w:eastAsia="SimSun"/>
          <w:sz w:val="20"/>
          <w:lang w:val="fr-FR"/>
        </w:rPr>
        <w:t xml:space="preserve"> sur les programmes de travaux publics pour 1993-1994 indiquent une performance du ciblage pro-pauvre mais aussi des erreurs significatives. La performance du ciblage a aussi été meilleure par rapport au PDS (non-ciblé) et au programme de microfinance (IRDP).</w:t>
      </w:r>
    </w:p>
    <w:p w:rsidR="004B3541" w:rsidRDefault="0050199E">
      <w:pPr>
        <w:keepLines/>
        <w:spacing w:before="120" w:after="480"/>
        <w:ind w:right="-91"/>
        <w:rPr>
          <w:rFonts w:eastAsia="SimSun"/>
          <w:sz w:val="20"/>
          <w:szCs w:val="20"/>
          <w:lang w:val="fr-FR"/>
        </w:rPr>
      </w:pPr>
      <w:r w:rsidRPr="00577EB1">
        <w:rPr>
          <w:rFonts w:eastAsia="SimSun"/>
          <w:i/>
          <w:sz w:val="20"/>
          <w:szCs w:val="20"/>
          <w:lang w:val="fr-FR"/>
        </w:rPr>
        <w:t>Sources:</w:t>
      </w:r>
      <w:r w:rsidRPr="00577EB1">
        <w:rPr>
          <w:rFonts w:eastAsia="SimSun"/>
          <w:sz w:val="20"/>
          <w:szCs w:val="20"/>
          <w:lang w:val="fr-FR"/>
        </w:rPr>
        <w:t xml:space="preserve"> K. Subbarao, 2003</w:t>
      </w:r>
      <w:r w:rsidR="0007340F">
        <w:rPr>
          <w:rFonts w:eastAsia="SimSun"/>
          <w:sz w:val="20"/>
          <w:szCs w:val="20"/>
          <w:lang w:val="fr-FR"/>
        </w:rPr>
        <w:t xml:space="preserve"> </w:t>
      </w:r>
      <w:r w:rsidRPr="00577EB1">
        <w:rPr>
          <w:rFonts w:eastAsia="SimSun"/>
          <w:sz w:val="20"/>
          <w:szCs w:val="20"/>
          <w:lang w:val="fr-FR"/>
        </w:rPr>
        <w:t>C. del Ninno, K. Subbarao et A. Milazzo, 2007.</w:t>
      </w:r>
    </w:p>
    <w:p w:rsidR="0050199E" w:rsidRPr="00577EB1" w:rsidRDefault="0050199E" w:rsidP="001C657B">
      <w:pPr>
        <w:pStyle w:val="Heading2"/>
      </w:pPr>
      <w:bookmarkStart w:id="218" w:name="_Toc261967417"/>
      <w:bookmarkStart w:id="219" w:name="_Toc262169639"/>
      <w:bookmarkStart w:id="220" w:name="_Toc264748738"/>
      <w:r w:rsidRPr="00577EB1">
        <w:t>Exemptions des frais de santé</w:t>
      </w:r>
      <w:bookmarkEnd w:id="218"/>
      <w:bookmarkEnd w:id="219"/>
      <w:bookmarkEnd w:id="220"/>
    </w:p>
    <w:p w:rsidR="0050199E" w:rsidRPr="00577EB1" w:rsidRDefault="0050199E" w:rsidP="00E52A30">
      <w:pPr>
        <w:widowControl w:val="0"/>
        <w:numPr>
          <w:ilvl w:val="0"/>
          <w:numId w:val="2"/>
        </w:numPr>
        <w:ind w:left="0" w:right="-90" w:firstLine="0"/>
        <w:rPr>
          <w:rFonts w:eastAsia="SimSun"/>
          <w:lang w:val="fr-FR"/>
        </w:rPr>
      </w:pPr>
      <w:r w:rsidRPr="00577EB1">
        <w:rPr>
          <w:rFonts w:eastAsia="SimSun"/>
          <w:b/>
          <w:lang w:val="fr-FR"/>
        </w:rPr>
        <w:t xml:space="preserve">Plusieurs initiatives proposent de fournir des soins de santé gratuits aux personnes pauvres et vulnérables. </w:t>
      </w:r>
      <w:r w:rsidRPr="00577EB1">
        <w:rPr>
          <w:rFonts w:eastAsia="SimSun"/>
          <w:bCs/>
          <w:lang w:val="fr-FR"/>
        </w:rPr>
        <w:t xml:space="preserve">Le Plan national de développement sanitaire </w:t>
      </w:r>
      <w:r w:rsidRPr="00577EB1">
        <w:rPr>
          <w:rFonts w:eastAsia="SimSun"/>
          <w:lang w:val="fr-FR"/>
        </w:rPr>
        <w:t>(PNDS 2001-2010) comprend des activités spécifiques pour</w:t>
      </w:r>
      <w:r w:rsidR="0007340F">
        <w:rPr>
          <w:rFonts w:eastAsia="SimSun"/>
          <w:lang w:val="fr-FR"/>
        </w:rPr>
        <w:t xml:space="preserve"> </w:t>
      </w:r>
      <w:r w:rsidRPr="00577EB1">
        <w:rPr>
          <w:rFonts w:eastAsia="SimSun"/>
          <w:lang w:val="fr-FR"/>
        </w:rPr>
        <w:t xml:space="preserve">i) promouvoir les soins préventifs et curatifs pour les groupes vulnérables (enfants, femmes, jeunes et personnes âgées et les personnes vivant avec le VIH); et ii) assurer l’accès des plus pauvres aux services de santé. Comme mentionné au Chapitre III, un certain nombre de mesures ont été adoptées dans le </w:t>
      </w:r>
      <w:r w:rsidRPr="00577EB1">
        <w:rPr>
          <w:rFonts w:eastAsia="SimSun"/>
          <w:lang w:val="fr-FR"/>
        </w:rPr>
        <w:lastRenderedPageBreak/>
        <w:t>but de supprimer ou de subventionner les frais associés à des soins médicaux spécifiques, en particulier, ceux destinés aux femmes et aux jeunes enfants. Ces subventions universelles de la santé ont été exclues de la présente étude. Cette dernière se focalise sur la subvention des soins de santé visant spécifiquement les indigents.</w:t>
      </w:r>
    </w:p>
    <w:p w:rsidR="0050199E" w:rsidRPr="00577EB1" w:rsidRDefault="0050199E" w:rsidP="00E52A30">
      <w:pPr>
        <w:widowControl w:val="0"/>
        <w:numPr>
          <w:ilvl w:val="0"/>
          <w:numId w:val="2"/>
        </w:numPr>
        <w:ind w:left="0" w:right="-90" w:firstLine="0"/>
        <w:rPr>
          <w:rFonts w:eastAsia="SimSun"/>
          <w:lang w:val="fr-FR"/>
        </w:rPr>
      </w:pPr>
      <w:r w:rsidRPr="00577EB1">
        <w:rPr>
          <w:rFonts w:eastAsia="SimSun"/>
          <w:b/>
          <w:lang w:val="fr-FR"/>
        </w:rPr>
        <w:t>Les mesures destinées à fournir gratuitement des soins de santé spécifiquement aux indigents ne sont pas appliquées à cause de l’absence de mécanismes d’identification de ces derniers.</w:t>
      </w:r>
      <w:r w:rsidRPr="00577EB1">
        <w:rPr>
          <w:rFonts w:eastAsia="SimSun"/>
          <w:bCs/>
          <w:lang w:val="fr-FR"/>
        </w:rPr>
        <w:t xml:space="preserve"> Le </w:t>
      </w:r>
      <w:r w:rsidRPr="00577EB1">
        <w:rPr>
          <w:rFonts w:eastAsia="SimSun"/>
          <w:lang w:val="fr-FR"/>
        </w:rPr>
        <w:t xml:space="preserve">Kiti n°An-VIII-0202/FP/SAN- du 8 février 1991 stipule que les personnes indigentes ont droit à des services de santé gratuits. Cependant, en pratique, 20 ans plus tard, les mécanismes nationaux </w:t>
      </w:r>
      <w:r w:rsidR="00E337C4">
        <w:rPr>
          <w:rFonts w:eastAsia="SimSun"/>
          <w:lang w:val="fr-FR"/>
        </w:rPr>
        <w:t>rest</w:t>
      </w:r>
      <w:r w:rsidR="00E337C4" w:rsidRPr="00577EB1">
        <w:rPr>
          <w:rFonts w:eastAsia="SimSun"/>
          <w:lang w:val="fr-FR"/>
        </w:rPr>
        <w:t xml:space="preserve">ent </w:t>
      </w:r>
      <w:r w:rsidRPr="00577EB1">
        <w:rPr>
          <w:rFonts w:eastAsia="SimSun"/>
          <w:lang w:val="fr-FR"/>
        </w:rPr>
        <w:t xml:space="preserve">encore </w:t>
      </w:r>
      <w:r w:rsidR="00E337C4">
        <w:rPr>
          <w:rFonts w:eastAsia="SimSun"/>
          <w:lang w:val="fr-FR"/>
        </w:rPr>
        <w:t>à</w:t>
      </w:r>
      <w:r w:rsidR="00E337C4" w:rsidRPr="00577EB1">
        <w:rPr>
          <w:rFonts w:eastAsia="SimSun"/>
          <w:lang w:val="fr-FR"/>
        </w:rPr>
        <w:t xml:space="preserve"> </w:t>
      </w:r>
      <w:r w:rsidRPr="00577EB1">
        <w:rPr>
          <w:rFonts w:eastAsia="SimSun"/>
          <w:lang w:val="fr-FR"/>
        </w:rPr>
        <w:t>clarifi</w:t>
      </w:r>
      <w:r w:rsidR="00E337C4">
        <w:rPr>
          <w:rFonts w:eastAsia="SimSun"/>
          <w:lang w:val="fr-FR"/>
        </w:rPr>
        <w:t>er</w:t>
      </w:r>
      <w:r w:rsidRPr="00577EB1">
        <w:rPr>
          <w:rFonts w:eastAsia="SimSun"/>
          <w:lang w:val="fr-FR"/>
        </w:rPr>
        <w:t xml:space="preserve"> pour que la mesure </w:t>
      </w:r>
      <w:r w:rsidR="00E337C4">
        <w:rPr>
          <w:rFonts w:eastAsia="SimSun"/>
          <w:lang w:val="fr-FR"/>
        </w:rPr>
        <w:t>devienne</w:t>
      </w:r>
      <w:r w:rsidR="00E337C4" w:rsidRPr="00577EB1">
        <w:rPr>
          <w:rFonts w:eastAsia="SimSun"/>
          <w:lang w:val="fr-FR"/>
        </w:rPr>
        <w:t xml:space="preserve"> </w:t>
      </w:r>
      <w:r w:rsidRPr="00577EB1">
        <w:rPr>
          <w:rFonts w:eastAsia="SimSun"/>
          <w:lang w:val="fr-FR"/>
        </w:rPr>
        <w:t>effective. La politique de subvention SONU de 2009 donne aux femmes indigentes le droit à des services de santé gratuits, mais elle n’a pas réussi à déterminer des critères de qualification si bien que ces femmes n’en ont toujours pas bénéficié [AI 2009].</w:t>
      </w:r>
      <w:r w:rsidRPr="00577EB1">
        <w:rPr>
          <w:rFonts w:eastAsia="SimSun"/>
          <w:sz w:val="20"/>
          <w:vertAlign w:val="superscript"/>
          <w:lang w:val="fr-FR"/>
        </w:rPr>
        <w:footnoteReference w:id="48"/>
      </w:r>
      <w:r w:rsidRPr="00577EB1">
        <w:rPr>
          <w:rFonts w:eastAsia="SimSun"/>
          <w:lang w:val="fr-FR"/>
        </w:rPr>
        <w:t xml:space="preserve"> Trois questions clés demeurent</w:t>
      </w:r>
      <w:r w:rsidR="00E337C4">
        <w:rPr>
          <w:rFonts w:eastAsia="SimSun"/>
          <w:lang w:val="fr-FR"/>
        </w:rPr>
        <w:t xml:space="preserve"> pour la mise en place d’exemptions de frais de santé :</w:t>
      </w:r>
      <w:r w:rsidR="0007340F">
        <w:rPr>
          <w:rFonts w:eastAsia="SimSun"/>
          <w:lang w:val="fr-FR"/>
        </w:rPr>
        <w:t xml:space="preserve"> </w:t>
      </w:r>
      <w:r w:rsidRPr="00577EB1">
        <w:rPr>
          <w:rFonts w:eastAsia="SimSun"/>
          <w:lang w:val="fr-FR"/>
        </w:rPr>
        <w:t>i) qui est indigent (ou pauvre)</w:t>
      </w:r>
      <w:r w:rsidR="00E337C4">
        <w:rPr>
          <w:rFonts w:eastAsia="SimSun"/>
          <w:lang w:val="fr-FR"/>
        </w:rPr>
        <w:t> ;</w:t>
      </w:r>
      <w:r w:rsidR="0007340F">
        <w:rPr>
          <w:rFonts w:eastAsia="SimSun"/>
          <w:lang w:val="fr-FR"/>
        </w:rPr>
        <w:t xml:space="preserve"> </w:t>
      </w:r>
      <w:r w:rsidRPr="00577EB1">
        <w:rPr>
          <w:rFonts w:eastAsia="SimSun"/>
          <w:lang w:val="fr-FR"/>
        </w:rPr>
        <w:t>ii) qui décide de ce statut</w:t>
      </w:r>
      <w:r w:rsidR="00E337C4">
        <w:rPr>
          <w:rFonts w:eastAsia="SimSun"/>
          <w:lang w:val="fr-FR"/>
        </w:rPr>
        <w:t> ; et</w:t>
      </w:r>
      <w:r w:rsidR="0007340F">
        <w:rPr>
          <w:rFonts w:eastAsia="SimSun"/>
          <w:lang w:val="fr-FR"/>
        </w:rPr>
        <w:t xml:space="preserve"> </w:t>
      </w:r>
      <w:r w:rsidRPr="00577EB1">
        <w:rPr>
          <w:rFonts w:eastAsia="SimSun"/>
          <w:lang w:val="fr-FR"/>
        </w:rPr>
        <w:t>iii) qui paiera pour cette exemption des frais de santé</w:t>
      </w:r>
      <w:r w:rsidR="00E337C4">
        <w:rPr>
          <w:rFonts w:eastAsia="SimSun"/>
          <w:lang w:val="fr-FR"/>
        </w:rPr>
        <w:t>.</w:t>
      </w:r>
      <w:r w:rsidR="0007340F">
        <w:rPr>
          <w:rFonts w:eastAsia="SimSun"/>
          <w:lang w:val="fr-FR"/>
        </w:rPr>
        <w:t xml:space="preserve"> </w:t>
      </w:r>
      <w:r w:rsidRPr="00577EB1">
        <w:rPr>
          <w:rFonts w:eastAsia="SimSun"/>
          <w:lang w:val="fr-FR"/>
        </w:rPr>
        <w:t>En 2007, un comit</w:t>
      </w:r>
      <w:r w:rsidR="00E337C4">
        <w:rPr>
          <w:rFonts w:eastAsia="SimSun"/>
          <w:lang w:val="fr-FR"/>
        </w:rPr>
        <w:t>é</w:t>
      </w:r>
      <w:r w:rsidRPr="00577EB1">
        <w:rPr>
          <w:rFonts w:eastAsia="SimSun"/>
          <w:lang w:val="fr-FR"/>
        </w:rPr>
        <w:t xml:space="preserve"> </w:t>
      </w:r>
      <w:r w:rsidR="00E337C4">
        <w:rPr>
          <w:rFonts w:eastAsia="SimSun"/>
          <w:lang w:val="fr-FR"/>
        </w:rPr>
        <w:t>inter</w:t>
      </w:r>
      <w:r w:rsidRPr="00577EB1">
        <w:rPr>
          <w:rFonts w:eastAsia="SimSun"/>
          <w:lang w:val="fr-FR"/>
        </w:rPr>
        <w:t xml:space="preserve">ministériel sur les soins aux indigents a été établi sous la supervision du MdS pour examiner ces questions, mais il n’a jamais été très actif. Sa réactivation figure à l’agenda du MdS pour 2010. Vers la fin 2009, une directive du MdS a appelé les centres de santé à effectivement utiliser les 200 000 francs CFA octroyés aux soins des indigents. Cependant, le problème de la définition des critères n’ayant toujours pas été résolu, la directive ne peut pas être appliquée. Quelques initiatives intéressantes </w:t>
      </w:r>
      <w:r w:rsidR="00E337C4">
        <w:rPr>
          <w:rFonts w:eastAsia="SimSun"/>
          <w:lang w:val="fr-FR"/>
        </w:rPr>
        <w:t xml:space="preserve">pour l’identification des indigents (pauvres) </w:t>
      </w:r>
      <w:r w:rsidRPr="00577EB1">
        <w:rPr>
          <w:rFonts w:eastAsia="SimSun"/>
          <w:lang w:val="fr-FR"/>
        </w:rPr>
        <w:t>sont néanmoins en cours</w:t>
      </w:r>
      <w:r w:rsidR="00945AC7">
        <w:rPr>
          <w:rFonts w:eastAsia="SimSun"/>
          <w:lang w:val="fr-FR"/>
        </w:rPr>
        <w:t>, en particulier au niveau de : l’</w:t>
      </w:r>
      <w:r w:rsidR="00EB214A" w:rsidRPr="00EB214A">
        <w:rPr>
          <w:lang w:val="fr-FR"/>
        </w:rPr>
        <w:t>Université de Montréal (</w:t>
      </w:r>
      <w:r w:rsidR="00EB214A" w:rsidRPr="00EB214A">
        <w:rPr>
          <w:i/>
          <w:lang w:val="fr-FR"/>
        </w:rPr>
        <w:t>Centre de Recherche du Centre Hospitalier de l’Université de Montréal</w:t>
      </w:r>
      <w:r w:rsidR="00EB214A" w:rsidRPr="00EB214A">
        <w:rPr>
          <w:lang w:val="fr-FR"/>
        </w:rPr>
        <w:t xml:space="preserve"> ou CRCHUM) en collaboration avec l’IRSS/CNRST (</w:t>
      </w:r>
      <w:r w:rsidR="00EB214A" w:rsidRPr="00EB214A">
        <w:rPr>
          <w:i/>
          <w:szCs w:val="20"/>
          <w:lang w:val="fr-FR"/>
        </w:rPr>
        <w:t>Institut de Recherche en Sciences de la Santé du CNRST</w:t>
      </w:r>
      <w:r w:rsidR="00EB214A" w:rsidRPr="00EB214A">
        <w:rPr>
          <w:lang w:val="fr-FR"/>
        </w:rPr>
        <w:t>)</w:t>
      </w:r>
      <w:r w:rsidR="003C2E2F" w:rsidRPr="003C2E2F">
        <w:rPr>
          <w:rFonts w:eastAsia="SimSun"/>
          <w:lang w:val="fr-FR"/>
        </w:rPr>
        <w:t xml:space="preserve"> </w:t>
      </w:r>
      <w:r w:rsidR="003C2E2F" w:rsidRPr="00577EB1">
        <w:rPr>
          <w:rFonts w:eastAsia="SimSun"/>
          <w:lang w:val="fr-FR"/>
        </w:rPr>
        <w:t>(Encadré 11)</w:t>
      </w:r>
      <w:r w:rsidR="00EB214A" w:rsidRPr="00EB214A">
        <w:rPr>
          <w:lang w:val="fr-FR"/>
        </w:rPr>
        <w:t>,</w:t>
      </w:r>
      <w:r w:rsidRPr="00577EB1">
        <w:rPr>
          <w:rFonts w:eastAsia="SimSun"/>
          <w:lang w:val="fr-FR"/>
        </w:rPr>
        <w:t xml:space="preserve"> et du Centre de recherche sur la santé de Nouna</w:t>
      </w:r>
      <w:r w:rsidR="00945AC7">
        <w:rPr>
          <w:rFonts w:eastAsia="SimSun"/>
          <w:lang w:val="fr-FR"/>
        </w:rPr>
        <w:t>,</w:t>
      </w:r>
      <w:r w:rsidRPr="00577EB1">
        <w:rPr>
          <w:rFonts w:eastAsia="SimSun"/>
          <w:lang w:val="fr-FR"/>
        </w:rPr>
        <w:t xml:space="preserve"> en zones rurales</w:t>
      </w:r>
      <w:r w:rsidR="00945AC7">
        <w:rPr>
          <w:rFonts w:eastAsia="SimSun"/>
          <w:lang w:val="fr-FR"/>
        </w:rPr>
        <w:t> ;</w:t>
      </w:r>
      <w:r w:rsidRPr="00577EB1">
        <w:rPr>
          <w:rFonts w:eastAsia="SimSun"/>
          <w:lang w:val="fr-FR"/>
        </w:rPr>
        <w:t xml:space="preserve"> </w:t>
      </w:r>
      <w:r w:rsidR="00945AC7">
        <w:rPr>
          <w:rFonts w:eastAsia="SimSun"/>
          <w:lang w:val="fr-FR"/>
        </w:rPr>
        <w:t>ainsi que du</w:t>
      </w:r>
      <w:r w:rsidRPr="00577EB1">
        <w:rPr>
          <w:rFonts w:eastAsia="SimSun"/>
          <w:lang w:val="fr-FR"/>
        </w:rPr>
        <w:t xml:space="preserve"> PAM et de l’IRD en zones urbaines (Encadré 6). Les recherches de l’</w:t>
      </w:r>
      <w:r w:rsidR="00945AC7">
        <w:rPr>
          <w:rFonts w:eastAsia="SimSun"/>
          <w:lang w:val="fr-FR"/>
        </w:rPr>
        <w:t>Université de Montréal</w:t>
      </w:r>
      <w:r w:rsidRPr="00577EB1">
        <w:rPr>
          <w:rFonts w:eastAsia="SimSun"/>
          <w:lang w:val="fr-FR"/>
        </w:rPr>
        <w:t xml:space="preserve"> ont apporté quelques précieux éléments sur certains points critiques</w:t>
      </w:r>
      <w:r w:rsidR="0007340F">
        <w:rPr>
          <w:rFonts w:eastAsia="SimSun"/>
          <w:lang w:val="fr-FR"/>
        </w:rPr>
        <w:t xml:space="preserve"> </w:t>
      </w:r>
      <w:r w:rsidRPr="00577EB1">
        <w:rPr>
          <w:rFonts w:eastAsia="SimSun"/>
          <w:lang w:val="fr-FR"/>
        </w:rPr>
        <w:t>des méthodes possibles d’identification des indigents et des sources éventuelles de financement d’un tel système. Ces résultats de la recherche ont aussi montré que les systèmes d’exemption des frais pour les indigents peuvent effectivement appuyer le renforcement des piliers de l’Initiative de Bamako</w:t>
      </w:r>
      <w:r w:rsidR="0007340F">
        <w:rPr>
          <w:rFonts w:eastAsia="SimSun"/>
          <w:lang w:val="fr-FR"/>
        </w:rPr>
        <w:t xml:space="preserve"> </w:t>
      </w:r>
      <w:r w:rsidRPr="00577EB1">
        <w:rPr>
          <w:rFonts w:eastAsia="SimSun"/>
          <w:lang w:val="fr-FR"/>
        </w:rPr>
        <w:t>recouvrement des coûts, participation communautaire et équité.</w:t>
      </w:r>
    </w:p>
    <w:p w:rsidR="0050199E" w:rsidRPr="00577EB1" w:rsidRDefault="005738FE" w:rsidP="002E7154">
      <w:pPr>
        <w:pStyle w:val="Heading9"/>
        <w:tabs>
          <w:tab w:val="clear" w:pos="709"/>
        </w:tabs>
        <w:rPr>
          <w:color w:val="000000"/>
        </w:rPr>
      </w:pPr>
      <w:bookmarkStart w:id="221" w:name="_Toc262170083"/>
      <w:bookmarkStart w:id="222" w:name="_Toc269723984"/>
      <w:bookmarkStart w:id="223" w:name="_Toc269724024"/>
      <w:bookmarkStart w:id="224" w:name="_Toc269724130"/>
      <w:bookmarkStart w:id="225" w:name="_Toc284613571"/>
      <w:r w:rsidRPr="005738FE">
        <w:lastRenderedPageBreak/>
        <w:t xml:space="preserve">Encadré </w:t>
      </w:r>
      <w:r w:rsidR="00725419">
        <w:fldChar w:fldCharType="begin"/>
      </w:r>
      <w:r w:rsidRPr="005738FE">
        <w:instrText xml:space="preserve"> SEQ Encadré \* ARABIC </w:instrText>
      </w:r>
      <w:r w:rsidR="00725419">
        <w:fldChar w:fldCharType="separate"/>
      </w:r>
      <w:r w:rsidR="00EF56B2">
        <w:rPr>
          <w:noProof/>
        </w:rPr>
        <w:t>11</w:t>
      </w:r>
      <w:r w:rsidR="00725419">
        <w:fldChar w:fldCharType="end"/>
      </w:r>
      <w:r w:rsidR="003203FB">
        <w:t> :</w:t>
      </w:r>
      <w:r w:rsidR="0007340F">
        <w:t xml:space="preserve"> </w:t>
      </w:r>
      <w:r w:rsidR="0050199E" w:rsidRPr="00577EB1">
        <w:t>Une approche de ciblage communautaire pour dispenser les plus démunis des frais de santé au Burkina</w:t>
      </w:r>
      <w:r w:rsidR="0050199E" w:rsidRPr="00577EB1">
        <w:rPr>
          <w:color w:val="000000"/>
        </w:rPr>
        <w:t xml:space="preserve"> Faso</w:t>
      </w:r>
      <w:bookmarkEnd w:id="221"/>
      <w:bookmarkEnd w:id="222"/>
      <w:bookmarkEnd w:id="223"/>
      <w:bookmarkEnd w:id="224"/>
      <w:bookmarkEnd w:id="2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929"/>
      </w:tblGrid>
      <w:tr w:rsidR="0050199E" w:rsidRPr="008E7B13" w:rsidTr="0050199E">
        <w:tc>
          <w:tcPr>
            <w:tcW w:w="8929" w:type="dxa"/>
          </w:tcPr>
          <w:p w:rsidR="0050199E" w:rsidRPr="002E7154" w:rsidRDefault="0050199E" w:rsidP="002E7154">
            <w:pPr>
              <w:keepNext/>
              <w:keepLines/>
              <w:autoSpaceDE w:val="0"/>
              <w:autoSpaceDN w:val="0"/>
              <w:adjustRightInd w:val="0"/>
              <w:spacing w:before="120" w:after="120"/>
              <w:ind w:right="68"/>
              <w:rPr>
                <w:rFonts w:eastAsia="SimSun"/>
                <w:sz w:val="20"/>
                <w:szCs w:val="20"/>
                <w:lang w:val="fr-FR" w:eastAsia="fr-FR"/>
              </w:rPr>
            </w:pPr>
            <w:r w:rsidRPr="00577EB1">
              <w:rPr>
                <w:rFonts w:eastAsia="SimSun"/>
                <w:sz w:val="20"/>
                <w:szCs w:val="20"/>
                <w:lang w:val="fr-FR" w:eastAsia="fr-FR"/>
              </w:rPr>
              <w:t xml:space="preserve">Pour éviter le risque d’exclusion engendré par le </w:t>
            </w:r>
            <w:r w:rsidRPr="002E7154">
              <w:rPr>
                <w:rFonts w:eastAsia="SimSun"/>
                <w:sz w:val="20"/>
                <w:szCs w:val="20"/>
                <w:lang w:val="fr-FR" w:eastAsia="fr-FR"/>
              </w:rPr>
              <w:t>paiement par l’usager</w:t>
            </w:r>
            <w:r w:rsidRPr="00577EB1">
              <w:rPr>
                <w:rFonts w:eastAsia="SimSun"/>
                <w:sz w:val="20"/>
                <w:szCs w:val="20"/>
                <w:lang w:val="fr-FR" w:eastAsia="fr-FR"/>
              </w:rPr>
              <w:t>, les responsables de la mise en œuvre de l’Initiative de Bamako (IB) avaient été appelés à organiser des régimes d’exemption pour les indigents. Ces régimes d’exemption n’ont cependant jamais été mis en place en Afrique en raison des difficultés à identifier les indigents. L’</w:t>
            </w:r>
            <w:r w:rsidR="00945AC7">
              <w:rPr>
                <w:rFonts w:eastAsia="SimSun"/>
                <w:sz w:val="20"/>
                <w:szCs w:val="20"/>
                <w:lang w:val="fr-FR" w:eastAsia="fr-FR"/>
              </w:rPr>
              <w:t xml:space="preserve">Université de Montréal </w:t>
            </w:r>
            <w:r w:rsidRPr="00577EB1">
              <w:rPr>
                <w:rFonts w:eastAsia="SimSun"/>
                <w:sz w:val="20"/>
                <w:szCs w:val="20"/>
                <w:lang w:val="fr-FR" w:eastAsia="fr-FR"/>
              </w:rPr>
              <w:t xml:space="preserve">a réalisé </w:t>
            </w:r>
            <w:r w:rsidR="00945AC7">
              <w:rPr>
                <w:rFonts w:eastAsia="SimSun"/>
                <w:sz w:val="20"/>
                <w:szCs w:val="20"/>
                <w:lang w:val="fr-FR" w:eastAsia="fr-FR"/>
              </w:rPr>
              <w:t>en collaboration avec l’</w:t>
            </w:r>
            <w:r w:rsidR="00945AC7" w:rsidRPr="00577EB1">
              <w:rPr>
                <w:rFonts w:eastAsia="SimSun"/>
                <w:sz w:val="20"/>
                <w:szCs w:val="20"/>
                <w:lang w:val="fr-FR" w:eastAsia="fr-FR"/>
              </w:rPr>
              <w:t xml:space="preserve">IRSS/CNRST </w:t>
            </w:r>
            <w:r w:rsidRPr="00577EB1">
              <w:rPr>
                <w:rFonts w:eastAsia="SimSun"/>
                <w:sz w:val="20"/>
                <w:szCs w:val="20"/>
                <w:lang w:val="fr-FR" w:eastAsia="fr-FR"/>
              </w:rPr>
              <w:t xml:space="preserve">une recherche-action pour tester la faisabilité d’un processus communautaire de sélection des bénéficiaires de l’exemption du </w:t>
            </w:r>
            <w:r w:rsidRPr="002E7154">
              <w:rPr>
                <w:rFonts w:eastAsia="SimSun"/>
                <w:sz w:val="20"/>
                <w:szCs w:val="20"/>
                <w:lang w:val="fr-FR" w:eastAsia="fr-FR"/>
              </w:rPr>
              <w:t>paiement par l’usager</w:t>
            </w:r>
            <w:r w:rsidRPr="00577EB1">
              <w:rPr>
                <w:rFonts w:eastAsia="SimSun"/>
                <w:sz w:val="20"/>
                <w:szCs w:val="20"/>
                <w:lang w:val="fr-FR" w:eastAsia="fr-FR"/>
              </w:rPr>
              <w:t>.</w:t>
            </w:r>
          </w:p>
          <w:p w:rsidR="0050199E" w:rsidRPr="00577EB1" w:rsidRDefault="0050199E" w:rsidP="002E7154">
            <w:pPr>
              <w:keepNext/>
              <w:keepLines/>
              <w:autoSpaceDE w:val="0"/>
              <w:autoSpaceDN w:val="0"/>
              <w:adjustRightInd w:val="0"/>
              <w:spacing w:after="120"/>
              <w:ind w:right="68"/>
              <w:rPr>
                <w:rFonts w:eastAsia="SimSun"/>
                <w:sz w:val="20"/>
                <w:szCs w:val="20"/>
                <w:lang w:val="fr-FR" w:eastAsia="fr-FR"/>
              </w:rPr>
            </w:pPr>
            <w:r w:rsidRPr="00577EB1">
              <w:rPr>
                <w:rFonts w:eastAsia="SimSun"/>
                <w:sz w:val="20"/>
                <w:szCs w:val="20"/>
                <w:lang w:val="fr-FR" w:eastAsia="fr-FR"/>
              </w:rPr>
              <w:t>Trois mécanismes ont été examinés :</w:t>
            </w:r>
          </w:p>
          <w:p w:rsidR="0050199E" w:rsidRPr="00577EB1" w:rsidRDefault="0050199E" w:rsidP="002E7154">
            <w:pPr>
              <w:keepNext/>
              <w:keepLines/>
              <w:numPr>
                <w:ilvl w:val="0"/>
                <w:numId w:val="15"/>
              </w:numPr>
              <w:tabs>
                <w:tab w:val="clear" w:pos="720"/>
                <w:tab w:val="num" w:pos="284"/>
              </w:tabs>
              <w:spacing w:after="120"/>
              <w:ind w:left="284" w:right="68" w:hanging="284"/>
              <w:rPr>
                <w:rFonts w:eastAsia="SimSun"/>
                <w:sz w:val="20"/>
                <w:szCs w:val="20"/>
                <w:lang w:val="fr-FR"/>
              </w:rPr>
            </w:pPr>
            <w:r w:rsidRPr="00577EB1">
              <w:rPr>
                <w:rFonts w:eastAsia="SimSun"/>
                <w:sz w:val="20"/>
                <w:szCs w:val="20"/>
                <w:lang w:val="fr-FR"/>
              </w:rPr>
              <w:t>Intervention A</w:t>
            </w:r>
            <w:r w:rsidR="0007340F">
              <w:rPr>
                <w:rFonts w:eastAsia="SimSun"/>
                <w:sz w:val="20"/>
                <w:szCs w:val="20"/>
                <w:lang w:val="fr-FR"/>
              </w:rPr>
              <w:t xml:space="preserve"> </w:t>
            </w:r>
            <w:r w:rsidR="002E7154">
              <w:rPr>
                <w:rFonts w:eastAsia="SimSun"/>
                <w:sz w:val="20"/>
                <w:szCs w:val="20"/>
                <w:lang w:val="fr-FR"/>
              </w:rPr>
              <w:t xml:space="preserve">– </w:t>
            </w:r>
            <w:r w:rsidRPr="00577EB1">
              <w:rPr>
                <w:rFonts w:eastAsia="SimSun"/>
                <w:sz w:val="20"/>
                <w:szCs w:val="20"/>
                <w:lang w:val="fr-FR"/>
              </w:rPr>
              <w:t xml:space="preserve">En 2005, une donation exceptionnelle de médicaments (achetés avec des fonds PPTE) a été remise aux centres de santé pour distribution aux indigents. Un total de 2 700 personnes en aurait bénéficié dans la zone d’intervention. Une liste de seulement 297 indigents a pu être trouvée dans les 11 CSPS et seuls 48 d’entre eux ont été retrouvés en 2007 pour vérifier leur statut de pauvreté. La population n’avait pas été informée de la mesure. Aucun critère n’avait été fixé. L’action n’était pas soutenable. </w:t>
            </w:r>
          </w:p>
          <w:p w:rsidR="0050199E" w:rsidRPr="00577EB1" w:rsidRDefault="0050199E" w:rsidP="002E7154">
            <w:pPr>
              <w:keepNext/>
              <w:keepLines/>
              <w:numPr>
                <w:ilvl w:val="0"/>
                <w:numId w:val="15"/>
              </w:numPr>
              <w:tabs>
                <w:tab w:val="clear" w:pos="720"/>
                <w:tab w:val="num" w:pos="284"/>
              </w:tabs>
              <w:spacing w:after="120"/>
              <w:ind w:left="284" w:right="68" w:hanging="284"/>
              <w:rPr>
                <w:rFonts w:eastAsia="SimSun"/>
                <w:sz w:val="20"/>
                <w:szCs w:val="20"/>
                <w:lang w:val="fr-FR"/>
              </w:rPr>
            </w:pPr>
            <w:r w:rsidRPr="00577EB1">
              <w:rPr>
                <w:rFonts w:eastAsia="SimSun"/>
                <w:sz w:val="20"/>
                <w:szCs w:val="20"/>
                <w:lang w:val="fr-FR"/>
              </w:rPr>
              <w:t>Intervention B</w:t>
            </w:r>
            <w:r w:rsidR="0007340F">
              <w:rPr>
                <w:rFonts w:eastAsia="SimSun"/>
                <w:sz w:val="20"/>
                <w:szCs w:val="20"/>
                <w:lang w:val="fr-FR"/>
              </w:rPr>
              <w:t xml:space="preserve"> </w:t>
            </w:r>
            <w:r w:rsidR="002E7154">
              <w:rPr>
                <w:rFonts w:eastAsia="SimSun"/>
                <w:sz w:val="20"/>
                <w:szCs w:val="20"/>
                <w:lang w:val="fr-FR"/>
              </w:rPr>
              <w:t xml:space="preserve">– </w:t>
            </w:r>
            <w:r w:rsidRPr="00577EB1">
              <w:rPr>
                <w:rFonts w:eastAsia="SimSun"/>
                <w:sz w:val="20"/>
                <w:szCs w:val="20"/>
                <w:lang w:val="fr-FR"/>
              </w:rPr>
              <w:t xml:space="preserve">L’étude a été effectuée dans 10 centres de santé primaire (CSPS) du Burkina Faso. Les comités de sélection villageois (CSV) ont préparé des listes des personnes les plus pauvres, qui ont ensuite été validées par les chefs de village, les maires et les comités de la santé (COGES). Les 124 CSV sélectionnèrent 566 personnes. Les 10 COGES en ont retenu 269 (48 %), c’est-à-dire 2,81 pour 1 000 habitants. À l’exception d’un CSPS, les profits annuels de ces régimes de </w:t>
            </w:r>
            <w:r w:rsidRPr="00577EB1">
              <w:rPr>
                <w:rFonts w:eastAsia="SimSun"/>
                <w:bCs/>
                <w:iCs/>
                <w:sz w:val="20"/>
                <w:lang w:val="fr-FR"/>
              </w:rPr>
              <w:t>paiement par l’usager</w:t>
            </w:r>
            <w:r w:rsidRPr="00577EB1">
              <w:rPr>
                <w:rFonts w:eastAsia="SimSun"/>
                <w:sz w:val="20"/>
                <w:szCs w:val="20"/>
                <w:lang w:val="fr-FR"/>
              </w:rPr>
              <w:t xml:space="preserve"> pouvaient en moyenne couvrir six fois plus d’indigents que le nombre moyen sélectionné par les CSV.</w:t>
            </w:r>
          </w:p>
          <w:p w:rsidR="0050199E" w:rsidRPr="00577EB1" w:rsidRDefault="0050199E" w:rsidP="002E7154">
            <w:pPr>
              <w:keepNext/>
              <w:keepLines/>
              <w:numPr>
                <w:ilvl w:val="0"/>
                <w:numId w:val="15"/>
              </w:numPr>
              <w:tabs>
                <w:tab w:val="clear" w:pos="720"/>
                <w:tab w:val="num" w:pos="284"/>
              </w:tabs>
              <w:autoSpaceDE w:val="0"/>
              <w:autoSpaceDN w:val="0"/>
              <w:adjustRightInd w:val="0"/>
              <w:spacing w:before="240" w:after="120"/>
              <w:ind w:left="284" w:right="68" w:hanging="284"/>
              <w:rPr>
                <w:rFonts w:eastAsia="SimSun"/>
                <w:b/>
                <w:sz w:val="20"/>
                <w:szCs w:val="20"/>
                <w:lang w:val="fr-FR" w:eastAsia="fr-FR"/>
              </w:rPr>
            </w:pPr>
            <w:r w:rsidRPr="00577EB1">
              <w:rPr>
                <w:rFonts w:eastAsia="SimSun"/>
                <w:sz w:val="20"/>
                <w:szCs w:val="20"/>
                <w:lang w:val="fr-FR" w:eastAsia="fr-FR"/>
              </w:rPr>
              <w:t>Intervention C</w:t>
            </w:r>
            <w:r w:rsidR="0007340F">
              <w:rPr>
                <w:rFonts w:eastAsia="SimSun"/>
                <w:sz w:val="20"/>
                <w:szCs w:val="20"/>
                <w:lang w:val="fr-FR" w:eastAsia="fr-FR"/>
              </w:rPr>
              <w:t xml:space="preserve"> </w:t>
            </w:r>
            <w:r w:rsidR="002E7154">
              <w:rPr>
                <w:rFonts w:eastAsia="SimSun"/>
                <w:sz w:val="20"/>
                <w:szCs w:val="20"/>
                <w:lang w:val="fr-FR" w:eastAsia="fr-FR"/>
              </w:rPr>
              <w:t xml:space="preserve">– </w:t>
            </w:r>
            <w:r w:rsidRPr="00577EB1">
              <w:rPr>
                <w:rFonts w:eastAsia="SimSun"/>
                <w:sz w:val="20"/>
                <w:szCs w:val="20"/>
                <w:lang w:val="fr-FR" w:eastAsia="fr-FR"/>
              </w:rPr>
              <w:t>Une liste de 20 critères a été établie avec les travailleurs sociaux. Le personnel de santé ne les a appliqués qu’à 0,007 % des patients (72 patients dans 11 CSPS sur 18 mois). Seuls 33 patients ont obtenu le statut d’indigent.</w:t>
            </w:r>
          </w:p>
          <w:p w:rsidR="0050199E" w:rsidRPr="00577EB1" w:rsidRDefault="0050199E" w:rsidP="002E7154">
            <w:pPr>
              <w:keepNext/>
              <w:keepLines/>
              <w:numPr>
                <w:ilvl w:val="0"/>
                <w:numId w:val="15"/>
              </w:numPr>
              <w:tabs>
                <w:tab w:val="clear" w:pos="720"/>
                <w:tab w:val="num" w:pos="284"/>
              </w:tabs>
              <w:autoSpaceDE w:val="0"/>
              <w:autoSpaceDN w:val="0"/>
              <w:adjustRightInd w:val="0"/>
              <w:spacing w:before="240" w:after="120"/>
              <w:ind w:left="284" w:right="68" w:hanging="284"/>
              <w:rPr>
                <w:rFonts w:eastAsia="SimSun"/>
                <w:b/>
                <w:sz w:val="20"/>
                <w:szCs w:val="20"/>
                <w:lang w:val="fr-FR" w:eastAsia="fr-FR"/>
              </w:rPr>
            </w:pPr>
            <w:r w:rsidRPr="00577EB1">
              <w:rPr>
                <w:rFonts w:eastAsia="SimSun"/>
                <w:b/>
                <w:sz w:val="20"/>
                <w:szCs w:val="20"/>
                <w:lang w:val="fr-FR" w:eastAsia="fr-FR"/>
              </w:rPr>
              <w:t>Tableau B11.1</w:t>
            </w:r>
            <w:r w:rsidR="003203FB">
              <w:rPr>
                <w:rFonts w:eastAsia="SimSun"/>
                <w:b/>
                <w:sz w:val="20"/>
                <w:szCs w:val="20"/>
                <w:lang w:val="fr-FR" w:eastAsia="fr-FR"/>
              </w:rPr>
              <w:t> :</w:t>
            </w:r>
            <w:r w:rsidR="0007340F">
              <w:rPr>
                <w:rFonts w:eastAsia="SimSun"/>
                <w:b/>
                <w:sz w:val="20"/>
                <w:szCs w:val="20"/>
                <w:lang w:val="fr-FR" w:eastAsia="fr-FR"/>
              </w:rPr>
              <w:t xml:space="preserve"> </w:t>
            </w:r>
            <w:r w:rsidRPr="00577EB1">
              <w:rPr>
                <w:rFonts w:eastAsia="SimSun"/>
                <w:b/>
                <w:sz w:val="20"/>
                <w:szCs w:val="20"/>
                <w:lang w:val="fr-FR" w:eastAsia="fr-FR"/>
              </w:rPr>
              <w:t>Les trois interventions de la recherche-action de l’</w:t>
            </w:r>
            <w:r w:rsidR="00945AC7">
              <w:rPr>
                <w:rFonts w:eastAsia="SimSun"/>
                <w:b/>
                <w:sz w:val="20"/>
                <w:szCs w:val="20"/>
                <w:lang w:val="fr-FR" w:eastAsia="fr-FR"/>
              </w:rPr>
              <w:t>Université de Montréal</w:t>
            </w:r>
          </w:p>
          <w:tbl>
            <w:tblPr>
              <w:tblW w:w="0" w:type="auto"/>
              <w:tblLook w:val="00A0"/>
            </w:tblPr>
            <w:tblGrid>
              <w:gridCol w:w="2174"/>
              <w:gridCol w:w="2174"/>
              <w:gridCol w:w="2175"/>
              <w:gridCol w:w="2175"/>
            </w:tblGrid>
            <w:tr w:rsidR="0050199E" w:rsidRPr="00577EB1" w:rsidTr="0050199E">
              <w:tc>
                <w:tcPr>
                  <w:tcW w:w="2174" w:type="dxa"/>
                  <w:tcBorders>
                    <w:top w:val="single" w:sz="4" w:space="0" w:color="auto"/>
                    <w:bottom w:val="single" w:sz="4" w:space="0" w:color="auto"/>
                  </w:tcBorders>
                </w:tcPr>
                <w:p w:rsidR="0050199E" w:rsidRPr="00577EB1" w:rsidRDefault="0050199E" w:rsidP="002E7154">
                  <w:pPr>
                    <w:keepNext/>
                    <w:keepLines/>
                    <w:autoSpaceDE w:val="0"/>
                    <w:autoSpaceDN w:val="0"/>
                    <w:adjustRightInd w:val="0"/>
                    <w:spacing w:after="0"/>
                    <w:ind w:right="68"/>
                    <w:rPr>
                      <w:rFonts w:eastAsia="SimSun"/>
                      <w:sz w:val="20"/>
                      <w:szCs w:val="20"/>
                      <w:lang w:val="fr-FR" w:eastAsia="fr-FR"/>
                    </w:rPr>
                  </w:pPr>
                </w:p>
              </w:tc>
              <w:tc>
                <w:tcPr>
                  <w:tcW w:w="2174" w:type="dxa"/>
                  <w:tcBorders>
                    <w:top w:val="single" w:sz="4" w:space="0" w:color="auto"/>
                    <w:bottom w:val="single" w:sz="4" w:space="0" w:color="auto"/>
                  </w:tcBorders>
                </w:tcPr>
                <w:p w:rsidR="0050199E" w:rsidRPr="00577EB1" w:rsidRDefault="0050199E" w:rsidP="002E7154">
                  <w:pPr>
                    <w:keepNext/>
                    <w:keepLines/>
                    <w:autoSpaceDE w:val="0"/>
                    <w:autoSpaceDN w:val="0"/>
                    <w:adjustRightInd w:val="0"/>
                    <w:spacing w:after="0"/>
                    <w:ind w:right="68"/>
                    <w:rPr>
                      <w:rFonts w:eastAsia="SimSun"/>
                      <w:sz w:val="20"/>
                      <w:szCs w:val="20"/>
                      <w:lang w:val="fr-FR" w:eastAsia="fr-FR"/>
                    </w:rPr>
                  </w:pPr>
                  <w:r w:rsidRPr="00577EB1">
                    <w:rPr>
                      <w:rFonts w:eastAsia="SimSun"/>
                      <w:sz w:val="20"/>
                      <w:szCs w:val="20"/>
                      <w:lang w:val="fr-FR" w:eastAsia="fr-FR"/>
                    </w:rPr>
                    <w:t>Intervention A</w:t>
                  </w:r>
                </w:p>
              </w:tc>
              <w:tc>
                <w:tcPr>
                  <w:tcW w:w="2175" w:type="dxa"/>
                  <w:tcBorders>
                    <w:top w:val="single" w:sz="4" w:space="0" w:color="auto"/>
                    <w:bottom w:val="single" w:sz="4" w:space="0" w:color="auto"/>
                  </w:tcBorders>
                </w:tcPr>
                <w:p w:rsidR="0050199E" w:rsidRPr="00577EB1" w:rsidRDefault="0050199E" w:rsidP="002E7154">
                  <w:pPr>
                    <w:keepNext/>
                    <w:keepLines/>
                    <w:autoSpaceDE w:val="0"/>
                    <w:autoSpaceDN w:val="0"/>
                    <w:adjustRightInd w:val="0"/>
                    <w:spacing w:after="0"/>
                    <w:ind w:right="68"/>
                    <w:rPr>
                      <w:rFonts w:eastAsia="SimSun"/>
                      <w:sz w:val="20"/>
                      <w:szCs w:val="20"/>
                      <w:lang w:val="fr-FR" w:eastAsia="fr-FR"/>
                    </w:rPr>
                  </w:pPr>
                  <w:r w:rsidRPr="00577EB1">
                    <w:rPr>
                      <w:rFonts w:eastAsia="SimSun"/>
                      <w:sz w:val="20"/>
                      <w:szCs w:val="20"/>
                      <w:lang w:val="fr-FR" w:eastAsia="fr-FR"/>
                    </w:rPr>
                    <w:t>Intervention B</w:t>
                  </w:r>
                </w:p>
              </w:tc>
              <w:tc>
                <w:tcPr>
                  <w:tcW w:w="2175" w:type="dxa"/>
                  <w:tcBorders>
                    <w:top w:val="single" w:sz="4" w:space="0" w:color="auto"/>
                    <w:bottom w:val="single" w:sz="4" w:space="0" w:color="auto"/>
                  </w:tcBorders>
                </w:tcPr>
                <w:p w:rsidR="0050199E" w:rsidRPr="00577EB1" w:rsidRDefault="0050199E" w:rsidP="002E7154">
                  <w:pPr>
                    <w:keepNext/>
                    <w:keepLines/>
                    <w:autoSpaceDE w:val="0"/>
                    <w:autoSpaceDN w:val="0"/>
                    <w:adjustRightInd w:val="0"/>
                    <w:spacing w:after="0"/>
                    <w:ind w:right="68"/>
                    <w:rPr>
                      <w:rFonts w:eastAsia="SimSun"/>
                      <w:sz w:val="20"/>
                      <w:szCs w:val="20"/>
                      <w:lang w:val="fr-FR" w:eastAsia="fr-FR"/>
                    </w:rPr>
                  </w:pPr>
                  <w:r w:rsidRPr="00577EB1">
                    <w:rPr>
                      <w:rFonts w:eastAsia="SimSun"/>
                      <w:sz w:val="20"/>
                      <w:szCs w:val="20"/>
                      <w:lang w:val="fr-FR" w:eastAsia="fr-FR"/>
                    </w:rPr>
                    <w:t>Intervention C</w:t>
                  </w:r>
                </w:p>
              </w:tc>
            </w:tr>
            <w:tr w:rsidR="0050199E" w:rsidRPr="00577EB1" w:rsidTr="0050199E">
              <w:tc>
                <w:tcPr>
                  <w:tcW w:w="2174" w:type="dxa"/>
                  <w:tcBorders>
                    <w:top w:val="single" w:sz="4" w:space="0" w:color="auto"/>
                  </w:tcBorders>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Districts</w:t>
                  </w:r>
                </w:p>
              </w:tc>
              <w:tc>
                <w:tcPr>
                  <w:tcW w:w="2174" w:type="dxa"/>
                  <w:tcBorders>
                    <w:top w:val="single" w:sz="4" w:space="0" w:color="auto"/>
                  </w:tcBorders>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Ouargaye</w:t>
                  </w:r>
                </w:p>
              </w:tc>
              <w:tc>
                <w:tcPr>
                  <w:tcW w:w="2175" w:type="dxa"/>
                  <w:tcBorders>
                    <w:top w:val="single" w:sz="4" w:space="0" w:color="auto"/>
                  </w:tcBorders>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Ouargaye, Dori, Sebba</w:t>
                  </w:r>
                </w:p>
              </w:tc>
              <w:tc>
                <w:tcPr>
                  <w:tcW w:w="2175" w:type="dxa"/>
                  <w:tcBorders>
                    <w:top w:val="single" w:sz="4" w:space="0" w:color="auto"/>
                  </w:tcBorders>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Ouargaye</w:t>
                  </w:r>
                </w:p>
              </w:tc>
            </w:tr>
            <w:tr w:rsidR="0050199E" w:rsidRPr="008E7B13" w:rsidTr="0050199E">
              <w:tc>
                <w:tcPr>
                  <w:tcW w:w="2174" w:type="dxa"/>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Services entièrement subventionnés</w:t>
                  </w:r>
                </w:p>
              </w:tc>
              <w:tc>
                <w:tcPr>
                  <w:tcW w:w="2174" w:type="dxa"/>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Médicaments au CSPS</w:t>
                  </w:r>
                </w:p>
              </w:tc>
              <w:tc>
                <w:tcPr>
                  <w:tcW w:w="2175" w:type="dxa"/>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Tous les services au CSPS et à l’hôpital de district</w:t>
                  </w:r>
                </w:p>
              </w:tc>
              <w:tc>
                <w:tcPr>
                  <w:tcW w:w="2175" w:type="dxa"/>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Tous les services au CSPS et à l’hôpital de district</w:t>
                  </w:r>
                </w:p>
              </w:tc>
            </w:tr>
            <w:tr w:rsidR="0050199E" w:rsidRPr="008E7B13" w:rsidTr="0050199E">
              <w:tc>
                <w:tcPr>
                  <w:tcW w:w="2174" w:type="dxa"/>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 xml:space="preserve">Sélection des bénéficiaires </w:t>
                  </w:r>
                </w:p>
              </w:tc>
              <w:tc>
                <w:tcPr>
                  <w:tcW w:w="2174" w:type="dxa"/>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Personnel de santé sans critères imposés</w:t>
                  </w:r>
                </w:p>
              </w:tc>
              <w:tc>
                <w:tcPr>
                  <w:tcW w:w="2175" w:type="dxa"/>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 xml:space="preserve">Communauté sans critères imposés, mais avec une définition consensuelle </w:t>
                  </w:r>
                </w:p>
              </w:tc>
              <w:tc>
                <w:tcPr>
                  <w:tcW w:w="2175" w:type="dxa"/>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 xml:space="preserve">Personnel de santé avec 20 critères </w:t>
                  </w:r>
                </w:p>
              </w:tc>
            </w:tr>
            <w:tr w:rsidR="0050199E" w:rsidRPr="008E7B13" w:rsidTr="0050199E">
              <w:tc>
                <w:tcPr>
                  <w:tcW w:w="2174" w:type="dxa"/>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 xml:space="preserve">Information des bénéficiaires </w:t>
                  </w:r>
                </w:p>
              </w:tc>
              <w:tc>
                <w:tcPr>
                  <w:tcW w:w="2174" w:type="dxa"/>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Aucun, au point de service</w:t>
                  </w:r>
                </w:p>
              </w:tc>
              <w:tc>
                <w:tcPr>
                  <w:tcW w:w="2175" w:type="dxa"/>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 xml:space="preserve">Distribution de cartes d’indigent avec le personnel de santé et le MdS </w:t>
                  </w:r>
                </w:p>
              </w:tc>
              <w:tc>
                <w:tcPr>
                  <w:tcW w:w="2175" w:type="dxa"/>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Aucun, au point de service</w:t>
                  </w:r>
                </w:p>
              </w:tc>
            </w:tr>
            <w:tr w:rsidR="0050199E" w:rsidRPr="008E7B13" w:rsidTr="0050199E">
              <w:tc>
                <w:tcPr>
                  <w:tcW w:w="2174" w:type="dxa"/>
                  <w:tcBorders>
                    <w:bottom w:val="single" w:sz="4" w:space="0" w:color="auto"/>
                  </w:tcBorders>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Financement</w:t>
                  </w:r>
                </w:p>
              </w:tc>
              <w:tc>
                <w:tcPr>
                  <w:tcW w:w="2174" w:type="dxa"/>
                  <w:tcBorders>
                    <w:bottom w:val="single" w:sz="4" w:space="0" w:color="auto"/>
                  </w:tcBorders>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Don du ministère</w:t>
                  </w:r>
                </w:p>
              </w:tc>
              <w:tc>
                <w:tcPr>
                  <w:tcW w:w="2175" w:type="dxa"/>
                  <w:tcBorders>
                    <w:bottom w:val="single" w:sz="4" w:space="0" w:color="auto"/>
                  </w:tcBorders>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Endogène</w:t>
                  </w:r>
                </w:p>
              </w:tc>
              <w:tc>
                <w:tcPr>
                  <w:tcW w:w="2175" w:type="dxa"/>
                  <w:tcBorders>
                    <w:bottom w:val="single" w:sz="4" w:space="0" w:color="auto"/>
                  </w:tcBorders>
                </w:tcPr>
                <w:p w:rsidR="0050199E" w:rsidRPr="00577EB1" w:rsidRDefault="0050199E" w:rsidP="002E7154">
                  <w:pPr>
                    <w:keepNext/>
                    <w:keepLines/>
                    <w:autoSpaceDE w:val="0"/>
                    <w:autoSpaceDN w:val="0"/>
                    <w:adjustRightInd w:val="0"/>
                    <w:spacing w:after="0"/>
                    <w:ind w:right="68"/>
                    <w:jc w:val="left"/>
                    <w:rPr>
                      <w:rFonts w:eastAsia="SimSun"/>
                      <w:sz w:val="20"/>
                      <w:szCs w:val="20"/>
                      <w:lang w:val="fr-FR" w:eastAsia="fr-FR"/>
                    </w:rPr>
                  </w:pPr>
                  <w:r w:rsidRPr="00577EB1">
                    <w:rPr>
                      <w:rFonts w:eastAsia="SimSun"/>
                      <w:sz w:val="20"/>
                      <w:szCs w:val="20"/>
                      <w:lang w:val="fr-FR" w:eastAsia="fr-FR"/>
                    </w:rPr>
                    <w:t>Endogène</w:t>
                  </w:r>
                </w:p>
              </w:tc>
            </w:tr>
          </w:tbl>
          <w:p w:rsidR="0050199E" w:rsidRPr="00577EB1" w:rsidRDefault="0050199E" w:rsidP="002E7154">
            <w:pPr>
              <w:keepNext/>
              <w:keepLines/>
              <w:autoSpaceDE w:val="0"/>
              <w:autoSpaceDN w:val="0"/>
              <w:adjustRightInd w:val="0"/>
              <w:spacing w:after="120"/>
              <w:ind w:right="68"/>
              <w:rPr>
                <w:rFonts w:eastAsia="SimSun"/>
                <w:sz w:val="20"/>
                <w:szCs w:val="20"/>
                <w:lang w:val="fr-FR" w:eastAsia="fr-FR"/>
              </w:rPr>
            </w:pPr>
            <w:r w:rsidRPr="00577EB1">
              <w:rPr>
                <w:rFonts w:eastAsia="SimSun"/>
                <w:i/>
                <w:sz w:val="20"/>
                <w:szCs w:val="20"/>
                <w:lang w:val="fr-FR" w:eastAsia="fr-FR"/>
              </w:rPr>
              <w:t>Source</w:t>
            </w:r>
            <w:r w:rsidR="003203FB">
              <w:rPr>
                <w:rFonts w:eastAsia="SimSun"/>
                <w:i/>
                <w:sz w:val="20"/>
                <w:szCs w:val="20"/>
                <w:lang w:val="fr-FR" w:eastAsia="fr-FR"/>
              </w:rPr>
              <w:t> :</w:t>
            </w:r>
            <w:r w:rsidR="0007340F">
              <w:rPr>
                <w:rFonts w:eastAsia="SimSun"/>
                <w:i/>
                <w:sz w:val="20"/>
                <w:szCs w:val="20"/>
                <w:lang w:val="fr-FR" w:eastAsia="fr-FR"/>
              </w:rPr>
              <w:t xml:space="preserve"> </w:t>
            </w:r>
            <w:r w:rsidRPr="00577EB1">
              <w:rPr>
                <w:rFonts w:eastAsia="SimSun"/>
                <w:sz w:val="20"/>
                <w:szCs w:val="20"/>
                <w:lang w:val="fr-FR" w:eastAsia="fr-FR"/>
              </w:rPr>
              <w:t>Ridde et coll., 2009.</w:t>
            </w:r>
          </w:p>
          <w:p w:rsidR="0050199E" w:rsidRPr="00577EB1" w:rsidRDefault="0050199E" w:rsidP="002E7154">
            <w:pPr>
              <w:keepNext/>
              <w:keepLines/>
              <w:autoSpaceDE w:val="0"/>
              <w:autoSpaceDN w:val="0"/>
              <w:adjustRightInd w:val="0"/>
              <w:ind w:right="68"/>
              <w:rPr>
                <w:rFonts w:ascii="AdvPECF93C" w:eastAsia="SimSun" w:hAnsi="AdvPECF93C" w:cs="AdvPECF93C"/>
                <w:sz w:val="19"/>
                <w:szCs w:val="19"/>
                <w:lang w:val="fr-FR" w:eastAsia="fr-FR"/>
              </w:rPr>
            </w:pPr>
            <w:r w:rsidRPr="00577EB1">
              <w:rPr>
                <w:rFonts w:eastAsia="SimSun"/>
                <w:sz w:val="20"/>
                <w:szCs w:val="20"/>
                <w:lang w:val="fr-FR" w:eastAsia="fr-FR"/>
              </w:rPr>
              <w:t xml:space="preserve">Dans le contexte rural africain, les villageois sont capables de sélectionner ceux qui devraient être dispensés des frais selon leur propre perspective. Grâce à l’Initiative de Bamako (IB), les centres de santé jouissent d’une certaine capacité financière pour prendre soin des indigents. Dans une approche de ciblage communautaire utilisant les ressources endogènes générées par les profits de l’IB, la perception locale de la </w:t>
            </w:r>
            <w:r w:rsidR="00BD550B">
              <w:rPr>
                <w:rFonts w:eastAsia="SimSun"/>
                <w:sz w:val="20"/>
                <w:szCs w:val="20"/>
                <w:lang w:val="fr-FR" w:eastAsia="fr-FR"/>
              </w:rPr>
              <w:t>viabilité</w:t>
            </w:r>
            <w:r w:rsidRPr="00577EB1">
              <w:rPr>
                <w:rFonts w:eastAsia="SimSun"/>
                <w:sz w:val="20"/>
                <w:szCs w:val="20"/>
                <w:lang w:val="fr-FR" w:eastAsia="fr-FR"/>
              </w:rPr>
              <w:t xml:space="preserve"> financière des centres de santé, combinée au contexte hiérarchique social, ont abouti à une sélection très restrictive des candidats à l’exemption.</w:t>
            </w:r>
          </w:p>
        </w:tc>
      </w:tr>
    </w:tbl>
    <w:p w:rsidR="004B3541" w:rsidRDefault="0050199E">
      <w:pPr>
        <w:keepLines/>
        <w:spacing w:before="120" w:after="480"/>
        <w:ind w:right="-91"/>
        <w:rPr>
          <w:rFonts w:eastAsia="SimSun"/>
          <w:sz w:val="20"/>
          <w:szCs w:val="20"/>
          <w:lang w:val="fr-FR"/>
        </w:rPr>
      </w:pPr>
      <w:r w:rsidRPr="00577EB1">
        <w:rPr>
          <w:rFonts w:eastAsia="SimSun"/>
          <w:i/>
          <w:sz w:val="20"/>
          <w:szCs w:val="20"/>
          <w:lang w:val="fr-FR"/>
        </w:rPr>
        <w:t>Sources</w:t>
      </w:r>
      <w:r w:rsidR="003203FB">
        <w:rPr>
          <w:rFonts w:eastAsia="SimSun"/>
          <w:i/>
          <w:sz w:val="20"/>
          <w:szCs w:val="20"/>
          <w:lang w:val="fr-FR"/>
        </w:rPr>
        <w:t> :</w:t>
      </w:r>
      <w:r w:rsidR="0007340F">
        <w:rPr>
          <w:rFonts w:eastAsia="SimSun"/>
          <w:i/>
          <w:sz w:val="20"/>
          <w:szCs w:val="20"/>
          <w:lang w:val="fr-FR"/>
        </w:rPr>
        <w:t xml:space="preserve"> </w:t>
      </w:r>
      <w:r w:rsidRPr="00577EB1">
        <w:rPr>
          <w:rFonts w:eastAsia="SimSun"/>
          <w:sz w:val="20"/>
          <w:szCs w:val="20"/>
          <w:lang w:val="fr-FR"/>
        </w:rPr>
        <w:t>Ridde et coll., 2009; Auteurs.</w:t>
      </w:r>
    </w:p>
    <w:p w:rsidR="002E7154" w:rsidRPr="00DE54E7" w:rsidRDefault="005738FE" w:rsidP="002E7154">
      <w:pPr>
        <w:pStyle w:val="Caption"/>
        <w:keepNext/>
        <w:keepLines/>
        <w:rPr>
          <w:lang w:val="fr-FR"/>
        </w:rPr>
      </w:pPr>
      <w:bookmarkStart w:id="226" w:name="_Toc269724025"/>
      <w:bookmarkStart w:id="227" w:name="_Toc269724131"/>
      <w:bookmarkStart w:id="228" w:name="_Toc284613572"/>
      <w:r w:rsidRPr="005738FE">
        <w:rPr>
          <w:lang w:val="fr-FR"/>
        </w:rPr>
        <w:lastRenderedPageBreak/>
        <w:t xml:space="preserve">Encadré </w:t>
      </w:r>
      <w:r w:rsidR="00725419">
        <w:fldChar w:fldCharType="begin"/>
      </w:r>
      <w:r w:rsidRPr="005738FE">
        <w:rPr>
          <w:lang w:val="fr-FR"/>
        </w:rPr>
        <w:instrText xml:space="preserve"> SEQ Encadré \* ARABIC </w:instrText>
      </w:r>
      <w:r w:rsidR="00725419">
        <w:fldChar w:fldCharType="separate"/>
      </w:r>
      <w:r w:rsidR="00EF56B2">
        <w:rPr>
          <w:noProof/>
          <w:lang w:val="fr-FR"/>
        </w:rPr>
        <w:t>12</w:t>
      </w:r>
      <w:r w:rsidR="00725419">
        <w:fldChar w:fldCharType="end"/>
      </w:r>
      <w:r w:rsidR="00EB214A" w:rsidRPr="00EB214A">
        <w:rPr>
          <w:lang w:val="fr-FR"/>
        </w:rPr>
        <w:t> </w:t>
      </w:r>
      <w:r w:rsidR="002E7154" w:rsidRPr="00DE54E7">
        <w:rPr>
          <w:lang w:val="fr-FR"/>
        </w:rPr>
        <w:t xml:space="preserve">: Utilisation de l’auto-détermination des rangs de pauvreté par la communauté pour </w:t>
      </w:r>
      <w:r w:rsidR="00DE54E7" w:rsidRPr="00DE54E7">
        <w:rPr>
          <w:lang w:val="fr-FR"/>
        </w:rPr>
        <w:t>identifier le quintile le plus p</w:t>
      </w:r>
      <w:r w:rsidR="002E7154" w:rsidRPr="00DE54E7">
        <w:rPr>
          <w:lang w:val="fr-FR"/>
        </w:rPr>
        <w:t>au</w:t>
      </w:r>
      <w:r w:rsidR="00DE54E7" w:rsidRPr="00DE54E7">
        <w:rPr>
          <w:lang w:val="fr-FR"/>
        </w:rPr>
        <w:t>v</w:t>
      </w:r>
      <w:r w:rsidR="002E7154" w:rsidRPr="00DE54E7">
        <w:rPr>
          <w:lang w:val="fr-FR"/>
        </w:rPr>
        <w:t>r</w:t>
      </w:r>
      <w:r w:rsidR="00DE54E7" w:rsidRPr="00DE54E7">
        <w:rPr>
          <w:lang w:val="fr-FR"/>
        </w:rPr>
        <w:t xml:space="preserve">e </w:t>
      </w:r>
      <w:r w:rsidR="00DE54E7">
        <w:rPr>
          <w:lang w:val="fr-FR"/>
        </w:rPr>
        <w:t>é</w:t>
      </w:r>
      <w:r w:rsidR="00DE54E7" w:rsidRPr="00DE54E7">
        <w:rPr>
          <w:lang w:val="fr-FR"/>
        </w:rPr>
        <w:t xml:space="preserve">ligible à une subvention de l’adhésion à l’assurance </w:t>
      </w:r>
      <w:r w:rsidR="00DE54E7">
        <w:rPr>
          <w:lang w:val="fr-FR"/>
        </w:rPr>
        <w:t>maladie</w:t>
      </w:r>
      <w:r w:rsidR="00DE54E7" w:rsidRPr="00DE54E7">
        <w:rPr>
          <w:lang w:val="fr-FR"/>
        </w:rPr>
        <w:t xml:space="preserve"> à base communautaire</w:t>
      </w:r>
      <w:bookmarkEnd w:id="226"/>
      <w:bookmarkEnd w:id="227"/>
      <w:bookmarkEnd w:id="2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29"/>
      </w:tblGrid>
      <w:tr w:rsidR="002E7154" w:rsidRPr="008E7B13" w:rsidTr="002E7154">
        <w:tc>
          <w:tcPr>
            <w:tcW w:w="8929" w:type="dxa"/>
          </w:tcPr>
          <w:p w:rsidR="00DE54E7" w:rsidRDefault="002E7154" w:rsidP="002E7154">
            <w:pPr>
              <w:keepNext/>
              <w:keepLines/>
              <w:tabs>
                <w:tab w:val="clear" w:pos="709"/>
              </w:tabs>
              <w:autoSpaceDE w:val="0"/>
              <w:autoSpaceDN w:val="0"/>
              <w:adjustRightInd w:val="0"/>
              <w:spacing w:before="120" w:after="0"/>
              <w:rPr>
                <w:sz w:val="20"/>
                <w:szCs w:val="20"/>
                <w:lang w:val="fr-FR" w:eastAsia="fr-FR"/>
              </w:rPr>
            </w:pPr>
            <w:r w:rsidRPr="002E7154">
              <w:rPr>
                <w:sz w:val="20"/>
                <w:szCs w:val="20"/>
                <w:lang w:val="fr-FR" w:eastAsia="fr-FR"/>
              </w:rPr>
              <w:t xml:space="preserve">En cohérence avec l’objectif du DSRP d’améliorer l’accès aux soins de santé, le Centre de Recherche en Santé de Nouna (CRSN), en collaboration avec l’Université de Heidelberg, a </w:t>
            </w:r>
            <w:r>
              <w:rPr>
                <w:sz w:val="20"/>
                <w:szCs w:val="20"/>
                <w:lang w:val="fr-FR" w:eastAsia="fr-FR"/>
              </w:rPr>
              <w:t>lancé</w:t>
            </w:r>
            <w:r w:rsidRPr="002E7154">
              <w:rPr>
                <w:sz w:val="20"/>
                <w:szCs w:val="20"/>
                <w:lang w:val="fr-FR" w:eastAsia="fr-FR"/>
              </w:rPr>
              <w:t xml:space="preserve"> en 2004 un projet d’Assurance Maladie à Base Communautaire (AMBC) dans le district de Nouna.</w:t>
            </w:r>
            <w:r>
              <w:rPr>
                <w:sz w:val="20"/>
                <w:szCs w:val="20"/>
                <w:lang w:val="fr-FR" w:eastAsia="fr-FR"/>
              </w:rPr>
              <w:t xml:space="preserve"> En 2006, seulement 5,1</w:t>
            </w:r>
            <w:r w:rsidR="00DE54E7">
              <w:rPr>
                <w:sz w:val="20"/>
                <w:szCs w:val="20"/>
                <w:lang w:val="fr-FR" w:eastAsia="fr-FR"/>
              </w:rPr>
              <w:t xml:space="preserve">% des ménages avaient adhéré à l’AMBC. Le manque de ressources financières est apparu comme un facteur explicatif majeur de ce faible taux d’adhésion. En 2007, un bailleur de fonds a accepté de subventionner l’adhésion à l’AMBC pour le quintile le plus pauvre du district pendant deux ans (750 FCFA au lieu de 1500 FCFA pour un adulte, et 250 FCFA au lieu de 500 FCFA pour un enfant). Une approche </w:t>
            </w:r>
            <w:r w:rsidR="00A44DE9">
              <w:rPr>
                <w:sz w:val="20"/>
                <w:szCs w:val="20"/>
                <w:lang w:val="fr-FR" w:eastAsia="fr-FR"/>
              </w:rPr>
              <w:t>pour l</w:t>
            </w:r>
            <w:r w:rsidR="00DE54E7">
              <w:rPr>
                <w:sz w:val="20"/>
                <w:szCs w:val="20"/>
                <w:lang w:val="fr-FR" w:eastAsia="fr-FR"/>
              </w:rPr>
              <w:t>’auto-</w:t>
            </w:r>
            <w:r w:rsidR="00DE54E7" w:rsidRPr="00DE54E7">
              <w:rPr>
                <w:sz w:val="20"/>
                <w:szCs w:val="20"/>
                <w:lang w:val="fr-FR" w:eastAsia="fr-FR"/>
              </w:rPr>
              <w:t>détermination des rangs de pauvreté par la communauté (</w:t>
            </w:r>
            <w:r w:rsidR="00DE54E7" w:rsidRPr="00DE54E7">
              <w:rPr>
                <w:i/>
                <w:sz w:val="20"/>
                <w:szCs w:val="20"/>
                <w:lang w:val="fr-FR" w:eastAsia="fr-FR"/>
              </w:rPr>
              <w:t>community wealth ranking</w:t>
            </w:r>
            <w:r w:rsidR="00DE54E7">
              <w:rPr>
                <w:sz w:val="20"/>
                <w:szCs w:val="20"/>
                <w:lang w:val="fr-FR" w:eastAsia="fr-FR"/>
              </w:rPr>
              <w:t xml:space="preserve"> ou CWR</w:t>
            </w:r>
            <w:r w:rsidR="00DE54E7" w:rsidRPr="00DE54E7">
              <w:rPr>
                <w:sz w:val="20"/>
                <w:szCs w:val="20"/>
                <w:lang w:val="fr-FR" w:eastAsia="fr-FR"/>
              </w:rPr>
              <w:t>)</w:t>
            </w:r>
            <w:r w:rsidR="00DE54E7">
              <w:rPr>
                <w:sz w:val="20"/>
                <w:szCs w:val="20"/>
                <w:lang w:val="fr-FR" w:eastAsia="fr-FR"/>
              </w:rPr>
              <w:t xml:space="preserve"> </w:t>
            </w:r>
            <w:r w:rsidR="00A44DE9">
              <w:rPr>
                <w:sz w:val="20"/>
                <w:szCs w:val="20"/>
                <w:lang w:val="fr-FR" w:eastAsia="fr-FR"/>
              </w:rPr>
              <w:t>a été conçue pour identifier les membres les plus pauvres de la population sur base des perceptions et niveaux relatifs locaux de la pauvreté au sein d’une communauté donnée.</w:t>
            </w:r>
          </w:p>
          <w:p w:rsidR="00A44DE9" w:rsidRDefault="00A44DE9" w:rsidP="002E7154">
            <w:pPr>
              <w:keepNext/>
              <w:keepLines/>
              <w:tabs>
                <w:tab w:val="clear" w:pos="709"/>
              </w:tabs>
              <w:autoSpaceDE w:val="0"/>
              <w:autoSpaceDN w:val="0"/>
              <w:adjustRightInd w:val="0"/>
              <w:spacing w:before="120" w:after="0"/>
              <w:rPr>
                <w:sz w:val="20"/>
                <w:szCs w:val="20"/>
                <w:lang w:val="fr-FR" w:eastAsia="fr-FR"/>
              </w:rPr>
            </w:pPr>
            <w:r w:rsidRPr="00A44DE9">
              <w:rPr>
                <w:i/>
                <w:sz w:val="20"/>
                <w:szCs w:val="20"/>
                <w:lang w:val="fr-FR" w:eastAsia="fr-FR"/>
              </w:rPr>
              <w:t>Processus</w:t>
            </w:r>
            <w:r>
              <w:rPr>
                <w:sz w:val="20"/>
                <w:szCs w:val="20"/>
                <w:lang w:val="fr-FR" w:eastAsia="fr-FR"/>
              </w:rPr>
              <w:t xml:space="preserve"> – L’exercice de CWR a été mené dans les 41 villages où l’AMBC avait été lancée, et dans les 7 secteurs de la ville de Nouna (1 rural et 6 semi-urbain). Des discussions en groupe (</w:t>
            </w:r>
            <w:r w:rsidRPr="00A44DE9">
              <w:rPr>
                <w:i/>
                <w:sz w:val="20"/>
                <w:szCs w:val="20"/>
                <w:lang w:val="fr-FR" w:eastAsia="fr-FR"/>
              </w:rPr>
              <w:t>focus group</w:t>
            </w:r>
            <w:r>
              <w:rPr>
                <w:sz w:val="20"/>
                <w:szCs w:val="20"/>
                <w:lang w:val="fr-FR" w:eastAsia="fr-FR"/>
              </w:rPr>
              <w:t>) ont été organisées dans chaque village ou sous-secteur. Elles visaient à : i) comprendre les perceptions et les critères de pauvreté locaux ; ii) définir le nombre et le nom des groupes de richesse locaux ; et iii) choisir trois personnes-clés. Ces personnes-clés étaient alors responsable d’attribuer un groupe de richesse à chaque ménage (défini comme ceux partageant et vivant du même grenier), puis les classer au sein de chaque groupe. Ce processus</w:t>
            </w:r>
            <w:r w:rsidR="00980131">
              <w:rPr>
                <w:sz w:val="20"/>
                <w:szCs w:val="20"/>
                <w:lang w:val="fr-FR" w:eastAsia="fr-FR"/>
              </w:rPr>
              <w:t xml:space="preserve"> devait </w:t>
            </w:r>
            <w:r>
              <w:rPr>
                <w:sz w:val="20"/>
                <w:szCs w:val="20"/>
                <w:lang w:val="fr-FR" w:eastAsia="fr-FR"/>
              </w:rPr>
              <w:t xml:space="preserve">d’abord </w:t>
            </w:r>
            <w:r w:rsidR="00980131">
              <w:rPr>
                <w:sz w:val="20"/>
                <w:szCs w:val="20"/>
                <w:lang w:val="fr-FR" w:eastAsia="fr-FR"/>
              </w:rPr>
              <w:t xml:space="preserve">être </w:t>
            </w:r>
            <w:r>
              <w:rPr>
                <w:sz w:val="20"/>
                <w:szCs w:val="20"/>
                <w:lang w:val="fr-FR" w:eastAsia="fr-FR"/>
              </w:rPr>
              <w:t xml:space="preserve">fait individuellement par chacune des trois personnes-clés, puis discuté entre </w:t>
            </w:r>
            <w:r w:rsidR="00980131">
              <w:rPr>
                <w:sz w:val="20"/>
                <w:szCs w:val="20"/>
                <w:lang w:val="fr-FR" w:eastAsia="fr-FR"/>
              </w:rPr>
              <w:t xml:space="preserve">elles </w:t>
            </w:r>
            <w:r>
              <w:rPr>
                <w:sz w:val="20"/>
                <w:szCs w:val="20"/>
                <w:lang w:val="fr-FR" w:eastAsia="fr-FR"/>
              </w:rPr>
              <w:t xml:space="preserve">jusqu’à </w:t>
            </w:r>
            <w:r w:rsidR="00980131">
              <w:rPr>
                <w:sz w:val="20"/>
                <w:szCs w:val="20"/>
                <w:lang w:val="fr-FR" w:eastAsia="fr-FR"/>
              </w:rPr>
              <w:t>aboutir à un consensus.</w:t>
            </w:r>
          </w:p>
          <w:p w:rsidR="00980131" w:rsidRDefault="00980131" w:rsidP="002E7154">
            <w:pPr>
              <w:keepNext/>
              <w:keepLines/>
              <w:tabs>
                <w:tab w:val="clear" w:pos="709"/>
              </w:tabs>
              <w:autoSpaceDE w:val="0"/>
              <w:autoSpaceDN w:val="0"/>
              <w:adjustRightInd w:val="0"/>
              <w:spacing w:before="120" w:after="0"/>
              <w:rPr>
                <w:sz w:val="20"/>
                <w:szCs w:val="20"/>
                <w:lang w:val="fr-FR" w:eastAsia="fr-FR"/>
              </w:rPr>
            </w:pPr>
            <w:r w:rsidRPr="00980131">
              <w:rPr>
                <w:i/>
                <w:sz w:val="20"/>
                <w:szCs w:val="20"/>
                <w:lang w:val="fr-FR" w:eastAsia="fr-FR"/>
              </w:rPr>
              <w:t>Résultats</w:t>
            </w:r>
            <w:r>
              <w:rPr>
                <w:sz w:val="20"/>
                <w:szCs w:val="20"/>
                <w:lang w:val="fr-FR" w:eastAsia="fr-FR"/>
              </w:rPr>
              <w:t xml:space="preserve"> – Cela a pris un mois et une semaine de mener l’exercice dans les 41 villages, et deux mois de le mener dans Nouna. L’expérience a montré que plus de temps et des outils diversifiés auraient du être utilisés pour informer les ménages en avance. Pour ce qui est de la définition de la pauvreté, les ménages l’ont principalement décrite comme : une privation des capacités ; un manque de besoins de base ; des conditions de vie indécentes ; et un manque de capital social (réseau social auquel on peut faire appel en cas de difficultés). En moyenne, les communautés ont établi trois groupes de richesse : très pauvre, moyen et riche. Toutefois, le concept de groupe de richesse est apparu difficile à appréhender par de nombreux participants. Egalement, les populations n’arrivaient pas à définir des critères de pauvreté quantifiés, et « le </w:t>
            </w:r>
            <w:r w:rsidRPr="00980131">
              <w:rPr>
                <w:sz w:val="20"/>
                <w:szCs w:val="20"/>
                <w:lang w:val="fr-FR" w:eastAsia="fr-FR"/>
              </w:rPr>
              <w:t>riche dans un village donné peut être considéré comme un pauvre si l’on change de repère</w:t>
            </w:r>
            <w:r>
              <w:rPr>
                <w:sz w:val="20"/>
                <w:szCs w:val="20"/>
                <w:lang w:val="fr-FR" w:eastAsia="fr-FR"/>
              </w:rPr>
              <w:t>,</w:t>
            </w:r>
            <w:r w:rsidRPr="00980131">
              <w:rPr>
                <w:sz w:val="20"/>
                <w:szCs w:val="20"/>
                <w:lang w:val="fr-FR" w:eastAsia="fr-FR"/>
              </w:rPr>
              <w:t xml:space="preserve"> c’est-à-dire de village</w:t>
            </w:r>
            <w:r>
              <w:rPr>
                <w:sz w:val="20"/>
                <w:szCs w:val="20"/>
                <w:lang w:val="fr-FR" w:eastAsia="fr-FR"/>
              </w:rPr>
              <w:t> ».</w:t>
            </w:r>
          </w:p>
          <w:p w:rsidR="000D33D5" w:rsidRDefault="00980131" w:rsidP="002E7154">
            <w:pPr>
              <w:keepNext/>
              <w:keepLines/>
              <w:tabs>
                <w:tab w:val="clear" w:pos="709"/>
              </w:tabs>
              <w:autoSpaceDE w:val="0"/>
              <w:autoSpaceDN w:val="0"/>
              <w:adjustRightInd w:val="0"/>
              <w:spacing w:before="120" w:after="0"/>
              <w:rPr>
                <w:sz w:val="20"/>
                <w:szCs w:val="20"/>
                <w:lang w:val="fr-FR" w:eastAsia="fr-FR"/>
              </w:rPr>
            </w:pPr>
            <w:r>
              <w:rPr>
                <w:sz w:val="20"/>
                <w:szCs w:val="20"/>
                <w:lang w:val="fr-FR" w:eastAsia="fr-FR"/>
              </w:rPr>
              <w:t xml:space="preserve">Utiliser l’approche CWR s’est </w:t>
            </w:r>
            <w:r w:rsidR="000D33D5">
              <w:rPr>
                <w:sz w:val="20"/>
                <w:szCs w:val="20"/>
                <w:lang w:val="fr-FR" w:eastAsia="fr-FR"/>
              </w:rPr>
              <w:t>révélé</w:t>
            </w:r>
            <w:r>
              <w:rPr>
                <w:sz w:val="20"/>
                <w:szCs w:val="20"/>
                <w:lang w:val="fr-FR" w:eastAsia="fr-FR"/>
              </w:rPr>
              <w:t xml:space="preserve"> être le plus facile dans les villages de 50 ménages ou moins, mais </w:t>
            </w:r>
            <w:r w:rsidR="000D33D5">
              <w:rPr>
                <w:sz w:val="20"/>
                <w:szCs w:val="20"/>
                <w:lang w:val="fr-FR" w:eastAsia="fr-FR"/>
              </w:rPr>
              <w:t xml:space="preserve">peut ne pas être pertinent étant donné le faible nombre de ménages à classer (les observations tendent à correspondre). Un nombre de ménages entre 50 et 150 est plus approprié pour tester l’approche, et s’est révélé gérable. Les villages de plus de 150 ménages étaient multiethniques, et les liens interethniques sont apparus trop faibles pour permettre à une personne d’un groupe ethnique donné de classer un ménage d’un autre groupe ethnique. Le processus s’est également révélé trop prenant pour les personnes-clés et les membres des </w:t>
            </w:r>
            <w:r w:rsidR="000D33D5" w:rsidRPr="000D33D5">
              <w:rPr>
                <w:i/>
                <w:sz w:val="20"/>
                <w:szCs w:val="20"/>
                <w:lang w:val="fr-FR" w:eastAsia="fr-FR"/>
              </w:rPr>
              <w:t>focus group</w:t>
            </w:r>
            <w:r w:rsidR="000D33D5">
              <w:rPr>
                <w:sz w:val="20"/>
                <w:szCs w:val="20"/>
                <w:lang w:val="fr-FR" w:eastAsia="fr-FR"/>
              </w:rPr>
              <w:t xml:space="preserve">. Dans les zones semi-urbaines, la mobilisation communautaire s’est révélée difficile (pas de respect des rendez-vous fixés, manque de ponctualité, faible participation), et de nombreux ménages n’ont pu être classés car ils étaient inconnus des personnes participants aux </w:t>
            </w:r>
            <w:r w:rsidR="000D33D5" w:rsidRPr="000D33D5">
              <w:rPr>
                <w:i/>
                <w:sz w:val="20"/>
                <w:szCs w:val="20"/>
                <w:lang w:val="fr-FR" w:eastAsia="fr-FR"/>
              </w:rPr>
              <w:t>focus group</w:t>
            </w:r>
            <w:r w:rsidR="000D33D5">
              <w:rPr>
                <w:sz w:val="20"/>
                <w:szCs w:val="20"/>
                <w:lang w:val="fr-FR" w:eastAsia="fr-FR"/>
              </w:rPr>
              <w:t>. Que ce soit e zone rural ou semi-urbaine, certaines des personnes-clés choisies par la communauté connaissaient en fait que peu le statut socioéconomique des ménages. Aboutir à un consensus parmi les trois personnes-clés s’est également révélé difficile.</w:t>
            </w:r>
          </w:p>
          <w:p w:rsidR="002E7154" w:rsidRPr="000D33D5" w:rsidRDefault="000D33D5" w:rsidP="0051644E">
            <w:pPr>
              <w:keepNext/>
              <w:keepLines/>
              <w:tabs>
                <w:tab w:val="clear" w:pos="709"/>
              </w:tabs>
              <w:autoSpaceDE w:val="0"/>
              <w:autoSpaceDN w:val="0"/>
              <w:adjustRightInd w:val="0"/>
              <w:spacing w:before="120" w:after="120"/>
              <w:rPr>
                <w:sz w:val="20"/>
                <w:szCs w:val="20"/>
                <w:lang w:val="fr-FR" w:eastAsia="fr-FR"/>
              </w:rPr>
            </w:pPr>
            <w:r w:rsidRPr="000D33D5">
              <w:rPr>
                <w:i/>
                <w:sz w:val="20"/>
                <w:szCs w:val="20"/>
                <w:lang w:val="fr-FR" w:eastAsia="fr-FR"/>
              </w:rPr>
              <w:t>Prochaines étapes</w:t>
            </w:r>
            <w:r>
              <w:rPr>
                <w:sz w:val="20"/>
                <w:szCs w:val="20"/>
                <w:lang w:val="fr-FR" w:eastAsia="fr-FR"/>
              </w:rPr>
              <w:t xml:space="preserve"> – Globalement, le processus a été évalué comme étant rapide (2 heures pour un village de 100 ménages), démocratique (bien qu’une certaine prudence soit requise), et coût-efficace. C’est une méthode alternative ne reposant pas sur les revenus et dépenses monétaires (difficiles à estimer en zones rurales), mais basée sur des critères de pauvreté définis par ceux-là même qui vivent dans la pauvreté. Pour valider la classification, le CRSN a calcul</w:t>
            </w:r>
            <w:r w:rsidR="0051644E">
              <w:rPr>
                <w:sz w:val="20"/>
                <w:szCs w:val="20"/>
                <w:lang w:val="fr-FR" w:eastAsia="fr-FR"/>
              </w:rPr>
              <w:t>é</w:t>
            </w:r>
            <w:r>
              <w:rPr>
                <w:sz w:val="20"/>
                <w:szCs w:val="20"/>
                <w:lang w:val="fr-FR" w:eastAsia="fr-FR"/>
              </w:rPr>
              <w:t xml:space="preserve"> le coefficient kappa pour chaque village. Le prochain défi sera de corréler ces résultats avec les données de l’enquête ménage.</w:t>
            </w:r>
          </w:p>
        </w:tc>
      </w:tr>
    </w:tbl>
    <w:p w:rsidR="004B3541" w:rsidRDefault="002E7154">
      <w:pPr>
        <w:keepLines/>
        <w:spacing w:before="120" w:after="480"/>
        <w:rPr>
          <w:sz w:val="20"/>
          <w:szCs w:val="20"/>
          <w:lang w:val="fr-FR"/>
        </w:rPr>
      </w:pPr>
      <w:r w:rsidRPr="002A45E6">
        <w:rPr>
          <w:i/>
          <w:sz w:val="20"/>
          <w:szCs w:val="20"/>
          <w:lang w:val="fr-FR"/>
        </w:rPr>
        <w:t>Source</w:t>
      </w:r>
      <w:r>
        <w:rPr>
          <w:i/>
          <w:sz w:val="20"/>
          <w:szCs w:val="20"/>
          <w:lang w:val="fr-FR"/>
        </w:rPr>
        <w:t xml:space="preserve"> </w:t>
      </w:r>
      <w:r w:rsidRPr="002A45E6">
        <w:rPr>
          <w:i/>
          <w:sz w:val="20"/>
          <w:szCs w:val="20"/>
          <w:lang w:val="fr-FR"/>
        </w:rPr>
        <w:t>:</w:t>
      </w:r>
      <w:r w:rsidRPr="006A54BF">
        <w:rPr>
          <w:sz w:val="20"/>
          <w:szCs w:val="20"/>
          <w:lang w:val="fr-FR"/>
        </w:rPr>
        <w:t xml:space="preserve"> Savadogo </w:t>
      </w:r>
      <w:r>
        <w:rPr>
          <w:sz w:val="20"/>
          <w:szCs w:val="20"/>
          <w:lang w:val="fr-FR"/>
        </w:rPr>
        <w:t>et</w:t>
      </w:r>
      <w:r w:rsidRPr="006A54BF">
        <w:rPr>
          <w:sz w:val="20"/>
          <w:szCs w:val="20"/>
          <w:lang w:val="fr-FR"/>
        </w:rPr>
        <w:t xml:space="preserve"> So</w:t>
      </w:r>
      <w:r>
        <w:rPr>
          <w:sz w:val="20"/>
          <w:szCs w:val="20"/>
          <w:lang w:val="fr-FR"/>
        </w:rPr>
        <w:t>u</w:t>
      </w:r>
      <w:r w:rsidRPr="006A54BF">
        <w:rPr>
          <w:sz w:val="20"/>
          <w:szCs w:val="20"/>
          <w:lang w:val="fr-FR"/>
        </w:rPr>
        <w:t>ares</w:t>
      </w:r>
      <w:r>
        <w:rPr>
          <w:sz w:val="20"/>
          <w:szCs w:val="20"/>
          <w:lang w:val="fr-FR"/>
        </w:rPr>
        <w:t>, 2009</w:t>
      </w:r>
      <w:r w:rsidRPr="002A45E6">
        <w:rPr>
          <w:sz w:val="20"/>
          <w:szCs w:val="20"/>
          <w:lang w:val="fr-FR"/>
        </w:rPr>
        <w:t>.</w:t>
      </w:r>
    </w:p>
    <w:p w:rsidR="0050199E" w:rsidRPr="00577EB1" w:rsidRDefault="0050199E" w:rsidP="00E52A30">
      <w:pPr>
        <w:widowControl w:val="0"/>
        <w:numPr>
          <w:ilvl w:val="0"/>
          <w:numId w:val="2"/>
        </w:numPr>
        <w:ind w:left="0" w:right="-90" w:firstLine="0"/>
        <w:rPr>
          <w:rFonts w:eastAsia="SimSun"/>
          <w:lang w:val="fr-FR"/>
        </w:rPr>
      </w:pPr>
      <w:r w:rsidRPr="00577EB1">
        <w:rPr>
          <w:rFonts w:eastAsia="SimSun"/>
          <w:b/>
          <w:lang w:val="fr-FR"/>
        </w:rPr>
        <w:t>La question de l’abolition du paiement par l’usager</w:t>
      </w:r>
      <w:r w:rsidRPr="00577EB1">
        <w:rPr>
          <w:rFonts w:eastAsia="SimSun"/>
          <w:bCs/>
          <w:iCs/>
          <w:sz w:val="20"/>
          <w:lang w:val="fr-FR"/>
        </w:rPr>
        <w:t xml:space="preserve"> </w:t>
      </w:r>
      <w:r w:rsidRPr="00577EB1">
        <w:rPr>
          <w:rFonts w:eastAsia="SimSun"/>
          <w:b/>
          <w:lang w:val="fr-FR"/>
        </w:rPr>
        <w:t xml:space="preserve">a connu un regain d’attention. </w:t>
      </w:r>
      <w:r w:rsidRPr="00577EB1">
        <w:rPr>
          <w:rFonts w:eastAsia="SimSun"/>
          <w:bCs/>
          <w:lang w:val="fr-FR"/>
        </w:rPr>
        <w:t xml:space="preserve">Un rapport publié en juin 2009, intitulé </w:t>
      </w:r>
      <w:r w:rsidRPr="00577EB1">
        <w:rPr>
          <w:rFonts w:eastAsia="SimSun"/>
          <w:bCs/>
          <w:i/>
          <w:lang w:val="fr-FR"/>
        </w:rPr>
        <w:t>The Global Campaign for the Health Millennium Development Goals 2009</w:t>
      </w:r>
      <w:r w:rsidR="0007340F">
        <w:rPr>
          <w:rFonts w:eastAsia="SimSun"/>
          <w:bCs/>
          <w:i/>
          <w:lang w:val="fr-FR"/>
        </w:rPr>
        <w:t xml:space="preserve"> </w:t>
      </w:r>
      <w:r w:rsidRPr="00577EB1">
        <w:rPr>
          <w:rFonts w:eastAsia="SimSun"/>
          <w:bCs/>
          <w:i/>
          <w:lang w:val="fr-FR"/>
        </w:rPr>
        <w:t>Leading by Example</w:t>
      </w:r>
      <w:r w:rsidR="0007340F">
        <w:rPr>
          <w:rFonts w:eastAsia="SimSun"/>
          <w:bCs/>
          <w:i/>
          <w:lang w:val="fr-FR"/>
        </w:rPr>
        <w:t xml:space="preserve"> </w:t>
      </w:r>
      <w:r w:rsidRPr="00577EB1">
        <w:rPr>
          <w:rFonts w:eastAsia="SimSun"/>
          <w:bCs/>
          <w:i/>
          <w:lang w:val="fr-FR"/>
        </w:rPr>
        <w:t>Protecting the most vulnerable during the economic crisis</w:t>
      </w:r>
      <w:r w:rsidRPr="00577EB1">
        <w:rPr>
          <w:rFonts w:eastAsia="SimSun"/>
          <w:bCs/>
          <w:lang w:val="fr-FR"/>
        </w:rPr>
        <w:t xml:space="preserve">, approuvé par plusieurs pays, organes et institutions des Nations </w:t>
      </w:r>
      <w:r w:rsidRPr="00577EB1">
        <w:rPr>
          <w:rFonts w:eastAsia="SimSun"/>
          <w:bCs/>
          <w:lang w:val="fr-FR"/>
        </w:rPr>
        <w:lastRenderedPageBreak/>
        <w:t>Unies précisait</w:t>
      </w:r>
      <w:r w:rsidR="0007340F">
        <w:rPr>
          <w:rFonts w:eastAsia="SimSun"/>
          <w:bCs/>
          <w:lang w:val="fr-FR"/>
        </w:rPr>
        <w:t xml:space="preserve"> </w:t>
      </w:r>
      <w:r w:rsidRPr="00577EB1">
        <w:rPr>
          <w:rFonts w:eastAsia="SimSun"/>
          <w:bCs/>
          <w:lang w:val="fr-FR"/>
        </w:rPr>
        <w:t>« Il est de plus en plus manifeste que la mise à disposition d’un ensemble de services de qualité gratuits dans les centres de soins se révèle efficace pour surmonter l’inégalité inévitablement entraînée par les services payants. Cette gratuité est un moyen efficace, pragmatique et équitable d’élargir l’accès aux services de santé à une plus grande partie de la population »</w:t>
      </w:r>
      <w:r w:rsidRPr="00577EB1">
        <w:rPr>
          <w:rFonts w:eastAsia="SimSun"/>
          <w:bCs/>
          <w:i/>
          <w:iCs/>
          <w:lang w:val="fr-FR"/>
        </w:rPr>
        <w:t xml:space="preserve"> </w:t>
      </w:r>
      <w:r w:rsidRPr="00577EB1">
        <w:rPr>
          <w:rFonts w:eastAsia="SimSun"/>
          <w:lang w:val="fr-FR"/>
        </w:rPr>
        <w:t>[cité dans AI 2009]. Au Burkina Faso, deux projets pilotes offrent des services de santé gratuits aux femmes enceintes et allaitantes et aux enfants de moins de 5 ans. Mis en œuvre par les ONG HELP (dans deux districts du Sahel depuis septembre 2007) et Terre des Hommes (dans deux districts du Nord depuis octobre 2008), en collaboration avec les COGES, ces projets ont enregistré des résultats très positifs (</w:t>
      </w:r>
      <w:r w:rsidRPr="00577EB1">
        <w:rPr>
          <w:lang w:val="fr-FR"/>
        </w:rPr>
        <w:t xml:space="preserve">Figure </w:t>
      </w:r>
      <w:r w:rsidR="00847527">
        <w:rPr>
          <w:lang w:val="fr-FR"/>
        </w:rPr>
        <w:t>12</w:t>
      </w:r>
      <w:r w:rsidRPr="00577EB1">
        <w:rPr>
          <w:rFonts w:eastAsia="SimSun"/>
          <w:lang w:val="fr-FR"/>
        </w:rPr>
        <w:t>). Dans le</w:t>
      </w:r>
      <w:r w:rsidR="00E309C1">
        <w:rPr>
          <w:rFonts w:eastAsia="SimSun"/>
          <w:lang w:val="fr-FR"/>
        </w:rPr>
        <w:t>s districts d’intervention</w:t>
      </w:r>
      <w:r w:rsidRPr="00577EB1">
        <w:rPr>
          <w:rFonts w:eastAsia="SimSun"/>
          <w:lang w:val="fr-FR"/>
        </w:rPr>
        <w:t>, l’utilisation des services de santé par les enfants de moins 5 ans a plus que doublé et les accouchements assistés par du personnel qualifié ont augmenté de 50 %, les comparaisons s’étendant sur les 10 mois qui ont précédé et les 10 mois qui ont suivi le projet. Après 10 mois d’intervention, le coût de chaque consultation était estimé à 1 200 francs CFA. Ces initiatives font écho à l’expérience internationale qui suggère que l’abolition du paiement par l’usager est non seulement juste et équitable mais est aussi potentiellement faisable, tant techniquement que financièrement (</w:t>
      </w:r>
      <w:r w:rsidRPr="00577EB1">
        <w:rPr>
          <w:lang w:val="fr-FR"/>
        </w:rPr>
        <w:t>Encadré 1</w:t>
      </w:r>
      <w:r w:rsidR="0051644E">
        <w:rPr>
          <w:lang w:val="fr-FR"/>
        </w:rPr>
        <w:t>3</w:t>
      </w:r>
      <w:r w:rsidRPr="00577EB1">
        <w:rPr>
          <w:rFonts w:eastAsia="SimSun"/>
          <w:lang w:val="fr-FR"/>
        </w:rPr>
        <w:t>).</w:t>
      </w:r>
    </w:p>
    <w:p w:rsidR="0050199E" w:rsidRPr="00577EB1" w:rsidRDefault="00847527" w:rsidP="006F1314">
      <w:pPr>
        <w:pStyle w:val="Heading8"/>
      </w:pPr>
      <w:bookmarkStart w:id="229" w:name="_Ref135727748"/>
      <w:bookmarkStart w:id="230" w:name="_Toc269722141"/>
      <w:bookmarkStart w:id="231" w:name="_Toc262170067"/>
      <w:r w:rsidRPr="00577EB1">
        <w:t xml:space="preserve">Figure </w:t>
      </w:r>
      <w:r w:rsidR="00725419">
        <w:fldChar w:fldCharType="begin"/>
      </w:r>
      <w:r>
        <w:instrText xml:space="preserve"> SEQ Figure \* ARABIC </w:instrText>
      </w:r>
      <w:r w:rsidR="00725419">
        <w:fldChar w:fldCharType="separate"/>
      </w:r>
      <w:r w:rsidR="00EF56B2">
        <w:rPr>
          <w:noProof/>
        </w:rPr>
        <w:t>12</w:t>
      </w:r>
      <w:r w:rsidR="00725419">
        <w:fldChar w:fldCharType="end"/>
      </w:r>
      <w:r>
        <w:t xml:space="preserve"> </w:t>
      </w:r>
      <w:bookmarkEnd w:id="229"/>
      <w:r w:rsidR="0023017C">
        <w:t>:</w:t>
      </w:r>
      <w:r w:rsidR="0007340F">
        <w:t xml:space="preserve"> </w:t>
      </w:r>
      <w:r w:rsidR="0050199E" w:rsidRPr="00577EB1">
        <w:t xml:space="preserve">Nombre moyen de consultations mensuelles d’enfants de moins de 5 ans dans les CSPS des quatre districts d’intervention </w:t>
      </w:r>
      <w:r w:rsidR="00103BE4">
        <w:t xml:space="preserve">HELP et TdH </w:t>
      </w:r>
      <w:r w:rsidR="0050199E" w:rsidRPr="00577EB1">
        <w:t>et des quatre districts de contrôle</w:t>
      </w:r>
      <w:bookmarkEnd w:id="230"/>
      <w:bookmarkEnd w:id="231"/>
    </w:p>
    <w:p w:rsidR="0050199E" w:rsidRPr="00577EB1" w:rsidRDefault="0050199E" w:rsidP="0050199E">
      <w:pPr>
        <w:spacing w:after="0"/>
        <w:ind w:right="-91"/>
        <w:jc w:val="center"/>
        <w:rPr>
          <w:rFonts w:eastAsia="SimSun"/>
          <w:lang w:val="fr-FR"/>
        </w:rPr>
      </w:pPr>
      <w:r w:rsidRPr="00577EB1">
        <w:rPr>
          <w:rFonts w:eastAsia="SimSun"/>
          <w:noProof/>
        </w:rPr>
        <w:drawing>
          <wp:inline distT="0" distB="0" distL="0" distR="0">
            <wp:extent cx="4476750" cy="2714625"/>
            <wp:effectExtent l="19050" t="19050" r="19050" b="2857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476750" cy="2714625"/>
                    </a:xfrm>
                    <a:prstGeom prst="rect">
                      <a:avLst/>
                    </a:prstGeom>
                    <a:noFill/>
                    <a:ln w="6350" cmpd="sng">
                      <a:solidFill>
                        <a:srgbClr val="000000"/>
                      </a:solidFill>
                      <a:miter lim="800000"/>
                      <a:headEnd/>
                      <a:tailEnd/>
                    </a:ln>
                    <a:effectLst/>
                  </pic:spPr>
                </pic:pic>
              </a:graphicData>
            </a:graphic>
          </wp:inline>
        </w:drawing>
      </w:r>
    </w:p>
    <w:p w:rsidR="004B3541" w:rsidRDefault="0050199E">
      <w:pPr>
        <w:keepLines/>
        <w:spacing w:before="120" w:after="480"/>
        <w:ind w:left="992" w:right="-91"/>
        <w:rPr>
          <w:rFonts w:eastAsia="SimSun"/>
          <w:sz w:val="20"/>
          <w:lang w:val="fr-FR"/>
        </w:rPr>
      </w:pPr>
      <w:r w:rsidRPr="00577EB1">
        <w:rPr>
          <w:rFonts w:eastAsia="SimSun"/>
          <w:i/>
          <w:sz w:val="20"/>
          <w:lang w:val="fr-FR"/>
        </w:rPr>
        <w:t>Source</w:t>
      </w:r>
      <w:r w:rsidR="003203FB">
        <w:rPr>
          <w:rFonts w:eastAsia="SimSun"/>
          <w:i/>
          <w:sz w:val="20"/>
          <w:lang w:val="fr-FR"/>
        </w:rPr>
        <w:t> :</w:t>
      </w:r>
      <w:r w:rsidR="0007340F">
        <w:rPr>
          <w:rFonts w:eastAsia="SimSun"/>
          <w:i/>
          <w:sz w:val="20"/>
          <w:lang w:val="fr-FR"/>
        </w:rPr>
        <w:t xml:space="preserve"> </w:t>
      </w:r>
      <w:r w:rsidR="00103BE4">
        <w:rPr>
          <w:rFonts w:eastAsia="SimSun"/>
          <w:sz w:val="20"/>
          <w:lang w:val="fr-FR"/>
        </w:rPr>
        <w:t>Ridde et Queuille</w:t>
      </w:r>
      <w:r w:rsidRPr="00577EB1">
        <w:rPr>
          <w:rFonts w:eastAsia="SimSun"/>
          <w:sz w:val="20"/>
          <w:lang w:val="fr-FR"/>
        </w:rPr>
        <w:t>, 2009.</w:t>
      </w:r>
    </w:p>
    <w:p w:rsidR="0050199E" w:rsidRPr="00577EB1" w:rsidRDefault="005738FE" w:rsidP="006F1314">
      <w:pPr>
        <w:pStyle w:val="Heading9"/>
      </w:pPr>
      <w:bookmarkStart w:id="232" w:name="_Ref135727764"/>
      <w:bookmarkStart w:id="233" w:name="_Toc129060280"/>
      <w:bookmarkStart w:id="234" w:name="_Toc262170084"/>
      <w:bookmarkStart w:id="235" w:name="_Toc269723985"/>
      <w:bookmarkStart w:id="236" w:name="_Toc269724026"/>
      <w:bookmarkStart w:id="237" w:name="_Toc269724132"/>
      <w:bookmarkStart w:id="238" w:name="_Toc284613573"/>
      <w:r w:rsidRPr="005738FE">
        <w:lastRenderedPageBreak/>
        <w:t xml:space="preserve">Encadré </w:t>
      </w:r>
      <w:r w:rsidR="00725419">
        <w:fldChar w:fldCharType="begin"/>
      </w:r>
      <w:r w:rsidRPr="005738FE">
        <w:instrText xml:space="preserve"> SEQ Encadré \* ARABIC </w:instrText>
      </w:r>
      <w:r w:rsidR="00725419">
        <w:fldChar w:fldCharType="separate"/>
      </w:r>
      <w:r w:rsidR="00EF56B2">
        <w:rPr>
          <w:noProof/>
        </w:rPr>
        <w:t>13</w:t>
      </w:r>
      <w:r w:rsidR="00725419">
        <w:fldChar w:fldCharType="end"/>
      </w:r>
      <w:bookmarkEnd w:id="232"/>
      <w:r w:rsidR="003203FB">
        <w:t> :</w:t>
      </w:r>
      <w:r w:rsidR="0007340F">
        <w:t xml:space="preserve"> </w:t>
      </w:r>
      <w:r w:rsidR="0050199E" w:rsidRPr="00577EB1">
        <w:t>Le débat sur le paiement par l’usager</w:t>
      </w:r>
      <w:bookmarkEnd w:id="233"/>
      <w:bookmarkEnd w:id="234"/>
      <w:bookmarkEnd w:id="235"/>
      <w:bookmarkEnd w:id="236"/>
      <w:bookmarkEnd w:id="237"/>
      <w:bookmarkEnd w:id="23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005"/>
      </w:tblGrid>
      <w:tr w:rsidR="0050199E" w:rsidRPr="008E7B13" w:rsidTr="0050199E">
        <w:tc>
          <w:tcPr>
            <w:tcW w:w="9180" w:type="dxa"/>
          </w:tcPr>
          <w:p w:rsidR="0050199E" w:rsidRPr="00577EB1" w:rsidRDefault="0050199E" w:rsidP="0050199E">
            <w:pPr>
              <w:keepNext/>
              <w:autoSpaceDE w:val="0"/>
              <w:autoSpaceDN w:val="0"/>
              <w:adjustRightInd w:val="0"/>
              <w:spacing w:before="120" w:after="0"/>
              <w:rPr>
                <w:rFonts w:eastAsia="SimSun"/>
                <w:sz w:val="20"/>
                <w:lang w:val="fr-FR"/>
              </w:rPr>
            </w:pPr>
            <w:r w:rsidRPr="00577EB1">
              <w:rPr>
                <w:rFonts w:eastAsia="SimSun"/>
                <w:b/>
                <w:i/>
                <w:sz w:val="20"/>
                <w:lang w:val="fr-FR"/>
              </w:rPr>
              <w:t xml:space="preserve">Partout dans le monde, le </w:t>
            </w:r>
            <w:r w:rsidRPr="00577EB1">
              <w:rPr>
                <w:rFonts w:eastAsia="SimSun"/>
                <w:b/>
                <w:bCs/>
                <w:i/>
                <w:iCs/>
                <w:sz w:val="20"/>
                <w:lang w:val="fr-FR"/>
              </w:rPr>
              <w:t>paiement par l’usager</w:t>
            </w:r>
            <w:r w:rsidRPr="00577EB1">
              <w:rPr>
                <w:rFonts w:eastAsia="SimSun"/>
                <w:b/>
                <w:i/>
                <w:sz w:val="20"/>
                <w:lang w:val="fr-FR"/>
              </w:rPr>
              <w:t xml:space="preserve"> est de plus en plus remis en question</w:t>
            </w:r>
            <w:r w:rsidRPr="00577EB1">
              <w:rPr>
                <w:rFonts w:eastAsia="SimSun"/>
                <w:b/>
                <w:iCs/>
                <w:sz w:val="20"/>
                <w:lang w:val="fr-FR"/>
              </w:rPr>
              <w:t xml:space="preserve">. </w:t>
            </w:r>
            <w:r w:rsidRPr="00577EB1">
              <w:rPr>
                <w:rFonts w:eastAsia="SimSun"/>
                <w:bCs/>
                <w:iCs/>
                <w:sz w:val="20"/>
                <w:lang w:val="fr-FR"/>
              </w:rPr>
              <w:t xml:space="preserve">Des recherches menées au Mali, au Burkina Fao et ailleurs ont montré que le paiement par l’usager réduit l’accès des populations vulnérables aux soins de santé, conduisant à une réduction de l’utilisation des services, en particulier chez les femmes et dans les groupes les plus pauvres [James et coll. 2006 cité dans Ridde et Haddad 2009]. Dans son rapport annuel de 2008, l’Organisation mondiale de la santé (OMS) presse les pays de « résister à la tentation de </w:t>
            </w:r>
            <w:r w:rsidRPr="00577EB1">
              <w:rPr>
                <w:rFonts w:eastAsia="SimSun"/>
                <w:bCs/>
                <w:iCs/>
                <w:sz w:val="20"/>
                <w:szCs w:val="24"/>
                <w:lang w:val="fr-FR"/>
              </w:rPr>
              <w:t>faire payer l’usager</w:t>
            </w:r>
            <w:r w:rsidRPr="00577EB1">
              <w:rPr>
                <w:rFonts w:ascii="HelveticaNeueLTStd-Cn" w:hAnsi="HelveticaNeueLTStd-Cn" w:cs="HelveticaNeueLTStd-Cn"/>
                <w:sz w:val="16"/>
                <w:szCs w:val="16"/>
                <w:lang w:val="fr-FR"/>
              </w:rPr>
              <w:t> </w:t>
            </w:r>
            <w:r w:rsidRPr="00577EB1">
              <w:rPr>
                <w:rFonts w:eastAsia="SimSun"/>
                <w:sz w:val="20"/>
                <w:lang w:val="fr-FR"/>
              </w:rPr>
              <w:t xml:space="preserve">» [2009:26]. Le </w:t>
            </w:r>
            <w:r w:rsidRPr="00577EB1">
              <w:rPr>
                <w:rFonts w:eastAsia="SimSun"/>
                <w:bCs/>
                <w:iCs/>
                <w:sz w:val="20"/>
                <w:lang w:val="fr-FR"/>
              </w:rPr>
              <w:t>paiement par l’usager</w:t>
            </w:r>
            <w:r w:rsidRPr="00577EB1">
              <w:rPr>
                <w:rFonts w:eastAsia="SimSun"/>
                <w:sz w:val="20"/>
                <w:lang w:val="fr-FR"/>
              </w:rPr>
              <w:t xml:space="preserve"> a été supprimé avec succès en Ouganda, au Ghana, en Afrique du Sud, à Madagascar et au Niger. En Ouganda, l’abolition du </w:t>
            </w:r>
            <w:r w:rsidRPr="00577EB1">
              <w:rPr>
                <w:rFonts w:eastAsia="SimSun"/>
                <w:bCs/>
                <w:iCs/>
                <w:sz w:val="20"/>
                <w:lang w:val="fr-FR"/>
              </w:rPr>
              <w:t>paiement par l’usager</w:t>
            </w:r>
            <w:r w:rsidRPr="00577EB1">
              <w:rPr>
                <w:rFonts w:eastAsia="SimSun"/>
                <w:sz w:val="20"/>
                <w:lang w:val="fr-FR"/>
              </w:rPr>
              <w:t xml:space="preserve"> à fait doubler le nombre de personnes fréquentant les cliniques et plus que doubler les taux de vaccination des enfants. James et coll. [2005] estiment que plus que 230 000 vies d’enfants pourraient être sauvées chaque année si les frais étaient abolis dans 20 pays africains. Un nombre croissant de bailleurs de fonds appuient les États désireux d’abolir le paiement par l’usager pour les services de santé de base [DfID 2006</w:t>
            </w:r>
            <w:r w:rsidR="005738FE">
              <w:rPr>
                <w:rFonts w:eastAsia="SimSun"/>
                <w:sz w:val="20"/>
                <w:lang w:val="fr-FR"/>
              </w:rPr>
              <w:t>,</w:t>
            </w:r>
            <w:r w:rsidR="0007340F">
              <w:rPr>
                <w:rFonts w:eastAsia="SimSun"/>
                <w:sz w:val="20"/>
                <w:lang w:val="fr-FR"/>
              </w:rPr>
              <w:t xml:space="preserve"> </w:t>
            </w:r>
            <w:r w:rsidRPr="00577EB1">
              <w:rPr>
                <w:rFonts w:eastAsia="SimSun"/>
                <w:sz w:val="20"/>
                <w:lang w:val="fr-FR"/>
              </w:rPr>
              <w:t>Ridde et Haddad 2009].</w:t>
            </w:r>
          </w:p>
          <w:p w:rsidR="0050199E" w:rsidRPr="00577EB1" w:rsidRDefault="0050199E" w:rsidP="0050199E">
            <w:pPr>
              <w:spacing w:before="120" w:after="0"/>
              <w:rPr>
                <w:rFonts w:eastAsia="SimSun"/>
                <w:sz w:val="20"/>
                <w:lang w:val="fr-FR"/>
              </w:rPr>
            </w:pPr>
            <w:r w:rsidRPr="00577EB1">
              <w:rPr>
                <w:rFonts w:eastAsia="SimSun"/>
                <w:b/>
                <w:i/>
                <w:iCs/>
                <w:sz w:val="20"/>
                <w:lang w:val="fr-FR"/>
              </w:rPr>
              <w:t>Maintenant, s’il est clair que le paiement par l’usager doit être supprimé, on ne sait pas vraiment comment y parvenir</w:t>
            </w:r>
            <w:r w:rsidRPr="00577EB1">
              <w:rPr>
                <w:rFonts w:eastAsia="SimSun"/>
                <w:b/>
                <w:i/>
                <w:sz w:val="20"/>
                <w:lang w:val="fr-FR"/>
              </w:rPr>
              <w:t>.</w:t>
            </w:r>
            <w:r w:rsidRPr="00577EB1">
              <w:rPr>
                <w:rFonts w:eastAsia="SimSun"/>
                <w:b/>
                <w:iCs/>
                <w:sz w:val="20"/>
                <w:lang w:val="fr-FR"/>
              </w:rPr>
              <w:t xml:space="preserve"> </w:t>
            </w:r>
            <w:r w:rsidRPr="00577EB1">
              <w:rPr>
                <w:rFonts w:eastAsia="SimSun"/>
                <w:bCs/>
                <w:iCs/>
                <w:sz w:val="20"/>
                <w:lang w:val="fr-FR"/>
              </w:rPr>
              <w:t>Une étude récente sur l’effet de la suppression du paiement direct des soins de santé sur l’utilisation et les résultats de la santé chez les enfants ghanéens [A</w:t>
            </w:r>
            <w:r w:rsidRPr="00577EB1">
              <w:rPr>
                <w:rFonts w:eastAsia="SimSun"/>
                <w:bCs/>
                <w:sz w:val="20"/>
                <w:lang w:val="fr-FR"/>
              </w:rPr>
              <w:t>nsah et coll. 2009</w:t>
            </w:r>
            <w:r w:rsidRPr="00577EB1">
              <w:rPr>
                <w:rFonts w:eastAsia="SimSun"/>
                <w:sz w:val="20"/>
                <w:lang w:val="fr-FR"/>
              </w:rPr>
              <w:t xml:space="preserve"> cité dans Ridde et Haddad 2009] a montré que les systèmes de prépaiement ne sont pas pro-pauvres parce que les plus démunis y sont rarement inscrits. Ridde et Haddad [2009] ont souligné que les systèmes locaux d’</w:t>
            </w:r>
            <w:r w:rsidR="009E77FE" w:rsidRPr="00577EB1">
              <w:rPr>
                <w:rFonts w:eastAsia="SimSun"/>
                <w:sz w:val="20"/>
                <w:lang w:val="fr-FR"/>
              </w:rPr>
              <w:t>assurance maladie</w:t>
            </w:r>
            <w:r w:rsidRPr="00577EB1">
              <w:rPr>
                <w:rFonts w:eastAsia="SimSun"/>
                <w:sz w:val="20"/>
                <w:lang w:val="fr-FR"/>
              </w:rPr>
              <w:t xml:space="preserve"> ont atteint leur limites en Afrique, où le taux de pénétration, après plus que 15 ans de promotion, demeure très bas (5 %). Ils ont aussi fait état de l’écart considérable</w:t>
            </w:r>
            <w:r w:rsidR="0007340F">
              <w:rPr>
                <w:rFonts w:eastAsia="SimSun"/>
                <w:sz w:val="20"/>
                <w:lang w:val="fr-FR"/>
              </w:rPr>
              <w:t xml:space="preserve"> </w:t>
            </w:r>
            <w:r w:rsidRPr="00577EB1">
              <w:rPr>
                <w:rFonts w:eastAsia="SimSun"/>
                <w:sz w:val="20"/>
                <w:lang w:val="fr-FR"/>
              </w:rPr>
              <w:t>« l’enthousiasme généré par les systèmes de prépaiement et l’évidence scientifique en faveur de leur utilisation »</w:t>
            </w:r>
            <w:r w:rsidRPr="00577EB1">
              <w:rPr>
                <w:rFonts w:eastAsia="SimSun"/>
                <w:i/>
                <w:sz w:val="20"/>
                <w:lang w:val="fr-FR"/>
              </w:rPr>
              <w:t>.</w:t>
            </w:r>
            <w:r w:rsidRPr="00577EB1">
              <w:rPr>
                <w:rFonts w:eastAsia="SimSun"/>
                <w:sz w:val="20"/>
                <w:lang w:val="fr-FR"/>
              </w:rPr>
              <w:t xml:space="preserve"> Cependant, tant qu’il n’y aura pas de preuves que les systèmes d’</w:t>
            </w:r>
            <w:r w:rsidR="009E77FE" w:rsidRPr="00577EB1">
              <w:rPr>
                <w:rFonts w:eastAsia="SimSun"/>
                <w:sz w:val="20"/>
                <w:lang w:val="fr-FR"/>
              </w:rPr>
              <w:t>assurance maladie</w:t>
            </w:r>
            <w:r w:rsidRPr="00577EB1">
              <w:rPr>
                <w:rFonts w:eastAsia="SimSun"/>
                <w:sz w:val="20"/>
                <w:lang w:val="fr-FR"/>
              </w:rPr>
              <w:t xml:space="preserve"> sont inefficaces, ils plaident pour que la protection des familles contre des coûts de santé catastrophiques, et la suppression des obstacles financiers aux soins de santé soient une priorité du système de santé.</w:t>
            </w:r>
          </w:p>
          <w:p w:rsidR="0050199E" w:rsidRPr="00577EB1" w:rsidRDefault="0050199E" w:rsidP="0050199E">
            <w:pPr>
              <w:spacing w:before="120" w:after="120"/>
              <w:rPr>
                <w:rFonts w:eastAsia="SimSun"/>
                <w:lang w:val="fr-FR"/>
              </w:rPr>
            </w:pPr>
            <w:r w:rsidRPr="00577EB1">
              <w:rPr>
                <w:rFonts w:eastAsia="SimSun"/>
                <w:b/>
                <w:i/>
                <w:sz w:val="20"/>
                <w:lang w:val="fr-FR"/>
              </w:rPr>
              <w:t xml:space="preserve">Des études récentes et en cours sur l’abolition </w:t>
            </w:r>
            <w:r w:rsidRPr="00577EB1">
              <w:rPr>
                <w:rFonts w:eastAsia="SimSun"/>
                <w:b/>
                <w:i/>
                <w:iCs/>
                <w:sz w:val="20"/>
                <w:lang w:val="fr-FR"/>
              </w:rPr>
              <w:t>du</w:t>
            </w:r>
            <w:r w:rsidRPr="00577EB1">
              <w:rPr>
                <w:rFonts w:eastAsia="SimSun"/>
                <w:b/>
                <w:i/>
                <w:sz w:val="20"/>
                <w:lang w:val="fr-FR"/>
              </w:rPr>
              <w:t xml:space="preserve"> paiement par l’usager pourraient éclairer le débat.</w:t>
            </w:r>
            <w:r w:rsidRPr="00577EB1">
              <w:rPr>
                <w:rFonts w:eastAsia="SimSun"/>
                <w:bCs/>
                <w:iCs/>
                <w:sz w:val="20"/>
                <w:lang w:val="fr-FR"/>
              </w:rPr>
              <w:t xml:space="preserve"> En étudiant les effets de la mise en œuvre de l’Initiative de Bamako dans un district du Burkina Faso,</w:t>
            </w:r>
            <w:r w:rsidRPr="00577EB1">
              <w:rPr>
                <w:rFonts w:eastAsia="SimSun"/>
                <w:sz w:val="20"/>
                <w:lang w:val="fr-FR"/>
              </w:rPr>
              <w:t xml:space="preserve"> Ridde [2003] a trouvé que le district considéré était en mesure d’absorber le coût financier des soins aux pauvres et que la communauté était capable d’identifier ces derniers. Il a donc recommandé que l’État introduise des mesures incitatives pour que les communautés acceptent d’appliquer un système de santé plus équitable. Une étude de suivi de 3 ans, lancée en 2008, vérifiera la faisabilité et l’efficacité de différents modèles visant à garantir les soins de santé aux plus pauvres (ciblage communautaire avec ou sans un pourcentage de bénéficiaires imposé, financement endogène/exogène, etc.) Cette étude doit mener à la préparation d’un guide pratique pour la mise en œuvre des exemptions de frais dans d’autres parties du pays. En juin 2009, un programme de recherche de trois ans (financé par la DRDI et le FAD) a été lancé pour documenter les politiques d’abolition du paiement par l’usager au Mali, au Niger et au Burkina Faso, à travers une approche interdisciplinaire (anthropologie, sciences politiques, épidémiologie et santé publique).</w:t>
            </w:r>
          </w:p>
        </w:tc>
      </w:tr>
    </w:tbl>
    <w:p w:rsidR="004B3541" w:rsidRDefault="0050199E">
      <w:pPr>
        <w:pStyle w:val="Source"/>
        <w:spacing w:before="120" w:after="480"/>
      </w:pPr>
      <w:r w:rsidRPr="00577EB1">
        <w:t>Source</w:t>
      </w:r>
      <w:r w:rsidR="003203FB">
        <w:t> :</w:t>
      </w:r>
      <w:r w:rsidR="0007340F">
        <w:t xml:space="preserve"> </w:t>
      </w:r>
      <w:r w:rsidR="00EB214A" w:rsidRPr="00EB214A">
        <w:rPr>
          <w:i w:val="0"/>
        </w:rPr>
        <w:t>Auteurs.</w:t>
      </w:r>
    </w:p>
    <w:p w:rsidR="0050199E" w:rsidRPr="00577EB1" w:rsidRDefault="0050199E" w:rsidP="00E52A30">
      <w:pPr>
        <w:widowControl w:val="0"/>
        <w:numPr>
          <w:ilvl w:val="0"/>
          <w:numId w:val="2"/>
        </w:numPr>
        <w:ind w:left="0" w:right="-90" w:firstLine="0"/>
        <w:rPr>
          <w:rFonts w:eastAsia="SimSun"/>
          <w:lang w:val="fr-FR"/>
        </w:rPr>
      </w:pPr>
      <w:r w:rsidRPr="00577EB1">
        <w:rPr>
          <w:rFonts w:eastAsia="SimSun"/>
          <w:b/>
          <w:lang w:val="fr-FR"/>
        </w:rPr>
        <w:t>De recherches supplémentaires sont nécessaires pour répondre aux trois questions clés suivantes</w:t>
      </w:r>
      <w:r w:rsidR="0007340F">
        <w:rPr>
          <w:rFonts w:eastAsia="SimSun"/>
          <w:b/>
          <w:lang w:val="fr-FR"/>
        </w:rPr>
        <w:t xml:space="preserve"> </w:t>
      </w:r>
      <w:r w:rsidRPr="00577EB1">
        <w:rPr>
          <w:rFonts w:eastAsia="SimSun"/>
          <w:b/>
          <w:lang w:val="fr-FR"/>
        </w:rPr>
        <w:t>i) si l’État veut abolir le paiement par l’usager, comment y parvenir</w:t>
      </w:r>
      <w:r w:rsidR="0007340F">
        <w:rPr>
          <w:rFonts w:eastAsia="SimSun"/>
          <w:b/>
          <w:lang w:val="fr-FR"/>
        </w:rPr>
        <w:t xml:space="preserve"> </w:t>
      </w:r>
      <w:r w:rsidRPr="00577EB1">
        <w:rPr>
          <w:rFonts w:eastAsia="SimSun"/>
          <w:b/>
          <w:lang w:val="fr-FR"/>
        </w:rPr>
        <w:t>ii) comment les partenaires peuvent-ils appuyer l’État</w:t>
      </w:r>
      <w:r w:rsidR="0007340F">
        <w:rPr>
          <w:rFonts w:eastAsia="SimSun"/>
          <w:b/>
          <w:lang w:val="fr-FR"/>
        </w:rPr>
        <w:t xml:space="preserve"> </w:t>
      </w:r>
      <w:r w:rsidRPr="00577EB1">
        <w:rPr>
          <w:rFonts w:eastAsia="SimSun"/>
          <w:b/>
          <w:lang w:val="fr-FR"/>
        </w:rPr>
        <w:t>et iii) comment l’abolition du paiement par l’usager peut-elle être le point de départ d’une amélioration de la qualité des services</w:t>
      </w:r>
      <w:r w:rsidR="0007340F">
        <w:rPr>
          <w:rFonts w:eastAsia="SimSun"/>
          <w:b/>
          <w:lang w:val="fr-FR"/>
        </w:rPr>
        <w:t xml:space="preserve"> </w:t>
      </w:r>
      <w:r w:rsidRPr="00577EB1">
        <w:rPr>
          <w:rFonts w:eastAsia="SimSun"/>
          <w:bCs/>
          <w:lang w:val="fr-FR"/>
        </w:rPr>
        <w:t>Des synergies sont possibles entre l’abolition du paiement par l’usager et un financement basé sur les résultats. Améliorés, les mécanismes de subvention du SONU pourraient être un premier pas en direction d’un financement basé sur la performance. Le PADS</w:t>
      </w:r>
      <w:r w:rsidRPr="00577EB1">
        <w:rPr>
          <w:rFonts w:eastAsia="SimSun"/>
          <w:vertAlign w:val="superscript"/>
          <w:lang w:val="fr-FR"/>
        </w:rPr>
        <w:footnoteReference w:id="49"/>
      </w:r>
      <w:r w:rsidRPr="00577EB1">
        <w:rPr>
          <w:rFonts w:eastAsia="SimSun"/>
          <w:lang w:val="fr-FR"/>
        </w:rPr>
        <w:t xml:space="preserve"> travaille déjà au renforcement de ses capacités à adopter le </w:t>
      </w:r>
      <w:r w:rsidRPr="00577EB1">
        <w:rPr>
          <w:rFonts w:eastAsia="SimSun"/>
          <w:lang w:val="fr-FR"/>
        </w:rPr>
        <w:lastRenderedPageBreak/>
        <w:t xml:space="preserve">financement basé sur les résultats. Néanmoins, l’abolition du paiement par l’usager n’est pas simple et la dimension technique de n’importe quelle réforme ne doit pas être sous-estimée. Le point de vue de la santé publique ne doit pas être perdu (par exemple, la nécessité d’un système de référence, les moyens de transport et les coûts d’opportunité) pour assurer un impact réel sur l’OMD 5. Il faut garder en mémoire que l’abolition du paiement par l’usager ne lève pas tous les obstacles liés à la demande et que d’autres actions doivent être entreprises. Le véritable effet d’une telle réforme pourrait être lié à l’offre (si des mécanismes efficaces de paiement basés sur les résultats sont encouragés). Les incitations liées à l’offre méritent une attention sérieuse [Meessen 2009], et les expériences menées au Rwanda, en Uganda, au Burundi et au Niger ont beaucoup à offrir. </w:t>
      </w:r>
    </w:p>
    <w:p w:rsidR="0050199E" w:rsidRPr="00577EB1" w:rsidRDefault="0050199E" w:rsidP="00E52A30">
      <w:pPr>
        <w:widowControl w:val="0"/>
        <w:numPr>
          <w:ilvl w:val="0"/>
          <w:numId w:val="2"/>
        </w:numPr>
        <w:ind w:left="0" w:right="-90" w:firstLine="0"/>
        <w:rPr>
          <w:rFonts w:eastAsia="SimSun"/>
          <w:lang w:val="fr-FR"/>
        </w:rPr>
      </w:pPr>
      <w:r w:rsidRPr="00577EB1">
        <w:rPr>
          <w:rFonts w:eastAsia="SimSun"/>
          <w:b/>
          <w:lang w:val="fr-FR"/>
        </w:rPr>
        <w:t xml:space="preserve">Le débat autour de l’abolition ou de l’expansion de l’exemption des frais implique de reconsidérer la stratégie et le financement du secteur de la santé ainsi que l’ensemble de ses mesures de protection sociale. </w:t>
      </w:r>
      <w:r w:rsidRPr="00577EB1">
        <w:rPr>
          <w:rFonts w:eastAsia="SimSun"/>
          <w:bCs/>
          <w:lang w:val="fr-FR"/>
        </w:rPr>
        <w:t>Les initiatives décrites plus haut sont mises en œuvre parallèlement à d’autres mesures de protection sociale qui visent à garantir l’accès aux services de santé à tous. Premièrement, il y a les subventions universelles de certains services de santé, telles que les subventions du SONU coordonnées par le ministère de la Santé. Des mécanismes de communication et des compensations financières fiables n’ont pas encore été élaboré en vue d’une meilleure efficacité de ces mesures. Deuxièmement, le projet d’établissement d’un système national d’</w:t>
      </w:r>
      <w:r w:rsidR="009E77FE" w:rsidRPr="00577EB1">
        <w:rPr>
          <w:rFonts w:eastAsia="SimSun"/>
          <w:bCs/>
          <w:lang w:val="fr-FR"/>
        </w:rPr>
        <w:t>assurance maladie</w:t>
      </w:r>
      <w:r w:rsidRPr="00577EB1">
        <w:rPr>
          <w:rFonts w:eastAsia="SimSun"/>
          <w:bCs/>
          <w:lang w:val="fr-FR"/>
        </w:rPr>
        <w:t xml:space="preserve"> vise à assurer l’accès aux services de santé à une grande partie de la population en 2015</w:t>
      </w:r>
      <w:r w:rsidR="0007340F">
        <w:rPr>
          <w:rFonts w:eastAsia="SimSun"/>
          <w:bCs/>
          <w:lang w:val="fr-FR"/>
        </w:rPr>
        <w:t xml:space="preserve"> </w:t>
      </w:r>
      <w:r w:rsidRPr="00577EB1">
        <w:rPr>
          <w:rFonts w:eastAsia="SimSun"/>
          <w:bCs/>
          <w:lang w:val="fr-FR"/>
        </w:rPr>
        <w:t>en subventionnant les contributions des plus pauvres</w:t>
      </w:r>
      <w:r w:rsidR="0007340F">
        <w:rPr>
          <w:rFonts w:eastAsia="SimSun"/>
          <w:bCs/>
          <w:lang w:val="fr-FR"/>
        </w:rPr>
        <w:t xml:space="preserve"> </w:t>
      </w:r>
      <w:r w:rsidRPr="00577EB1">
        <w:rPr>
          <w:rFonts w:eastAsia="SimSun"/>
          <w:bCs/>
          <w:lang w:val="fr-FR"/>
        </w:rPr>
        <w:t>et un comité interministériel est chargé d’explorer les moyens de mettre en place un tel système. Un premier pas particulièrement important consistera, dans le cadre de la stratégie nationale de santé, à définir l’ensemble minimal des soins qui seront couverts par le système d’assurance. Comment financer le système (en particulier s’il est supposé couvrir toute la population) et comment identifier les personnes qui auraient droit à une exemption de leur contribution sont des questions difficiles qui n’ont pas encore été étudiées. Ainsi, en revoyant le financement et les mesures de protection sociale du système de santé, les points critiques suivants doivent être considérés :</w:t>
      </w:r>
    </w:p>
    <w:p w:rsidR="0050199E" w:rsidRPr="00577EB1" w:rsidRDefault="0050199E" w:rsidP="00E52A30">
      <w:pPr>
        <w:numPr>
          <w:ilvl w:val="0"/>
          <w:numId w:val="16"/>
        </w:numPr>
        <w:tabs>
          <w:tab w:val="clear" w:pos="709"/>
        </w:tabs>
        <w:spacing w:before="120" w:after="0"/>
        <w:ind w:left="709" w:right="-90" w:hanging="709"/>
        <w:rPr>
          <w:rFonts w:eastAsia="SimSun"/>
          <w:lang w:val="fr-FR"/>
        </w:rPr>
      </w:pPr>
      <w:r w:rsidRPr="00577EB1">
        <w:rPr>
          <w:rFonts w:eastAsia="SimSun"/>
          <w:lang w:val="fr-FR"/>
        </w:rPr>
        <w:t>Quel modèle faudrait-il promouvoir et quel rôle accorder à chacune des différentes approches actuellement testées ou envisagées</w:t>
      </w:r>
      <w:r w:rsidR="0007340F">
        <w:rPr>
          <w:rFonts w:eastAsia="SimSun"/>
          <w:lang w:val="fr-FR"/>
        </w:rPr>
        <w:t xml:space="preserve"> </w:t>
      </w:r>
      <w:r w:rsidRPr="00577EB1">
        <w:rPr>
          <w:rFonts w:eastAsia="SimSun"/>
          <w:lang w:val="fr-FR"/>
        </w:rPr>
        <w:t xml:space="preserve">subvention des soins de santé (MdS), </w:t>
      </w:r>
      <w:r w:rsidR="009E77FE" w:rsidRPr="00577EB1">
        <w:rPr>
          <w:rFonts w:eastAsia="SimSun"/>
          <w:lang w:val="fr-FR"/>
        </w:rPr>
        <w:t>assurance maladie</w:t>
      </w:r>
      <w:r w:rsidRPr="00577EB1">
        <w:rPr>
          <w:rFonts w:eastAsia="SimSun"/>
          <w:lang w:val="fr-FR"/>
        </w:rPr>
        <w:t xml:space="preserve"> (MTSS), exemption des frais pour les indigents (MASSN), exemptions des frais pour les groupes vulnérables (NGO), Transferts monétaires (CNLS), etc.?</w:t>
      </w:r>
    </w:p>
    <w:p w:rsidR="0050199E" w:rsidRPr="00577EB1" w:rsidRDefault="0050199E" w:rsidP="00E52A30">
      <w:pPr>
        <w:numPr>
          <w:ilvl w:val="0"/>
          <w:numId w:val="16"/>
        </w:numPr>
        <w:tabs>
          <w:tab w:val="clear" w:pos="709"/>
        </w:tabs>
        <w:spacing w:before="120" w:after="0"/>
        <w:ind w:left="709" w:right="-90" w:hanging="709"/>
        <w:rPr>
          <w:rFonts w:eastAsia="SimSun"/>
          <w:lang w:val="fr-FR"/>
        </w:rPr>
      </w:pPr>
      <w:r w:rsidRPr="00577EB1">
        <w:rPr>
          <w:rFonts w:eastAsia="SimSun"/>
          <w:lang w:val="fr-FR"/>
        </w:rPr>
        <w:t>Comment financer le secteur de la santé</w:t>
      </w:r>
      <w:r w:rsidR="0007340F">
        <w:rPr>
          <w:rFonts w:eastAsia="SimSun"/>
          <w:lang w:val="fr-FR"/>
        </w:rPr>
        <w:t xml:space="preserve"> </w:t>
      </w:r>
      <w:r w:rsidRPr="00577EB1">
        <w:rPr>
          <w:rFonts w:eastAsia="SimSun"/>
          <w:lang w:val="fr-FR"/>
        </w:rPr>
        <w:t>paiement par l’usager (actuellement les ménages burkinabés sont la principale source de financement, contribuant à hauteur de 40 %), réallocation de la dépense nationale, nouvelles sources de financement (par exemple, une taxe sur les téléphones mobiles), financement international, etc. ?</w:t>
      </w:r>
    </w:p>
    <w:p w:rsidR="0050199E" w:rsidRPr="00577EB1" w:rsidRDefault="0050199E" w:rsidP="00E52A30">
      <w:pPr>
        <w:numPr>
          <w:ilvl w:val="0"/>
          <w:numId w:val="16"/>
        </w:numPr>
        <w:tabs>
          <w:tab w:val="clear" w:pos="709"/>
        </w:tabs>
        <w:spacing w:before="120"/>
        <w:ind w:left="709" w:right="-90" w:hanging="709"/>
        <w:rPr>
          <w:rFonts w:eastAsia="SimSun"/>
          <w:lang w:val="fr-FR"/>
        </w:rPr>
      </w:pPr>
      <w:r w:rsidRPr="00577EB1">
        <w:rPr>
          <w:rFonts w:eastAsia="SimSun"/>
          <w:lang w:val="fr-FR"/>
        </w:rPr>
        <w:t>Quels mécanismes de mise en œuvre</w:t>
      </w:r>
      <w:r w:rsidR="0007340F">
        <w:rPr>
          <w:rFonts w:eastAsia="SimSun"/>
          <w:lang w:val="fr-FR"/>
        </w:rPr>
        <w:t xml:space="preserve"> </w:t>
      </w:r>
      <w:r w:rsidRPr="00577EB1">
        <w:rPr>
          <w:rFonts w:eastAsia="SimSun"/>
          <w:lang w:val="fr-FR"/>
        </w:rPr>
        <w:t>identification de l’indigent, indemnisation financière des centres de santé, etc. ?</w:t>
      </w:r>
    </w:p>
    <w:p w:rsidR="001E4944" w:rsidRPr="00577EB1" w:rsidRDefault="001E4944" w:rsidP="0050199E">
      <w:pPr>
        <w:tabs>
          <w:tab w:val="clear" w:pos="709"/>
        </w:tabs>
        <w:spacing w:before="120"/>
        <w:ind w:left="709"/>
        <w:rPr>
          <w:highlight w:val="yellow"/>
          <w:lang w:val="fr-FR"/>
        </w:rPr>
      </w:pPr>
    </w:p>
    <w:p w:rsidR="00D6364C" w:rsidRPr="00577EB1" w:rsidRDefault="00BD07EE" w:rsidP="00E52A30">
      <w:pPr>
        <w:pStyle w:val="Heading1"/>
        <w:numPr>
          <w:ilvl w:val="0"/>
          <w:numId w:val="11"/>
        </w:numPr>
        <w:rPr>
          <w:bCs/>
          <w:caps w:val="0"/>
        </w:rPr>
      </w:pPr>
      <w:bookmarkStart w:id="239" w:name="_Toc262169640"/>
      <w:bookmarkStart w:id="240" w:name="_Toc264748739"/>
      <w:r>
        <w:rPr>
          <w:bCs/>
          <w:caps w:val="0"/>
        </w:rPr>
        <w:lastRenderedPageBreak/>
        <w:t xml:space="preserve">CHAPITRE V : </w:t>
      </w:r>
      <w:r w:rsidR="00D6364C" w:rsidRPr="00577EB1">
        <w:rPr>
          <w:bCs/>
          <w:caps w:val="0"/>
        </w:rPr>
        <w:t xml:space="preserve">RECOMMANDATIONS POUR UNE PLUS GRANDE EFFICACITÉ DU SYSTEME DE </w:t>
      </w:r>
      <w:bookmarkEnd w:id="239"/>
      <w:r w:rsidR="00D6364C" w:rsidRPr="00577EB1">
        <w:rPr>
          <w:bCs/>
          <w:caps w:val="0"/>
        </w:rPr>
        <w:t>FILETS SOCIAUX</w:t>
      </w:r>
      <w:bookmarkEnd w:id="240"/>
    </w:p>
    <w:p w:rsidR="00D6364C" w:rsidRPr="004E781B" w:rsidRDefault="00D6364C" w:rsidP="00D6364C">
      <w:pPr>
        <w:rPr>
          <w:b/>
          <w:bCs/>
          <w:i/>
          <w:iCs/>
          <w:szCs w:val="24"/>
          <w:lang w:val="fr-FR"/>
        </w:rPr>
      </w:pPr>
      <w:r w:rsidRPr="004E781B">
        <w:rPr>
          <w:b/>
          <w:bCs/>
          <w:i/>
          <w:iCs/>
          <w:szCs w:val="24"/>
          <w:lang w:val="fr-FR"/>
        </w:rPr>
        <w:t>L’analyse présentée dans les chapitres précédents mène à la conclusion que le système actuel de filets sociaux est inadapté et particulièrement insuffisant pour répondre à la pauvreté et à la vulnérabilité. Les programmes actuels ont une couverture limitée et les interventions se font à une échelle passablement restreinte et sont généralement conçues comme des programmes temporaires. Cependant, le Burkina Faso s’est engagé à consolider son système de protection sociale. Dans le cadre de la stratégie de protection sociale, les documents de politiques existants, basés sur quelques initiatives actuelles, doivent être transformés en un vaste système de protection sociale. Une analyse des dépenses publiques indique que, à court terme, les dépenses devraient être maintenues au minimum à leur niveau actuel (environ 1 % du PIB</w:t>
      </w:r>
      <w:r w:rsidRPr="004E781B">
        <w:rPr>
          <w:rFonts w:ascii="Cambria Math" w:hAnsi="Cambria Math" w:cs="Cambria Math"/>
          <w:b/>
          <w:bCs/>
          <w:i/>
          <w:iCs/>
          <w:szCs w:val="24"/>
          <w:lang w:val="fr-FR"/>
        </w:rPr>
        <w:t> </w:t>
      </w:r>
      <w:r w:rsidRPr="004E781B">
        <w:rPr>
          <w:b/>
          <w:bCs/>
          <w:i/>
          <w:iCs/>
          <w:szCs w:val="24"/>
          <w:lang w:val="fr-FR"/>
        </w:rPr>
        <w:t xml:space="preserve">en 2009) et que l’expansion progressive de quelques programmes de filets sociaux efficaces et complémentaires (programmes de nutrition, travaux publics et transferts monétaires) pourrait constituer un choix politique adéquat. Pour garantir la </w:t>
      </w:r>
      <w:r w:rsidR="00BD550B" w:rsidRPr="004E781B">
        <w:rPr>
          <w:b/>
          <w:bCs/>
          <w:i/>
          <w:iCs/>
          <w:szCs w:val="24"/>
          <w:lang w:val="fr-FR"/>
        </w:rPr>
        <w:t>viabilité</w:t>
      </w:r>
      <w:r w:rsidRPr="004E781B">
        <w:rPr>
          <w:b/>
          <w:bCs/>
          <w:i/>
          <w:iCs/>
          <w:szCs w:val="24"/>
          <w:lang w:val="fr-FR"/>
        </w:rPr>
        <w:t xml:space="preserve"> financière des dépenses dans les filets sociaux, les principales sources de financement sont :</w:t>
      </w:r>
      <w:r w:rsidRPr="004E781B">
        <w:rPr>
          <w:rFonts w:ascii="Cambria Math" w:hAnsi="Cambria Math" w:cs="Cambria Math"/>
          <w:b/>
          <w:bCs/>
          <w:i/>
          <w:iCs/>
          <w:szCs w:val="24"/>
          <w:lang w:val="fr-FR"/>
        </w:rPr>
        <w:t xml:space="preserve"> la </w:t>
      </w:r>
      <w:r w:rsidR="009F1E27">
        <w:rPr>
          <w:b/>
          <w:bCs/>
          <w:i/>
          <w:iCs/>
          <w:szCs w:val="24"/>
          <w:lang w:val="fr-FR"/>
        </w:rPr>
        <w:t>réallocation</w:t>
      </w:r>
      <w:r w:rsidRPr="004E781B">
        <w:rPr>
          <w:b/>
          <w:bCs/>
          <w:i/>
          <w:iCs/>
          <w:szCs w:val="24"/>
          <w:lang w:val="fr-FR"/>
        </w:rPr>
        <w:t xml:space="preserve"> des dépenses, des gains d’efficacité et des dépenses dans l’éducation et la santé résolument plus en faveur des pauvres, et une </w:t>
      </w:r>
      <w:r w:rsidR="009F1E27">
        <w:rPr>
          <w:b/>
          <w:bCs/>
          <w:i/>
          <w:iCs/>
          <w:szCs w:val="24"/>
          <w:lang w:val="fr-FR"/>
        </w:rPr>
        <w:t>réallocation</w:t>
      </w:r>
      <w:r w:rsidRPr="004E781B">
        <w:rPr>
          <w:b/>
          <w:bCs/>
          <w:i/>
          <w:iCs/>
          <w:szCs w:val="24"/>
          <w:lang w:val="fr-FR"/>
        </w:rPr>
        <w:t xml:space="preserve"> des dépenses discrétionnaires. Ce rapport suggère donc des actions prioritaires pour le développement d’un système de filets sociaux plus efficace et plus économique</w:t>
      </w:r>
      <w:r w:rsidR="0007340F" w:rsidRPr="004E781B">
        <w:rPr>
          <w:b/>
          <w:bCs/>
          <w:i/>
          <w:iCs/>
          <w:szCs w:val="24"/>
          <w:lang w:val="fr-FR"/>
        </w:rPr>
        <w:t xml:space="preserve"> </w:t>
      </w:r>
      <w:r w:rsidRPr="004E781B">
        <w:rPr>
          <w:b/>
          <w:bCs/>
          <w:i/>
          <w:iCs/>
          <w:szCs w:val="24"/>
          <w:lang w:val="fr-FR"/>
        </w:rPr>
        <w:t>i) renforcement du cadre stratégique, institutionnel et financier pour la conception, la mise en œuvre, la gestion, le suivi et l’évaluation des programmes de protection sociale afin de mettre en place une culture de choix politiques éclairés parmi les décideurs</w:t>
      </w:r>
      <w:r w:rsidR="0007340F" w:rsidRPr="004E781B">
        <w:rPr>
          <w:b/>
          <w:bCs/>
          <w:i/>
          <w:iCs/>
          <w:szCs w:val="24"/>
          <w:lang w:val="fr-FR"/>
        </w:rPr>
        <w:t xml:space="preserve"> </w:t>
      </w:r>
      <w:r w:rsidRPr="004E781B">
        <w:rPr>
          <w:b/>
          <w:bCs/>
          <w:i/>
          <w:iCs/>
          <w:szCs w:val="24"/>
          <w:lang w:val="fr-FR"/>
        </w:rPr>
        <w:t xml:space="preserve">et ii) élaboration d’un plan pour améliorer l’efficacité du système de filets sociaux par la réforme des programmes actuels et l’élaboration de nouveaux programmes sur la base des expériences récentes. </w:t>
      </w:r>
    </w:p>
    <w:p w:rsidR="00D6364C" w:rsidRPr="00577EB1" w:rsidRDefault="00D6364C" w:rsidP="00506921">
      <w:pPr>
        <w:pStyle w:val="Heading2"/>
        <w:numPr>
          <w:ilvl w:val="1"/>
          <w:numId w:val="42"/>
        </w:numPr>
      </w:pPr>
      <w:bookmarkStart w:id="241" w:name="_Toc262169641"/>
      <w:bookmarkStart w:id="242" w:name="_Toc253994698"/>
      <w:bookmarkStart w:id="243" w:name="_Toc129022414"/>
      <w:bookmarkStart w:id="244" w:name="_Toc261967419"/>
      <w:r w:rsidRPr="00506921">
        <w:t>Résumé</w:t>
      </w:r>
      <w:r w:rsidRPr="00577EB1">
        <w:t xml:space="preserve"> des constats</w:t>
      </w:r>
    </w:p>
    <w:p w:rsidR="00D6364C" w:rsidRPr="00577EB1" w:rsidRDefault="00D6364C" w:rsidP="00D6364C">
      <w:pPr>
        <w:rPr>
          <w:b/>
          <w:bCs/>
          <w:i/>
          <w:iCs/>
          <w:sz w:val="28"/>
          <w:szCs w:val="28"/>
          <w:lang w:val="fr-FR"/>
        </w:rPr>
      </w:pPr>
      <w:r w:rsidRPr="00577EB1">
        <w:rPr>
          <w:b/>
          <w:bCs/>
          <w:i/>
          <w:iCs/>
          <w:sz w:val="28"/>
          <w:szCs w:val="28"/>
          <w:lang w:val="fr-FR"/>
        </w:rPr>
        <w:t>Pauvreté et vulnérabilité</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Malgré l’existence d’autres estimations de la pauvreté, qui rend difficile le suivi des tendances de la pauvreté au Burkina Faso, l’incidence de la pauvreté a diminué en grâce à la croissance économique soutenue des dix dernières années.</w:t>
      </w:r>
      <w:r w:rsidRPr="00577EB1">
        <w:rPr>
          <w:b/>
          <w:bCs/>
          <w:i/>
          <w:iCs/>
          <w:szCs w:val="24"/>
          <w:lang w:val="fr-FR"/>
        </w:rPr>
        <w:t xml:space="preserve"> </w:t>
      </w:r>
      <w:r w:rsidRPr="00577EB1">
        <w:rPr>
          <w:color w:val="000000"/>
          <w:szCs w:val="24"/>
          <w:lang w:val="fr-FR"/>
        </w:rPr>
        <w:t xml:space="preserve">Sur la base des données d’enquête disponibles et des prévisions nationales, la part de la population vivant en dessous du seuil de pauvreté est passée de 46,4 % en 2003 à 43,2 % en 2009. </w:t>
      </w:r>
      <w:r w:rsidRPr="00577EB1">
        <w:rPr>
          <w:szCs w:val="24"/>
          <w:lang w:val="fr-FR"/>
        </w:rPr>
        <w:t>En termes d’actifs, la pauvreté a aussi décliné de 43,6 % en 2003 à 40,4 % en 2005 et 38,5 % en 2007. Toutefois, au cours de cette même période, la proportion des pauvres chroniques a augmenté à la suite des chocs :</w:t>
      </w:r>
      <w:r w:rsidRPr="00577EB1">
        <w:rPr>
          <w:rFonts w:ascii="Cambria Math" w:hAnsi="Cambria Math" w:cs="Cambria Math"/>
          <w:szCs w:val="24"/>
          <w:lang w:val="fr-FR"/>
        </w:rPr>
        <w:t> </w:t>
      </w:r>
      <w:r w:rsidRPr="00577EB1">
        <w:rPr>
          <w:szCs w:val="24"/>
          <w:lang w:val="fr-FR"/>
        </w:rPr>
        <w:t xml:space="preserve">de 25,4 % en 2003, ils n’étaient plus que 18,8 % en 2007 après avoir atteint 31,1 % en 2005 suite aux chocs climatiques. </w:t>
      </w:r>
      <w:r w:rsidRPr="00577EB1">
        <w:rPr>
          <w:color w:val="000000"/>
          <w:szCs w:val="24"/>
          <w:lang w:val="fr-FR"/>
        </w:rPr>
        <w:t>Il existe en fait des raisons de croire que le récent ralentissement de la croissance économique et la hausse des prix alimentaires et pétroliers ont entraîné une chute du revenu réel et inversé la tendance à la baisse de l’incidence de la pauvreté.</w:t>
      </w:r>
      <w:r w:rsidRPr="00577EB1">
        <w:rPr>
          <w:szCs w:val="24"/>
          <w:lang w:val="fr-FR"/>
        </w:rPr>
        <w:t xml:space="preserve"> L’Enquête actuellement en cours sur la consommation des ménages (2009-2010) fournira des informations plus fiables et plus solides sur la tendance de la pauvreté au Burkina Faso.</w:t>
      </w:r>
    </w:p>
    <w:p w:rsidR="00D6364C" w:rsidRPr="00577EB1" w:rsidRDefault="00D6364C" w:rsidP="00E52A30">
      <w:pPr>
        <w:numPr>
          <w:ilvl w:val="0"/>
          <w:numId w:val="33"/>
        </w:numPr>
        <w:tabs>
          <w:tab w:val="clear" w:pos="709"/>
        </w:tabs>
        <w:ind w:left="0" w:firstLine="0"/>
        <w:rPr>
          <w:szCs w:val="24"/>
          <w:lang w:val="fr-FR"/>
        </w:rPr>
      </w:pPr>
      <w:r w:rsidRPr="00577EB1">
        <w:rPr>
          <w:b/>
          <w:bCs/>
          <w:color w:val="000000"/>
          <w:szCs w:val="24"/>
          <w:lang w:val="fr-FR"/>
        </w:rPr>
        <w:t xml:space="preserve">Le </w:t>
      </w:r>
      <w:r w:rsidRPr="00577EB1">
        <w:rPr>
          <w:b/>
          <w:bCs/>
          <w:szCs w:val="24"/>
          <w:lang w:val="fr-FR"/>
        </w:rPr>
        <w:t>Burkina</w:t>
      </w:r>
      <w:r w:rsidRPr="00577EB1">
        <w:rPr>
          <w:b/>
          <w:bCs/>
          <w:color w:val="000000"/>
          <w:szCs w:val="24"/>
          <w:lang w:val="fr-FR"/>
        </w:rPr>
        <w:t xml:space="preserve"> Faso a également fait de grands progrès au niveau de l’accès des ménages aux services de base, toutefois d’importants obstacles demeurent et la rapide croissance démographique risque d’empêcher le pays d’atteindre ses OMD.</w:t>
      </w:r>
      <w:r w:rsidRPr="00577EB1">
        <w:rPr>
          <w:color w:val="000000"/>
          <w:szCs w:val="24"/>
          <w:lang w:val="fr-FR"/>
        </w:rPr>
        <w:t xml:space="preserve"> Les </w:t>
      </w:r>
      <w:r w:rsidRPr="00577EB1">
        <w:rPr>
          <w:color w:val="000000"/>
          <w:szCs w:val="24"/>
          <w:lang w:val="fr-FR"/>
        </w:rPr>
        <w:lastRenderedPageBreak/>
        <w:t>indicateurs disponibles montrent une amélioration de l’accès à l’eau potable (de 54 % en 2004 à 79 % en 2007), tandis que les services de santé sont en moyenne devenus plus accessibles grâce à l’augmentation régulière de la part du budget général consacrée aux dépenses de santé (de 7,4 % en 2004 à 9,9 % en 2006). Néanmoins, l’IDH du PNUD révèle que</w:t>
      </w:r>
      <w:r w:rsidR="0007340F">
        <w:rPr>
          <w:color w:val="000000"/>
          <w:szCs w:val="24"/>
          <w:lang w:val="fr-FR"/>
        </w:rPr>
        <w:t xml:space="preserve"> </w:t>
      </w:r>
      <w:r w:rsidRPr="00577EB1">
        <w:rPr>
          <w:color w:val="000000"/>
          <w:szCs w:val="24"/>
          <w:lang w:val="fr-FR"/>
        </w:rPr>
        <w:t>i) le taux d’alphabétisation reste faible (28,7 % en 2007), tout comme la qualité de l’enseignement</w:t>
      </w:r>
      <w:r w:rsidR="0007340F">
        <w:rPr>
          <w:color w:val="000000"/>
          <w:szCs w:val="24"/>
          <w:lang w:val="fr-FR"/>
        </w:rPr>
        <w:t xml:space="preserve"> </w:t>
      </w:r>
      <w:r w:rsidRPr="00577EB1">
        <w:rPr>
          <w:color w:val="000000"/>
          <w:szCs w:val="24"/>
          <w:lang w:val="fr-FR"/>
        </w:rPr>
        <w:t>ii) des disparités demeurent entre les genres en matière d’inscription scolaire, d’alphabétisation, de taux d’achèvement du primaire et d’accès au premier cycle de l’enseignement secondaire</w:t>
      </w:r>
      <w:r w:rsidR="0007340F">
        <w:rPr>
          <w:color w:val="000000"/>
          <w:szCs w:val="24"/>
          <w:lang w:val="fr-FR"/>
        </w:rPr>
        <w:t xml:space="preserve"> </w:t>
      </w:r>
      <w:r w:rsidRPr="00577EB1">
        <w:rPr>
          <w:color w:val="000000"/>
          <w:szCs w:val="24"/>
          <w:lang w:val="fr-FR"/>
        </w:rPr>
        <w:t>iii) le taux de fertilité reste très élevé avec une moyenne de 6,2 enfants par femme</w:t>
      </w:r>
      <w:r w:rsidR="0007340F">
        <w:rPr>
          <w:color w:val="000000"/>
          <w:szCs w:val="24"/>
          <w:lang w:val="fr-FR"/>
        </w:rPr>
        <w:t xml:space="preserve"> </w:t>
      </w:r>
      <w:r w:rsidRPr="00577EB1">
        <w:rPr>
          <w:color w:val="000000"/>
          <w:szCs w:val="24"/>
          <w:lang w:val="fr-FR"/>
        </w:rPr>
        <w:t>et iv) la rapide croissance démographique (3,1 % par an) a des conséquences fortement négatives sur la croissance, le niveau de vie et la réduction de la pauvreté</w:t>
      </w:r>
      <w:r w:rsidRPr="00577EB1">
        <w:rPr>
          <w:szCs w:val="24"/>
          <w:lang w:val="fr-FR"/>
        </w:rPr>
        <w:t>.</w:t>
      </w:r>
    </w:p>
    <w:p w:rsidR="00D6364C" w:rsidRPr="00577EB1" w:rsidRDefault="00D6364C" w:rsidP="00E52A30">
      <w:pPr>
        <w:numPr>
          <w:ilvl w:val="0"/>
          <w:numId w:val="33"/>
        </w:numPr>
        <w:tabs>
          <w:tab w:val="clear" w:pos="709"/>
        </w:tabs>
        <w:ind w:left="0" w:firstLine="0"/>
        <w:rPr>
          <w:b/>
          <w:bCs/>
          <w:i/>
          <w:iCs/>
          <w:szCs w:val="24"/>
          <w:lang w:val="fr-FR"/>
        </w:rPr>
      </w:pPr>
      <w:r w:rsidRPr="00577EB1">
        <w:rPr>
          <w:b/>
          <w:bCs/>
          <w:szCs w:val="24"/>
          <w:lang w:val="fr-FR"/>
        </w:rPr>
        <w:t xml:space="preserve">Selon l’enquête sur les priorités de 2003, le ménage pauvre burkinabé type compte au moins sept personnes, a un chef de famille masculin, polygame, illettré ou ayant un niveau d’études ne dépassant pas le début de l’école primaire, et agriculteur dans les zones rurales de la Région du Nord-Est. </w:t>
      </w:r>
      <w:r w:rsidRPr="00577EB1">
        <w:rPr>
          <w:szCs w:val="24"/>
          <w:lang w:val="fr-FR"/>
        </w:rPr>
        <w:t>Comme dans les autres pays, la pauvreté reste un phénomène principalement des zones rurales, où réside près de 92 % de la population</w:t>
      </w:r>
      <w:r w:rsidR="0007340F">
        <w:rPr>
          <w:szCs w:val="24"/>
          <w:lang w:val="fr-FR"/>
        </w:rPr>
        <w:t xml:space="preserve"> </w:t>
      </w:r>
      <w:r w:rsidRPr="00577EB1">
        <w:rPr>
          <w:szCs w:val="24"/>
          <w:lang w:val="fr-FR"/>
        </w:rPr>
        <w:t>l’incidence de la pauvreté en milieu rural atteint plus de deux fois celle des zones urbaines (52,3 % contre 19,9 %). En termes de pauvreté régionale, la Région du</w:t>
      </w:r>
      <w:r w:rsidRPr="00577EB1">
        <w:rPr>
          <w:rFonts w:ascii="Cambria Math" w:hAnsi="Cambria Math" w:cs="Cambria Math"/>
          <w:szCs w:val="24"/>
          <w:lang w:val="fr-FR"/>
        </w:rPr>
        <w:t> </w:t>
      </w:r>
      <w:r w:rsidRPr="00577EB1">
        <w:rPr>
          <w:szCs w:val="24"/>
          <w:lang w:val="fr-FR"/>
        </w:rPr>
        <w:t>Centre compte parmi les plus touchées avec un taux de pauvreté bien supérieur à la moyenne nationale. Cette région abrite plus de la moitié des pauvres du Burkina Faso et présente aussi l’écart de pauvreté le plus prononcé. Viennent ensuite les Régions du</w:t>
      </w:r>
      <w:r w:rsidRPr="00577EB1">
        <w:rPr>
          <w:rFonts w:ascii="Cambria Math" w:hAnsi="Cambria Math" w:cs="Cambria Math"/>
          <w:szCs w:val="24"/>
          <w:lang w:val="fr-FR"/>
        </w:rPr>
        <w:t> </w:t>
      </w:r>
      <w:r w:rsidRPr="00577EB1">
        <w:rPr>
          <w:szCs w:val="24"/>
          <w:lang w:val="fr-FR"/>
        </w:rPr>
        <w:t>Nord-Est et du</w:t>
      </w:r>
      <w:r w:rsidRPr="00577EB1">
        <w:rPr>
          <w:rFonts w:ascii="Cambria Math" w:hAnsi="Cambria Math" w:cs="Cambria Math"/>
          <w:szCs w:val="24"/>
          <w:lang w:val="fr-FR"/>
        </w:rPr>
        <w:t> </w:t>
      </w:r>
      <w:r w:rsidRPr="00577EB1">
        <w:rPr>
          <w:szCs w:val="24"/>
          <w:lang w:val="fr-FR"/>
        </w:rPr>
        <w:t>Sud, où le taux de pauvreté est légèrement inférieur à la moyenne nationale. La zone de la Capitale présente quant à elle l’incidence de la pauvreté la plus faible (environ la moitié de la moyenne nationale). Les niveaux socioéconomique et d’instruction du chef de famille constituent des déterminants clés de la pauvreté. Les ménages dont le chef de famille est un homme, dont la part dans l’incidence de la pauvreté est de 95,6 %, sont généralement plus pauvres que ceux dont le chef de famille est une femme, en termes tant d’incidence que d’écart. De plus, l’incidence de la pauvreté est notablement plus élevée dans les ménages dont le chef de famille est illettré ou a un niveau d’étude ne dépassant pas le début de l’école primaire (51,0 % et 41,1 % respectivement).</w:t>
      </w:r>
    </w:p>
    <w:p w:rsidR="00D6364C" w:rsidRPr="00577EB1" w:rsidRDefault="00D6364C" w:rsidP="00E52A30">
      <w:pPr>
        <w:numPr>
          <w:ilvl w:val="0"/>
          <w:numId w:val="33"/>
        </w:numPr>
        <w:tabs>
          <w:tab w:val="clear" w:pos="709"/>
        </w:tabs>
        <w:ind w:left="0" w:firstLine="0"/>
        <w:rPr>
          <w:b/>
          <w:bCs/>
          <w:i/>
          <w:iCs/>
          <w:szCs w:val="24"/>
          <w:lang w:val="fr-FR"/>
        </w:rPr>
      </w:pPr>
      <w:r w:rsidRPr="00577EB1">
        <w:rPr>
          <w:b/>
          <w:bCs/>
          <w:szCs w:val="24"/>
          <w:lang w:val="fr-FR"/>
        </w:rPr>
        <w:t>Selon les données disponibles, la vulnérabilité des ménages aux risques dépend de divers facteurs tels que l’état de santé et l’état nutritionnel actuels des individus, le genre, les avoirs, l’infrastructure, la localisation, le niveau d’instruction et les pratiques culturelles et comportementales.</w:t>
      </w:r>
      <w:r w:rsidRPr="00577EB1">
        <w:rPr>
          <w:b/>
          <w:bCs/>
          <w:i/>
          <w:iCs/>
          <w:szCs w:val="24"/>
          <w:lang w:val="fr-FR"/>
        </w:rPr>
        <w:t xml:space="preserve"> </w:t>
      </w:r>
      <w:r w:rsidRPr="00577EB1">
        <w:rPr>
          <w:szCs w:val="24"/>
          <w:lang w:val="fr-FR"/>
        </w:rPr>
        <w:t>Les pauvres sont plus vulnérables que les autres groupes de la population car ils sont généralement plus exposés aux risques, qu’ils sont confrontés à plusieurs risques en même temps et qu’ils disposent de moins de ressources pour les aider à les affronter.</w:t>
      </w:r>
    </w:p>
    <w:p w:rsidR="00D6364C" w:rsidRPr="00577EB1" w:rsidRDefault="00D6364C" w:rsidP="00E52A30">
      <w:pPr>
        <w:numPr>
          <w:ilvl w:val="0"/>
          <w:numId w:val="33"/>
        </w:numPr>
        <w:tabs>
          <w:tab w:val="clear" w:pos="709"/>
        </w:tabs>
        <w:ind w:left="0" w:firstLine="0"/>
        <w:rPr>
          <w:b/>
          <w:bCs/>
          <w:i/>
          <w:iCs/>
          <w:szCs w:val="24"/>
          <w:lang w:val="fr-FR"/>
        </w:rPr>
      </w:pPr>
      <w:r w:rsidRPr="00577EB1">
        <w:rPr>
          <w:b/>
          <w:bCs/>
          <w:szCs w:val="24"/>
          <w:lang w:val="fr-FR"/>
        </w:rPr>
        <w:t>Le genre constitue également un facteur clé de pauvreté</w:t>
      </w:r>
      <w:r w:rsidRPr="00577EB1">
        <w:rPr>
          <w:szCs w:val="24"/>
          <w:lang w:val="fr-FR"/>
        </w:rPr>
        <w:t xml:space="preserve">. Comme dans de nombreuses régions sahéliennes de l’Afrique de l’Ouest, il existe des raisons de penser que certains groupes de femmes pourraient être particulièrement pauvres et vulnérables. Malheureusement, les enquêtes sur la consommation des ménages ne recueillent pas des données individuelles détaillant la répartition au sein des ménages des ressources, de la consommation, des taches et du temps. Toutefois, comme dans de nombreux pays, les ménages burkinabés dont le chef de famille est une femme apparaissent extrêmement hétérogènes. Bien que, comme mentionné plus haut, l’incidence générale de la pauvreté soit plus faible dans les ménages dont le chef de famille est une femme, une analyse utilisant l’enquête sur les priorités de 2003 confirme qu’après la prise en compte de diverses caractéristiques affectant les conditions de vie, il existe peu de différences entre </w:t>
      </w:r>
      <w:r w:rsidRPr="00577EB1">
        <w:rPr>
          <w:szCs w:val="24"/>
          <w:lang w:val="fr-FR"/>
        </w:rPr>
        <w:lastRenderedPageBreak/>
        <w:t>les ménages dont le chef de famille est un homme et ceux dont le chef de famille est une femme. Les Enquêtes démographiques et sanitaires (DHS) de 2003 révèlent que les veuves ainsi que les veuves ou divorcées actuellement remariées pourraient constituer deux groupes particulièrement vulnérables au Burkina Faso.</w:t>
      </w:r>
      <w:r w:rsidRPr="00577EB1">
        <w:rPr>
          <w:i/>
          <w:iCs/>
          <w:szCs w:val="24"/>
          <w:lang w:val="fr-FR"/>
        </w:rPr>
        <w:t xml:space="preserve"> </w:t>
      </w:r>
      <w:r w:rsidRPr="00577EB1">
        <w:rPr>
          <w:szCs w:val="24"/>
          <w:lang w:val="fr-FR"/>
        </w:rPr>
        <w:t>En tenant compte de l’âge, les veuves et les femmes mariées plus d’une fois constituent un groupe particulièrement vulnérable par rapport à celui des femmes mariées une seule fois ou actuellement divorcées. Les données indiquent aussi que les enfants des femmes actuellement ou anciennement veuves sont moins susceptibles d’être scolarisés que les enfants des femmes ayant une autre situation matrimoniale.</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Comme plus de 40 % de la population burkinabé est pauvre, le coût financier de la suppression de l’écart de pauvreté sera substantiel (entre 2,5 et 2,7 % du PIB) et il ne serait pas réaliste d’envisager une stratégie raisonnable de filets sociaux ciblant les populations les plus pauvres et les plus vulnérables.</w:t>
      </w:r>
      <w:r w:rsidRPr="00577EB1">
        <w:rPr>
          <w:b/>
          <w:bCs/>
          <w:i/>
          <w:iCs/>
          <w:szCs w:val="24"/>
          <w:lang w:val="fr-FR"/>
        </w:rPr>
        <w:t xml:space="preserve"> </w:t>
      </w:r>
      <w:r w:rsidRPr="00577EB1">
        <w:rPr>
          <w:szCs w:val="24"/>
          <w:lang w:val="fr-FR"/>
        </w:rPr>
        <w:t>Au vu des chiffres actuels du budget, ces coûts estimés signifieraient un important engagement financier de la part de l’État. Par exemple, le coût minimal pour combler entièrement l’écart de pauvreté en 2007 (estimé à 2,5 % du PIB) représentait un peu moins de 10 % du budget total de cette année. Ce montant représente aussi moins de la moitié de la masse salariale de l’État pour 2007 (6 % du PIB) ou un peu moins des dépenses de santé totales (2,3 % du PIB) pour cette même année.</w:t>
      </w:r>
    </w:p>
    <w:p w:rsidR="00D6364C" w:rsidRPr="00577EB1" w:rsidRDefault="00D6364C" w:rsidP="00D6364C">
      <w:pPr>
        <w:rPr>
          <w:b/>
          <w:bCs/>
          <w:i/>
          <w:iCs/>
          <w:sz w:val="28"/>
          <w:szCs w:val="28"/>
          <w:lang w:val="fr-FR"/>
        </w:rPr>
      </w:pPr>
      <w:r w:rsidRPr="00577EB1">
        <w:rPr>
          <w:b/>
          <w:bCs/>
          <w:i/>
          <w:iCs/>
          <w:sz w:val="28"/>
          <w:szCs w:val="28"/>
          <w:lang w:val="fr-FR"/>
        </w:rPr>
        <w:t>Stratégie de l’État, dispositifs institutionnels et dépenses en matière de filets sociaux</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Le Burkina Faso n’a pas encore adopté une politique nationale consolidée de protection sociale, intégrant un réseau de filets sociaux.</w:t>
      </w:r>
      <w:r w:rsidRPr="00577EB1">
        <w:rPr>
          <w:b/>
          <w:bCs/>
          <w:i/>
          <w:iCs/>
          <w:szCs w:val="24"/>
          <w:lang w:val="fr-FR"/>
        </w:rPr>
        <w:t xml:space="preserve"> </w:t>
      </w:r>
      <w:r w:rsidRPr="00577EB1">
        <w:rPr>
          <w:szCs w:val="24"/>
          <w:lang w:val="fr-FR"/>
        </w:rPr>
        <w:t xml:space="preserve">En 2000, le Burkina Faso a été le premier pays de la région subsaharienne à adopter et mettre en œuvre un Document de stratégie pour la réduction de la pauvreté (DSRP), mettant fortement l’accent sur les interventions liées à l’offre (en matière d’éducation et de santé). Néanmoins, cette stratégie à moyen terme ne prenait pas explicitement en compte la protection sociale, y compris les filets sociaux. En 2006, le </w:t>
      </w:r>
      <w:r w:rsidRPr="00577EB1">
        <w:rPr>
          <w:iCs/>
          <w:szCs w:val="24"/>
          <w:lang w:val="fr-FR"/>
        </w:rPr>
        <w:t>ministère du Travail et de la Sécurité sociale</w:t>
      </w:r>
      <w:r w:rsidRPr="00577EB1">
        <w:rPr>
          <w:szCs w:val="24"/>
          <w:lang w:val="fr-FR"/>
        </w:rPr>
        <w:t xml:space="preserve"> (MTSS) a dirigé un processus interministériel visant à élaborer une politique nationale de protection sociale. Bien que ce document ait été finalisé en janvier 2007, il n’a jamais été adopté Et le gouvernement a demandé à chaque ministère d’élaborer sa propre stratégie ministérielle, au lieu de se concentrer sur une approche multisectorielle.</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 xml:space="preserve">Malgré l’absence de stratégie nationale, les programmes de filets sociaux jouent un rôle important dans le développement du capital humain du Burkina Faso et dans les stratégies de réponse aux crises. </w:t>
      </w:r>
      <w:r w:rsidRPr="00577EB1">
        <w:rPr>
          <w:szCs w:val="24"/>
          <w:lang w:val="fr-FR"/>
        </w:rPr>
        <w:t>Les filets sociaux sont identifiés comme des investissements économiques et sociaux nécessaires dans la vision sociale à long terme du pays. Les programmes de filets sociaux apparaissent dans de nombreuses stratégies sectorielles</w:t>
      </w:r>
      <w:r w:rsidR="0007340F">
        <w:rPr>
          <w:szCs w:val="24"/>
          <w:lang w:val="fr-FR"/>
        </w:rPr>
        <w:t xml:space="preserve"> </w:t>
      </w:r>
      <w:r w:rsidRPr="00577EB1">
        <w:rPr>
          <w:szCs w:val="24"/>
          <w:lang w:val="fr-FR"/>
        </w:rPr>
        <w:t xml:space="preserve">santé, éducation, sécurité alimentaire et emploi. Pourtant, leur potentiel de réduction de la pauvreté et de la vulnérabilité à travers la redistribution, la promotion et la transformation des revenus est moins souvent reconnu dans les stratégies sectorielles à moyen terme. De plus, en raison de l’absence de stratégie globale et de dispositifs institutionnels adaptés, les mécanismes de coordination interministériels demeurent faibles en matière de protection sociale et de filets de protection. </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 xml:space="preserve">Le Gouvernement entreprend plusieurs actions pour répondre au besoin d’une protection sociale plus complète, et en particulier d’un système de filets sociaux plus efficace, capable de mieux réagir face aux crises. </w:t>
      </w:r>
      <w:r w:rsidRPr="00577EB1">
        <w:rPr>
          <w:szCs w:val="24"/>
          <w:lang w:val="fr-FR"/>
        </w:rPr>
        <w:t xml:space="preserve">Le DSRP est en cours de révision et </w:t>
      </w:r>
      <w:r w:rsidRPr="00577EB1">
        <w:rPr>
          <w:szCs w:val="24"/>
          <w:lang w:val="fr-FR"/>
        </w:rPr>
        <w:lastRenderedPageBreak/>
        <w:t>sera remplacé fin 2010 par la Stratégie de croissance accélérée et de développement durable</w:t>
      </w:r>
      <w:r w:rsidRPr="00577EB1">
        <w:rPr>
          <w:i/>
          <w:iCs/>
          <w:szCs w:val="24"/>
          <w:lang w:val="fr-FR"/>
        </w:rPr>
        <w:t xml:space="preserve"> </w:t>
      </w:r>
      <w:r w:rsidRPr="00577EB1">
        <w:rPr>
          <w:szCs w:val="24"/>
          <w:lang w:val="fr-FR"/>
        </w:rPr>
        <w:t>(SCADD). L’expansion des filets sociaux, de même que l’amélioration de l’accès aux services de base, constitue une action prioritaire explicitement identifiée dans le deuxième pilier de la SCADD. En février 2010, un Comité ministériel conjoint sur la protection sociale a été mis en place par décret</w:t>
      </w:r>
      <w:r w:rsidR="006B6D94">
        <w:rPr>
          <w:szCs w:val="24"/>
          <w:lang w:val="fr-FR"/>
        </w:rPr>
        <w:t xml:space="preserve"> et la première réunion de ce comité a été organisée en juillet 2010. De plus, e</w:t>
      </w:r>
      <w:r w:rsidRPr="00577EB1">
        <w:rPr>
          <w:szCs w:val="24"/>
          <w:lang w:val="fr-FR"/>
        </w:rPr>
        <w:t>n avril 2010, le ministère de l’Économie et des Finances (MEF) a organisé un forum technique national sur la protection sociale, dont l’objectif annoncé était de tracer les grandes lignes d’une vision nationale et consolidée de la protection sociale, y compris de la composante « filets sociaux », qui sera directement reprise par la SCADD. A l’heure actuelle, les parties concernées nationales et internationales œuvrent de concert pour arriver à un consensus national au sein des ministères et agences, tout en unissant leurs efforts pour promouvoir une stratégie intégrée de protection sociale intégrant un système efficace de filets sociaux.</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 xml:space="preserve">En excluant le coût des subventions générales des produits alimentaires et pétroliers, la dépense totale dans les programmes de filets sociaux entre 2005 et 2009 représentaient en moyenne 0,6 % du PIB. </w:t>
      </w:r>
      <w:r w:rsidRPr="00577EB1">
        <w:rPr>
          <w:szCs w:val="24"/>
          <w:lang w:val="fr-FR"/>
        </w:rPr>
        <w:t>Les actuels programmes de filets sociaux du Burkina Faso peuvent être classés en cinq catégories</w:t>
      </w:r>
      <w:r w:rsidR="0007340F">
        <w:rPr>
          <w:szCs w:val="24"/>
          <w:lang w:val="fr-FR"/>
        </w:rPr>
        <w:t xml:space="preserve"> </w:t>
      </w:r>
      <w:r w:rsidRPr="00577EB1">
        <w:rPr>
          <w:szCs w:val="24"/>
          <w:lang w:val="fr-FR"/>
        </w:rPr>
        <w:t>i) transferts monétaires et quasi-monétaires</w:t>
      </w:r>
      <w:r w:rsidR="0007340F">
        <w:rPr>
          <w:szCs w:val="24"/>
          <w:lang w:val="fr-FR"/>
        </w:rPr>
        <w:t xml:space="preserve"> </w:t>
      </w:r>
      <w:r w:rsidRPr="00577EB1">
        <w:rPr>
          <w:szCs w:val="24"/>
          <w:lang w:val="fr-FR"/>
        </w:rPr>
        <w:t>ii) transferts alimentaires (ventes d’aliments à des prix subventionnés, distributions ciblées de vivres, programmes de nutrition, cantines scolaires)</w:t>
      </w:r>
      <w:r w:rsidR="0007340F">
        <w:rPr>
          <w:szCs w:val="24"/>
          <w:lang w:val="fr-FR"/>
        </w:rPr>
        <w:t xml:space="preserve"> </w:t>
      </w:r>
      <w:r w:rsidRPr="00577EB1">
        <w:rPr>
          <w:szCs w:val="24"/>
          <w:lang w:val="fr-FR"/>
        </w:rPr>
        <w:t>iii) subventions universelles (aliments et carburant)</w:t>
      </w:r>
      <w:r w:rsidR="0007340F">
        <w:rPr>
          <w:szCs w:val="24"/>
          <w:lang w:val="fr-FR"/>
        </w:rPr>
        <w:t xml:space="preserve"> </w:t>
      </w:r>
      <w:r w:rsidRPr="00577EB1">
        <w:rPr>
          <w:szCs w:val="24"/>
          <w:lang w:val="fr-FR"/>
        </w:rPr>
        <w:t>iv) travaux publics</w:t>
      </w:r>
      <w:r w:rsidR="0007340F">
        <w:rPr>
          <w:szCs w:val="24"/>
          <w:lang w:val="fr-FR"/>
        </w:rPr>
        <w:t xml:space="preserve"> </w:t>
      </w:r>
      <w:r w:rsidRPr="00577EB1">
        <w:rPr>
          <w:szCs w:val="24"/>
          <w:lang w:val="fr-FR"/>
        </w:rPr>
        <w:t xml:space="preserve">et v) exemption des frais. Une étude mondiale a récemment conclu que les programmes de filets sociaux représentent généralement entre 1 et 2 % du PIB dans les pays en développement, voire moins [Grosh et </w:t>
      </w:r>
      <w:r w:rsidR="005E551A">
        <w:rPr>
          <w:szCs w:val="24"/>
          <w:lang w:val="fr-FR"/>
        </w:rPr>
        <w:t>coll</w:t>
      </w:r>
      <w:r w:rsidRPr="00577EB1">
        <w:rPr>
          <w:szCs w:val="24"/>
          <w:lang w:val="fr-FR"/>
        </w:rPr>
        <w:t>. 2008]. Alors que le Burkina Faso se situe dans la partie inférieure du spectre, ses dépenses dans les filets sociaux ont presque triplé entre 2005 et 2010 (en francs CFA</w:t>
      </w:r>
      <w:r w:rsidRPr="00577EB1">
        <w:rPr>
          <w:rFonts w:ascii="Cambria Math" w:hAnsi="Cambria Math" w:cs="Cambria Math"/>
          <w:szCs w:val="24"/>
          <w:lang w:val="fr-FR"/>
        </w:rPr>
        <w:t> </w:t>
      </w:r>
      <w:r w:rsidRPr="00577EB1">
        <w:rPr>
          <w:szCs w:val="24"/>
          <w:lang w:val="fr-FR"/>
        </w:rPr>
        <w:t>constants de 2005), passant de 0,3 % du PIB</w:t>
      </w:r>
      <w:r w:rsidRPr="00577EB1">
        <w:rPr>
          <w:rFonts w:ascii="Cambria Math" w:hAnsi="Cambria Math" w:cs="Cambria Math"/>
          <w:szCs w:val="24"/>
          <w:lang w:val="fr-FR"/>
        </w:rPr>
        <w:t> </w:t>
      </w:r>
      <w:r w:rsidRPr="00577EB1">
        <w:rPr>
          <w:szCs w:val="24"/>
          <w:lang w:val="fr-FR"/>
        </w:rPr>
        <w:t xml:space="preserve">en 2005 à </w:t>
      </w:r>
      <w:r w:rsidR="006B6D94">
        <w:rPr>
          <w:szCs w:val="24"/>
          <w:lang w:val="fr-FR"/>
        </w:rPr>
        <w:t>0.9</w:t>
      </w:r>
      <w:r w:rsidRPr="00577EB1">
        <w:rPr>
          <w:rFonts w:ascii="Cambria Math" w:hAnsi="Cambria Math" w:cs="Cambria Math"/>
          <w:szCs w:val="24"/>
          <w:lang w:val="fr-FR"/>
        </w:rPr>
        <w:t> </w:t>
      </w:r>
      <w:r w:rsidRPr="00577EB1">
        <w:rPr>
          <w:szCs w:val="24"/>
          <w:lang w:val="fr-FR"/>
        </w:rPr>
        <w:t>% en 2009 (en excluant les subventions générales des produits alimentaires et pétroliers). Ces dépenses dans les filets sociaux représentaient plus du tiers du montant minimum indicatif nécessaire en 2007 pour élever les plus pauvres au niveau du seuil de pauvreté par le biais de transferts monétaires. La dépense par personne pauvre (hors subventions universelles des produits alimentaires et pétroliers) se situait autour de 8 % du seuil de pauvreté en 2007.</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Les importants efforts réalisés au niveau des programmes de transferts alimentaires</w:t>
      </w:r>
      <w:r w:rsidR="0007340F">
        <w:rPr>
          <w:b/>
          <w:bCs/>
          <w:szCs w:val="24"/>
          <w:lang w:val="fr-FR"/>
        </w:rPr>
        <w:t xml:space="preserve"> </w:t>
      </w:r>
      <w:r w:rsidRPr="00577EB1">
        <w:rPr>
          <w:b/>
          <w:bCs/>
          <w:szCs w:val="24"/>
          <w:lang w:val="fr-FR"/>
        </w:rPr>
        <w:t>la vente d’aliments à des prix subventionnés, les programmes de nutrition et les distributions ciblées de vivres</w:t>
      </w:r>
      <w:r w:rsidR="0007340F">
        <w:rPr>
          <w:b/>
          <w:bCs/>
          <w:szCs w:val="24"/>
          <w:lang w:val="fr-FR"/>
        </w:rPr>
        <w:t xml:space="preserve"> </w:t>
      </w:r>
      <w:r w:rsidRPr="00577EB1">
        <w:rPr>
          <w:b/>
          <w:bCs/>
          <w:szCs w:val="24"/>
          <w:lang w:val="fr-FR"/>
        </w:rPr>
        <w:t xml:space="preserve">sont attribués à l’augmentation continue des dépenses de l’État et des </w:t>
      </w:r>
      <w:r w:rsidR="005D6182">
        <w:rPr>
          <w:b/>
          <w:bCs/>
          <w:szCs w:val="24"/>
          <w:lang w:val="fr-FR"/>
        </w:rPr>
        <w:t>bailleurs de fond</w:t>
      </w:r>
      <w:r w:rsidRPr="00577EB1">
        <w:rPr>
          <w:b/>
          <w:bCs/>
          <w:szCs w:val="24"/>
          <w:lang w:val="fr-FR"/>
        </w:rPr>
        <w:t xml:space="preserve"> en faveur des filets sociaux. </w:t>
      </w:r>
      <w:r w:rsidRPr="00577EB1">
        <w:rPr>
          <w:szCs w:val="24"/>
          <w:lang w:val="fr-FR"/>
        </w:rPr>
        <w:t>Depuis 2006, le financement des programmes de filets sociaux</w:t>
      </w:r>
      <w:r w:rsidRPr="00577EB1">
        <w:rPr>
          <w:rFonts w:ascii="Cambria Math" w:hAnsi="Cambria Math" w:cs="Cambria Math"/>
          <w:szCs w:val="24"/>
          <w:lang w:val="fr-FR"/>
        </w:rPr>
        <w:t> </w:t>
      </w:r>
      <w:r w:rsidRPr="00577EB1">
        <w:rPr>
          <w:szCs w:val="24"/>
          <w:lang w:val="fr-FR"/>
        </w:rPr>
        <w:t xml:space="preserve">est de plus en plus dépendant des </w:t>
      </w:r>
      <w:r w:rsidR="005D6182">
        <w:rPr>
          <w:szCs w:val="24"/>
          <w:lang w:val="fr-FR"/>
        </w:rPr>
        <w:t>bailleurs de fond</w:t>
      </w:r>
      <w:r w:rsidRPr="00577EB1">
        <w:rPr>
          <w:szCs w:val="24"/>
          <w:lang w:val="fr-FR"/>
        </w:rPr>
        <w:t>. Hors subventions universelles, la part totale des financements extérieurs dans les filets sociaux est passée d’environ 57 % en 2005 à 69 % en 2008 et 76 % en 2009. Toujours sans les subventions des produits alimentaires et pétroliers, les dépenses de l’État ont crû plus lentement, passant de 0,1 % du PIB</w:t>
      </w:r>
      <w:r w:rsidRPr="00577EB1">
        <w:rPr>
          <w:rFonts w:ascii="Cambria Math" w:hAnsi="Cambria Math" w:cs="Cambria Math"/>
          <w:szCs w:val="24"/>
          <w:lang w:val="fr-FR"/>
        </w:rPr>
        <w:t> </w:t>
      </w:r>
      <w:r w:rsidRPr="00577EB1">
        <w:rPr>
          <w:szCs w:val="24"/>
          <w:lang w:val="fr-FR"/>
        </w:rPr>
        <w:t>en 2005 à 0,2</w:t>
      </w:r>
      <w:r w:rsidRPr="00577EB1">
        <w:rPr>
          <w:rFonts w:ascii="Cambria Math" w:hAnsi="Cambria Math" w:cs="Cambria Math"/>
          <w:szCs w:val="24"/>
          <w:lang w:val="fr-FR"/>
        </w:rPr>
        <w:t> </w:t>
      </w:r>
      <w:r w:rsidRPr="00577EB1">
        <w:rPr>
          <w:szCs w:val="24"/>
          <w:lang w:val="fr-FR"/>
        </w:rPr>
        <w:t>% en 2009. L’État et les bailleurs de fonds affichent d’importantes différences dans leurs priorités</w:t>
      </w:r>
      <w:r w:rsidR="0007340F">
        <w:rPr>
          <w:szCs w:val="24"/>
          <w:lang w:val="fr-FR"/>
        </w:rPr>
        <w:t xml:space="preserve"> </w:t>
      </w:r>
      <w:r w:rsidRPr="00577EB1">
        <w:rPr>
          <w:szCs w:val="24"/>
          <w:lang w:val="fr-FR"/>
        </w:rPr>
        <w:t xml:space="preserve">les </w:t>
      </w:r>
      <w:r w:rsidR="005D6182">
        <w:rPr>
          <w:szCs w:val="24"/>
          <w:lang w:val="fr-FR"/>
        </w:rPr>
        <w:t>bailleurs de fond</w:t>
      </w:r>
      <w:r w:rsidRPr="00577EB1">
        <w:rPr>
          <w:szCs w:val="24"/>
          <w:lang w:val="fr-FR"/>
        </w:rPr>
        <w:t xml:space="preserve"> s’attachent surtout à la nutrition tandis que l’État concentre principalement son financement sur la subvention universelle des produits pétroliers.</w:t>
      </w:r>
    </w:p>
    <w:p w:rsidR="00D6364C" w:rsidRPr="00577EB1" w:rsidRDefault="00D6364C" w:rsidP="00E52A30">
      <w:pPr>
        <w:numPr>
          <w:ilvl w:val="0"/>
          <w:numId w:val="33"/>
        </w:numPr>
        <w:tabs>
          <w:tab w:val="clear" w:pos="709"/>
        </w:tabs>
        <w:ind w:left="0" w:firstLine="0"/>
        <w:rPr>
          <w:b/>
          <w:bCs/>
          <w:szCs w:val="24"/>
          <w:lang w:val="fr-FR"/>
        </w:rPr>
      </w:pPr>
      <w:r w:rsidRPr="00577EB1">
        <w:rPr>
          <w:b/>
          <w:bCs/>
          <w:szCs w:val="24"/>
          <w:lang w:val="fr-FR"/>
        </w:rPr>
        <w:t>La couverture des programmes de filets sociaux reste limitée comparée aux besoins.</w:t>
      </w:r>
      <w:r w:rsidRPr="00577EB1">
        <w:rPr>
          <w:szCs w:val="24"/>
          <w:lang w:val="fr-FR"/>
        </w:rPr>
        <w:t xml:space="preserve"> En théorie, l’estimation du nombre total des bénéficiaires des programmes de filets sociaux dépassait les </w:t>
      </w:r>
      <w:r w:rsidR="006B6D94">
        <w:rPr>
          <w:szCs w:val="24"/>
          <w:lang w:val="fr-FR"/>
        </w:rPr>
        <w:t>3</w:t>
      </w:r>
      <w:r w:rsidRPr="00577EB1">
        <w:rPr>
          <w:szCs w:val="24"/>
          <w:lang w:val="fr-FR"/>
        </w:rPr>
        <w:t>,</w:t>
      </w:r>
      <w:r w:rsidR="006B6D94">
        <w:rPr>
          <w:szCs w:val="24"/>
          <w:lang w:val="fr-FR"/>
        </w:rPr>
        <w:t>9</w:t>
      </w:r>
      <w:r w:rsidRPr="00577EB1">
        <w:rPr>
          <w:szCs w:val="24"/>
          <w:lang w:val="fr-FR"/>
        </w:rPr>
        <w:t xml:space="preserve"> millions d’individus en 2009 (soit quelque </w:t>
      </w:r>
      <w:r w:rsidR="006B6D94">
        <w:rPr>
          <w:szCs w:val="24"/>
          <w:lang w:val="fr-FR"/>
        </w:rPr>
        <w:t>25</w:t>
      </w:r>
      <w:r w:rsidRPr="00577EB1">
        <w:rPr>
          <w:szCs w:val="24"/>
          <w:lang w:val="fr-FR"/>
        </w:rPr>
        <w:t xml:space="preserve"> % de la population totale). En réalité, la couverture de la plupart de ces programmes est temporaire (réponse aux chocs), et le niveau des prestations de certains programmes est très bas et ne suffit pas à aider les personnes pauvres à maintenir leur consommation. Ceci est dû </w:t>
      </w:r>
      <w:r w:rsidRPr="00577EB1">
        <w:rPr>
          <w:szCs w:val="24"/>
          <w:lang w:val="fr-FR"/>
        </w:rPr>
        <w:lastRenderedPageBreak/>
        <w:t xml:space="preserve">principalement à la limitation des allocations financières et à l’insuffisance des capacités de mise en œuvre, en particulier la difficulté à identifier et à atteindre les plus pauvres. </w:t>
      </w:r>
    </w:p>
    <w:p w:rsidR="00D6364C" w:rsidRPr="00577EB1" w:rsidRDefault="00D6364C" w:rsidP="00E52A30">
      <w:pPr>
        <w:numPr>
          <w:ilvl w:val="0"/>
          <w:numId w:val="33"/>
        </w:numPr>
        <w:ind w:left="0" w:firstLine="0"/>
        <w:rPr>
          <w:szCs w:val="24"/>
          <w:lang w:val="fr-FR"/>
        </w:rPr>
      </w:pPr>
      <w:r w:rsidRPr="00577EB1">
        <w:rPr>
          <w:b/>
          <w:bCs/>
          <w:szCs w:val="24"/>
          <w:lang w:val="fr-FR"/>
        </w:rPr>
        <w:t>En termes de mesure de l’impact actuel des programmes de filets sociaux, les investissements ont été rares</w:t>
      </w:r>
      <w:r w:rsidRPr="00577EB1">
        <w:rPr>
          <w:szCs w:val="24"/>
          <w:lang w:val="fr-FR"/>
        </w:rPr>
        <w:t>. A l’exception de quelques initiatives récentes financées par les bailleurs de fonds (transferts monétaires, coupons alimentaires et cantines scolaires) pour lesquelles des évaluations approfondies ont été réalisées ou sont en cours de réalisation, il n’existe pas suffisamment de données et de preuves, en particulier pour les programmes financés par l’État, pour informer les responsables politiques</w:t>
      </w:r>
      <w:r w:rsidRPr="00577EB1">
        <w:rPr>
          <w:b/>
          <w:bCs/>
          <w:szCs w:val="24"/>
          <w:lang w:val="fr-FR"/>
        </w:rPr>
        <w:t xml:space="preserve"> </w:t>
      </w:r>
      <w:r w:rsidRPr="00577EB1">
        <w:rPr>
          <w:szCs w:val="24"/>
          <w:lang w:val="fr-FR"/>
        </w:rPr>
        <w:t>des caractéristiques des bénéficiaires, du coût des programmes, des mécanismes de ciblage et des effets réels en termes d’assistance aux personnes pauvres et vulnérables. Un système de suivi capable d’enregistrer la rentabilité des programmes et d’encourager le maintien de données basées sur des faits relatives à l’impact des politiques de protection sociale permettrait de faire des choix politiques plus éclairés.</w:t>
      </w:r>
    </w:p>
    <w:p w:rsidR="00D6364C" w:rsidRPr="00577EB1" w:rsidRDefault="00D6364C" w:rsidP="00D6364C">
      <w:pPr>
        <w:rPr>
          <w:b/>
          <w:bCs/>
          <w:i/>
          <w:iCs/>
          <w:sz w:val="28"/>
          <w:szCs w:val="28"/>
          <w:lang w:val="fr-FR"/>
        </w:rPr>
      </w:pPr>
      <w:r w:rsidRPr="00577EB1">
        <w:rPr>
          <w:b/>
          <w:bCs/>
          <w:i/>
          <w:iCs/>
          <w:sz w:val="28"/>
          <w:szCs w:val="28"/>
          <w:lang w:val="fr-FR"/>
        </w:rPr>
        <w:t>Programmes de filets sociaux existants</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L’examen des programmes actuels de filets sociaux confirme que, malgré l’importance des besoins, peu de programmes portent assistance aux pauvres chroniques et fournissent des transferts réguliers et prévisibles.</w:t>
      </w:r>
      <w:r w:rsidRPr="00577EB1">
        <w:rPr>
          <w:szCs w:val="24"/>
          <w:lang w:val="fr-FR"/>
        </w:rPr>
        <w:t xml:space="preserve"> Les interventions existantes sont souvent mises en œuvre à travers des projets et pendant les périodes de choc, en se concentrant sur une zone géographique particulière. Il n’existe aucune approche systématique pour aider les ménages pauvres et vulnérables. Les principaux défis sont</w:t>
      </w:r>
      <w:r w:rsidR="0007340F">
        <w:rPr>
          <w:szCs w:val="24"/>
          <w:lang w:val="fr-FR"/>
        </w:rPr>
        <w:t xml:space="preserve"> </w:t>
      </w:r>
      <w:r w:rsidRPr="00577EB1">
        <w:rPr>
          <w:szCs w:val="24"/>
          <w:lang w:val="fr-FR"/>
        </w:rPr>
        <w:t>le manque de définition claire des groupes cibles</w:t>
      </w:r>
      <w:r w:rsidR="0007340F">
        <w:rPr>
          <w:szCs w:val="24"/>
          <w:lang w:val="fr-FR"/>
        </w:rPr>
        <w:t xml:space="preserve"> </w:t>
      </w:r>
      <w:r w:rsidRPr="00577EB1">
        <w:rPr>
          <w:szCs w:val="24"/>
          <w:lang w:val="fr-FR"/>
        </w:rPr>
        <w:t>le choix d’instruments appropriés</w:t>
      </w:r>
      <w:r w:rsidR="0007340F">
        <w:rPr>
          <w:szCs w:val="24"/>
          <w:lang w:val="fr-FR"/>
        </w:rPr>
        <w:t xml:space="preserve"> </w:t>
      </w:r>
      <w:r w:rsidRPr="00577EB1">
        <w:rPr>
          <w:szCs w:val="24"/>
          <w:lang w:val="fr-FR"/>
        </w:rPr>
        <w:t xml:space="preserve">et la mise en place d’un robuste système de suivi et évaluation pour éclairer les décisions politiques. À partir des récentes initiatives novatrices, telles que les coupons alimentaires, les transferts monétaires et l’exemptions des frais de santé, il est possible tirer des enseignements pour améliorer l’efficacité des programmes de filets sociaux existants et pour, éventuellement, en étendre l’échelle. </w:t>
      </w:r>
    </w:p>
    <w:p w:rsidR="00D6364C" w:rsidRPr="00577EB1" w:rsidRDefault="00D6364C" w:rsidP="00D6364C">
      <w:pPr>
        <w:rPr>
          <w:b/>
          <w:bCs/>
          <w:szCs w:val="24"/>
          <w:lang w:val="fr-FR"/>
        </w:rPr>
      </w:pPr>
      <w:r w:rsidRPr="00577EB1">
        <w:rPr>
          <w:b/>
          <w:bCs/>
          <w:szCs w:val="24"/>
          <w:lang w:val="fr-FR"/>
        </w:rPr>
        <w:t>Transferts monétaires et quasi-monétaires</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Des leçons utiles peuvent être tirées des récents programmes de transferts monétaires introduits au Burkina Faso.</w:t>
      </w:r>
      <w:r w:rsidRPr="00577EB1">
        <w:rPr>
          <w:szCs w:val="24"/>
          <w:lang w:val="fr-FR"/>
        </w:rPr>
        <w:t xml:space="preserve"> Depuis 2008, trois programmes pilotes de transferts monétaires ont été mis en place grâce à des financements extérieurs</w:t>
      </w:r>
      <w:r w:rsidRPr="00577EB1">
        <w:rPr>
          <w:rFonts w:ascii="Cambria Math" w:hAnsi="Cambria Math" w:cs="Cambria Math"/>
          <w:szCs w:val="24"/>
          <w:lang w:val="fr-FR"/>
        </w:rPr>
        <w:t> </w:t>
      </w:r>
      <w:r w:rsidRPr="00577EB1">
        <w:rPr>
          <w:szCs w:val="24"/>
          <w:lang w:val="fr-FR"/>
        </w:rPr>
        <w:t>: un programme pilote de transferts monétaires du</w:t>
      </w:r>
      <w:r w:rsidRPr="00577EB1">
        <w:rPr>
          <w:i/>
          <w:iCs/>
          <w:szCs w:val="24"/>
          <w:lang w:val="fr-FR"/>
        </w:rPr>
        <w:t xml:space="preserve"> </w:t>
      </w:r>
      <w:r w:rsidRPr="00577EB1">
        <w:rPr>
          <w:szCs w:val="24"/>
          <w:lang w:val="fr-FR"/>
        </w:rPr>
        <w:t xml:space="preserve">Conseil national de lutte contre le sida et les infections sexuellement transmissibles (CNLS-IST) et un programme de coupons alimentaires des </w:t>
      </w:r>
      <w:r w:rsidRPr="00577EB1">
        <w:rPr>
          <w:i/>
          <w:szCs w:val="24"/>
          <w:lang w:val="fr-FR"/>
        </w:rPr>
        <w:t>Catholic Relief Services</w:t>
      </w:r>
      <w:r w:rsidRPr="00577EB1">
        <w:rPr>
          <w:lang w:val="fr-FR"/>
        </w:rPr>
        <w:t xml:space="preserve"> </w:t>
      </w:r>
      <w:r w:rsidRPr="00577EB1">
        <w:rPr>
          <w:szCs w:val="24"/>
          <w:lang w:val="fr-FR"/>
        </w:rPr>
        <w:t xml:space="preserve">(CRS) et un autre du Programme alimentaire mondial (PAM). </w:t>
      </w:r>
    </w:p>
    <w:p w:rsidR="00D6364C" w:rsidRPr="00577EB1" w:rsidRDefault="00D6364C" w:rsidP="00E52A30">
      <w:pPr>
        <w:numPr>
          <w:ilvl w:val="0"/>
          <w:numId w:val="22"/>
        </w:numPr>
        <w:tabs>
          <w:tab w:val="left" w:pos="360"/>
        </w:tabs>
        <w:ind w:left="360"/>
        <w:rPr>
          <w:szCs w:val="24"/>
          <w:lang w:val="fr-FR"/>
        </w:rPr>
      </w:pPr>
      <w:r w:rsidRPr="00577EB1">
        <w:rPr>
          <w:i/>
          <w:iCs/>
          <w:szCs w:val="24"/>
          <w:lang w:val="fr-FR"/>
        </w:rPr>
        <w:t>La recherche-action du CNLS-IST, lancée en 2008, évalue le rôle du genre et de la conditionnalité dans l’impact sur la santé, l’éducation et le bien-être, des transferts monétaires ciblant les orphelins et autres enfants vulnérables (OEV) de la province de Nahouri.</w:t>
      </w:r>
      <w:r w:rsidRPr="00577EB1">
        <w:rPr>
          <w:szCs w:val="24"/>
          <w:lang w:val="fr-FR"/>
        </w:rPr>
        <w:t xml:space="preserve"> Les résultats de cette évaluation qui porte sur 3</w:t>
      </w:r>
      <w:r w:rsidRPr="00577EB1">
        <w:rPr>
          <w:rFonts w:ascii="Cambria Math" w:hAnsi="Cambria Math" w:cs="Cambria Math"/>
          <w:szCs w:val="24"/>
          <w:lang w:val="fr-FR"/>
        </w:rPr>
        <w:t> </w:t>
      </w:r>
      <w:r w:rsidRPr="00577EB1">
        <w:rPr>
          <w:szCs w:val="24"/>
          <w:lang w:val="fr-FR"/>
        </w:rPr>
        <w:t xml:space="preserve">900 ménages sont attendus pour la fin 2010. </w:t>
      </w:r>
    </w:p>
    <w:p w:rsidR="00D6364C" w:rsidRPr="00577EB1" w:rsidRDefault="00D6364C" w:rsidP="00E52A30">
      <w:pPr>
        <w:numPr>
          <w:ilvl w:val="0"/>
          <w:numId w:val="22"/>
        </w:numPr>
        <w:tabs>
          <w:tab w:val="left" w:pos="360"/>
        </w:tabs>
        <w:ind w:left="360"/>
        <w:rPr>
          <w:szCs w:val="24"/>
          <w:lang w:val="fr-FR"/>
        </w:rPr>
      </w:pPr>
      <w:r w:rsidRPr="00577EB1">
        <w:rPr>
          <w:i/>
          <w:iCs/>
          <w:szCs w:val="24"/>
          <w:lang w:val="fr-FR"/>
        </w:rPr>
        <w:t>Les coupons alimentaires urbains ont été introduits par le CRS en 2008 et le PAM en 2009 à Ouagadougou et Bobo-Dioulasso, en tant que mesure d’urgence répondant à l’insécurité alimentaire croissante due au niveau élevé des prix alimentaires.</w:t>
      </w:r>
      <w:r w:rsidRPr="00577EB1">
        <w:rPr>
          <w:szCs w:val="24"/>
          <w:lang w:val="fr-FR"/>
        </w:rPr>
        <w:t xml:space="preserve"> L’évaluation à mi-parcours du programme du PAM, dont bénéficient 30</w:t>
      </w:r>
      <w:r w:rsidRPr="00577EB1">
        <w:rPr>
          <w:rFonts w:ascii="Cambria Math" w:hAnsi="Cambria Math" w:cs="Cambria Math"/>
          <w:szCs w:val="24"/>
          <w:lang w:val="fr-FR"/>
        </w:rPr>
        <w:t> </w:t>
      </w:r>
      <w:r w:rsidRPr="00577EB1">
        <w:rPr>
          <w:szCs w:val="24"/>
          <w:lang w:val="fr-FR"/>
        </w:rPr>
        <w:t xml:space="preserve">000 ménages, a mis en avant un processus de mise en œuvre efficace et des résultats favorables, en </w:t>
      </w:r>
      <w:r w:rsidRPr="00577EB1">
        <w:rPr>
          <w:szCs w:val="24"/>
          <w:lang w:val="fr-FR"/>
        </w:rPr>
        <w:lastRenderedPageBreak/>
        <w:t xml:space="preserve">dépit des difficultés du ciblage en milieu urbain. Cette évaluation a également révélé que les transferts et les économies de dépenses alimentaires générées par le programme ont amélioré la consommation des ménages bénéficiaires, tant en quantité qu’en qualité, et, dans une moindre mesure, leur accès à la santé et à l’éducation. </w:t>
      </w:r>
    </w:p>
    <w:p w:rsidR="00D6364C" w:rsidRPr="00577EB1" w:rsidRDefault="00D6364C" w:rsidP="00D6364C">
      <w:pPr>
        <w:keepNext/>
        <w:keepLines/>
        <w:rPr>
          <w:szCs w:val="24"/>
          <w:lang w:val="fr-FR"/>
        </w:rPr>
      </w:pPr>
      <w:r w:rsidRPr="00577EB1">
        <w:rPr>
          <w:b/>
          <w:bCs/>
          <w:szCs w:val="24"/>
          <w:lang w:val="fr-FR"/>
        </w:rPr>
        <w:t>Transferts alimentaires</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Les transferts alimentaires sont la principale forme de programmes de filets sociaux au Burkina Faso, représentant 87 % de l’ensemble des dépenses dans les filets sociaux entre 2005 et 2009 et concernant plus de 80</w:t>
      </w:r>
      <w:r w:rsidRPr="00577EB1">
        <w:rPr>
          <w:rFonts w:ascii="Cambria Math" w:hAnsi="Cambria Math" w:cs="Cambria Math"/>
          <w:b/>
          <w:bCs/>
          <w:szCs w:val="24"/>
          <w:lang w:val="fr-FR"/>
        </w:rPr>
        <w:t> </w:t>
      </w:r>
      <w:r w:rsidRPr="00577EB1">
        <w:rPr>
          <w:b/>
          <w:bCs/>
          <w:szCs w:val="24"/>
          <w:lang w:val="fr-FR"/>
        </w:rPr>
        <w:t>% du total estimé des bénéficiaires des filets sociaux en 2009 (hors subventions des produits alimentaires et pétroliers).</w:t>
      </w:r>
      <w:r w:rsidRPr="00577EB1">
        <w:rPr>
          <w:szCs w:val="24"/>
          <w:lang w:val="fr-FR"/>
        </w:rPr>
        <w:t xml:space="preserve"> Quatre types de transferts alimentaires sont actuellement en place</w:t>
      </w:r>
      <w:r w:rsidR="0007340F">
        <w:rPr>
          <w:szCs w:val="24"/>
          <w:lang w:val="fr-FR"/>
        </w:rPr>
        <w:t xml:space="preserve"> </w:t>
      </w:r>
      <w:r w:rsidRPr="00577EB1">
        <w:rPr>
          <w:szCs w:val="24"/>
          <w:lang w:val="fr-FR"/>
        </w:rPr>
        <w:t>i) les ventes ciblées d’aliments à des prix subventionnés</w:t>
      </w:r>
      <w:r w:rsidR="0007340F">
        <w:rPr>
          <w:szCs w:val="24"/>
          <w:lang w:val="fr-FR"/>
        </w:rPr>
        <w:t xml:space="preserve"> </w:t>
      </w:r>
      <w:r w:rsidRPr="00577EB1">
        <w:rPr>
          <w:szCs w:val="24"/>
          <w:lang w:val="fr-FR"/>
        </w:rPr>
        <w:t>ii) les distributions ciblées de vivres gratuits</w:t>
      </w:r>
      <w:r w:rsidR="0007340F">
        <w:rPr>
          <w:szCs w:val="24"/>
          <w:lang w:val="fr-FR"/>
        </w:rPr>
        <w:t xml:space="preserve"> </w:t>
      </w:r>
      <w:r w:rsidRPr="00577EB1">
        <w:rPr>
          <w:szCs w:val="24"/>
          <w:lang w:val="fr-FR"/>
        </w:rPr>
        <w:t>iii) les programmes de nutrition</w:t>
      </w:r>
      <w:r w:rsidR="0007340F">
        <w:rPr>
          <w:szCs w:val="24"/>
          <w:lang w:val="fr-FR"/>
        </w:rPr>
        <w:t xml:space="preserve"> </w:t>
      </w:r>
      <w:r w:rsidRPr="00577EB1">
        <w:rPr>
          <w:szCs w:val="24"/>
          <w:lang w:val="fr-FR"/>
        </w:rPr>
        <w:t xml:space="preserve">et iv) les cantines scolaires. </w:t>
      </w:r>
    </w:p>
    <w:p w:rsidR="00D6364C" w:rsidRPr="00577EB1" w:rsidRDefault="00D6364C" w:rsidP="00E52A30">
      <w:pPr>
        <w:numPr>
          <w:ilvl w:val="0"/>
          <w:numId w:val="29"/>
        </w:numPr>
        <w:tabs>
          <w:tab w:val="left" w:pos="360"/>
        </w:tabs>
        <w:ind w:left="360"/>
        <w:rPr>
          <w:szCs w:val="24"/>
          <w:lang w:val="fr-FR"/>
        </w:rPr>
      </w:pPr>
      <w:r w:rsidRPr="00577EB1">
        <w:rPr>
          <w:b/>
          <w:bCs/>
          <w:i/>
          <w:iCs/>
          <w:szCs w:val="24"/>
          <w:lang w:val="fr-FR"/>
        </w:rPr>
        <w:t>Ventes ciblées</w:t>
      </w:r>
      <w:r w:rsidRPr="00577EB1">
        <w:rPr>
          <w:szCs w:val="24"/>
          <w:lang w:val="fr-FR"/>
        </w:rPr>
        <w:t xml:space="preserve"> </w:t>
      </w:r>
      <w:r w:rsidRPr="00577EB1">
        <w:rPr>
          <w:b/>
          <w:bCs/>
          <w:i/>
          <w:iCs/>
          <w:szCs w:val="24"/>
          <w:lang w:val="fr-FR"/>
        </w:rPr>
        <w:t>d’aliments à des prix subventionnés</w:t>
      </w:r>
      <w:r w:rsidR="0007340F">
        <w:rPr>
          <w:b/>
          <w:bCs/>
          <w:i/>
          <w:iCs/>
          <w:szCs w:val="24"/>
          <w:lang w:val="fr-FR"/>
        </w:rPr>
        <w:t xml:space="preserve"> </w:t>
      </w:r>
      <w:r w:rsidRPr="00577EB1">
        <w:rPr>
          <w:szCs w:val="24"/>
          <w:lang w:val="fr-FR"/>
        </w:rPr>
        <w:t>En principe, les objectifs des programmes de ventes d’aliments à des prix subventionnés sont</w:t>
      </w:r>
      <w:r w:rsidRPr="00577EB1">
        <w:rPr>
          <w:rFonts w:ascii="Cambria Math" w:hAnsi="Cambria Math" w:cs="Cambria Math"/>
          <w:szCs w:val="24"/>
          <w:lang w:val="fr-FR"/>
        </w:rPr>
        <w:t> </w:t>
      </w:r>
      <w:r w:rsidRPr="00577EB1">
        <w:rPr>
          <w:szCs w:val="24"/>
          <w:lang w:val="fr-FR"/>
        </w:rPr>
        <w:t>: i) de contribuer à la stabilité des prix des céréales dans les provinces déficitaires</w:t>
      </w:r>
      <w:r w:rsidR="0007340F">
        <w:rPr>
          <w:szCs w:val="24"/>
          <w:lang w:val="fr-FR"/>
        </w:rPr>
        <w:t xml:space="preserve"> </w:t>
      </w:r>
      <w:r w:rsidRPr="00577EB1">
        <w:rPr>
          <w:szCs w:val="24"/>
          <w:lang w:val="fr-FR"/>
        </w:rPr>
        <w:t>et ii) de porter assistance aux ménages vulnérables à l’insécurité alimentaire. Toutefois, les plus pauvres peuvent ne pas disposer des ressources financières leur permettant d’acheter les céréales subventionnées proposées. De plus, le nombre, le profil et le niveau de pauvreté réels des bénéficiaires restent inconnus, tout comme l’impact du programme sur la situation de la sécurité alimentaire, à cause de l’absence d’un suivi et évaluation efficace.</w:t>
      </w:r>
    </w:p>
    <w:p w:rsidR="00D6364C" w:rsidRPr="00577EB1" w:rsidRDefault="00D6364C" w:rsidP="00E52A30">
      <w:pPr>
        <w:widowControl w:val="0"/>
        <w:numPr>
          <w:ilvl w:val="0"/>
          <w:numId w:val="29"/>
        </w:numPr>
        <w:tabs>
          <w:tab w:val="left" w:pos="360"/>
        </w:tabs>
        <w:ind w:left="360"/>
        <w:rPr>
          <w:b/>
          <w:bCs/>
          <w:szCs w:val="24"/>
          <w:lang w:val="fr-FR"/>
        </w:rPr>
      </w:pPr>
      <w:r w:rsidRPr="00577EB1">
        <w:rPr>
          <w:b/>
          <w:bCs/>
          <w:i/>
          <w:iCs/>
          <w:szCs w:val="24"/>
          <w:lang w:val="fr-FR"/>
        </w:rPr>
        <w:t>Distributions ciblées</w:t>
      </w:r>
      <w:r w:rsidRPr="00577EB1">
        <w:rPr>
          <w:szCs w:val="24"/>
          <w:lang w:val="fr-FR"/>
        </w:rPr>
        <w:t xml:space="preserve"> </w:t>
      </w:r>
      <w:r w:rsidRPr="00577EB1">
        <w:rPr>
          <w:b/>
          <w:bCs/>
          <w:i/>
          <w:iCs/>
          <w:szCs w:val="24"/>
          <w:lang w:val="fr-FR"/>
        </w:rPr>
        <w:t>de vivres gratuits</w:t>
      </w:r>
      <w:r w:rsidR="0007340F">
        <w:rPr>
          <w:b/>
          <w:bCs/>
          <w:i/>
          <w:iCs/>
          <w:szCs w:val="24"/>
          <w:lang w:val="fr-FR"/>
        </w:rPr>
        <w:t xml:space="preserve"> </w:t>
      </w:r>
      <w:r w:rsidRPr="00577EB1">
        <w:rPr>
          <w:bCs/>
          <w:iCs/>
          <w:szCs w:val="24"/>
          <w:lang w:val="fr-FR"/>
        </w:rPr>
        <w:t>La distribution de vivres gratuits</w:t>
      </w:r>
      <w:r w:rsidRPr="00577EB1">
        <w:rPr>
          <w:b/>
          <w:bCs/>
          <w:iCs/>
          <w:szCs w:val="24"/>
          <w:lang w:val="fr-FR"/>
        </w:rPr>
        <w:t xml:space="preserve"> </w:t>
      </w:r>
      <w:r w:rsidRPr="00577EB1">
        <w:rPr>
          <w:bCs/>
          <w:iCs/>
          <w:szCs w:val="24"/>
          <w:lang w:val="fr-FR"/>
        </w:rPr>
        <w:t>a lieu à travers t</w:t>
      </w:r>
      <w:r w:rsidRPr="00577EB1">
        <w:rPr>
          <w:szCs w:val="24"/>
          <w:lang w:val="fr-FR"/>
        </w:rPr>
        <w:t>rois mécanismes</w:t>
      </w:r>
      <w:r w:rsidR="0007340F">
        <w:rPr>
          <w:szCs w:val="24"/>
          <w:lang w:val="fr-FR"/>
        </w:rPr>
        <w:t xml:space="preserve"> </w:t>
      </w:r>
      <w:r w:rsidRPr="00577EB1">
        <w:rPr>
          <w:szCs w:val="24"/>
          <w:lang w:val="fr-FR"/>
        </w:rPr>
        <w:t>i) la distribution de vivres gratuits du Conseil national de secours d’urgence et de réhabilitation (CONASUR)</w:t>
      </w:r>
      <w:r w:rsidR="0007340F">
        <w:rPr>
          <w:szCs w:val="24"/>
          <w:lang w:val="fr-FR"/>
        </w:rPr>
        <w:t xml:space="preserve"> </w:t>
      </w:r>
      <w:r w:rsidRPr="00577EB1">
        <w:rPr>
          <w:szCs w:val="24"/>
          <w:lang w:val="fr-FR"/>
        </w:rPr>
        <w:t>ii) le programme Vivres contre éducation/formation du Programme alimentaire mondial (PAM)</w:t>
      </w:r>
      <w:r w:rsidR="0007340F">
        <w:rPr>
          <w:szCs w:val="24"/>
          <w:lang w:val="fr-FR"/>
        </w:rPr>
        <w:t xml:space="preserve"> </w:t>
      </w:r>
      <w:r w:rsidRPr="00577EB1">
        <w:rPr>
          <w:szCs w:val="24"/>
          <w:lang w:val="fr-FR"/>
        </w:rPr>
        <w:t xml:space="preserve">et iii) le programme de secours général du </w:t>
      </w:r>
      <w:r w:rsidRPr="00577EB1">
        <w:rPr>
          <w:i/>
          <w:szCs w:val="24"/>
          <w:lang w:val="fr-FR"/>
        </w:rPr>
        <w:t>Catholic Relief Services</w:t>
      </w:r>
      <w:r w:rsidRPr="00577EB1">
        <w:rPr>
          <w:b/>
          <w:lang w:val="fr-FR"/>
        </w:rPr>
        <w:t xml:space="preserve"> </w:t>
      </w:r>
      <w:r w:rsidRPr="00577EB1">
        <w:rPr>
          <w:szCs w:val="24"/>
          <w:lang w:val="fr-FR"/>
        </w:rPr>
        <w:t xml:space="preserve">(CRS). Comme le pays produit des excédents depuis ces 10 dernières années, le stock de sécurité national (SSN) n’a jamais été utilisé pour servir l’objectif visé. Néanmoins, certaines zones restent structurellement déficitaires (principalement dans les provinces du Nord et de Kadiogo), et 22 354 millions de tonnes de céréales (pour trois mois de consommation) y ont été distribuées en 2008-2009, les </w:t>
      </w:r>
      <w:r w:rsidR="005D6182">
        <w:rPr>
          <w:szCs w:val="24"/>
          <w:lang w:val="fr-FR"/>
        </w:rPr>
        <w:t>bailleurs de fond</w:t>
      </w:r>
      <w:r w:rsidRPr="00577EB1">
        <w:rPr>
          <w:szCs w:val="24"/>
          <w:lang w:val="fr-FR"/>
        </w:rPr>
        <w:t xml:space="preserve"> et les ONG partenaires couvrant environ 40</w:t>
      </w:r>
      <w:r w:rsidRPr="00577EB1">
        <w:rPr>
          <w:rFonts w:ascii="Cambria Math" w:hAnsi="Cambria Math" w:cs="Cambria Math"/>
          <w:szCs w:val="24"/>
          <w:lang w:val="fr-FR"/>
        </w:rPr>
        <w:t> </w:t>
      </w:r>
      <w:r w:rsidRPr="00577EB1">
        <w:rPr>
          <w:szCs w:val="24"/>
          <w:lang w:val="fr-FR"/>
        </w:rPr>
        <w:t>% des besoins et l’État les 60 % restants. Dans l’ensemble, le système national a apporté en 2008 une assistance alimentaire à quelque 44 000 personnes sur une base annuelle et ad-hoc (en particulier aux victimes d’inondations ou de catastrophes de faible envergure). Les transferts alimentaires du PAM, subordonnés à la participation à des cours d’alphabétisation ou de formation, ont progressivement recentrés leurs efforts sur les provinces du</w:t>
      </w:r>
      <w:r w:rsidRPr="00577EB1">
        <w:rPr>
          <w:rFonts w:ascii="Cambria Math" w:hAnsi="Cambria Math" w:cs="Cambria Math"/>
          <w:szCs w:val="24"/>
          <w:lang w:val="fr-FR"/>
        </w:rPr>
        <w:t> </w:t>
      </w:r>
      <w:r w:rsidRPr="00577EB1">
        <w:rPr>
          <w:szCs w:val="24"/>
          <w:lang w:val="fr-FR"/>
        </w:rPr>
        <w:t>Sahel, et leur portée a été réduite, passant de 21 provinces en 2005 à 11 en 2010 et couvrant environ 36 000 bénéficiaires. Enfin, le CRS assiste chaque année quelque 14 000 personnes vulnérables (personnes vivant avec le VIH, orphelins, personnes âgées et personnes handicapées). Cependant, comme l’insécurité alimentaire est principalement un problème d’accès, les programmes monétaires ou de coupons alimentaires peuvent être préférables.</w:t>
      </w:r>
    </w:p>
    <w:p w:rsidR="00D6364C" w:rsidRPr="00577EB1" w:rsidRDefault="00D6364C" w:rsidP="00E52A30">
      <w:pPr>
        <w:widowControl w:val="0"/>
        <w:numPr>
          <w:ilvl w:val="0"/>
          <w:numId w:val="29"/>
        </w:numPr>
        <w:tabs>
          <w:tab w:val="left" w:pos="360"/>
        </w:tabs>
        <w:ind w:left="360"/>
        <w:rPr>
          <w:b/>
          <w:bCs/>
          <w:szCs w:val="24"/>
          <w:lang w:val="fr-FR"/>
        </w:rPr>
      </w:pPr>
      <w:r w:rsidRPr="00577EB1">
        <w:rPr>
          <w:b/>
          <w:bCs/>
          <w:i/>
          <w:iCs/>
          <w:szCs w:val="24"/>
          <w:lang w:val="fr-FR"/>
        </w:rPr>
        <w:t>Programmes de nutrition</w:t>
      </w:r>
      <w:r w:rsidR="0007340F">
        <w:rPr>
          <w:b/>
          <w:bCs/>
          <w:i/>
          <w:iCs/>
          <w:szCs w:val="24"/>
          <w:lang w:val="fr-FR"/>
        </w:rPr>
        <w:t xml:space="preserve"> </w:t>
      </w:r>
      <w:r w:rsidRPr="00577EB1">
        <w:rPr>
          <w:szCs w:val="24"/>
          <w:lang w:val="fr-FR"/>
        </w:rPr>
        <w:t xml:space="preserve">Au Burkina Faso, près de deux enfants de moins de 5 ans sur 5 souffrent de malnutrition aiguë, en particulier les enfants de 24 à 59 mois, et plus d’un enfant sur trois souffre d’un retard de croissance, avec d’énormes disparités entre les régions. En milieu rural, une fille de 15 à 19 ans sur sept souffre de malnutrition. Étant donnés les besoins, le Gouvernement et ses partenaires, en particulier </w:t>
      </w:r>
      <w:r w:rsidRPr="00577EB1">
        <w:rPr>
          <w:szCs w:val="24"/>
          <w:lang w:val="fr-FR"/>
        </w:rPr>
        <w:lastRenderedPageBreak/>
        <w:t>l’UNICEF</w:t>
      </w:r>
      <w:r w:rsidRPr="00577EB1">
        <w:rPr>
          <w:rFonts w:ascii="Cambria Math" w:hAnsi="Cambria Math" w:cs="Cambria Math"/>
          <w:szCs w:val="24"/>
          <w:lang w:val="fr-FR"/>
        </w:rPr>
        <w:t> </w:t>
      </w:r>
      <w:r w:rsidRPr="00577EB1">
        <w:rPr>
          <w:szCs w:val="24"/>
          <w:lang w:val="fr-FR"/>
        </w:rPr>
        <w:t>et la Banque Mondiale, ont réalisé des efforts substantiels depuis 2003 pour augmenter les interventions de nutrition. L’UNICEF, le PAM, l’ECHO et leurs ONG</w:t>
      </w:r>
      <w:r w:rsidRPr="00577EB1">
        <w:rPr>
          <w:rFonts w:ascii="Cambria Math" w:hAnsi="Cambria Math" w:cs="Cambria Math"/>
          <w:szCs w:val="24"/>
          <w:lang w:val="fr-FR"/>
        </w:rPr>
        <w:t> </w:t>
      </w:r>
      <w:r w:rsidRPr="00577EB1">
        <w:rPr>
          <w:szCs w:val="24"/>
          <w:lang w:val="fr-FR"/>
        </w:rPr>
        <w:t>partenaires sont particulièrement actifs au niveau du traitement des enfants de moins de 5 ans et des femmes enceintes ou allaitantes modérément et sévèrement mal nourris. Le PAM apporte aussi un soutien nutritionnel aux personnes vivant avec le VIH. Malgré l’importance des efforts, la couverture des programmes existants reste inadéquate, alors que la malnutrition aiguë constitue l’un des principaux obstacles à la réalisation des OMD</w:t>
      </w:r>
      <w:r w:rsidRPr="00577EB1">
        <w:rPr>
          <w:rFonts w:ascii="Cambria Math" w:hAnsi="Cambria Math" w:cs="Cambria Math"/>
          <w:szCs w:val="24"/>
          <w:lang w:val="fr-FR"/>
        </w:rPr>
        <w:t> </w:t>
      </w:r>
      <w:r w:rsidRPr="00577EB1">
        <w:rPr>
          <w:szCs w:val="24"/>
          <w:lang w:val="fr-FR"/>
        </w:rPr>
        <w:t xml:space="preserve">en matière de nutrition. L’UNICEF estimait à seulement 25 000 le nombre d’enfants sévèrement mal nourris traités en 2009, soit bien moins que les besoins réels (plus d’un million d’enfants sont mal nourris). </w:t>
      </w:r>
    </w:p>
    <w:p w:rsidR="00970B8C" w:rsidRDefault="00D6364C" w:rsidP="00E52A30">
      <w:pPr>
        <w:numPr>
          <w:ilvl w:val="0"/>
          <w:numId w:val="29"/>
        </w:numPr>
        <w:tabs>
          <w:tab w:val="left" w:pos="360"/>
        </w:tabs>
        <w:ind w:left="360"/>
        <w:rPr>
          <w:szCs w:val="24"/>
          <w:lang w:val="fr-FR"/>
        </w:rPr>
      </w:pPr>
      <w:r w:rsidRPr="00577EB1">
        <w:rPr>
          <w:b/>
          <w:bCs/>
          <w:i/>
          <w:iCs/>
          <w:szCs w:val="24"/>
          <w:lang w:val="fr-FR"/>
        </w:rPr>
        <w:t>Cantines scolaires</w:t>
      </w:r>
      <w:r w:rsidR="0007340F">
        <w:rPr>
          <w:b/>
          <w:bCs/>
          <w:i/>
          <w:iCs/>
          <w:szCs w:val="24"/>
          <w:lang w:val="fr-FR"/>
        </w:rPr>
        <w:t xml:space="preserve"> </w:t>
      </w:r>
      <w:r w:rsidRPr="00577EB1">
        <w:rPr>
          <w:szCs w:val="24"/>
          <w:lang w:val="fr-FR"/>
        </w:rPr>
        <w:t xml:space="preserve">Les cantines scolaires sont l’un des principaux programmes de filets sociaux actuellement en place au Burkina Faso. En 2009, elles représentaient en moyenne </w:t>
      </w:r>
      <w:r w:rsidR="00970B8C">
        <w:rPr>
          <w:szCs w:val="24"/>
          <w:lang w:val="fr-FR"/>
        </w:rPr>
        <w:t xml:space="preserve">24% </w:t>
      </w:r>
      <w:r w:rsidRPr="00577EB1">
        <w:rPr>
          <w:szCs w:val="24"/>
          <w:lang w:val="fr-FR"/>
        </w:rPr>
        <w:t xml:space="preserve">des dépenses totales consacrées aux filets sociaux (à l’exclusion des subventions générales) et couvraient plus de </w:t>
      </w:r>
      <w:r w:rsidR="00970B8C">
        <w:rPr>
          <w:szCs w:val="24"/>
          <w:lang w:val="fr-FR"/>
        </w:rPr>
        <w:t>27</w:t>
      </w:r>
      <w:r w:rsidRPr="00577EB1">
        <w:rPr>
          <w:szCs w:val="24"/>
          <w:lang w:val="fr-FR"/>
        </w:rPr>
        <w:t xml:space="preserve"> % du nombre total estimé des bénéficiaires des filets sociaux. Plus de 50 % des écoles primaires du pays ont des activités de cantines scolaires, et plus de 50 % des dépenses sont financées extérieurement par </w:t>
      </w:r>
      <w:r w:rsidR="00970B8C">
        <w:rPr>
          <w:szCs w:val="24"/>
          <w:lang w:val="fr-FR"/>
        </w:rPr>
        <w:t xml:space="preserve">l’USAID, </w:t>
      </w:r>
      <w:r w:rsidRPr="00577EB1">
        <w:rPr>
          <w:szCs w:val="24"/>
          <w:lang w:val="fr-FR"/>
        </w:rPr>
        <w:t xml:space="preserve">le PAM, le CRS et les ONG. Le ministre de l’Éducation de base et de l’alphabétisation (MEBA) gère les programmes endogènes de cantines scolaires et fournit des vivres pour seulement trois mois, tandis que les programmes des </w:t>
      </w:r>
      <w:r w:rsidR="005D6182">
        <w:rPr>
          <w:szCs w:val="24"/>
          <w:lang w:val="fr-FR"/>
        </w:rPr>
        <w:t>bailleurs de fond</w:t>
      </w:r>
      <w:r w:rsidRPr="00577EB1">
        <w:rPr>
          <w:szCs w:val="24"/>
          <w:lang w:val="fr-FR"/>
        </w:rPr>
        <w:t xml:space="preserve"> visent surtout l’appui à des programmes de cantines scolaires fonctionnant tout au long de l’année scolaire. Les constats d’une récente évaluation de l’impact (2008) </w:t>
      </w:r>
      <w:r w:rsidR="00970B8C">
        <w:rPr>
          <w:szCs w:val="24"/>
          <w:lang w:val="fr-FR"/>
        </w:rPr>
        <w:t xml:space="preserve">a rapporté que les deux formes de cantine scolaire assistée, repas pris à l’école et les rations sèches à emporter pour les filles, </w:t>
      </w:r>
      <w:r w:rsidR="00970B8C" w:rsidRPr="00577EB1">
        <w:rPr>
          <w:szCs w:val="24"/>
          <w:lang w:val="fr-FR"/>
        </w:rPr>
        <w:t xml:space="preserve"> </w:t>
      </w:r>
      <w:r w:rsidR="00970B8C">
        <w:rPr>
          <w:szCs w:val="24"/>
          <w:lang w:val="fr-FR"/>
        </w:rPr>
        <w:t>ont permis d’augmenter la</w:t>
      </w:r>
      <w:r w:rsidR="00970B8C" w:rsidRPr="00577EB1">
        <w:rPr>
          <w:szCs w:val="24"/>
          <w:lang w:val="fr-FR"/>
        </w:rPr>
        <w:t xml:space="preserve"> scolarisation des filles d</w:t>
      </w:r>
      <w:r w:rsidR="00970B8C">
        <w:rPr>
          <w:szCs w:val="24"/>
          <w:lang w:val="fr-FR"/>
        </w:rPr>
        <w:t>’environ</w:t>
      </w:r>
      <w:r w:rsidR="00970B8C" w:rsidRPr="00577EB1">
        <w:rPr>
          <w:szCs w:val="24"/>
          <w:lang w:val="fr-FR"/>
        </w:rPr>
        <w:t xml:space="preserve"> 6 %</w:t>
      </w:r>
      <w:r w:rsidR="00970B8C">
        <w:rPr>
          <w:szCs w:val="24"/>
          <w:lang w:val="fr-FR"/>
        </w:rPr>
        <w:t>.</w:t>
      </w:r>
      <w:r w:rsidR="00970B8C" w:rsidRPr="00577EB1">
        <w:rPr>
          <w:szCs w:val="24"/>
          <w:lang w:val="fr-FR"/>
        </w:rPr>
        <w:t xml:space="preserve"> </w:t>
      </w:r>
      <w:r w:rsidR="00970B8C">
        <w:rPr>
          <w:szCs w:val="24"/>
          <w:lang w:val="fr-FR"/>
        </w:rPr>
        <w:t>Aucune de ces interventions n’a montré d’impact positif significatif sur l’apprentissage, mais un impact positif des rations sèches pour les filles sur le statut nutritionnel des frères et sœurs plus jeunes a été observé.</w:t>
      </w:r>
      <w:r w:rsidR="00970B8C" w:rsidRPr="00577EB1">
        <w:rPr>
          <w:szCs w:val="24"/>
          <w:lang w:val="fr-FR"/>
        </w:rPr>
        <w:t xml:space="preserve">. </w:t>
      </w:r>
      <w:r w:rsidR="00970B8C">
        <w:rPr>
          <w:szCs w:val="24"/>
          <w:lang w:val="fr-FR"/>
        </w:rPr>
        <w:t xml:space="preserve">Ces résultats mitigés invitent à reconsidérer le choix des repas pris à l’école pour augmenter les taux de scolarisation. </w:t>
      </w:r>
      <w:r w:rsidR="00970B8C" w:rsidRPr="0075722A">
        <w:rPr>
          <w:szCs w:val="24"/>
          <w:lang w:val="fr-FR"/>
        </w:rPr>
        <w:t xml:space="preserve">Les repas pris à l’école </w:t>
      </w:r>
      <w:r w:rsidR="00970B8C" w:rsidRPr="00EB214A">
        <w:rPr>
          <w:szCs w:val="24"/>
          <w:lang w:val="fr-FR"/>
        </w:rPr>
        <w:t xml:space="preserve"> sont coûteux et un impact plus important (sur la pauvreté et la nutrition)</w:t>
      </w:r>
      <w:r w:rsidR="00970B8C">
        <w:rPr>
          <w:szCs w:val="24"/>
          <w:lang w:val="fr-FR"/>
        </w:rPr>
        <w:t xml:space="preserve"> pourrait être réalisé avec des rations ciblées (éventuellement conditionnelles) avec des résultats similaires sur les taux de scolarisation, et la possibilité de cibler prioritairement les filles et réduire ainsi les disparités entre genres. </w:t>
      </w:r>
      <w:r w:rsidR="00970B8C" w:rsidRPr="00577EB1">
        <w:rPr>
          <w:szCs w:val="24"/>
          <w:lang w:val="fr-FR"/>
        </w:rPr>
        <w:t xml:space="preserve">Le gouvernement prévoit de faire passer </w:t>
      </w:r>
      <w:r w:rsidR="00970B8C">
        <w:rPr>
          <w:szCs w:val="24"/>
          <w:lang w:val="fr-FR"/>
        </w:rPr>
        <w:t>son</w:t>
      </w:r>
      <w:r w:rsidR="00970B8C" w:rsidRPr="00577EB1">
        <w:rPr>
          <w:szCs w:val="24"/>
          <w:lang w:val="fr-FR"/>
        </w:rPr>
        <w:t xml:space="preserve"> programme </w:t>
      </w:r>
      <w:r w:rsidR="00970B8C">
        <w:rPr>
          <w:szCs w:val="24"/>
          <w:lang w:val="fr-FR"/>
        </w:rPr>
        <w:t xml:space="preserve">de cantines scolaires (repas pris à l’école) </w:t>
      </w:r>
      <w:r w:rsidR="00970B8C" w:rsidRPr="00577EB1">
        <w:rPr>
          <w:szCs w:val="24"/>
          <w:lang w:val="fr-FR"/>
        </w:rPr>
        <w:t xml:space="preserve">à l’échelle pendant l’année scolaire 2010-2011, afin de couvrir toutes les écoles primaires. Il n’est cependant pas clair si cette expansion est une mesure temporaire pour atténuer les effets de la crise récente ou une stratégie à long terme. L’expansion des cantines scolaires peut </w:t>
      </w:r>
      <w:r w:rsidR="00970B8C">
        <w:rPr>
          <w:szCs w:val="24"/>
          <w:lang w:val="fr-FR"/>
        </w:rPr>
        <w:t>c</w:t>
      </w:r>
      <w:r w:rsidR="00970B8C" w:rsidRPr="00577EB1">
        <w:rPr>
          <w:szCs w:val="24"/>
          <w:lang w:val="fr-FR"/>
        </w:rPr>
        <w:t>ertes être une réponse temporaire, pratique et légitime à la crise alimentaire mais les autorités doivent continuer à rechercher l’instrument de filet social le plus adéquat à long terme</w:t>
      </w:r>
      <w:r w:rsidR="00970B8C">
        <w:rPr>
          <w:szCs w:val="24"/>
          <w:lang w:val="fr-FR"/>
        </w:rPr>
        <w:t>, y compris les mécanismes de ciblage au plus pauvres, pour améliorer les taux de scolarisation et contribuer à la réduction de la pauvreté.</w:t>
      </w:r>
    </w:p>
    <w:p w:rsidR="00D6364C" w:rsidRPr="00577EB1" w:rsidRDefault="00D6364C" w:rsidP="00970B8C">
      <w:pPr>
        <w:tabs>
          <w:tab w:val="left" w:pos="360"/>
        </w:tabs>
        <w:rPr>
          <w:szCs w:val="24"/>
          <w:lang w:val="fr-FR"/>
        </w:rPr>
      </w:pPr>
      <w:r w:rsidRPr="00577EB1">
        <w:rPr>
          <w:b/>
          <w:bCs/>
          <w:szCs w:val="24"/>
          <w:lang w:val="fr-FR"/>
        </w:rPr>
        <w:t>Subventions universelles des produits alimentaires et pétroliers</w:t>
      </w:r>
    </w:p>
    <w:p w:rsidR="00D6364C" w:rsidRPr="00577EB1" w:rsidRDefault="00D6364C" w:rsidP="00E52A30">
      <w:pPr>
        <w:numPr>
          <w:ilvl w:val="0"/>
          <w:numId w:val="33"/>
        </w:numPr>
        <w:tabs>
          <w:tab w:val="clear" w:pos="709"/>
        </w:tabs>
        <w:ind w:left="0" w:firstLine="0"/>
        <w:rPr>
          <w:b/>
          <w:bCs/>
          <w:szCs w:val="24"/>
          <w:lang w:val="fr-FR"/>
        </w:rPr>
      </w:pPr>
      <w:r w:rsidRPr="00577EB1">
        <w:rPr>
          <w:b/>
          <w:bCs/>
          <w:szCs w:val="24"/>
          <w:lang w:val="fr-FR"/>
        </w:rPr>
        <w:t xml:space="preserve">Pour atténuer les effets négatifs des prix élevés des produits alimentaires et pétroliers, l’État pratique des subventions universelles qui sont onéreuses et ne bénéficient pas aux pauvres. </w:t>
      </w:r>
      <w:r w:rsidRPr="00577EB1">
        <w:rPr>
          <w:szCs w:val="24"/>
          <w:lang w:val="fr-FR"/>
        </w:rPr>
        <w:t>La subvention universelle des denrées alimentaires a été introduite en 2008 en réaction à la hausse des cours mondiaux. Elle s’est avérée très onéreuses et moins qu’efficace pour atteindre les pauvres. Les deux quintiles les plus pauvres ont été les plus touchés par la hausse des prix alimentaires mais n’ont que très peu bénéficié des exonérations fiscales</w:t>
      </w:r>
      <w:r w:rsidR="0007340F">
        <w:rPr>
          <w:szCs w:val="24"/>
          <w:lang w:val="fr-FR"/>
        </w:rPr>
        <w:t xml:space="preserve"> </w:t>
      </w:r>
      <w:r w:rsidRPr="00577EB1">
        <w:rPr>
          <w:szCs w:val="24"/>
          <w:lang w:val="fr-FR"/>
        </w:rPr>
        <w:t xml:space="preserve">seuls 10 % de ces prestations ont bénéficié au quintile </w:t>
      </w:r>
      <w:r w:rsidRPr="00577EB1">
        <w:rPr>
          <w:szCs w:val="24"/>
          <w:lang w:val="fr-FR"/>
        </w:rPr>
        <w:lastRenderedPageBreak/>
        <w:t>le plus pauvre. Au bout de six mois, la mesure a été annulée et le programme clôturé. D’un autre côté, un certain nombre de produits pétroliers sont subventionné depuis des années par l’État, malgré le coût élevé pour les finances publiques et l’impact très limité sur les ménages les plus pauvres (en dehors du pétrole lampant). Selon les estimations, plus de 84 % des prestations profitent aux non-pauvres. Dans l’ensemble, le coût budgétaire direct de l’exonération des taxes à l’importation sur les produits pétroliers équivalait, selon les estimations, à 0,7 % du PIB en 2007 et 2008. Il s’agit là</w:t>
      </w:r>
      <w:r w:rsidRPr="00577EB1">
        <w:rPr>
          <w:szCs w:val="24"/>
          <w:lang w:val="fr-FR"/>
        </w:rPr>
        <w:t> </w:t>
      </w:r>
      <w:r w:rsidRPr="00577EB1">
        <w:rPr>
          <w:szCs w:val="24"/>
          <w:lang w:val="fr-FR"/>
        </w:rPr>
        <w:t xml:space="preserve">d’un coût élevé pour un impact très limité sur les personnes pauvres et vulnérables. </w:t>
      </w:r>
    </w:p>
    <w:p w:rsidR="00D6364C" w:rsidRPr="00577EB1" w:rsidRDefault="00D6364C" w:rsidP="00D6364C">
      <w:pPr>
        <w:rPr>
          <w:szCs w:val="24"/>
          <w:lang w:val="fr-FR"/>
        </w:rPr>
      </w:pPr>
      <w:r w:rsidRPr="00577EB1">
        <w:rPr>
          <w:b/>
          <w:bCs/>
          <w:szCs w:val="24"/>
          <w:lang w:val="fr-FR"/>
        </w:rPr>
        <w:t xml:space="preserve">Travaux publics à haute intensité de main-d’œuvre et programmes Argent/Vivres contre travail </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Il y a beaucoup à apprendre de l’expérience positive des programmes de travaux publics actuellement en cours.</w:t>
      </w:r>
      <w:r w:rsidRPr="00577EB1">
        <w:rPr>
          <w:b/>
          <w:bCs/>
          <w:i/>
          <w:iCs/>
          <w:szCs w:val="24"/>
          <w:lang w:val="fr-FR"/>
        </w:rPr>
        <w:t xml:space="preserve"> </w:t>
      </w:r>
      <w:r w:rsidRPr="00577EB1">
        <w:rPr>
          <w:szCs w:val="24"/>
          <w:lang w:val="fr-FR"/>
        </w:rPr>
        <w:t xml:space="preserve">Le programme de </w:t>
      </w:r>
      <w:r w:rsidRPr="00577EB1">
        <w:rPr>
          <w:iCs/>
          <w:szCs w:val="24"/>
          <w:lang w:val="fr-FR"/>
        </w:rPr>
        <w:t>Pistes rurales</w:t>
      </w:r>
      <w:r w:rsidR="0007340F">
        <w:rPr>
          <w:iCs/>
          <w:szCs w:val="24"/>
          <w:lang w:val="fr-FR"/>
        </w:rPr>
        <w:t xml:space="preserve"> </w:t>
      </w:r>
      <w:r w:rsidRPr="00577EB1">
        <w:rPr>
          <w:iCs/>
          <w:szCs w:val="24"/>
          <w:lang w:val="fr-FR"/>
        </w:rPr>
        <w:t>Désenclavement à l’Est</w:t>
      </w:r>
      <w:r w:rsidRPr="00577EB1">
        <w:rPr>
          <w:szCs w:val="24"/>
          <w:lang w:val="fr-FR"/>
        </w:rPr>
        <w:t xml:space="preserve"> (PrEst), mis en œuvre par l’ONG</w:t>
      </w:r>
      <w:r w:rsidRPr="00577EB1">
        <w:rPr>
          <w:rFonts w:ascii="Cambria Math" w:hAnsi="Cambria Math" w:cs="Cambria Math"/>
          <w:szCs w:val="24"/>
          <w:lang w:val="fr-FR"/>
        </w:rPr>
        <w:t> </w:t>
      </w:r>
      <w:r w:rsidRPr="00577EB1">
        <w:rPr>
          <w:szCs w:val="24"/>
          <w:lang w:val="fr-FR"/>
        </w:rPr>
        <w:t xml:space="preserve">Helvetas depuis 2002 sous la supervision du ministère des Infrastructures (MID), adopte une approche à haute intensité de main-d’œuvre pour la construction d’infrastructures en milieu rural. Bien que ce projet ne soit pas conçu comme un filet social spécifiquement destiné aux personnes pauvres valides, les résultats montrent un impact positif sur la réduction de la pauvreté et le développement local (par exemple, une plus grande utilisation des services de santé, un taux de scolarisation plus élevé et un plus faible taux de migration des jeunes). Entre 2005 et 2007, le projet a employé en moyenne 865 personnes (principalement des jeunes de 20 à 35 ans, dont 16 % de femmes) par an pendant environ six mois, en pratiquant un taux de rémunération inférieur au salaire minimum garanti. Parmi les autres expériences de travaux publics, le programme Vivres contre infrastructures du PAM se concentre principalement sur la construction de biens de qualité et, dans une moindre mesure, sur des activités à haute intensité de main-d’œuvre. En s’appuyant sur les expériences du PrEst et du programme Vivres contre infrastructure du PAM, d’autres types de programmes de travaux publics pourraient être introduits en tant qu’instruments efficaces de filets sociaux. </w:t>
      </w:r>
    </w:p>
    <w:p w:rsidR="00D6364C" w:rsidRPr="00577EB1" w:rsidRDefault="00D6364C" w:rsidP="00D6364C">
      <w:pPr>
        <w:spacing w:after="120"/>
        <w:rPr>
          <w:b/>
          <w:bCs/>
          <w:szCs w:val="24"/>
          <w:lang w:val="fr-FR"/>
        </w:rPr>
      </w:pPr>
      <w:r w:rsidRPr="00577EB1">
        <w:rPr>
          <w:b/>
          <w:bCs/>
          <w:szCs w:val="24"/>
          <w:lang w:val="fr-FR"/>
        </w:rPr>
        <w:t>Exemption des frais de santé</w:t>
      </w:r>
    </w:p>
    <w:p w:rsidR="00D6364C" w:rsidRPr="00577EB1" w:rsidRDefault="00D6364C" w:rsidP="00E52A30">
      <w:pPr>
        <w:numPr>
          <w:ilvl w:val="0"/>
          <w:numId w:val="33"/>
        </w:numPr>
        <w:tabs>
          <w:tab w:val="clear" w:pos="709"/>
        </w:tabs>
        <w:ind w:left="0" w:firstLine="0"/>
        <w:rPr>
          <w:b/>
          <w:bCs/>
          <w:sz w:val="28"/>
          <w:szCs w:val="28"/>
          <w:lang w:val="fr-FR"/>
        </w:rPr>
      </w:pPr>
      <w:r w:rsidRPr="00577EB1">
        <w:rPr>
          <w:b/>
          <w:bCs/>
          <w:szCs w:val="24"/>
          <w:lang w:val="fr-FR"/>
        </w:rPr>
        <w:t xml:space="preserve">Bien que plusieurs initiatives visent à fournir des soins de santé gratuits aux personnes pauvres et vulnérables, elles ne sont pas opérationnelles en raison du manque de mécanismes de mise en œuvre. </w:t>
      </w:r>
      <w:r w:rsidRPr="00577EB1">
        <w:rPr>
          <w:szCs w:val="24"/>
          <w:lang w:val="fr-FR"/>
        </w:rPr>
        <w:t>A titre d’exemple, la politique de subvention des Soins obstétricaux et néonataux d’urgence (SONU) de 200</w:t>
      </w:r>
      <w:r w:rsidR="00273667">
        <w:rPr>
          <w:szCs w:val="24"/>
          <w:lang w:val="fr-FR"/>
        </w:rPr>
        <w:t>6</w:t>
      </w:r>
      <w:r w:rsidRPr="00577EB1">
        <w:rPr>
          <w:szCs w:val="24"/>
          <w:lang w:val="fr-FR"/>
        </w:rPr>
        <w:t xml:space="preserve"> donne aux femmes indigentes le droit à des services de santé gratuits. Malheureusement, elle ne définit pas les conditions d’éligibilité et empêche ainsi ces femmes de bénéficier de ces services. Ce programme se heurte à trois grandes questions :</w:t>
      </w:r>
      <w:r w:rsidRPr="00577EB1">
        <w:rPr>
          <w:rFonts w:ascii="Cambria Math" w:hAnsi="Cambria Math" w:cs="Cambria Math"/>
          <w:szCs w:val="24"/>
          <w:lang w:val="fr-FR"/>
        </w:rPr>
        <w:t> </w:t>
      </w:r>
      <w:r w:rsidRPr="00577EB1">
        <w:rPr>
          <w:szCs w:val="24"/>
          <w:lang w:val="fr-FR"/>
        </w:rPr>
        <w:t>i) comment définir qui est indigent (ou pauvre)</w:t>
      </w:r>
      <w:r w:rsidR="0007340F">
        <w:rPr>
          <w:szCs w:val="24"/>
          <w:lang w:val="fr-FR"/>
        </w:rPr>
        <w:t xml:space="preserve"> </w:t>
      </w:r>
      <w:r w:rsidRPr="00577EB1">
        <w:rPr>
          <w:szCs w:val="24"/>
          <w:lang w:val="fr-FR"/>
        </w:rPr>
        <w:t>ii) qui décide de ce statut</w:t>
      </w:r>
      <w:r w:rsidR="0007340F">
        <w:rPr>
          <w:szCs w:val="24"/>
          <w:lang w:val="fr-FR"/>
        </w:rPr>
        <w:t xml:space="preserve"> </w:t>
      </w:r>
      <w:r w:rsidRPr="00577EB1">
        <w:rPr>
          <w:szCs w:val="24"/>
          <w:lang w:val="fr-FR"/>
        </w:rPr>
        <w:t>et iii) qui supporte les coûts de l’exonération des frais</w:t>
      </w:r>
      <w:r w:rsidR="0007340F">
        <w:rPr>
          <w:szCs w:val="24"/>
          <w:lang w:val="fr-FR"/>
        </w:rPr>
        <w:t xml:space="preserve"> </w:t>
      </w:r>
      <w:r w:rsidRPr="00577EB1">
        <w:rPr>
          <w:szCs w:val="24"/>
          <w:lang w:val="fr-FR"/>
        </w:rPr>
        <w:t>Quelques initiatives intéressantes ont toutefois été menées</w:t>
      </w:r>
      <w:r w:rsidR="00945AC7">
        <w:rPr>
          <w:szCs w:val="24"/>
          <w:lang w:val="fr-FR"/>
        </w:rPr>
        <w:t>,</w:t>
      </w:r>
      <w:r w:rsidRPr="00577EB1">
        <w:rPr>
          <w:szCs w:val="24"/>
          <w:lang w:val="fr-FR"/>
        </w:rPr>
        <w:t xml:space="preserve"> </w:t>
      </w:r>
      <w:r w:rsidR="00945AC7" w:rsidRPr="00577EB1">
        <w:rPr>
          <w:szCs w:val="24"/>
          <w:lang w:val="fr-FR"/>
        </w:rPr>
        <w:t xml:space="preserve">en milieu rural </w:t>
      </w:r>
      <w:r w:rsidRPr="00577EB1">
        <w:rPr>
          <w:szCs w:val="24"/>
          <w:lang w:val="fr-FR"/>
        </w:rPr>
        <w:t>par l’</w:t>
      </w:r>
      <w:r w:rsidR="00945AC7">
        <w:rPr>
          <w:szCs w:val="24"/>
          <w:lang w:val="fr-FR"/>
        </w:rPr>
        <w:t>Université de Montréal (en collaboration avec l’</w:t>
      </w:r>
      <w:r w:rsidRPr="00577EB1">
        <w:rPr>
          <w:szCs w:val="24"/>
          <w:lang w:val="fr-FR"/>
        </w:rPr>
        <w:t>IRSS/CNRST) ainsi que par le Centre de recherche sur la santé de Nouna</w:t>
      </w:r>
      <w:r w:rsidR="00945AC7">
        <w:rPr>
          <w:szCs w:val="24"/>
          <w:lang w:val="fr-FR"/>
        </w:rPr>
        <w:t xml:space="preserve">, et </w:t>
      </w:r>
      <w:r w:rsidRPr="00577EB1">
        <w:rPr>
          <w:szCs w:val="24"/>
          <w:lang w:val="fr-FR"/>
        </w:rPr>
        <w:t xml:space="preserve"> </w:t>
      </w:r>
      <w:r w:rsidR="00945AC7" w:rsidRPr="00577EB1">
        <w:rPr>
          <w:szCs w:val="24"/>
          <w:lang w:val="fr-FR"/>
        </w:rPr>
        <w:t>en milieu urbain</w:t>
      </w:r>
      <w:r w:rsidR="00945AC7" w:rsidRPr="00577EB1" w:rsidDel="00945AC7">
        <w:rPr>
          <w:szCs w:val="24"/>
          <w:lang w:val="fr-FR"/>
        </w:rPr>
        <w:t xml:space="preserve"> </w:t>
      </w:r>
      <w:r w:rsidRPr="00577EB1">
        <w:rPr>
          <w:szCs w:val="24"/>
          <w:lang w:val="fr-FR"/>
        </w:rPr>
        <w:t xml:space="preserve"> par le PAM et </w:t>
      </w:r>
      <w:r w:rsidR="00E309C1">
        <w:rPr>
          <w:szCs w:val="24"/>
          <w:lang w:val="fr-FR"/>
        </w:rPr>
        <w:t>l’</w:t>
      </w:r>
      <w:r w:rsidRPr="00577EB1">
        <w:rPr>
          <w:szCs w:val="24"/>
          <w:lang w:val="fr-FR"/>
        </w:rPr>
        <w:t>IRD. Ces initiatives se sont appuyées sur un processus communautaire pour sélectionner les bénéficiaires de l’exemption des frais payés par l’usager. Bien que l’expérience mondiale indique que l’abolition du paiement par l’usager pour les plus pauvres est équitable et réalisable tant techniquement que financièrement, d’autres études devraient être entreprises pour en définir les mécanismes de mise en œuvre. En particulier dans le cadre du financement du système de santé burkinabé, les points cruciaux suivants devront être examinés</w:t>
      </w:r>
      <w:r w:rsidR="0007340F">
        <w:rPr>
          <w:szCs w:val="24"/>
          <w:lang w:val="fr-FR"/>
        </w:rPr>
        <w:t xml:space="preserve"> </w:t>
      </w:r>
      <w:r w:rsidRPr="00577EB1">
        <w:rPr>
          <w:szCs w:val="24"/>
          <w:lang w:val="fr-FR"/>
        </w:rPr>
        <w:t>i) quel modèle faut-il promouvoir</w:t>
      </w:r>
      <w:r w:rsidR="0007340F">
        <w:rPr>
          <w:szCs w:val="24"/>
          <w:lang w:val="fr-FR"/>
        </w:rPr>
        <w:t xml:space="preserve"> </w:t>
      </w:r>
      <w:r w:rsidRPr="00577EB1">
        <w:rPr>
          <w:szCs w:val="24"/>
          <w:lang w:val="fr-FR"/>
        </w:rPr>
        <w:t>subventions des soins de santé (ministère de la Santé</w:t>
      </w:r>
      <w:r w:rsidR="0007340F">
        <w:rPr>
          <w:szCs w:val="24"/>
          <w:lang w:val="fr-FR"/>
        </w:rPr>
        <w:t xml:space="preserve"> </w:t>
      </w:r>
      <w:r w:rsidRPr="00577EB1">
        <w:rPr>
          <w:szCs w:val="24"/>
          <w:lang w:val="fr-FR"/>
        </w:rPr>
        <w:t>MS), assurance maladie (ministère du Travail et de la Sécurité sociale</w:t>
      </w:r>
      <w:r w:rsidR="0007340F">
        <w:rPr>
          <w:szCs w:val="24"/>
          <w:lang w:val="fr-FR"/>
        </w:rPr>
        <w:t xml:space="preserve"> </w:t>
      </w:r>
      <w:r w:rsidRPr="00577EB1">
        <w:rPr>
          <w:szCs w:val="24"/>
          <w:lang w:val="fr-FR"/>
        </w:rPr>
        <w:t xml:space="preserve">MTSS), exemption des </w:t>
      </w:r>
      <w:r w:rsidRPr="00577EB1">
        <w:rPr>
          <w:szCs w:val="24"/>
          <w:lang w:val="fr-FR"/>
        </w:rPr>
        <w:lastRenderedPageBreak/>
        <w:t>frais pour les personnes indigentes (pauvres) (ministère de l’Action sociale et de la Solidarité nationale</w:t>
      </w:r>
      <w:r w:rsidR="0007340F">
        <w:rPr>
          <w:szCs w:val="24"/>
          <w:lang w:val="fr-FR"/>
        </w:rPr>
        <w:t xml:space="preserve"> </w:t>
      </w:r>
      <w:r w:rsidRPr="00577EB1">
        <w:rPr>
          <w:szCs w:val="24"/>
          <w:lang w:val="fr-FR"/>
        </w:rPr>
        <w:t>MASSN), exemption des frais pour les groupes vulnérables (ONG), transferts monétaires</w:t>
      </w:r>
      <w:r w:rsidRPr="00577EB1">
        <w:rPr>
          <w:i/>
          <w:iCs/>
          <w:szCs w:val="24"/>
          <w:lang w:val="fr-FR"/>
        </w:rPr>
        <w:t xml:space="preserve"> </w:t>
      </w:r>
      <w:r w:rsidRPr="00577EB1">
        <w:rPr>
          <w:szCs w:val="24"/>
          <w:lang w:val="fr-FR"/>
        </w:rPr>
        <w:t>(Conseil national de lutte contre le sida</w:t>
      </w:r>
      <w:r w:rsidR="0007340F">
        <w:rPr>
          <w:szCs w:val="24"/>
          <w:lang w:val="fr-FR"/>
        </w:rPr>
        <w:t xml:space="preserve"> </w:t>
      </w:r>
      <w:r w:rsidRPr="00577EB1">
        <w:rPr>
          <w:szCs w:val="24"/>
          <w:lang w:val="fr-FR"/>
        </w:rPr>
        <w:t>CNLS), etc.</w:t>
      </w:r>
      <w:r w:rsidR="0007340F">
        <w:rPr>
          <w:szCs w:val="24"/>
          <w:lang w:val="fr-FR"/>
        </w:rPr>
        <w:t xml:space="preserve"> </w:t>
      </w:r>
      <w:r w:rsidRPr="00577EB1">
        <w:rPr>
          <w:szCs w:val="24"/>
          <w:lang w:val="fr-FR"/>
        </w:rPr>
        <w:t>ii) comment financer le secteur de la santé :</w:t>
      </w:r>
      <w:r w:rsidRPr="00577EB1">
        <w:rPr>
          <w:rFonts w:ascii="Cambria Math" w:hAnsi="Cambria Math" w:cs="Cambria Math"/>
          <w:szCs w:val="24"/>
          <w:lang w:val="fr-FR"/>
        </w:rPr>
        <w:t> </w:t>
      </w:r>
      <w:r w:rsidRPr="00577EB1">
        <w:rPr>
          <w:szCs w:val="24"/>
          <w:lang w:val="fr-FR"/>
        </w:rPr>
        <w:t>paiement par l’usager, réallocation des dépenses nationales, nouvelles sources de financement (exemple</w:t>
      </w:r>
      <w:r w:rsidR="0007340F">
        <w:rPr>
          <w:szCs w:val="24"/>
          <w:lang w:val="fr-FR"/>
        </w:rPr>
        <w:t xml:space="preserve"> </w:t>
      </w:r>
      <w:r w:rsidRPr="00577EB1">
        <w:rPr>
          <w:szCs w:val="24"/>
          <w:lang w:val="fr-FR"/>
        </w:rPr>
        <w:t>taxe sur les téléphones portables), financement international, etc.</w:t>
      </w:r>
      <w:r w:rsidR="0007340F">
        <w:rPr>
          <w:szCs w:val="24"/>
          <w:lang w:val="fr-FR"/>
        </w:rPr>
        <w:t xml:space="preserve"> </w:t>
      </w:r>
      <w:r w:rsidRPr="00577EB1">
        <w:rPr>
          <w:szCs w:val="24"/>
          <w:lang w:val="fr-FR"/>
        </w:rPr>
        <w:t>et iii) quels mécanismes de mise en œuvre utiliser pour identifier les pauvres et offrir une compensation financière aux centres de santé</w:t>
      </w:r>
      <w:r w:rsidR="0007340F">
        <w:rPr>
          <w:szCs w:val="24"/>
          <w:lang w:val="fr-FR"/>
        </w:rPr>
        <w:t xml:space="preserve"> </w:t>
      </w:r>
    </w:p>
    <w:p w:rsidR="00D6364C" w:rsidRPr="00577EB1" w:rsidRDefault="00D6364C" w:rsidP="00506921">
      <w:pPr>
        <w:pStyle w:val="Heading2"/>
        <w:numPr>
          <w:ilvl w:val="1"/>
          <w:numId w:val="42"/>
        </w:numPr>
        <w:rPr>
          <w:b w:val="0"/>
          <w:bCs/>
          <w:szCs w:val="28"/>
        </w:rPr>
      </w:pPr>
      <w:r w:rsidRPr="00506921">
        <w:t>Recommandations</w:t>
      </w:r>
      <w:r w:rsidRPr="00577EB1">
        <w:rPr>
          <w:bCs/>
          <w:szCs w:val="28"/>
        </w:rPr>
        <w:t xml:space="preserve"> pour les politiques</w:t>
      </w:r>
    </w:p>
    <w:p w:rsidR="004B3541" w:rsidRDefault="00BE11F7">
      <w:pPr>
        <w:pStyle w:val="Heading2"/>
        <w:numPr>
          <w:ilvl w:val="0"/>
          <w:numId w:val="34"/>
        </w:numPr>
        <w:tabs>
          <w:tab w:val="clear" w:pos="709"/>
          <w:tab w:val="left" w:pos="567"/>
        </w:tabs>
        <w:ind w:left="0" w:firstLine="0"/>
        <w:rPr>
          <w:sz w:val="24"/>
          <w:szCs w:val="24"/>
        </w:rPr>
      </w:pPr>
      <w:bookmarkStart w:id="245" w:name="_Toc264748740"/>
      <w:r w:rsidRPr="00577EB1">
        <w:rPr>
          <w:sz w:val="24"/>
          <w:szCs w:val="24"/>
        </w:rPr>
        <w:t>Renforce</w:t>
      </w:r>
      <w:r w:rsidR="00EB7D0C" w:rsidRPr="00577EB1">
        <w:rPr>
          <w:sz w:val="24"/>
          <w:szCs w:val="24"/>
        </w:rPr>
        <w:t>r</w:t>
      </w:r>
      <w:r w:rsidRPr="00577EB1">
        <w:rPr>
          <w:sz w:val="24"/>
          <w:szCs w:val="24"/>
        </w:rPr>
        <w:t xml:space="preserve"> </w:t>
      </w:r>
      <w:r w:rsidR="00EB7D0C" w:rsidRPr="00577EB1">
        <w:rPr>
          <w:sz w:val="24"/>
          <w:szCs w:val="24"/>
        </w:rPr>
        <w:t>le</w:t>
      </w:r>
      <w:r w:rsidRPr="00577EB1">
        <w:rPr>
          <w:sz w:val="24"/>
          <w:szCs w:val="24"/>
        </w:rPr>
        <w:t xml:space="preserve"> cadre stratégique, institutionnel et financier pour la conception, la mise en œuvre, la gestion, le suivi et évaluation des programmes de </w:t>
      </w:r>
      <w:bookmarkEnd w:id="241"/>
      <w:r w:rsidRPr="00577EB1">
        <w:rPr>
          <w:sz w:val="24"/>
          <w:szCs w:val="24"/>
        </w:rPr>
        <w:t>filets sociaux</w:t>
      </w:r>
      <w:bookmarkEnd w:id="245"/>
      <w:r w:rsidR="00D6364C" w:rsidRPr="00577EB1">
        <w:rPr>
          <w:sz w:val="24"/>
          <w:szCs w:val="24"/>
        </w:rPr>
        <w:t xml:space="preserve"> </w:t>
      </w:r>
      <w:bookmarkEnd w:id="242"/>
      <w:bookmarkEnd w:id="243"/>
      <w:bookmarkEnd w:id="244"/>
    </w:p>
    <w:p w:rsidR="004B3541" w:rsidRDefault="00D6364C">
      <w:pPr>
        <w:pStyle w:val="Heading2"/>
        <w:numPr>
          <w:ilvl w:val="3"/>
          <w:numId w:val="11"/>
        </w:numPr>
        <w:tabs>
          <w:tab w:val="clear" w:pos="709"/>
          <w:tab w:val="left" w:pos="567"/>
        </w:tabs>
        <w:rPr>
          <w:sz w:val="24"/>
          <w:szCs w:val="24"/>
          <w:u w:val="single"/>
        </w:rPr>
      </w:pPr>
      <w:bookmarkStart w:id="246" w:name="_Toc264748741"/>
      <w:r w:rsidRPr="00577EB1">
        <w:rPr>
          <w:sz w:val="24"/>
          <w:szCs w:val="24"/>
          <w:u w:val="single"/>
        </w:rPr>
        <w:t>Adopter une stratégie nationale de protection sociale intégrant les filets sociaux</w:t>
      </w:r>
      <w:bookmarkEnd w:id="246"/>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Élaborer une stratégie complète de protection sociale, accordant la priorité à une composante de filets sociaux efficaces</w:t>
      </w:r>
      <w:r w:rsidRPr="00577EB1">
        <w:rPr>
          <w:szCs w:val="24"/>
          <w:lang w:val="fr-FR"/>
        </w:rPr>
        <w:t xml:space="preserve"> (transferts non contributifs). Lorsque la pauvreté est envahissante et affecte l’ensemble du pays, il devient crucial d’élaborer une stratégie de protection sociale complète, centrée sur les systèmes aussi bien contributifs que non contributifs. La Politique nationale de protection sociale ébauchée en 2007 constitue un bon point de départ et devrait être actualisée en tenant compte des défis auxquels le pays est actuellement confronté. Étant donné l’importance des besoins de santé et d’éducation, les instruments de protection sociale devraient contribuer directement au développement du capital humain. Cela invite à prêter une intention particulière aux besoins des enfants, qui constituent près de la moitié de la population</w:t>
      </w:r>
      <w:r w:rsidRPr="00577EB1">
        <w:rPr>
          <w:szCs w:val="24"/>
          <w:vertAlign w:val="superscript"/>
          <w:lang w:val="fr-FR"/>
        </w:rPr>
        <w:footnoteReference w:id="50"/>
      </w:r>
      <w:r w:rsidRPr="00577EB1">
        <w:rPr>
          <w:szCs w:val="24"/>
          <w:lang w:val="fr-FR"/>
        </w:rPr>
        <w:t xml:space="preserve"> et forment un groupe cible prioritaire pour l’investissement dans le capital humain (Encadré 1</w:t>
      </w:r>
      <w:r w:rsidR="0051644E">
        <w:rPr>
          <w:szCs w:val="24"/>
          <w:lang w:val="fr-FR"/>
        </w:rPr>
        <w:t>4</w:t>
      </w:r>
      <w:r w:rsidRPr="00577EB1">
        <w:rPr>
          <w:szCs w:val="24"/>
          <w:lang w:val="fr-FR"/>
        </w:rPr>
        <w:t>). L’immense défi démographique</w:t>
      </w:r>
      <w:r w:rsidRPr="00577EB1">
        <w:rPr>
          <w:szCs w:val="24"/>
          <w:vertAlign w:val="superscript"/>
          <w:lang w:val="fr-FR"/>
        </w:rPr>
        <w:footnoteReference w:id="51"/>
      </w:r>
      <w:r w:rsidRPr="00577EB1">
        <w:rPr>
          <w:szCs w:val="24"/>
          <w:lang w:val="fr-FR"/>
        </w:rPr>
        <w:t xml:space="preserve"> doit aussi être pris en compte, ce qui suggère, par exemple, d’investir plus dans l’éducation des filles.</w:t>
      </w:r>
    </w:p>
    <w:p w:rsidR="00D6364C" w:rsidRPr="00577EB1" w:rsidRDefault="005738FE" w:rsidP="005738FE">
      <w:pPr>
        <w:pStyle w:val="Heading9"/>
      </w:pPr>
      <w:bookmarkStart w:id="247" w:name="_Ref135727813"/>
      <w:bookmarkStart w:id="248" w:name="_Toc129060282"/>
      <w:bookmarkStart w:id="249" w:name="_Toc136694423"/>
      <w:bookmarkStart w:id="250" w:name="_Toc269723986"/>
      <w:bookmarkStart w:id="251" w:name="_Toc269724027"/>
      <w:bookmarkStart w:id="252" w:name="_Toc269724133"/>
      <w:bookmarkStart w:id="253" w:name="_Toc284613574"/>
      <w:r w:rsidRPr="005738FE">
        <w:lastRenderedPageBreak/>
        <w:t xml:space="preserve">Encadré </w:t>
      </w:r>
      <w:r w:rsidR="00725419">
        <w:fldChar w:fldCharType="begin"/>
      </w:r>
      <w:r w:rsidRPr="005738FE">
        <w:instrText xml:space="preserve"> SEQ Encadré \* ARABIC </w:instrText>
      </w:r>
      <w:r w:rsidR="00725419">
        <w:fldChar w:fldCharType="separate"/>
      </w:r>
      <w:r w:rsidR="00EF56B2">
        <w:rPr>
          <w:noProof/>
        </w:rPr>
        <w:t>14</w:t>
      </w:r>
      <w:r w:rsidR="00725419">
        <w:fldChar w:fldCharType="end"/>
      </w:r>
      <w:bookmarkEnd w:id="247"/>
      <w:r w:rsidR="003203FB">
        <w:t> :</w:t>
      </w:r>
      <w:r w:rsidR="0007340F">
        <w:t xml:space="preserve"> </w:t>
      </w:r>
      <w:r w:rsidR="00D6364C" w:rsidRPr="00577EB1">
        <w:t>Principes d’une protection sociale tenant compte des enfants</w:t>
      </w:r>
      <w:bookmarkEnd w:id="248"/>
      <w:bookmarkEnd w:id="249"/>
      <w:bookmarkEnd w:id="250"/>
      <w:bookmarkEnd w:id="251"/>
      <w:bookmarkEnd w:id="252"/>
      <w:bookmarkEnd w:id="25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5"/>
      </w:tblGrid>
      <w:tr w:rsidR="00D6364C" w:rsidRPr="008E7B13" w:rsidTr="004E781B">
        <w:tc>
          <w:tcPr>
            <w:tcW w:w="5000" w:type="pct"/>
          </w:tcPr>
          <w:p w:rsidR="004B3541" w:rsidRDefault="00D6364C">
            <w:pPr>
              <w:keepNext/>
              <w:keepLines/>
              <w:spacing w:before="120" w:after="120"/>
              <w:rPr>
                <w:b/>
                <w:sz w:val="21"/>
                <w:szCs w:val="21"/>
                <w:lang w:val="fr-FR"/>
              </w:rPr>
            </w:pPr>
            <w:r w:rsidRPr="00577EB1">
              <w:rPr>
                <w:sz w:val="21"/>
                <w:szCs w:val="21"/>
                <w:lang w:val="fr-FR"/>
              </w:rPr>
              <w:t>Les principes suivants devraient être considérés pendant la conception, la mise en œuvre et l’évaluation de programmes de protection sociale tenant compte des enfants :</w:t>
            </w:r>
          </w:p>
          <w:p w:rsidR="004B3541" w:rsidRDefault="00D6364C">
            <w:pPr>
              <w:keepNext/>
              <w:keepLines/>
              <w:numPr>
                <w:ilvl w:val="0"/>
                <w:numId w:val="12"/>
              </w:numPr>
              <w:tabs>
                <w:tab w:val="clear" w:pos="720"/>
              </w:tabs>
              <w:spacing w:after="120"/>
              <w:ind w:left="284" w:hanging="284"/>
              <w:rPr>
                <w:b/>
                <w:sz w:val="21"/>
                <w:szCs w:val="21"/>
                <w:lang w:val="fr-FR"/>
              </w:rPr>
            </w:pPr>
            <w:r w:rsidRPr="00577EB1">
              <w:rPr>
                <w:sz w:val="21"/>
                <w:szCs w:val="21"/>
                <w:lang w:val="fr-FR"/>
              </w:rPr>
              <w:t xml:space="preserve">Éviter les effets néfastes sur les enfants et réduire ou atténuer les risques économiques et sociaux qui affectent directement la vie des enfants. </w:t>
            </w:r>
          </w:p>
          <w:p w:rsidR="004B3541" w:rsidRDefault="00D6364C">
            <w:pPr>
              <w:keepNext/>
              <w:keepLines/>
              <w:numPr>
                <w:ilvl w:val="0"/>
                <w:numId w:val="12"/>
              </w:numPr>
              <w:tabs>
                <w:tab w:val="clear" w:pos="720"/>
              </w:tabs>
              <w:spacing w:after="120"/>
              <w:ind w:left="284" w:hanging="284"/>
              <w:rPr>
                <w:b/>
                <w:sz w:val="21"/>
                <w:szCs w:val="21"/>
                <w:lang w:val="fr-FR"/>
              </w:rPr>
            </w:pPr>
            <w:r w:rsidRPr="00577EB1">
              <w:rPr>
                <w:sz w:val="21"/>
                <w:szCs w:val="21"/>
                <w:lang w:val="fr-FR"/>
              </w:rPr>
              <w:t xml:space="preserve">Intervenir le plus rapidement possible lorsque les enfants sont exposés à des risques, afin de prévenir toute déficience ou tout préjudice irréversible. </w:t>
            </w:r>
          </w:p>
          <w:p w:rsidR="004B3541" w:rsidRDefault="00D6364C">
            <w:pPr>
              <w:keepNext/>
              <w:keepLines/>
              <w:numPr>
                <w:ilvl w:val="0"/>
                <w:numId w:val="12"/>
              </w:numPr>
              <w:tabs>
                <w:tab w:val="clear" w:pos="720"/>
              </w:tabs>
              <w:spacing w:after="120"/>
              <w:ind w:left="284" w:hanging="284"/>
              <w:rPr>
                <w:b/>
                <w:sz w:val="21"/>
                <w:szCs w:val="21"/>
                <w:lang w:val="fr-FR"/>
              </w:rPr>
            </w:pPr>
            <w:r w:rsidRPr="00577EB1">
              <w:rPr>
                <w:sz w:val="21"/>
                <w:szCs w:val="21"/>
                <w:lang w:val="fr-FR"/>
              </w:rPr>
              <w:t xml:space="preserve">Prendre en compte les risques et vulnérabilités particuliers au genre et à l’âge des enfants tout au long du cycle de vie. </w:t>
            </w:r>
          </w:p>
          <w:p w:rsidR="004B3541" w:rsidRDefault="00D6364C">
            <w:pPr>
              <w:keepNext/>
              <w:keepLines/>
              <w:numPr>
                <w:ilvl w:val="0"/>
                <w:numId w:val="12"/>
              </w:numPr>
              <w:tabs>
                <w:tab w:val="clear" w:pos="720"/>
              </w:tabs>
              <w:spacing w:after="120"/>
              <w:ind w:left="284" w:hanging="284"/>
              <w:rPr>
                <w:b/>
                <w:sz w:val="21"/>
                <w:szCs w:val="21"/>
                <w:lang w:val="fr-FR"/>
              </w:rPr>
            </w:pPr>
            <w:r w:rsidRPr="00577EB1">
              <w:rPr>
                <w:sz w:val="21"/>
                <w:szCs w:val="21"/>
                <w:lang w:val="fr-FR"/>
              </w:rPr>
              <w:t xml:space="preserve">Atténuer les effets des chocs, de l’exclusion et de la pauvreté sur les familles, en reconnaissant que celles qui élèvent des enfants ont besoin d’un appui pour garantir l’égalité des chances. </w:t>
            </w:r>
          </w:p>
          <w:p w:rsidR="004B3541" w:rsidRDefault="00D6364C">
            <w:pPr>
              <w:keepNext/>
              <w:keepLines/>
              <w:numPr>
                <w:ilvl w:val="0"/>
                <w:numId w:val="12"/>
              </w:numPr>
              <w:tabs>
                <w:tab w:val="clear" w:pos="720"/>
              </w:tabs>
              <w:spacing w:after="120"/>
              <w:ind w:left="284" w:hanging="284"/>
              <w:rPr>
                <w:b/>
                <w:sz w:val="21"/>
                <w:szCs w:val="21"/>
                <w:lang w:val="fr-FR"/>
              </w:rPr>
            </w:pPr>
            <w:r w:rsidRPr="00577EB1">
              <w:rPr>
                <w:sz w:val="21"/>
                <w:szCs w:val="21"/>
                <w:lang w:val="fr-FR"/>
              </w:rPr>
              <w:t xml:space="preserve">Prendre des dispositions particulières pour atteindre les enfants particulièrement vulnérables et exclus, y compris les enfants qui ne bénéficient pas des soins de leurs parents et ceux qui sont marginalisés au sein de leur famille ou de leur communauté à cause de leur genre, d’un handicap, de leur ethnie, du VIH et du sida ou d’autres facteurs. </w:t>
            </w:r>
          </w:p>
          <w:p w:rsidR="004B3541" w:rsidRDefault="00D6364C">
            <w:pPr>
              <w:keepNext/>
              <w:keepLines/>
              <w:numPr>
                <w:ilvl w:val="0"/>
                <w:numId w:val="12"/>
              </w:numPr>
              <w:tabs>
                <w:tab w:val="clear" w:pos="720"/>
              </w:tabs>
              <w:spacing w:after="120"/>
              <w:ind w:left="284" w:hanging="284"/>
              <w:rPr>
                <w:b/>
                <w:sz w:val="21"/>
                <w:szCs w:val="21"/>
                <w:lang w:val="fr-FR"/>
              </w:rPr>
            </w:pPr>
            <w:r w:rsidRPr="00577EB1">
              <w:rPr>
                <w:sz w:val="21"/>
                <w:szCs w:val="21"/>
                <w:lang w:val="fr-FR"/>
              </w:rPr>
              <w:t xml:space="preserve">Considérer les mécanismes et la dynamique interne des ménages qui peuvent affecter la manière dont les enfants peuvent être atteints, en portant une attention particulière à l’équilibre des pouvoirs entre hommes et femmes au sein des ménages et dans la communauté en général. </w:t>
            </w:r>
          </w:p>
          <w:p w:rsidR="004B3541" w:rsidRDefault="00D6364C">
            <w:pPr>
              <w:keepNext/>
              <w:keepLines/>
              <w:numPr>
                <w:ilvl w:val="0"/>
                <w:numId w:val="12"/>
              </w:numPr>
              <w:tabs>
                <w:tab w:val="clear" w:pos="720"/>
              </w:tabs>
              <w:spacing w:after="120"/>
              <w:ind w:left="284" w:hanging="284"/>
              <w:rPr>
                <w:b/>
                <w:sz w:val="21"/>
                <w:szCs w:val="21"/>
                <w:lang w:val="fr-FR"/>
              </w:rPr>
            </w:pPr>
            <w:r w:rsidRPr="00577EB1">
              <w:rPr>
                <w:sz w:val="21"/>
                <w:szCs w:val="21"/>
                <w:lang w:val="fr-FR"/>
              </w:rPr>
              <w:t>Écouter les avis et opinions des enfants et de ceux qui s’en occupent, ainsi que des jeunes, pour mieux comprendre et concevoir les programmes et systèmes de protection sociale.</w:t>
            </w:r>
          </w:p>
        </w:tc>
      </w:tr>
    </w:tbl>
    <w:p w:rsidR="004B3541" w:rsidRDefault="00D6364C">
      <w:pPr>
        <w:keepLines/>
        <w:autoSpaceDE w:val="0"/>
        <w:autoSpaceDN w:val="0"/>
        <w:adjustRightInd w:val="0"/>
        <w:spacing w:before="120" w:after="480"/>
        <w:rPr>
          <w:sz w:val="20"/>
          <w:szCs w:val="20"/>
          <w:lang w:val="fr-FR"/>
        </w:rPr>
      </w:pPr>
      <w:r w:rsidRPr="00577EB1">
        <w:rPr>
          <w:i/>
          <w:iCs/>
          <w:sz w:val="20"/>
          <w:szCs w:val="20"/>
          <w:lang w:val="fr-FR"/>
        </w:rPr>
        <w:t>Source</w:t>
      </w:r>
      <w:r w:rsidR="003203FB">
        <w:rPr>
          <w:i/>
          <w:iCs/>
          <w:sz w:val="20"/>
          <w:szCs w:val="20"/>
          <w:lang w:val="fr-FR"/>
        </w:rPr>
        <w:t> :</w:t>
      </w:r>
      <w:r w:rsidR="0007340F">
        <w:rPr>
          <w:i/>
          <w:iCs/>
          <w:sz w:val="20"/>
          <w:szCs w:val="20"/>
          <w:lang w:val="fr-FR"/>
        </w:rPr>
        <w:t xml:space="preserve"> </w:t>
      </w:r>
      <w:r w:rsidRPr="00577EB1">
        <w:rPr>
          <w:sz w:val="20"/>
          <w:szCs w:val="20"/>
          <w:lang w:val="fr-FR"/>
        </w:rPr>
        <w:t>DfID UK et coll., 2009.</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Encourager les synergies et les économies d’échelle</w:t>
      </w:r>
      <w:r w:rsidRPr="00577EB1">
        <w:rPr>
          <w:szCs w:val="24"/>
          <w:lang w:val="fr-FR"/>
        </w:rPr>
        <w:t>. Lorsque les ressources financières sont limitées, il est nécessaire d’encourager les synergies et les économies d’échelle entre les différents instruments de protection sociale et les autres politiques sociales, telles que l’éducation, la santé et l’emploi, à travers des approches de ciblage conjointes et des programmes de filets sociaux soutenant directement la demande de santé et d’éducation. Ces approches devront être clairement formulées dans un plan d’action interministériel de protection sociale.</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Clarifier les objectifs du système de filets sociaux.</w:t>
      </w:r>
      <w:r w:rsidRPr="00577EB1">
        <w:rPr>
          <w:szCs w:val="24"/>
          <w:lang w:val="fr-FR"/>
        </w:rPr>
        <w:t xml:space="preserve"> Dans le cadre d’une stratégie de protection sociale élargie, la composante des filets sociaux aura les objectifs suivants</w:t>
      </w:r>
      <w:r w:rsidR="0007340F">
        <w:rPr>
          <w:szCs w:val="24"/>
          <w:lang w:val="fr-FR"/>
        </w:rPr>
        <w:t xml:space="preserve"> </w:t>
      </w:r>
      <w:r w:rsidRPr="00577EB1">
        <w:rPr>
          <w:szCs w:val="24"/>
          <w:lang w:val="fr-FR"/>
        </w:rPr>
        <w:t>i) soutenir directement la consommation des populations chroniquement pauvres et vulnérables</w:t>
      </w:r>
      <w:r w:rsidR="0007340F">
        <w:rPr>
          <w:szCs w:val="24"/>
          <w:lang w:val="fr-FR"/>
        </w:rPr>
        <w:t xml:space="preserve"> </w:t>
      </w:r>
      <w:r w:rsidRPr="00577EB1">
        <w:rPr>
          <w:szCs w:val="24"/>
          <w:lang w:val="fr-FR"/>
        </w:rPr>
        <w:t>ii) garantir l’accès des personnes pauvres et vulnérables aux services sociaux de base afin de promouvoir l’investissement humain</w:t>
      </w:r>
      <w:r w:rsidR="0007340F">
        <w:rPr>
          <w:szCs w:val="24"/>
          <w:lang w:val="fr-FR"/>
        </w:rPr>
        <w:t xml:space="preserve"> </w:t>
      </w:r>
      <w:r w:rsidRPr="00577EB1">
        <w:rPr>
          <w:szCs w:val="24"/>
          <w:lang w:val="fr-FR"/>
        </w:rPr>
        <w:t xml:space="preserve">et iii) apporter un </w:t>
      </w:r>
      <w:r w:rsidR="00A23A26">
        <w:rPr>
          <w:szCs w:val="24"/>
          <w:lang w:val="fr-FR"/>
        </w:rPr>
        <w:t>soutien</w:t>
      </w:r>
      <w:r w:rsidRPr="00577EB1">
        <w:rPr>
          <w:szCs w:val="24"/>
          <w:lang w:val="fr-FR"/>
        </w:rPr>
        <w:t xml:space="preserve"> temporaire aux populations pauvres et vulnérables affectées par les chocs. Au Burkina Faso, les principes prioritaires du système de filets sociaux devraient donc être les suivants</w:t>
      </w:r>
      <w:r w:rsidR="0007340F">
        <w:rPr>
          <w:szCs w:val="24"/>
          <w:lang w:val="fr-FR"/>
        </w:rPr>
        <w:t xml:space="preserve"> </w:t>
      </w:r>
      <w:r w:rsidRPr="00577EB1">
        <w:rPr>
          <w:szCs w:val="24"/>
          <w:lang w:val="fr-FR"/>
        </w:rPr>
        <w:t xml:space="preserve">i) garantir que les populations dans un état de pauvreté extrême chronique et vulnérables bénéficient d’un </w:t>
      </w:r>
      <w:r w:rsidR="00A23A26">
        <w:rPr>
          <w:szCs w:val="24"/>
          <w:lang w:val="fr-FR"/>
        </w:rPr>
        <w:t>soutien</w:t>
      </w:r>
      <w:r w:rsidRPr="00577EB1">
        <w:rPr>
          <w:szCs w:val="24"/>
          <w:lang w:val="fr-FR"/>
        </w:rPr>
        <w:t xml:space="preserve"> régulier et prévisible, ainsi que de programmes leur permettant d’échapper aux pièges de la pauvreté et de rompre le cycle intergénérationnel de transmission de la pauvreté</w:t>
      </w:r>
      <w:r w:rsidR="0007340F">
        <w:rPr>
          <w:szCs w:val="24"/>
          <w:lang w:val="fr-FR"/>
        </w:rPr>
        <w:t xml:space="preserve"> </w:t>
      </w:r>
      <w:r w:rsidRPr="00577EB1">
        <w:rPr>
          <w:szCs w:val="24"/>
          <w:lang w:val="fr-FR"/>
        </w:rPr>
        <w:t>ii) fournir des revenus temporaires aux groupes vulnérables en cas de choc</w:t>
      </w:r>
      <w:r w:rsidR="0007340F">
        <w:rPr>
          <w:szCs w:val="24"/>
          <w:lang w:val="fr-FR"/>
        </w:rPr>
        <w:t xml:space="preserve"> </w:t>
      </w:r>
      <w:r w:rsidRPr="00577EB1">
        <w:rPr>
          <w:szCs w:val="24"/>
          <w:lang w:val="fr-FR"/>
        </w:rPr>
        <w:t>iii) prêter une attention particulière aux besoins des enfants vulnérables (exemples</w:t>
      </w:r>
      <w:r w:rsidR="0007340F">
        <w:rPr>
          <w:szCs w:val="24"/>
          <w:lang w:val="fr-FR"/>
        </w:rPr>
        <w:t xml:space="preserve"> </w:t>
      </w:r>
      <w:r w:rsidRPr="00577EB1">
        <w:rPr>
          <w:szCs w:val="24"/>
          <w:lang w:val="fr-FR"/>
        </w:rPr>
        <w:t>nutrition, éducation et transferts monétaires conditionnels) et des femmes pauvres et vulnérables (par exemple, minimiser les impacts potentiellement défavorables et optimiser les impacts favorables sur les femmes et l’égalité hommes-femmes)</w:t>
      </w:r>
      <w:r w:rsidR="0007340F">
        <w:rPr>
          <w:szCs w:val="24"/>
          <w:lang w:val="fr-FR"/>
        </w:rPr>
        <w:t xml:space="preserve"> </w:t>
      </w:r>
      <w:r w:rsidRPr="00577EB1">
        <w:rPr>
          <w:szCs w:val="24"/>
          <w:lang w:val="fr-FR"/>
        </w:rPr>
        <w:t xml:space="preserve">et iv) faciliter l’accès des personnes pauvres et vulnérables aux services sociaux de base. </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lastRenderedPageBreak/>
        <w:t>Développer une vision partagée.</w:t>
      </w:r>
      <w:r w:rsidRPr="00577EB1">
        <w:rPr>
          <w:szCs w:val="24"/>
          <w:lang w:val="fr-FR"/>
        </w:rPr>
        <w:t xml:space="preserve"> Une vision nationale partagée est indispensable pour mettre en place un système de filets sociaux efficace, c’est-à-dire un système composé de plusieurs programmes, se complétant mutuellement tout en complétant les autres politiques sociales, satisfaisant les critères suivants [Grosh et coll. 2008] :</w:t>
      </w:r>
    </w:p>
    <w:p w:rsidR="00D6364C" w:rsidRPr="00577EB1" w:rsidRDefault="00D6364C" w:rsidP="00E52A30">
      <w:pPr>
        <w:numPr>
          <w:ilvl w:val="0"/>
          <w:numId w:val="13"/>
        </w:numPr>
        <w:tabs>
          <w:tab w:val="clear" w:pos="709"/>
        </w:tabs>
        <w:spacing w:after="120"/>
        <w:ind w:left="709" w:hanging="357"/>
        <w:rPr>
          <w:szCs w:val="24"/>
          <w:lang w:val="fr-FR"/>
        </w:rPr>
      </w:pPr>
      <w:r w:rsidRPr="00577EB1">
        <w:rPr>
          <w:szCs w:val="24"/>
          <w:lang w:val="fr-FR"/>
        </w:rPr>
        <w:t>Approprié</w:t>
      </w:r>
      <w:r w:rsidR="0007340F">
        <w:rPr>
          <w:szCs w:val="24"/>
          <w:lang w:val="fr-FR"/>
        </w:rPr>
        <w:t xml:space="preserve"> </w:t>
      </w:r>
      <w:r w:rsidRPr="00577EB1">
        <w:rPr>
          <w:szCs w:val="24"/>
          <w:lang w:val="fr-FR"/>
        </w:rPr>
        <w:t>conçu pour s’adapter au mieux aux circonstances ;</w:t>
      </w:r>
    </w:p>
    <w:p w:rsidR="00D6364C" w:rsidRPr="00577EB1" w:rsidRDefault="00D6364C" w:rsidP="00E52A30">
      <w:pPr>
        <w:numPr>
          <w:ilvl w:val="0"/>
          <w:numId w:val="13"/>
        </w:numPr>
        <w:tabs>
          <w:tab w:val="clear" w:pos="709"/>
        </w:tabs>
        <w:spacing w:after="120"/>
        <w:ind w:left="709" w:hanging="357"/>
        <w:rPr>
          <w:szCs w:val="24"/>
          <w:lang w:val="fr-FR"/>
        </w:rPr>
      </w:pPr>
      <w:r w:rsidRPr="00577EB1">
        <w:rPr>
          <w:szCs w:val="24"/>
          <w:lang w:val="fr-FR"/>
        </w:rPr>
        <w:t>Adéquat</w:t>
      </w:r>
      <w:r w:rsidR="0007340F">
        <w:rPr>
          <w:szCs w:val="24"/>
          <w:lang w:val="fr-FR"/>
        </w:rPr>
        <w:t xml:space="preserve"> </w:t>
      </w:r>
      <w:r w:rsidRPr="00577EB1">
        <w:rPr>
          <w:szCs w:val="24"/>
          <w:lang w:val="fr-FR"/>
        </w:rPr>
        <w:t>couvrant les différents groupes ayant besoin d’assistance ;</w:t>
      </w:r>
    </w:p>
    <w:p w:rsidR="00D6364C" w:rsidRPr="00577EB1" w:rsidRDefault="00D6364C" w:rsidP="00E52A30">
      <w:pPr>
        <w:numPr>
          <w:ilvl w:val="0"/>
          <w:numId w:val="13"/>
        </w:numPr>
        <w:tabs>
          <w:tab w:val="clear" w:pos="709"/>
        </w:tabs>
        <w:spacing w:after="120"/>
        <w:ind w:left="709" w:hanging="357"/>
        <w:rPr>
          <w:szCs w:val="24"/>
          <w:lang w:val="fr-FR"/>
        </w:rPr>
      </w:pPr>
      <w:r w:rsidRPr="00577EB1">
        <w:rPr>
          <w:szCs w:val="24"/>
          <w:lang w:val="fr-FR"/>
        </w:rPr>
        <w:t>Équitable</w:t>
      </w:r>
      <w:r w:rsidR="0007340F">
        <w:rPr>
          <w:szCs w:val="24"/>
          <w:lang w:val="fr-FR"/>
        </w:rPr>
        <w:t xml:space="preserve"> </w:t>
      </w:r>
      <w:r w:rsidRPr="00577EB1">
        <w:rPr>
          <w:szCs w:val="24"/>
          <w:lang w:val="fr-FR"/>
        </w:rPr>
        <w:t>traitant les bénéficiaires de manière juste et équitable ;</w:t>
      </w:r>
    </w:p>
    <w:p w:rsidR="00D6364C" w:rsidRPr="00577EB1" w:rsidRDefault="00D6364C" w:rsidP="00E52A30">
      <w:pPr>
        <w:numPr>
          <w:ilvl w:val="0"/>
          <w:numId w:val="13"/>
        </w:numPr>
        <w:tabs>
          <w:tab w:val="clear" w:pos="709"/>
        </w:tabs>
        <w:spacing w:after="120"/>
        <w:ind w:left="709" w:hanging="357"/>
        <w:rPr>
          <w:szCs w:val="24"/>
          <w:lang w:val="fr-FR"/>
        </w:rPr>
      </w:pPr>
      <w:r w:rsidRPr="00577EB1">
        <w:rPr>
          <w:szCs w:val="24"/>
          <w:lang w:val="fr-FR"/>
        </w:rPr>
        <w:t>Efficient</w:t>
      </w:r>
      <w:r w:rsidR="0007340F">
        <w:rPr>
          <w:szCs w:val="24"/>
          <w:lang w:val="fr-FR"/>
        </w:rPr>
        <w:t xml:space="preserve"> </w:t>
      </w:r>
      <w:r w:rsidRPr="00577EB1">
        <w:rPr>
          <w:szCs w:val="24"/>
          <w:lang w:val="fr-FR"/>
        </w:rPr>
        <w:t>fonctionnant efficacement avec le moins de ressources possibles pour obtenir l’impact désiré, mais avec suffisamment de ressources pour exécuter correctement toutes les fonctions du programme ;</w:t>
      </w:r>
    </w:p>
    <w:p w:rsidR="00D6364C" w:rsidRPr="00577EB1" w:rsidRDefault="00D6364C" w:rsidP="00E52A30">
      <w:pPr>
        <w:numPr>
          <w:ilvl w:val="0"/>
          <w:numId w:val="13"/>
        </w:numPr>
        <w:tabs>
          <w:tab w:val="clear" w:pos="709"/>
        </w:tabs>
        <w:spacing w:after="120"/>
        <w:ind w:left="709" w:hanging="357"/>
        <w:rPr>
          <w:szCs w:val="24"/>
          <w:lang w:val="fr-FR"/>
        </w:rPr>
      </w:pPr>
      <w:r w:rsidRPr="00577EB1">
        <w:rPr>
          <w:szCs w:val="24"/>
          <w:lang w:val="fr-FR"/>
        </w:rPr>
        <w:t>Incitatif</w:t>
      </w:r>
      <w:r w:rsidR="0007340F">
        <w:rPr>
          <w:szCs w:val="24"/>
          <w:lang w:val="fr-FR"/>
        </w:rPr>
        <w:t xml:space="preserve"> </w:t>
      </w:r>
      <w:r w:rsidRPr="00577EB1">
        <w:rPr>
          <w:szCs w:val="24"/>
          <w:lang w:val="fr-FR"/>
        </w:rPr>
        <w:t>n’entraînant aucune démotivation (exemple</w:t>
      </w:r>
      <w:r w:rsidR="0007340F">
        <w:rPr>
          <w:szCs w:val="24"/>
          <w:lang w:val="fr-FR"/>
        </w:rPr>
        <w:t xml:space="preserve"> </w:t>
      </w:r>
      <w:r w:rsidRPr="00577EB1">
        <w:rPr>
          <w:szCs w:val="24"/>
          <w:lang w:val="fr-FR"/>
        </w:rPr>
        <w:t>participation au marché de l’emploi) ;</w:t>
      </w:r>
    </w:p>
    <w:p w:rsidR="00D6364C" w:rsidRPr="00577EB1" w:rsidRDefault="00D6364C" w:rsidP="00E52A30">
      <w:pPr>
        <w:numPr>
          <w:ilvl w:val="0"/>
          <w:numId w:val="13"/>
        </w:numPr>
        <w:tabs>
          <w:tab w:val="clear" w:pos="709"/>
        </w:tabs>
        <w:spacing w:after="120"/>
        <w:ind w:left="709" w:hanging="357"/>
        <w:rPr>
          <w:szCs w:val="24"/>
          <w:lang w:val="fr-FR"/>
        </w:rPr>
      </w:pPr>
      <w:r w:rsidRPr="00577EB1">
        <w:rPr>
          <w:szCs w:val="24"/>
          <w:lang w:val="fr-FR"/>
        </w:rPr>
        <w:t>Soutenable</w:t>
      </w:r>
      <w:r w:rsidR="0007340F">
        <w:rPr>
          <w:szCs w:val="24"/>
          <w:lang w:val="fr-FR"/>
        </w:rPr>
        <w:t xml:space="preserve"> </w:t>
      </w:r>
      <w:r w:rsidRPr="00577EB1">
        <w:rPr>
          <w:szCs w:val="24"/>
          <w:lang w:val="fr-FR"/>
        </w:rPr>
        <w:t>capable d’être poursuivi de manière équilibrée compte tenu des contraintes imposées par les dépenses publique, tout en restant financièrement et politiquement viable.</w:t>
      </w:r>
    </w:p>
    <w:p w:rsidR="00D6364C" w:rsidRPr="00577EB1" w:rsidRDefault="00D6364C" w:rsidP="00E52A30">
      <w:pPr>
        <w:numPr>
          <w:ilvl w:val="0"/>
          <w:numId w:val="13"/>
        </w:numPr>
        <w:tabs>
          <w:tab w:val="clear" w:pos="709"/>
        </w:tabs>
        <w:ind w:left="709"/>
        <w:rPr>
          <w:szCs w:val="24"/>
          <w:lang w:val="fr-FR"/>
        </w:rPr>
      </w:pPr>
      <w:r w:rsidRPr="00577EB1">
        <w:rPr>
          <w:szCs w:val="24"/>
          <w:lang w:val="fr-FR"/>
        </w:rPr>
        <w:t>Dynamique</w:t>
      </w:r>
      <w:r w:rsidR="0007340F">
        <w:rPr>
          <w:szCs w:val="24"/>
          <w:lang w:val="fr-FR"/>
        </w:rPr>
        <w:t xml:space="preserve"> </w:t>
      </w:r>
      <w:r w:rsidRPr="00577EB1">
        <w:rPr>
          <w:szCs w:val="24"/>
          <w:lang w:val="fr-FR"/>
        </w:rPr>
        <w:t>évoluant au fil du temps.</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S’accorder sur les actions prioritaires.</w:t>
      </w:r>
      <w:r w:rsidRPr="00577EB1">
        <w:rPr>
          <w:szCs w:val="24"/>
          <w:lang w:val="fr-FR"/>
        </w:rPr>
        <w:t xml:space="preserve"> Les différents documents stratégiques ont tendance à faire référence à l’ensemble des personnes dans le besoin, sans établir clairement des priorités. Étant donné les contraintes financières, il est indispensable de se mettre d’accord sur des priorités communes pour qu’un impact suffisant puisse se faire sentir. Comme mentionné plus haut, il est recommandé de donner la priorité à l’investissement dans le capital humain. Ce qui implique, si on veut aussi investir dans les activités les plus efficientes, d’accorder la priorité aux actions qui appuient dès son début le développement des enfants (Figure </w:t>
      </w:r>
      <w:r w:rsidR="00847527">
        <w:rPr>
          <w:szCs w:val="24"/>
          <w:lang w:val="fr-FR"/>
        </w:rPr>
        <w:t>13</w:t>
      </w:r>
      <w:r w:rsidRPr="00577EB1">
        <w:rPr>
          <w:szCs w:val="24"/>
          <w:lang w:val="fr-FR"/>
        </w:rPr>
        <w:t>).</w:t>
      </w:r>
      <w:r w:rsidRPr="00577EB1">
        <w:rPr>
          <w:szCs w:val="24"/>
          <w:vertAlign w:val="superscript"/>
          <w:lang w:val="fr-FR"/>
        </w:rPr>
        <w:footnoteReference w:id="52"/>
      </w:r>
    </w:p>
    <w:p w:rsidR="00D6364C" w:rsidRPr="00577EB1" w:rsidRDefault="00847527" w:rsidP="00D6364C">
      <w:pPr>
        <w:pStyle w:val="Heading8"/>
      </w:pPr>
      <w:bookmarkStart w:id="254" w:name="_Ref135727836"/>
      <w:bookmarkStart w:id="255" w:name="_Toc129060269"/>
      <w:bookmarkStart w:id="256" w:name="_Toc136694375"/>
      <w:bookmarkStart w:id="257" w:name="_Toc269722142"/>
      <w:r w:rsidRPr="00577EB1">
        <w:lastRenderedPageBreak/>
        <w:t xml:space="preserve">Figure </w:t>
      </w:r>
      <w:r w:rsidR="00725419">
        <w:fldChar w:fldCharType="begin"/>
      </w:r>
      <w:r>
        <w:instrText xml:space="preserve"> SEQ Figure \* ARABIC </w:instrText>
      </w:r>
      <w:r w:rsidR="00725419">
        <w:fldChar w:fldCharType="separate"/>
      </w:r>
      <w:r w:rsidR="00EF56B2">
        <w:rPr>
          <w:noProof/>
        </w:rPr>
        <w:t>13</w:t>
      </w:r>
      <w:r w:rsidR="00725419">
        <w:fldChar w:fldCharType="end"/>
      </w:r>
      <w:bookmarkEnd w:id="254"/>
      <w:r w:rsidR="0023017C">
        <w:rPr>
          <w:bCs w:val="0"/>
          <w:iCs/>
        </w:rPr>
        <w:t> :</w:t>
      </w:r>
      <w:r w:rsidR="0007340F">
        <w:rPr>
          <w:bCs w:val="0"/>
          <w:iCs/>
        </w:rPr>
        <w:t xml:space="preserve"> </w:t>
      </w:r>
      <w:r w:rsidR="00D6364C" w:rsidRPr="00577EB1">
        <w:rPr>
          <w:bCs w:val="0"/>
          <w:iCs/>
        </w:rPr>
        <w:t>R</w:t>
      </w:r>
      <w:r w:rsidR="00D6364C" w:rsidRPr="00577EB1">
        <w:t xml:space="preserve">endement de l’investissement dans le capital humain, en </w:t>
      </w:r>
      <w:r w:rsidR="00D6364C" w:rsidRPr="00577EB1">
        <w:rPr>
          <w:bCs w:val="0"/>
          <w:iCs/>
        </w:rPr>
        <w:t>fixant</w:t>
      </w:r>
      <w:r w:rsidR="00D6364C" w:rsidRPr="00577EB1">
        <w:t xml:space="preserve"> initialement </w:t>
      </w:r>
      <w:r w:rsidR="00D6364C" w:rsidRPr="00577EB1">
        <w:rPr>
          <w:bCs w:val="0"/>
          <w:iCs/>
        </w:rPr>
        <w:t>un</w:t>
      </w:r>
      <w:r w:rsidR="00D6364C" w:rsidRPr="00577EB1">
        <w:rPr>
          <w:b w:val="0"/>
          <w:bCs w:val="0"/>
          <w:i/>
          <w:iCs/>
        </w:rPr>
        <w:t xml:space="preserve"> </w:t>
      </w:r>
      <w:r w:rsidR="00D6364C" w:rsidRPr="00577EB1">
        <w:t>investissement égal pour tous les âges</w:t>
      </w:r>
      <w:bookmarkEnd w:id="255"/>
      <w:bookmarkEnd w:id="256"/>
      <w:bookmarkEnd w:id="257"/>
    </w:p>
    <w:tbl>
      <w:tblPr>
        <w:tblW w:w="0" w:type="auto"/>
        <w:jc w:val="center"/>
        <w:tblInd w:w="2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0"/>
      </w:tblGrid>
      <w:tr w:rsidR="00D6364C" w:rsidRPr="00577EB1" w:rsidTr="00C452B8">
        <w:trPr>
          <w:jc w:val="center"/>
        </w:trPr>
        <w:tc>
          <w:tcPr>
            <w:tcW w:w="6897" w:type="dxa"/>
            <w:vAlign w:val="center"/>
          </w:tcPr>
          <w:p w:rsidR="00D6364C" w:rsidRPr="00577EB1" w:rsidRDefault="00D6364C" w:rsidP="00C452B8">
            <w:pPr>
              <w:keepNext/>
              <w:keepLines/>
              <w:spacing w:before="240" w:after="120"/>
              <w:jc w:val="center"/>
              <w:rPr>
                <w:sz w:val="20"/>
                <w:szCs w:val="20"/>
                <w:lang w:val="fr-FR"/>
              </w:rPr>
            </w:pPr>
            <w:r w:rsidRPr="00577EB1">
              <w:rPr>
                <w:noProof/>
                <w:sz w:val="20"/>
                <w:szCs w:val="20"/>
              </w:rPr>
              <w:drawing>
                <wp:inline distT="0" distB="0" distL="0" distR="0">
                  <wp:extent cx="4154805" cy="2305685"/>
                  <wp:effectExtent l="1905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srcRect/>
                          <a:stretch>
                            <a:fillRect/>
                          </a:stretch>
                        </pic:blipFill>
                        <pic:spPr bwMode="auto">
                          <a:xfrm>
                            <a:off x="0" y="0"/>
                            <a:ext cx="4154805" cy="2305685"/>
                          </a:xfrm>
                          <a:prstGeom prst="rect">
                            <a:avLst/>
                          </a:prstGeom>
                          <a:noFill/>
                          <a:ln w="9525">
                            <a:noFill/>
                            <a:miter lim="800000"/>
                            <a:headEnd/>
                            <a:tailEnd/>
                          </a:ln>
                        </pic:spPr>
                      </pic:pic>
                    </a:graphicData>
                  </a:graphic>
                </wp:inline>
              </w:drawing>
            </w:r>
          </w:p>
        </w:tc>
      </w:tr>
    </w:tbl>
    <w:p w:rsidR="004B3541" w:rsidRDefault="00D6364C">
      <w:pPr>
        <w:keepLines/>
        <w:tabs>
          <w:tab w:val="left" w:pos="851"/>
        </w:tabs>
        <w:autoSpaceDE w:val="0"/>
        <w:autoSpaceDN w:val="0"/>
        <w:adjustRightInd w:val="0"/>
        <w:spacing w:before="120" w:after="480"/>
        <w:ind w:left="992"/>
        <w:rPr>
          <w:sz w:val="20"/>
          <w:szCs w:val="20"/>
          <w:lang w:val="fr-FR"/>
        </w:rPr>
      </w:pPr>
      <w:r w:rsidRPr="00577EB1">
        <w:rPr>
          <w:i/>
          <w:iCs/>
          <w:sz w:val="20"/>
          <w:szCs w:val="20"/>
          <w:lang w:val="fr-FR"/>
        </w:rPr>
        <w:t>Source</w:t>
      </w:r>
      <w:r w:rsidR="003203FB">
        <w:rPr>
          <w:i/>
          <w:iCs/>
          <w:sz w:val="20"/>
          <w:szCs w:val="20"/>
          <w:lang w:val="fr-FR"/>
        </w:rPr>
        <w:t> :</w:t>
      </w:r>
      <w:r w:rsidR="0007340F">
        <w:rPr>
          <w:i/>
          <w:iCs/>
          <w:sz w:val="20"/>
          <w:szCs w:val="20"/>
          <w:lang w:val="fr-FR"/>
        </w:rPr>
        <w:t xml:space="preserve"> </w:t>
      </w:r>
      <w:r w:rsidRPr="00577EB1">
        <w:rPr>
          <w:sz w:val="20"/>
          <w:szCs w:val="20"/>
          <w:lang w:val="fr-FR"/>
        </w:rPr>
        <w:t>Carneiro et Heickman, 2003.</w:t>
      </w:r>
    </w:p>
    <w:p w:rsidR="00D6364C" w:rsidRPr="00577EB1" w:rsidRDefault="00D6364C" w:rsidP="00E52A30">
      <w:pPr>
        <w:numPr>
          <w:ilvl w:val="0"/>
          <w:numId w:val="33"/>
        </w:numPr>
        <w:tabs>
          <w:tab w:val="clear" w:pos="709"/>
        </w:tabs>
        <w:ind w:left="0" w:firstLine="0"/>
        <w:rPr>
          <w:szCs w:val="24"/>
          <w:lang w:val="fr-FR"/>
        </w:rPr>
      </w:pPr>
      <w:r w:rsidRPr="00577EB1">
        <w:rPr>
          <w:b/>
          <w:szCs w:val="24"/>
          <w:lang w:val="fr-FR"/>
        </w:rPr>
        <w:t>Clarifier les liens avec les autres politiques</w:t>
      </w:r>
      <w:r w:rsidRPr="00577EB1">
        <w:rPr>
          <w:szCs w:val="24"/>
          <w:lang w:val="fr-FR"/>
        </w:rPr>
        <w:t>. Les programmes de filets sociaux sont sensés agir en conjonction avec d’autres programmes de réduction de la pauvreté, notamment les programmes liés au marché de l’emploi, les retraites, l’assurance maladie, les politiques visant la stabilité macroéconomique, le développement rural et la formation du capital humain. Les filets sociaux sont généralement utilisés pour compléter les interventions liées à l’offre et pour agir là où d’autres politiques ne sont pas capables de produire des résultats suffisants à court terme. Au Burkina Faso, ils pourraient s’avérer particulièrement utiles pour garantir que les dépenses d’éducation et de santé soient bien orientées vers les plus pauvres. Il est nécessaire de clarifier les complémentarités et les synergies avec les autres politiques sociales (sécurité alimentaire, éducation, santé, emploi, assurance maladie, population, etc.) afin d’appuyer la coordination des efforts.</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S’accorder sur un langage commun.</w:t>
      </w:r>
      <w:r w:rsidRPr="00577EB1">
        <w:rPr>
          <w:szCs w:val="24"/>
          <w:lang w:val="fr-FR"/>
        </w:rPr>
        <w:t xml:space="preserve"> Aujourd’hui, l’absence de langage commun pour aborder les questions de protection sociale pose un problème majeur et rend difficile le dialogue entre ministères et avec les partenaires internationaux. Il est d’une importance cruciale que le gouvernement burkinabé élabore un glossaire sur la protection sociale qui soit commun à tous les ministères.</w:t>
      </w:r>
    </w:p>
    <w:p w:rsidR="004B3541" w:rsidRDefault="00D6364C">
      <w:pPr>
        <w:pStyle w:val="Heading2"/>
        <w:numPr>
          <w:ilvl w:val="3"/>
          <w:numId w:val="11"/>
        </w:numPr>
        <w:tabs>
          <w:tab w:val="clear" w:pos="709"/>
          <w:tab w:val="left" w:pos="567"/>
        </w:tabs>
        <w:rPr>
          <w:sz w:val="24"/>
          <w:szCs w:val="24"/>
          <w:u w:val="single"/>
        </w:rPr>
      </w:pPr>
      <w:bookmarkStart w:id="258" w:name="_Toc253994699"/>
      <w:bookmarkStart w:id="259" w:name="_Toc129022415"/>
      <w:bookmarkStart w:id="260" w:name="_Toc261967420"/>
      <w:bookmarkStart w:id="261" w:name="_Toc262169642"/>
      <w:bookmarkStart w:id="262" w:name="_Toc264748742"/>
      <w:r w:rsidRPr="00577EB1">
        <w:rPr>
          <w:sz w:val="24"/>
          <w:szCs w:val="24"/>
          <w:u w:val="single"/>
        </w:rPr>
        <w:t>Renforcer le cadre institutionnel de la protection sociale et des filets sociaux.</w:t>
      </w:r>
      <w:bookmarkEnd w:id="258"/>
      <w:bookmarkEnd w:id="259"/>
      <w:bookmarkEnd w:id="260"/>
      <w:bookmarkEnd w:id="261"/>
      <w:bookmarkEnd w:id="262"/>
    </w:p>
    <w:p w:rsidR="00D6364C" w:rsidRPr="00577EB1" w:rsidRDefault="00D6364C" w:rsidP="00E52A30">
      <w:pPr>
        <w:numPr>
          <w:ilvl w:val="0"/>
          <w:numId w:val="33"/>
        </w:numPr>
        <w:tabs>
          <w:tab w:val="clear" w:pos="709"/>
        </w:tabs>
        <w:ind w:left="0" w:firstLine="0"/>
        <w:rPr>
          <w:b/>
          <w:bCs/>
          <w:szCs w:val="24"/>
          <w:lang w:val="fr-FR"/>
        </w:rPr>
      </w:pPr>
      <w:r w:rsidRPr="00577EB1">
        <w:rPr>
          <w:b/>
          <w:bCs/>
          <w:szCs w:val="24"/>
          <w:lang w:val="fr-FR"/>
        </w:rPr>
        <w:t>Veiller à ce que le comité interministériel permanent pour la protection sociale soit opérationnel.</w:t>
      </w:r>
      <w:r w:rsidRPr="00577EB1">
        <w:rPr>
          <w:szCs w:val="24"/>
          <w:lang w:val="fr-FR"/>
        </w:rPr>
        <w:t xml:space="preserve"> La protection sociale est une question interministérielle et sa supervision ne devrait donc pas être la responsabilité d’un seul ministère. Étant donné le caractère multisectoriel de la protection sociale, le gouvernement a établi par décret, en février 2010, un Comité permanent pour la protection sociale qui sera chargé de revoir la stratégie de protection sociale, de superviser/coordonner les diverses initiatives (études, projets pilotes, etc.) qui ont été lancées ou devraient l’être, et de veiller à l’établissement du dynamique dialogue intersectoriel nécessaire entre les divers ministères sectoriels. Deux sous-comités devraient aussi être constitués, l’un pour les programmes d’assurance sociale (assurance maladie et système de retraites) et l’autre pour les programmes de filets sociaux. Il s’agit d’une étape importante qui devra s’accompagner d’un renforcement des </w:t>
      </w:r>
      <w:r w:rsidRPr="00577EB1">
        <w:rPr>
          <w:szCs w:val="24"/>
          <w:lang w:val="fr-FR"/>
        </w:rPr>
        <w:lastRenderedPageBreak/>
        <w:t xml:space="preserve">mécanismes de coordination inter-, intra- et extra-ministérielle. Les raisons de l’impact limité des précédentes initiatives de protection sociale au Burkina Faso mettent en lumière le besoin de garantir en priorité la cohérence sectorielle entre les divers départements concernés, et de promouvoir des évaluations de l’impact des politiques ainsi que des décisions politiques éclairées par des faits. </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Clarifier le rôle et les responsabilités des différentes institutions nationales impliquées dans les filets sociaux.</w:t>
      </w:r>
      <w:r w:rsidRPr="00577EB1">
        <w:rPr>
          <w:szCs w:val="24"/>
          <w:lang w:val="fr-FR"/>
        </w:rPr>
        <w:t xml:space="preserve"> Une fois que le Cadre stratégique pour la protection sociale aura été défini et que les actions prioritaires en matière de filets sociaux auront été clarifiées, les fonctions respectives des principales structures créées pour la prestation de l’assistance sociale (par exemple, le MASSN, le FSN et le CONASUR</w:t>
      </w:r>
      <w:r w:rsidRPr="00577EB1">
        <w:rPr>
          <w:rFonts w:ascii="Cambria Math" w:hAnsi="Cambria Math" w:cs="Cambria Math"/>
          <w:szCs w:val="24"/>
          <w:lang w:val="fr-FR"/>
        </w:rPr>
        <w:t> </w:t>
      </w:r>
      <w:r w:rsidRPr="00577EB1">
        <w:rPr>
          <w:szCs w:val="24"/>
          <w:lang w:val="fr-FR"/>
        </w:rPr>
        <w:t xml:space="preserve">au niveau central) devront être revues pour éviter les lacunes et les chevauchements et pour aboutir à une organisation plus efficiente. </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Définir des modalités de mise en œuvre appropriées pour les nouveaux programmes de filets sociaux.</w:t>
      </w:r>
      <w:r w:rsidRPr="00577EB1">
        <w:rPr>
          <w:i/>
          <w:iCs/>
          <w:szCs w:val="24"/>
          <w:lang w:val="fr-FR"/>
        </w:rPr>
        <w:t xml:space="preserve"> </w:t>
      </w:r>
      <w:r w:rsidRPr="00577EB1">
        <w:rPr>
          <w:szCs w:val="24"/>
          <w:lang w:val="fr-FR"/>
        </w:rPr>
        <w:t xml:space="preserve">L’identification de l’institution qui dirigera la conception, la mise en œuvre et le fonctionnement continu du programme de transfert social est une première étape cruciale dans l’adoption de ce celui-ci. L’institution qui dispose des caractéristiques suivantes sera la mieux placée pour remplir ce rôle [Samson et </w:t>
      </w:r>
      <w:r w:rsidR="005E551A">
        <w:rPr>
          <w:szCs w:val="24"/>
          <w:lang w:val="fr-FR"/>
        </w:rPr>
        <w:t>coll</w:t>
      </w:r>
      <w:r w:rsidRPr="00577EB1">
        <w:rPr>
          <w:szCs w:val="24"/>
          <w:lang w:val="fr-FR"/>
        </w:rPr>
        <w:t>. 2006]</w:t>
      </w:r>
      <w:r w:rsidR="0007340F">
        <w:rPr>
          <w:szCs w:val="24"/>
          <w:lang w:val="fr-FR"/>
        </w:rPr>
        <w:t xml:space="preserve"> </w:t>
      </w:r>
      <w:r w:rsidRPr="00577EB1">
        <w:rPr>
          <w:szCs w:val="24"/>
          <w:lang w:val="fr-FR"/>
        </w:rPr>
        <w:t>i) un engagement politique durable envers la protection sociale</w:t>
      </w:r>
      <w:r w:rsidR="0007340F">
        <w:rPr>
          <w:szCs w:val="24"/>
          <w:lang w:val="fr-FR"/>
        </w:rPr>
        <w:t xml:space="preserve"> </w:t>
      </w:r>
      <w:r w:rsidRPr="00577EB1">
        <w:rPr>
          <w:szCs w:val="24"/>
          <w:lang w:val="fr-FR"/>
        </w:rPr>
        <w:t>ii) l’influence politique suffisante pour obtenir des ressources et défendre les priorités du programme</w:t>
      </w:r>
      <w:r w:rsidR="0007340F">
        <w:rPr>
          <w:szCs w:val="24"/>
          <w:lang w:val="fr-FR"/>
        </w:rPr>
        <w:t xml:space="preserve"> </w:t>
      </w:r>
      <w:r w:rsidRPr="00577EB1">
        <w:rPr>
          <w:szCs w:val="24"/>
          <w:lang w:val="fr-FR"/>
        </w:rPr>
        <w:t>et iii) la capacité institutionnelle de mettre en place un système efficace de filet social. Cela dit, il est souvent impossible de trouver ces trois qualités dans une seule et même institution. L’institution choisie est en général l’une des suivantes :</w:t>
      </w:r>
      <w:r w:rsidRPr="00577EB1">
        <w:rPr>
          <w:rFonts w:ascii="Cambria Math" w:hAnsi="Cambria Math" w:cs="Cambria Math"/>
          <w:szCs w:val="24"/>
          <w:lang w:val="fr-FR"/>
        </w:rPr>
        <w:t> </w:t>
      </w:r>
      <w:r w:rsidRPr="00577EB1">
        <w:rPr>
          <w:szCs w:val="24"/>
          <w:lang w:val="fr-FR"/>
        </w:rPr>
        <w:t>le ministère du développement social concerné (le plus engagé)</w:t>
      </w:r>
      <w:r w:rsidR="0007340F">
        <w:rPr>
          <w:szCs w:val="24"/>
          <w:lang w:val="fr-FR"/>
        </w:rPr>
        <w:t xml:space="preserve"> </w:t>
      </w:r>
      <w:r w:rsidRPr="00577EB1">
        <w:rPr>
          <w:szCs w:val="24"/>
          <w:lang w:val="fr-FR"/>
        </w:rPr>
        <w:t>le ministère responsable des finances (le plus puisant)</w:t>
      </w:r>
      <w:r w:rsidR="0007340F">
        <w:rPr>
          <w:szCs w:val="24"/>
          <w:lang w:val="fr-FR"/>
        </w:rPr>
        <w:t xml:space="preserve"> </w:t>
      </w:r>
      <w:r w:rsidRPr="00577EB1">
        <w:rPr>
          <w:szCs w:val="24"/>
          <w:lang w:val="fr-FR"/>
        </w:rPr>
        <w:t>ou une agence séparée placée sous l’autorité d’un comité composé des ministères concernés (rassemblant engagement, influence et capacité). Au fil du temps, une redistribution des responsabilités est également possible, comme cela a été observé en</w:t>
      </w:r>
      <w:r w:rsidRPr="00577EB1">
        <w:rPr>
          <w:rFonts w:ascii="Cambria Math" w:hAnsi="Cambria Math" w:cs="Cambria Math"/>
          <w:szCs w:val="24"/>
          <w:lang w:val="fr-FR"/>
        </w:rPr>
        <w:t> </w:t>
      </w:r>
      <w:r w:rsidRPr="00577EB1">
        <w:rPr>
          <w:szCs w:val="24"/>
          <w:lang w:val="fr-FR"/>
        </w:rPr>
        <w:t>Afrique du</w:t>
      </w:r>
      <w:r w:rsidRPr="00577EB1">
        <w:rPr>
          <w:rFonts w:ascii="Cambria Math" w:hAnsi="Cambria Math" w:cs="Cambria Math"/>
          <w:szCs w:val="24"/>
          <w:lang w:val="fr-FR"/>
        </w:rPr>
        <w:t> </w:t>
      </w:r>
      <w:r w:rsidRPr="00577EB1">
        <w:rPr>
          <w:szCs w:val="24"/>
          <w:lang w:val="fr-FR"/>
        </w:rPr>
        <w:t>Sud (des autorités provinciales vers une agence nationale de sécurité sociale), au Bangladesh (du ministère de l’Assistance sociale vers le ministère des Femmes et des Enfants) ou encore en Namibie (du</w:t>
      </w:r>
      <w:r w:rsidRPr="00577EB1">
        <w:rPr>
          <w:rFonts w:ascii="Cambria Math" w:hAnsi="Cambria Math" w:cs="Cambria Math"/>
          <w:szCs w:val="24"/>
          <w:lang w:val="fr-FR"/>
        </w:rPr>
        <w:t> </w:t>
      </w:r>
      <w:r w:rsidRPr="00577EB1">
        <w:rPr>
          <w:szCs w:val="24"/>
          <w:lang w:val="fr-FR"/>
        </w:rPr>
        <w:t xml:space="preserve">ministère du Travail vers le ministère de la Santé et des Services sociaux). En Inde, un partage des responsabilités a été décidé, le ministère du Travail supervisant les retraites et le Système national des allocations familiales administrant les subventions. Chacun de ces modèles présente des avantages et des inconvénients. Le choix des modalités institutionnelles au Burkina Faso devra s’appuyer sur un examen des institutions concernées, des objectifs primaires du programme (par exemple, réduction de la pauvreté </w:t>
      </w:r>
      <w:r w:rsidRPr="00577EB1">
        <w:rPr>
          <w:iCs/>
          <w:szCs w:val="24"/>
          <w:lang w:val="fr-FR"/>
        </w:rPr>
        <w:t>par rapport à</w:t>
      </w:r>
      <w:r w:rsidRPr="00577EB1">
        <w:rPr>
          <w:i/>
          <w:iCs/>
          <w:szCs w:val="24"/>
          <w:lang w:val="fr-FR"/>
        </w:rPr>
        <w:t xml:space="preserve"> </w:t>
      </w:r>
      <w:r w:rsidRPr="00577EB1">
        <w:rPr>
          <w:szCs w:val="24"/>
          <w:lang w:val="fr-FR"/>
        </w:rPr>
        <w:t>éducation) et de la vision à long terme de la protection sociale.</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Garantir la séparation des fonctions</w:t>
      </w:r>
      <w:r w:rsidRPr="00577EB1">
        <w:rPr>
          <w:szCs w:val="24"/>
          <w:lang w:val="fr-FR"/>
        </w:rPr>
        <w:t xml:space="preserve">. </w:t>
      </w:r>
      <w:r w:rsidRPr="00577EB1">
        <w:rPr>
          <w:bCs/>
          <w:szCs w:val="24"/>
          <w:lang w:val="fr-FR"/>
        </w:rPr>
        <w:t>L’institutionnalisation</w:t>
      </w:r>
      <w:r w:rsidRPr="00577EB1">
        <w:rPr>
          <w:szCs w:val="24"/>
          <w:lang w:val="fr-FR"/>
        </w:rPr>
        <w:t xml:space="preserve"> d’un programme ne signifie pas que toutes les fonctions doivent être confiées à une seule et unique institution ou à des institutions nationales uniquement. La clé d’une conception et d’une mise en œuvre</w:t>
      </w:r>
      <w:r w:rsidR="0007340F">
        <w:rPr>
          <w:szCs w:val="24"/>
          <w:lang w:val="fr-FR"/>
        </w:rPr>
        <w:t xml:space="preserve"> </w:t>
      </w:r>
      <w:r w:rsidRPr="00577EB1">
        <w:rPr>
          <w:szCs w:val="24"/>
          <w:lang w:val="fr-FR"/>
        </w:rPr>
        <w:t>réussies est de déléguer la responsabilité de chaque fonction à l’institution officielle ou non dont c’est l’activité principale, et de mettre en place des mécanismes de contrôle robustes. A titre d’exemple, la fourniture de transferts monétaires est une activité principale des banques, tandis que c’est traditionnellement le rôle de la société civile de veiller au respect des droits des personnes. Une telle stratégie de mise en œuvre (accompagnée d’une conception adaptée) contribuera à minimiser les risques fiduciaires et de corruption et à optimiser l’efficacité.</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Soutenir le renforcement des capacités</w:t>
      </w:r>
      <w:r w:rsidRPr="00577EB1">
        <w:rPr>
          <w:szCs w:val="24"/>
          <w:lang w:val="fr-FR"/>
        </w:rPr>
        <w:t xml:space="preserve">. Le concept de filet social en tant qu’investissement social nécessaire (régulier et prévisible) est passablement nouveau </w:t>
      </w:r>
      <w:r w:rsidRPr="00577EB1">
        <w:rPr>
          <w:szCs w:val="24"/>
          <w:lang w:val="fr-FR"/>
        </w:rPr>
        <w:lastRenderedPageBreak/>
        <w:t>au</w:t>
      </w:r>
      <w:r w:rsidRPr="00577EB1">
        <w:rPr>
          <w:rFonts w:ascii="Cambria Math" w:hAnsi="Cambria Math" w:cs="Cambria Math"/>
          <w:szCs w:val="24"/>
          <w:lang w:val="fr-FR"/>
        </w:rPr>
        <w:t> </w:t>
      </w:r>
      <w:r w:rsidRPr="00577EB1">
        <w:rPr>
          <w:szCs w:val="24"/>
          <w:lang w:val="fr-FR"/>
        </w:rPr>
        <w:t>Burkina Faso. Des efforts de sensibilisation et de formation seront nécessaires aussi bien au niveau national que local.</w:t>
      </w:r>
      <w:r w:rsidRPr="00577EB1">
        <w:rPr>
          <w:szCs w:val="24"/>
          <w:vertAlign w:val="superscript"/>
          <w:lang w:val="fr-FR"/>
        </w:rPr>
        <w:footnoteReference w:id="53"/>
      </w:r>
      <w:r w:rsidRPr="00577EB1">
        <w:rPr>
          <w:szCs w:val="24"/>
          <w:lang w:val="fr-FR"/>
        </w:rPr>
        <w:t xml:space="preserve"> D’autres initiatives pourraient s’avérer utiles pour que les filets sociaux, et la protection sociale en général, soient mieux compris, génèrent plus d’intérêt et voient leur capacités renforcées, par exemple, par le biais de formations « sur le tas » et de voyages d’études.</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Favoriser une plus grande participation des pouvoirs locaux pour une mise en œuvre efficace des politiques nationales.</w:t>
      </w:r>
      <w:r w:rsidRPr="00577EB1">
        <w:rPr>
          <w:szCs w:val="24"/>
          <w:lang w:val="fr-FR"/>
        </w:rPr>
        <w:t xml:space="preserve"> Les autorités décentralisées doivent être impliquées dans le processus global d’élaboration des politiques. Leurs rôles et responsabilités dans la fourniture de l’assistance sociale devront être clarifiés et renforcés. Toute responsabilité nouvellement définie devra s’accompagner d’allocations budgétaires (exemples</w:t>
      </w:r>
      <w:r w:rsidR="0007340F">
        <w:rPr>
          <w:szCs w:val="24"/>
          <w:lang w:val="fr-FR"/>
        </w:rPr>
        <w:t xml:space="preserve"> </w:t>
      </w:r>
      <w:r w:rsidRPr="00577EB1">
        <w:rPr>
          <w:szCs w:val="24"/>
          <w:lang w:val="fr-FR"/>
        </w:rPr>
        <w:t>formation du personnel, création de ressources matérielles ou humaines, et renforcement du dispositif institutionnel) et être soutenue par de bons mécanismes de coordination entre les différents ministères sectoriels.</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Explorer plus avant le rôle des ONG</w:t>
      </w:r>
      <w:r w:rsidRPr="00577EB1">
        <w:rPr>
          <w:rFonts w:ascii="Cambria Math" w:hAnsi="Cambria Math" w:cs="Cambria Math"/>
          <w:b/>
          <w:bCs/>
          <w:szCs w:val="24"/>
          <w:lang w:val="fr-FR"/>
        </w:rPr>
        <w:t> </w:t>
      </w:r>
      <w:r w:rsidRPr="00577EB1">
        <w:rPr>
          <w:b/>
          <w:bCs/>
          <w:szCs w:val="24"/>
          <w:lang w:val="fr-FR"/>
        </w:rPr>
        <w:t>et du secteur privé pour la fourniture des filets sociaux.</w:t>
      </w:r>
      <w:r w:rsidRPr="00577EB1">
        <w:rPr>
          <w:szCs w:val="24"/>
          <w:lang w:val="fr-FR"/>
        </w:rPr>
        <w:t xml:space="preserve"> Les capacités des autorités nationales et locales demeurent quelque peu limitées sur le terrain, en particulier dans les zones reculées qui ont le plus besoin d’assistance. Les ONG et le secteur privé pourraient être des partenaires utiles pour intervenir dans ces zones, et il faudrait examiner la possibilité d’une solution basée sur des contrats. Une telle solution actuellement en cours d’élaboration dans le cadre du</w:t>
      </w:r>
      <w:r w:rsidRPr="00577EB1">
        <w:rPr>
          <w:rFonts w:ascii="Cambria Math" w:hAnsi="Cambria Math" w:cs="Cambria Math"/>
          <w:szCs w:val="24"/>
          <w:lang w:val="fr-FR"/>
        </w:rPr>
        <w:t> </w:t>
      </w:r>
      <w:r w:rsidRPr="00577EB1">
        <w:rPr>
          <w:szCs w:val="24"/>
          <w:lang w:val="fr-FR"/>
        </w:rPr>
        <w:t>PADS pourrait fournir des enseignements utiles et être éventuellement étendue au-delà du secteur de la santé.</w:t>
      </w:r>
    </w:p>
    <w:p w:rsidR="004B3541" w:rsidRDefault="00D6364C">
      <w:pPr>
        <w:pStyle w:val="Heading2"/>
        <w:numPr>
          <w:ilvl w:val="3"/>
          <w:numId w:val="11"/>
        </w:numPr>
        <w:tabs>
          <w:tab w:val="clear" w:pos="709"/>
          <w:tab w:val="left" w:pos="567"/>
        </w:tabs>
        <w:rPr>
          <w:sz w:val="24"/>
          <w:szCs w:val="24"/>
          <w:u w:val="single"/>
        </w:rPr>
      </w:pPr>
      <w:bookmarkStart w:id="263" w:name="_Toc261967421"/>
      <w:bookmarkStart w:id="264" w:name="_Toc262169643"/>
      <w:bookmarkStart w:id="265" w:name="_Toc264748743"/>
      <w:bookmarkStart w:id="266" w:name="_Toc253994700"/>
      <w:bookmarkStart w:id="267" w:name="_Toc129022416"/>
      <w:r w:rsidRPr="00577EB1">
        <w:rPr>
          <w:sz w:val="24"/>
          <w:szCs w:val="24"/>
          <w:u w:val="single"/>
        </w:rPr>
        <w:t>Renforcer le cadre financier</w:t>
      </w:r>
      <w:bookmarkEnd w:id="263"/>
      <w:bookmarkEnd w:id="264"/>
      <w:bookmarkEnd w:id="265"/>
    </w:p>
    <w:p w:rsidR="00D6364C" w:rsidRPr="00577EB1" w:rsidRDefault="00D6364C" w:rsidP="00E52A30">
      <w:pPr>
        <w:numPr>
          <w:ilvl w:val="0"/>
          <w:numId w:val="33"/>
        </w:numPr>
        <w:tabs>
          <w:tab w:val="clear" w:pos="709"/>
        </w:tabs>
        <w:ind w:left="0" w:firstLine="0"/>
        <w:rPr>
          <w:rFonts w:ascii="Times-Roman" w:hAnsi="Times-Roman" w:cs="Times-Roman"/>
          <w:szCs w:val="24"/>
          <w:lang w:val="fr-FR"/>
        </w:rPr>
      </w:pPr>
      <w:r w:rsidRPr="00577EB1">
        <w:rPr>
          <w:b/>
          <w:bCs/>
          <w:szCs w:val="24"/>
          <w:lang w:val="fr-FR"/>
        </w:rPr>
        <w:t>Avec un revenu par habitant équivalant à 480 dollars EU, l’excédent disponible pour une redistribution à travers un programme permanent de filets sociaux est relativement mince.</w:t>
      </w:r>
      <w:r w:rsidRPr="00577EB1">
        <w:rPr>
          <w:szCs w:val="24"/>
          <w:lang w:val="fr-FR"/>
        </w:rPr>
        <w:t xml:space="preserve"> La forte proportion de pauvres au Burkina Faso signifie que</w:t>
      </w:r>
      <w:r w:rsidR="0007340F">
        <w:rPr>
          <w:szCs w:val="24"/>
          <w:lang w:val="fr-FR"/>
        </w:rPr>
        <w:t xml:space="preserve"> </w:t>
      </w:r>
      <w:r w:rsidRPr="00577EB1">
        <w:rPr>
          <w:szCs w:val="24"/>
          <w:lang w:val="fr-FR"/>
        </w:rPr>
        <w:t>i) tout programme suffisamment étendu pour avoir un impact substantiel serait extrêmement coûteux et ii) les options abordables ne pourront probablement bénéficier qu’à un segment restreint de la population ou n’avoir qu’un effet limité sur les revenus des ménages. Dans ces conditions, le Burkina Faso devra considérer avec attention ses options en matière de politique publique et se montrer très sélectif dans le choix d’interventions capables d’atteindre les plus pauvres tout en restant efficientes. Trois questions centrales devront guider ses choix :</w:t>
      </w:r>
      <w:r w:rsidRPr="00577EB1">
        <w:rPr>
          <w:rFonts w:ascii="Cambria Math" w:hAnsi="Cambria Math" w:cs="Cambria Math"/>
          <w:szCs w:val="24"/>
          <w:lang w:val="fr-FR"/>
        </w:rPr>
        <w:t> </w:t>
      </w:r>
      <w:r w:rsidRPr="00577EB1">
        <w:rPr>
          <w:szCs w:val="24"/>
          <w:lang w:val="fr-FR"/>
        </w:rPr>
        <w:t>i) quels sont les objectifs réalistes d’un filet social financé –par des fonds publics, étant donné la nature et les caractéristiques des pauvres et les préférences politiques et sociales avouées</w:t>
      </w:r>
      <w:r w:rsidR="0007340F">
        <w:rPr>
          <w:szCs w:val="24"/>
          <w:lang w:val="fr-FR"/>
        </w:rPr>
        <w:t xml:space="preserve"> </w:t>
      </w:r>
      <w:r w:rsidRPr="00577EB1">
        <w:rPr>
          <w:szCs w:val="24"/>
          <w:lang w:val="fr-FR"/>
        </w:rPr>
        <w:t>ii) quels groupes (ou sous-groupes) de pauvres seront-ils bénéficiaires</w:t>
      </w:r>
      <w:r w:rsidR="0007340F">
        <w:rPr>
          <w:szCs w:val="24"/>
          <w:lang w:val="fr-FR"/>
        </w:rPr>
        <w:t xml:space="preserve"> </w:t>
      </w:r>
      <w:r w:rsidRPr="00577EB1">
        <w:rPr>
          <w:szCs w:val="24"/>
          <w:lang w:val="fr-FR"/>
        </w:rPr>
        <w:t>et iii) quels sont les programmes de filets sociaux les plus efficients en termes de réalisation des objectifs souhaités</w:t>
      </w:r>
      <w:r w:rsidR="0007340F">
        <w:rPr>
          <w:szCs w:val="24"/>
          <w:lang w:val="fr-FR"/>
        </w:rPr>
        <w:t xml:space="preserve"> </w:t>
      </w:r>
      <w:r w:rsidRPr="00577EB1">
        <w:rPr>
          <w:szCs w:val="24"/>
          <w:lang w:val="fr-FR"/>
        </w:rPr>
        <w:t>En conséquence, pour évaluer la faisabilité de l’expansion des filets sociaux, le gouvernement doit considérer le rôle qu’ils devraient jouer dans la stratégie de développement du pays, le niveau de dépense qui doit raisonnablement leur être consacré, et le meilleur choix de programmes possible</w:t>
      </w:r>
      <w:r w:rsidR="0007340F">
        <w:rPr>
          <w:szCs w:val="24"/>
          <w:lang w:val="fr-FR"/>
        </w:rPr>
        <w:t xml:space="preserve"> </w:t>
      </w:r>
      <w:r w:rsidRPr="00577EB1">
        <w:rPr>
          <w:szCs w:val="24"/>
          <w:lang w:val="fr-FR"/>
        </w:rPr>
        <w:t>en prenant en compte le profil de la pauvreté et de la vulnérabilité, les performances des programmes existants, l’expérience internationale et la capacité institutionnelle nationale.</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 xml:space="preserve">Grâce à un meilleur ciblage, à des efforts pour rationaliser les coûts et à une réallocation des dépenses publiques, il semble raisonnable d’espérer une </w:t>
      </w:r>
      <w:r w:rsidRPr="00577EB1">
        <w:rPr>
          <w:b/>
          <w:bCs/>
          <w:szCs w:val="24"/>
          <w:lang w:val="fr-FR"/>
        </w:rPr>
        <w:lastRenderedPageBreak/>
        <w:t xml:space="preserve">augmentation progressive de la couverture, et donc des dépenses consacrées aux filets sociaux, d’ici deux à trois ans. </w:t>
      </w:r>
      <w:r w:rsidRPr="00577EB1">
        <w:rPr>
          <w:szCs w:val="24"/>
          <w:lang w:val="fr-FR"/>
        </w:rPr>
        <w:t>Comme les recettes ne permettront pas de créer un espace fiscal substantiel, il semble plus réaliste d’envisager une augmentation des dépenses consacrées aux filets sociaux grâce à</w:t>
      </w:r>
      <w:r w:rsidR="0007340F">
        <w:rPr>
          <w:szCs w:val="24"/>
          <w:lang w:val="fr-FR"/>
        </w:rPr>
        <w:t xml:space="preserve"> </w:t>
      </w:r>
      <w:r w:rsidRPr="00577EB1">
        <w:rPr>
          <w:szCs w:val="24"/>
          <w:lang w:val="fr-FR"/>
        </w:rPr>
        <w:t>i) une réallocation des dépenses consacrées aux programmes moins efficaces et ii) une gestion plus efficace des dépenses publiques. La précédente analyse du profil de la pauvreté et l’examen des dépenses publiques suggèrent que l’expansion progressive de certains programmes de filets sociaux</w:t>
      </w:r>
      <w:r w:rsidRPr="00577EB1">
        <w:rPr>
          <w:rFonts w:ascii="Cambria Math" w:hAnsi="Cambria Math" w:cs="Cambria Math"/>
          <w:szCs w:val="24"/>
          <w:lang w:val="fr-FR"/>
        </w:rPr>
        <w:t> </w:t>
      </w:r>
      <w:r w:rsidRPr="00577EB1">
        <w:rPr>
          <w:szCs w:val="24"/>
          <w:lang w:val="fr-FR"/>
        </w:rPr>
        <w:t>efficaces et complémentaires, tels que les programmes de nutrition, les travaux publics et les récents transferts monétaires, constituerait un choix de politiques approprié. L’augmentation de la couverture des filets sociaux</w:t>
      </w:r>
      <w:r w:rsidRPr="00577EB1">
        <w:rPr>
          <w:rFonts w:ascii="Cambria Math" w:hAnsi="Cambria Math" w:cs="Cambria Math"/>
          <w:szCs w:val="24"/>
          <w:lang w:val="fr-FR"/>
        </w:rPr>
        <w:t> </w:t>
      </w:r>
      <w:r w:rsidRPr="00577EB1">
        <w:rPr>
          <w:szCs w:val="24"/>
          <w:lang w:val="fr-FR"/>
        </w:rPr>
        <w:t>et des dépenses soulève la question de l’espace fiscal et appelle une analyse approfondie des allocations de dépenses et de leur efficacité. Dans ce contexte, au sein des secteurs prioritaires, tels que la santé et l’éducation, les dépenses doivent devenir plus efficaces et plus favorables aux pauvres. En outre, il est possible de réaliser des gains d’efficacité en contrôlant les dépenses discrétionnaires. En s’appuyant sur l’expérience internationale, les dépenses dans les filets sociaux au Burkina Faso pourraient atteindre environ 1,5 % du PIB. Une expansion plus ambitieuse des dépenses dans les filets sociaux ne semble pas souhaitable pour diverses raisons. En premier lieu, il faut éviter d’aboutir à une situation où une augmentation trop prononcée des dépenses dans ce secteur entraînerait une baisse des dépenses dans d’autres secteurs tout aussi vitaux pour la réduction de la pauvreté et de la vulnérabilité des populations, tels que la santé et l’éducation. En second lieu, il est important de regarder l’efficacité des dépenses déjà engagées avant de les augmenter trop rapidement. En troisième lieu, les capacités de mise en œuvre sur le terrain sont limitées. L’efficacité des dépenses dans les filets sociaux doit être renforcée grâce à un meilleur ciblage des bénéficiaires et une réduction relative des coûts de gestion. De plus, la conception et le pilotage des éventuels programmes, tels que les transferts monétaires ou les travaux publics, risquent de modifier la priorité relative des programmes, si bien que la destination et les montants totaux des dépenses devront être reconsidérés.</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 xml:space="preserve">De plus, un arbitrage budgétaire est nécessaire afin de promouvoir ou d’étendre les programmes de filets sociaux les plus rentables. </w:t>
      </w:r>
      <w:r w:rsidRPr="00577EB1">
        <w:rPr>
          <w:szCs w:val="24"/>
          <w:lang w:val="fr-FR"/>
        </w:rPr>
        <w:t>Afin de pérenniser le financement des programmes de filets sociaux, les étapes suivantes peuvent être entreprises :</w:t>
      </w:r>
    </w:p>
    <w:p w:rsidR="00D6364C" w:rsidRPr="00577EB1" w:rsidRDefault="00D6364C" w:rsidP="00E52A30">
      <w:pPr>
        <w:numPr>
          <w:ilvl w:val="0"/>
          <w:numId w:val="19"/>
        </w:numPr>
        <w:tabs>
          <w:tab w:val="clear" w:pos="720"/>
        </w:tabs>
        <w:spacing w:before="120" w:after="0"/>
        <w:ind w:left="709"/>
        <w:rPr>
          <w:szCs w:val="24"/>
          <w:lang w:val="fr-FR"/>
        </w:rPr>
      </w:pPr>
      <w:r w:rsidRPr="00577EB1">
        <w:rPr>
          <w:szCs w:val="24"/>
          <w:lang w:val="fr-FR"/>
        </w:rPr>
        <w:t xml:space="preserve">Établir une classification rigoureuse des dépenses de protection sociale et une liste exhaustive des programmes de filets sociaux. Ceci est essentiel pour estimer clairement le niveau de dépenses justifiées et des dépenses nécessaires pour atteindre les objectifs du système. </w:t>
      </w:r>
    </w:p>
    <w:p w:rsidR="00D6364C" w:rsidRPr="00577EB1" w:rsidRDefault="00D6364C" w:rsidP="00E52A30">
      <w:pPr>
        <w:numPr>
          <w:ilvl w:val="0"/>
          <w:numId w:val="19"/>
        </w:numPr>
        <w:tabs>
          <w:tab w:val="clear" w:pos="720"/>
        </w:tabs>
        <w:spacing w:before="120" w:after="0"/>
        <w:ind w:left="709"/>
        <w:rPr>
          <w:szCs w:val="24"/>
          <w:lang w:val="fr-FR"/>
        </w:rPr>
      </w:pPr>
      <w:r w:rsidRPr="00577EB1">
        <w:rPr>
          <w:szCs w:val="24"/>
          <w:lang w:val="fr-FR"/>
        </w:rPr>
        <w:t>Déterminer l’enveloppe totale dans le budget de l’État nécessaire pour atteindre la couverture souhaitée pour les filets sociaux, et la provisionner de manière adéquate</w:t>
      </w:r>
      <w:r w:rsidR="0007340F">
        <w:rPr>
          <w:szCs w:val="24"/>
          <w:lang w:val="fr-FR"/>
        </w:rPr>
        <w:t xml:space="preserve"> </w:t>
      </w:r>
      <w:r w:rsidRPr="00577EB1">
        <w:rPr>
          <w:szCs w:val="24"/>
          <w:lang w:val="fr-FR"/>
        </w:rPr>
        <w:t xml:space="preserve">dans le budget de chaque année. Dans ce contexte, il faudra déterminer quel niveau de dépenses dans les filets sociaux est raisonnable et abordable. </w:t>
      </w:r>
    </w:p>
    <w:p w:rsidR="00D6364C" w:rsidRPr="00577EB1" w:rsidRDefault="00D6364C" w:rsidP="00E52A30">
      <w:pPr>
        <w:numPr>
          <w:ilvl w:val="0"/>
          <w:numId w:val="19"/>
        </w:numPr>
        <w:tabs>
          <w:tab w:val="clear" w:pos="720"/>
        </w:tabs>
        <w:spacing w:before="120" w:after="0"/>
        <w:ind w:left="709"/>
        <w:rPr>
          <w:szCs w:val="24"/>
          <w:lang w:val="fr-FR"/>
        </w:rPr>
      </w:pPr>
      <w:r w:rsidRPr="00577EB1">
        <w:rPr>
          <w:szCs w:val="24"/>
          <w:lang w:val="fr-FR"/>
        </w:rPr>
        <w:t xml:space="preserve">S’assurer que l’État est capable de trouver des financements pour les filets sociaux autrement que sur la base de projets, par exemple en sollicitant un </w:t>
      </w:r>
      <w:r w:rsidR="00A23A26">
        <w:rPr>
          <w:szCs w:val="24"/>
          <w:lang w:val="fr-FR"/>
        </w:rPr>
        <w:t>soutien</w:t>
      </w:r>
      <w:r w:rsidRPr="00577EB1">
        <w:rPr>
          <w:szCs w:val="24"/>
          <w:lang w:val="fr-FR"/>
        </w:rPr>
        <w:t xml:space="preserve"> budgétaire dans le cadre d’un crédit à l’appui de la réduction de la pauvreté de l’IDA et d’opérations semblables d’autres partenaires extérieurs. Ceci implique une amélioration de la gestion du système de filets sociaux et de divers aspects tels que les mécanismes fiduciaires, la passation des marchés et les audits, ainsi que du suivi et évaluation des résultats. </w:t>
      </w:r>
    </w:p>
    <w:p w:rsidR="00D6364C" w:rsidRPr="00577EB1" w:rsidRDefault="00D6364C" w:rsidP="00D6364C">
      <w:pPr>
        <w:spacing w:after="0"/>
        <w:rPr>
          <w:szCs w:val="24"/>
          <w:lang w:val="fr-FR"/>
        </w:rPr>
      </w:pP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Des économies sont possibles grâce à un meilleur ciblage, une rationalisation des coûts et une réallocation des dépenses publiques par la réduction des programmes de petite envergure ou inefficaces, tout en renforçant quelques programmes viables en les ciblant mieux pour obtenir de meilleurs résultats</w:t>
      </w:r>
      <w:r w:rsidRPr="00577EB1">
        <w:rPr>
          <w:szCs w:val="24"/>
          <w:lang w:val="fr-FR"/>
        </w:rPr>
        <w:t>. Dans ce cadre, il faut que les dépenses deviennent plus efficaces et pro- pauvres en général, que les subventions mal ciblées soient réduites, et que les dépenses soient concentrées sur les secteurs prioritaires tels que la santé et l’éducation. Des économies sur les dépenses discrétionnaires pourraient de plus entraîner des gains d’efficience.</w:t>
      </w:r>
    </w:p>
    <w:p w:rsidR="004B3541" w:rsidRDefault="00D6364C">
      <w:pPr>
        <w:pStyle w:val="Heading2"/>
        <w:numPr>
          <w:ilvl w:val="3"/>
          <w:numId w:val="11"/>
        </w:numPr>
        <w:tabs>
          <w:tab w:val="clear" w:pos="709"/>
          <w:tab w:val="left" w:pos="567"/>
        </w:tabs>
        <w:rPr>
          <w:sz w:val="24"/>
          <w:szCs w:val="24"/>
          <w:u w:val="single"/>
        </w:rPr>
      </w:pPr>
      <w:bookmarkStart w:id="268" w:name="_Toc253994702"/>
      <w:bookmarkStart w:id="269" w:name="_Toc129022418"/>
      <w:bookmarkStart w:id="270" w:name="_Toc261967424"/>
      <w:bookmarkStart w:id="271" w:name="_Toc262169644"/>
      <w:bookmarkStart w:id="272" w:name="_Toc264748744"/>
      <w:r w:rsidRPr="00577EB1">
        <w:rPr>
          <w:sz w:val="24"/>
          <w:szCs w:val="24"/>
          <w:u w:val="single"/>
        </w:rPr>
        <w:t>Renforcer le suivi et évaluation des programmes</w:t>
      </w:r>
      <w:bookmarkEnd w:id="268"/>
      <w:bookmarkEnd w:id="269"/>
      <w:bookmarkEnd w:id="270"/>
      <w:bookmarkEnd w:id="271"/>
      <w:bookmarkEnd w:id="272"/>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Promouvoir des évaluations robustes et indépendantes des processus et de l’impact des programmes et favoriser des décisions politiques éclairées par des faits</w:t>
      </w:r>
      <w:r w:rsidRPr="00577EB1">
        <w:rPr>
          <w:szCs w:val="24"/>
          <w:lang w:val="fr-FR"/>
        </w:rPr>
        <w:t>. Les objectifs spécifiques d’un système de S&amp;E</w:t>
      </w:r>
      <w:r w:rsidRPr="00577EB1">
        <w:rPr>
          <w:rFonts w:ascii="Cambria Math" w:hAnsi="Cambria Math" w:cs="Cambria Math"/>
          <w:szCs w:val="24"/>
          <w:lang w:val="fr-FR"/>
        </w:rPr>
        <w:t> </w:t>
      </w:r>
      <w:r w:rsidRPr="00577EB1">
        <w:rPr>
          <w:szCs w:val="24"/>
          <w:lang w:val="fr-FR"/>
        </w:rPr>
        <w:t>sont</w:t>
      </w:r>
      <w:r w:rsidR="0007340F">
        <w:rPr>
          <w:szCs w:val="24"/>
          <w:lang w:val="fr-FR"/>
        </w:rPr>
        <w:t xml:space="preserve"> </w:t>
      </w:r>
      <w:r w:rsidRPr="00577EB1">
        <w:rPr>
          <w:szCs w:val="24"/>
          <w:lang w:val="fr-FR"/>
        </w:rPr>
        <w:t>i) fournir de l’information à la mise en œuvre des programmes et mettre en lumière les ajustements nécessaires en temps opportun</w:t>
      </w:r>
      <w:r w:rsidR="0007340F">
        <w:rPr>
          <w:szCs w:val="24"/>
          <w:lang w:val="fr-FR"/>
        </w:rPr>
        <w:t xml:space="preserve"> </w:t>
      </w:r>
      <w:r w:rsidRPr="00577EB1">
        <w:rPr>
          <w:szCs w:val="24"/>
          <w:lang w:val="fr-FR"/>
        </w:rPr>
        <w:t>ii) démontrer l’impact du programme aux responsables politiques, aux partenaires au développement et au grand public</w:t>
      </w:r>
      <w:r w:rsidR="0007340F">
        <w:rPr>
          <w:szCs w:val="24"/>
          <w:lang w:val="fr-FR"/>
        </w:rPr>
        <w:t xml:space="preserve"> </w:t>
      </w:r>
      <w:r w:rsidRPr="00577EB1">
        <w:rPr>
          <w:szCs w:val="24"/>
          <w:lang w:val="fr-FR"/>
        </w:rPr>
        <w:t>et iii) tirer les enseignements de l’expérience. La fonction d’évaluation est particulièrement critique pour éclairer le développement de politiques basées sur des faits. Comme mentionné tout au long de ce rapport, très peu d’informations valables ont été récoltées sur les caractéristiques réelles des bénéficiaires, les coûts et l’impact des programmes de filets sociaux existants. Ce manque de données entrave la mobilisation d’un plus fort appui politique et financier pour ces programmes. Un suivi et évaluation robuste sera particulièrement crucial pour les projets pilotes envisagés (exemples</w:t>
      </w:r>
      <w:r w:rsidR="0007340F">
        <w:rPr>
          <w:szCs w:val="24"/>
          <w:lang w:val="fr-FR"/>
        </w:rPr>
        <w:t xml:space="preserve"> </w:t>
      </w:r>
      <w:r w:rsidRPr="00577EB1">
        <w:rPr>
          <w:szCs w:val="24"/>
          <w:lang w:val="fr-FR"/>
        </w:rPr>
        <w:t>transferts monétaires, travaux publics et exemption des frais).</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Un suivi systématique de l’ensemble des programmes de filets sociaux est donc nécessaire pour pouvoir juger si les ressources sont bien utilisées.</w:t>
      </w:r>
      <w:r w:rsidRPr="00577EB1">
        <w:rPr>
          <w:szCs w:val="24"/>
          <w:lang w:val="fr-FR"/>
        </w:rPr>
        <w:t xml:space="preserve"> Il s’agit d’une condition préalable pour le pilotage ou l’augmentation d’échelle de tous les programmes de filets sociaux. En particulier, cinq actions systémiques peuvent être envisagées :</w:t>
      </w:r>
    </w:p>
    <w:p w:rsidR="00D6364C" w:rsidRPr="00577EB1" w:rsidRDefault="00D6364C" w:rsidP="00E52A30">
      <w:pPr>
        <w:numPr>
          <w:ilvl w:val="0"/>
          <w:numId w:val="13"/>
        </w:numPr>
        <w:tabs>
          <w:tab w:val="clear" w:pos="709"/>
        </w:tabs>
        <w:spacing w:after="120"/>
        <w:ind w:left="709" w:hanging="430"/>
        <w:rPr>
          <w:szCs w:val="24"/>
          <w:lang w:val="fr-FR"/>
        </w:rPr>
      </w:pPr>
      <w:r w:rsidRPr="00577EB1">
        <w:rPr>
          <w:i/>
          <w:iCs/>
          <w:szCs w:val="24"/>
          <w:lang w:val="fr-FR"/>
        </w:rPr>
        <w:t xml:space="preserve">Établir une classification rigoureuse des dépenses de protection sociale </w:t>
      </w:r>
      <w:r w:rsidRPr="00577EB1">
        <w:rPr>
          <w:szCs w:val="24"/>
          <w:lang w:val="fr-FR"/>
        </w:rPr>
        <w:t xml:space="preserve">et une liste exhaustive des programmes de filets sociaux. </w:t>
      </w:r>
    </w:p>
    <w:p w:rsidR="00D6364C" w:rsidRPr="00577EB1" w:rsidRDefault="00D6364C" w:rsidP="00E52A30">
      <w:pPr>
        <w:numPr>
          <w:ilvl w:val="0"/>
          <w:numId w:val="13"/>
        </w:numPr>
        <w:tabs>
          <w:tab w:val="clear" w:pos="709"/>
        </w:tabs>
        <w:spacing w:after="120"/>
        <w:ind w:left="709" w:hanging="430"/>
        <w:rPr>
          <w:szCs w:val="24"/>
          <w:lang w:val="fr-FR"/>
        </w:rPr>
      </w:pPr>
      <w:r w:rsidRPr="00577EB1">
        <w:rPr>
          <w:i/>
          <w:iCs/>
          <w:szCs w:val="24"/>
          <w:lang w:val="fr-FR"/>
        </w:rPr>
        <w:t>Définir les exigences minimales pour la production de rapports sur les programmes de filets sociaux afin de permettre l’évaluation de leur efficacité</w:t>
      </w:r>
      <w:r w:rsidRPr="00577EB1">
        <w:rPr>
          <w:szCs w:val="24"/>
          <w:lang w:val="fr-FR"/>
        </w:rPr>
        <w:t>, avec une ventilation des coûts entre la prestation des services et les frais généraux, suivant les sources de financement, etc. Dans ce but, un cadre commun devrait clarifier les mécanismes de suivi et d’évaluation des programmes de filets sociaux. Le système de suivi et évaluation comprendra plusieurs indicateurs</w:t>
      </w:r>
      <w:r w:rsidR="0007340F">
        <w:rPr>
          <w:szCs w:val="24"/>
          <w:lang w:val="fr-FR"/>
        </w:rPr>
        <w:t xml:space="preserve"> </w:t>
      </w:r>
      <w:r w:rsidRPr="00577EB1">
        <w:rPr>
          <w:szCs w:val="24"/>
          <w:lang w:val="fr-FR"/>
        </w:rPr>
        <w:t>genre, santé, éducation, pauvreté, nutrition, croissance économique, cohésion sociale, etc. Le travail au sein d’un cadre commun doit améliorer l’efficience des programmes ainsi que la comparaison des programmes entre eux.</w:t>
      </w:r>
    </w:p>
    <w:p w:rsidR="00D6364C" w:rsidRPr="00577EB1" w:rsidRDefault="00D6364C" w:rsidP="00E52A30">
      <w:pPr>
        <w:numPr>
          <w:ilvl w:val="0"/>
          <w:numId w:val="13"/>
        </w:numPr>
        <w:tabs>
          <w:tab w:val="clear" w:pos="709"/>
        </w:tabs>
        <w:spacing w:after="120"/>
        <w:ind w:left="709" w:hanging="430"/>
        <w:rPr>
          <w:szCs w:val="24"/>
          <w:lang w:val="fr-FR"/>
        </w:rPr>
      </w:pPr>
      <w:r w:rsidRPr="00577EB1">
        <w:rPr>
          <w:i/>
          <w:szCs w:val="24"/>
          <w:lang w:val="fr-FR"/>
        </w:rPr>
        <w:t xml:space="preserve">Élargir l’évaluation pour y intégrer des mesures rigoureuses de l’impact, </w:t>
      </w:r>
      <w:r w:rsidRPr="00577EB1">
        <w:rPr>
          <w:szCs w:val="24"/>
          <w:lang w:val="fr-FR"/>
        </w:rPr>
        <w:t>en mettant l’accent sur le pilotage lorsque de nouvelles interventions sont introduites ou sur l’extension des interventions existantes à de nouvelles catégories de bénéficiaires.</w:t>
      </w:r>
    </w:p>
    <w:p w:rsidR="00D6364C" w:rsidRPr="00577EB1" w:rsidRDefault="00D6364C" w:rsidP="00E52A30">
      <w:pPr>
        <w:numPr>
          <w:ilvl w:val="0"/>
          <w:numId w:val="13"/>
        </w:numPr>
        <w:tabs>
          <w:tab w:val="clear" w:pos="709"/>
        </w:tabs>
        <w:spacing w:after="120"/>
        <w:ind w:left="709" w:hanging="430"/>
        <w:rPr>
          <w:szCs w:val="24"/>
          <w:lang w:val="fr-FR"/>
        </w:rPr>
      </w:pPr>
      <w:r w:rsidRPr="00577EB1">
        <w:rPr>
          <w:i/>
          <w:iCs/>
          <w:szCs w:val="24"/>
          <w:lang w:val="fr-FR"/>
        </w:rPr>
        <w:t>Faire participer la société civile au suivi et évaluation</w:t>
      </w:r>
      <w:r w:rsidRPr="00577EB1">
        <w:rPr>
          <w:szCs w:val="24"/>
          <w:lang w:val="fr-FR"/>
        </w:rPr>
        <w:t xml:space="preserve">. La société civile est actuellement exclue du processus de suivi et évaluation des filets sociaux fournis par l’État et ses partenaires. Des efforts doivent être faits pour soutenir </w:t>
      </w:r>
      <w:r w:rsidRPr="00577EB1">
        <w:rPr>
          <w:szCs w:val="24"/>
          <w:lang w:val="fr-FR"/>
        </w:rPr>
        <w:lastRenderedPageBreak/>
        <w:t>l’implication de la société civile dans le suivi des programmes, par exemple en soutenant son engagement auprès de l’Assemblée Nationale ou le suivi des budgets par les communautés.</w:t>
      </w:r>
    </w:p>
    <w:p w:rsidR="00D6364C" w:rsidRPr="00577EB1" w:rsidRDefault="00D6364C" w:rsidP="00E52A30">
      <w:pPr>
        <w:numPr>
          <w:ilvl w:val="0"/>
          <w:numId w:val="13"/>
        </w:numPr>
        <w:tabs>
          <w:tab w:val="clear" w:pos="709"/>
        </w:tabs>
        <w:spacing w:after="120"/>
        <w:ind w:left="709" w:hanging="430"/>
        <w:rPr>
          <w:szCs w:val="24"/>
          <w:lang w:val="fr-FR"/>
        </w:rPr>
      </w:pPr>
      <w:r w:rsidRPr="00577EB1">
        <w:rPr>
          <w:i/>
          <w:iCs/>
          <w:szCs w:val="24"/>
          <w:lang w:val="fr-FR"/>
        </w:rPr>
        <w:t xml:space="preserve">Transmettre systématiquement les rapports d’évaluation des programmes </w:t>
      </w:r>
      <w:r w:rsidRPr="00577EB1">
        <w:rPr>
          <w:szCs w:val="24"/>
          <w:lang w:val="fr-FR"/>
        </w:rPr>
        <w:t>aux ministères sectoriels responsables de la protection sociale, des filets sociaux et du maintien d’une base de données sur les programmes. Ceci permettra aux responsables politiques de prendre des décisions plus éclairées.</w:t>
      </w:r>
    </w:p>
    <w:p w:rsidR="00D6364C" w:rsidRPr="00577EB1" w:rsidRDefault="00D6364C" w:rsidP="00E52A30">
      <w:pPr>
        <w:numPr>
          <w:ilvl w:val="0"/>
          <w:numId w:val="13"/>
        </w:numPr>
        <w:tabs>
          <w:tab w:val="clear" w:pos="709"/>
        </w:tabs>
        <w:ind w:left="709" w:hanging="431"/>
        <w:rPr>
          <w:szCs w:val="24"/>
          <w:lang w:val="fr-FR"/>
        </w:rPr>
      </w:pPr>
      <w:r w:rsidRPr="00577EB1">
        <w:rPr>
          <w:i/>
          <w:iCs/>
          <w:szCs w:val="24"/>
          <w:lang w:val="fr-FR"/>
        </w:rPr>
        <w:t>Renforcer les capacités des ministères sectoriels en matière de suivi et évaluation</w:t>
      </w:r>
      <w:r w:rsidRPr="00577EB1">
        <w:rPr>
          <w:szCs w:val="24"/>
          <w:lang w:val="fr-FR"/>
        </w:rPr>
        <w:t xml:space="preserve"> et organiser pour les responsables des programmes, des formations aux techniques de suivi et d’évaluation, accompagnées de mécanismes favorisant l’échange d’expérience entre les divers programmes.</w:t>
      </w:r>
    </w:p>
    <w:p w:rsidR="004B3541" w:rsidRDefault="00D6364C">
      <w:pPr>
        <w:pStyle w:val="Heading2"/>
        <w:numPr>
          <w:ilvl w:val="0"/>
          <w:numId w:val="34"/>
        </w:numPr>
        <w:tabs>
          <w:tab w:val="clear" w:pos="709"/>
          <w:tab w:val="left" w:pos="567"/>
        </w:tabs>
        <w:ind w:left="0" w:firstLine="0"/>
        <w:rPr>
          <w:sz w:val="24"/>
          <w:szCs w:val="24"/>
        </w:rPr>
      </w:pPr>
      <w:bookmarkStart w:id="273" w:name="_Toc261967422"/>
      <w:bookmarkStart w:id="274" w:name="_Toc262169645"/>
      <w:bookmarkStart w:id="275" w:name="_Toc264748745"/>
      <w:r w:rsidRPr="00577EB1">
        <w:rPr>
          <w:sz w:val="24"/>
          <w:szCs w:val="24"/>
        </w:rPr>
        <w:t xml:space="preserve">Améliorer l’efficacité du système de </w:t>
      </w:r>
      <w:bookmarkEnd w:id="266"/>
      <w:bookmarkEnd w:id="267"/>
      <w:bookmarkEnd w:id="273"/>
      <w:bookmarkEnd w:id="274"/>
      <w:r w:rsidRPr="00577EB1">
        <w:rPr>
          <w:sz w:val="24"/>
          <w:szCs w:val="24"/>
        </w:rPr>
        <w:t>filets sociaux</w:t>
      </w:r>
      <w:bookmarkEnd w:id="275"/>
    </w:p>
    <w:p w:rsidR="004B3541" w:rsidRDefault="00D6364C">
      <w:pPr>
        <w:pStyle w:val="Heading2"/>
        <w:numPr>
          <w:ilvl w:val="3"/>
          <w:numId w:val="35"/>
        </w:numPr>
        <w:tabs>
          <w:tab w:val="clear" w:pos="709"/>
          <w:tab w:val="left" w:pos="567"/>
        </w:tabs>
        <w:rPr>
          <w:sz w:val="24"/>
          <w:szCs w:val="24"/>
          <w:u w:val="single"/>
        </w:rPr>
      </w:pPr>
      <w:bookmarkStart w:id="276" w:name="_Toc264748746"/>
      <w:r w:rsidRPr="00577EB1">
        <w:rPr>
          <w:sz w:val="24"/>
          <w:szCs w:val="24"/>
          <w:u w:val="single"/>
        </w:rPr>
        <w:t>Définir l’ensemble d’instruments de filets sociaux le plus adapté</w:t>
      </w:r>
      <w:bookmarkEnd w:id="276"/>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Mettre à jour l’analyse de la pauvreté pour identifier clairement les groupes cibles prioritaires.</w:t>
      </w:r>
      <w:r w:rsidRPr="00577EB1">
        <w:rPr>
          <w:szCs w:val="24"/>
          <w:lang w:val="fr-FR"/>
        </w:rPr>
        <w:t xml:space="preserve"> Les données disponibles sur la pauvreté sont dépassées et ne reflètent probablement pas les conditions prévalant depuis la crise de 2008 provoquée par l’envolée des prix alimentaires et pétroliers. Les données de l’EICVM</w:t>
      </w:r>
      <w:r w:rsidRPr="00577EB1">
        <w:rPr>
          <w:szCs w:val="24"/>
          <w:vertAlign w:val="superscript"/>
          <w:lang w:val="fr-FR"/>
        </w:rPr>
        <w:footnoteReference w:id="54"/>
      </w:r>
      <w:r w:rsidRPr="00577EB1">
        <w:rPr>
          <w:szCs w:val="24"/>
          <w:lang w:val="fr-FR"/>
        </w:rPr>
        <w:t xml:space="preserve"> actuellement en cours devraient être accessibles dans le courant 2010. Il faudra alors mettre à jour l’analyse de la pauvreté en s’appuyant sur ces données, et des cartes de la pauvreté pourront être dressées à partir du recensement de 2006.</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Identifier les instruments appropriés pour chaque groupe cible prioritaire.</w:t>
      </w:r>
      <w:r w:rsidRPr="00577EB1">
        <w:rPr>
          <w:szCs w:val="24"/>
          <w:lang w:val="fr-FR"/>
        </w:rPr>
        <w:t xml:space="preserve"> Les type, rôle, envergure et fréquence des instruments de filets sociaux doivent être définis pour chaque ensemble de priorités. Sur base de l’analyse de pauvreté disponible, il est proposé de prendre le groupe d’instruments suivants comme point de départ pour la discussion et les études de faisabilité de la combinaison de programmes à mettre en place de manière permanente pour combattre la pauvreté chronique</w:t>
      </w:r>
      <w:r w:rsidR="0007340F">
        <w:rPr>
          <w:szCs w:val="24"/>
          <w:lang w:val="fr-FR"/>
        </w:rPr>
        <w:t xml:space="preserve"> </w:t>
      </w:r>
    </w:p>
    <w:p w:rsidR="00D6364C" w:rsidRPr="00577EB1" w:rsidRDefault="00D6364C" w:rsidP="00E52A30">
      <w:pPr>
        <w:numPr>
          <w:ilvl w:val="6"/>
          <w:numId w:val="11"/>
        </w:numPr>
        <w:tabs>
          <w:tab w:val="clear" w:pos="709"/>
        </w:tabs>
        <w:spacing w:after="120"/>
        <w:ind w:left="709" w:hanging="709"/>
        <w:rPr>
          <w:szCs w:val="24"/>
          <w:lang w:val="fr-FR"/>
        </w:rPr>
      </w:pPr>
      <w:r w:rsidRPr="00577EB1">
        <w:rPr>
          <w:szCs w:val="24"/>
          <w:lang w:val="fr-FR"/>
        </w:rPr>
        <w:t>Des programmes de compléments nutritionnels pour les femmes enceintes et allaitantes et les enfants de moins de 5 ans, y compris les veuves et leurs enfants, pour garantir que les besoins nutritionnels de ces groupes particulièrement vulnérables soient couverts ;</w:t>
      </w:r>
    </w:p>
    <w:p w:rsidR="00D6364C" w:rsidRPr="00577EB1" w:rsidRDefault="00D6364C" w:rsidP="00E52A30">
      <w:pPr>
        <w:numPr>
          <w:ilvl w:val="6"/>
          <w:numId w:val="11"/>
        </w:numPr>
        <w:tabs>
          <w:tab w:val="clear" w:pos="709"/>
        </w:tabs>
        <w:spacing w:after="120"/>
        <w:ind w:left="709" w:hanging="709"/>
        <w:rPr>
          <w:szCs w:val="24"/>
          <w:lang w:val="fr-FR"/>
        </w:rPr>
      </w:pPr>
      <w:r w:rsidRPr="00577EB1">
        <w:rPr>
          <w:szCs w:val="24"/>
          <w:lang w:val="fr-FR"/>
        </w:rPr>
        <w:t>Des programmes ciblés de cantines scolaires pour les enfants de 6 à 14 ans, afin de stimuler la scolarisation et l’assiduité scolaire des enfants pauvres, y compris ceux des veuves ou ex-veuves ;</w:t>
      </w:r>
    </w:p>
    <w:p w:rsidR="00D6364C" w:rsidRPr="00577EB1" w:rsidRDefault="00D6364C" w:rsidP="00E52A30">
      <w:pPr>
        <w:numPr>
          <w:ilvl w:val="6"/>
          <w:numId w:val="11"/>
        </w:numPr>
        <w:tabs>
          <w:tab w:val="clear" w:pos="709"/>
        </w:tabs>
        <w:spacing w:after="120"/>
        <w:ind w:left="709" w:hanging="709"/>
        <w:rPr>
          <w:szCs w:val="24"/>
          <w:lang w:val="fr-FR"/>
        </w:rPr>
      </w:pPr>
      <w:r w:rsidRPr="00577EB1">
        <w:rPr>
          <w:szCs w:val="24"/>
          <w:lang w:val="fr-FR"/>
        </w:rPr>
        <w:t>Des transferts monétaires réguliers aux femmes vivant dans des ménages chroniquement (et extrêmement) pauvres afin d’augmenter les revenus réels et les dépenses alimentaires des ménages les plus pauvres</w:t>
      </w:r>
      <w:r w:rsidR="0007340F">
        <w:rPr>
          <w:szCs w:val="24"/>
          <w:lang w:val="fr-FR"/>
        </w:rPr>
        <w:t xml:space="preserve"> </w:t>
      </w:r>
      <w:r w:rsidRPr="00577EB1">
        <w:rPr>
          <w:szCs w:val="24"/>
          <w:lang w:val="fr-FR"/>
        </w:rPr>
        <w:t>et</w:t>
      </w:r>
    </w:p>
    <w:p w:rsidR="00D6364C" w:rsidRPr="00577EB1" w:rsidRDefault="00D6364C" w:rsidP="00E52A30">
      <w:pPr>
        <w:numPr>
          <w:ilvl w:val="6"/>
          <w:numId w:val="11"/>
        </w:numPr>
        <w:tabs>
          <w:tab w:val="clear" w:pos="709"/>
        </w:tabs>
        <w:ind w:left="709" w:hanging="709"/>
        <w:rPr>
          <w:szCs w:val="24"/>
          <w:lang w:val="fr-FR"/>
        </w:rPr>
      </w:pPr>
      <w:r w:rsidRPr="00577EB1">
        <w:rPr>
          <w:szCs w:val="24"/>
          <w:lang w:val="fr-FR"/>
        </w:rPr>
        <w:t>Des travaux publics saisonniers à haute intensité en main-d’œuvre afin de fournir une source de revenus aux hommes et femmes pauvres et de construire des infrastructures publiques ou fournir des services communautaires.</w:t>
      </w:r>
    </w:p>
    <w:p w:rsidR="00D6364C" w:rsidRPr="00577EB1" w:rsidRDefault="00D6364C" w:rsidP="00E52A30">
      <w:pPr>
        <w:numPr>
          <w:ilvl w:val="0"/>
          <w:numId w:val="33"/>
        </w:numPr>
        <w:tabs>
          <w:tab w:val="clear" w:pos="709"/>
        </w:tabs>
        <w:ind w:left="0" w:firstLine="0"/>
        <w:rPr>
          <w:szCs w:val="24"/>
          <w:lang w:val="fr-FR"/>
        </w:rPr>
      </w:pPr>
      <w:r w:rsidRPr="00577EB1">
        <w:rPr>
          <w:bCs/>
          <w:szCs w:val="24"/>
          <w:lang w:val="fr-FR"/>
        </w:rPr>
        <w:lastRenderedPageBreak/>
        <w:t>Même</w:t>
      </w:r>
      <w:r w:rsidRPr="00577EB1">
        <w:rPr>
          <w:szCs w:val="24"/>
          <w:lang w:val="fr-FR"/>
        </w:rPr>
        <w:t xml:space="preserve"> lorsqu’ils ne ciblent pas explicitement les femmes, les programmes de filets sociaux devraient veiller à ne pas renforcer les inégalités entre les genres et les préjugés sociaux. L’Encadré 1</w:t>
      </w:r>
      <w:r w:rsidR="0051644E">
        <w:rPr>
          <w:szCs w:val="24"/>
          <w:lang w:val="fr-FR"/>
        </w:rPr>
        <w:t>5</w:t>
      </w:r>
      <w:r w:rsidRPr="00577EB1">
        <w:rPr>
          <w:szCs w:val="24"/>
          <w:lang w:val="fr-FR"/>
        </w:rPr>
        <w:t xml:space="preserve"> évoque certaines des choses à faire et à ne pas faire. </w:t>
      </w:r>
    </w:p>
    <w:p w:rsidR="00D6364C" w:rsidRPr="00577EB1" w:rsidRDefault="005738FE" w:rsidP="00D6364C">
      <w:pPr>
        <w:pStyle w:val="Heading9"/>
      </w:pPr>
      <w:bookmarkStart w:id="277" w:name="_Toc269723987"/>
      <w:bookmarkStart w:id="278" w:name="_Toc269724028"/>
      <w:bookmarkStart w:id="279" w:name="_Toc269724134"/>
      <w:bookmarkStart w:id="280" w:name="_Toc284613575"/>
      <w:bookmarkStart w:id="281" w:name="_Toc136694424"/>
      <w:r w:rsidRPr="005738FE">
        <w:t xml:space="preserve">Encadré </w:t>
      </w:r>
      <w:r w:rsidR="00725419">
        <w:fldChar w:fldCharType="begin"/>
      </w:r>
      <w:r w:rsidRPr="005738FE">
        <w:instrText xml:space="preserve"> SEQ Encadré \* ARABIC </w:instrText>
      </w:r>
      <w:r w:rsidR="00725419">
        <w:fldChar w:fldCharType="separate"/>
      </w:r>
      <w:r w:rsidR="00EF56B2">
        <w:rPr>
          <w:noProof/>
        </w:rPr>
        <w:t>15</w:t>
      </w:r>
      <w:r w:rsidR="00725419">
        <w:fldChar w:fldCharType="end"/>
      </w:r>
      <w:r w:rsidR="003203FB">
        <w:t> :</w:t>
      </w:r>
      <w:r w:rsidR="0007340F">
        <w:t xml:space="preserve"> </w:t>
      </w:r>
      <w:r w:rsidR="00D6364C" w:rsidRPr="00577EB1">
        <w:t>Choses à faire et à ne pas faire pour une protection sociale sensible aux femmes</w:t>
      </w:r>
      <w:bookmarkEnd w:id="277"/>
      <w:bookmarkEnd w:id="278"/>
      <w:bookmarkEnd w:id="279"/>
      <w:bookmarkEnd w:id="280"/>
      <w:r w:rsidR="00D6364C" w:rsidRPr="00577EB1">
        <w:t xml:space="preserve"> </w:t>
      </w:r>
      <w:bookmarkEnd w:id="28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5"/>
      </w:tblGrid>
      <w:tr w:rsidR="00D6364C" w:rsidRPr="000A70E6" w:rsidTr="004E781B">
        <w:tc>
          <w:tcPr>
            <w:tcW w:w="5000" w:type="pct"/>
          </w:tcPr>
          <w:p w:rsidR="004B3541" w:rsidRDefault="00D6364C">
            <w:pPr>
              <w:tabs>
                <w:tab w:val="clear" w:pos="709"/>
                <w:tab w:val="num" w:pos="720"/>
                <w:tab w:val="num" w:pos="1440"/>
              </w:tabs>
              <w:spacing w:before="80" w:after="0"/>
              <w:rPr>
                <w:b/>
                <w:sz w:val="20"/>
                <w:szCs w:val="20"/>
                <w:lang w:val="fr-FR"/>
              </w:rPr>
            </w:pPr>
            <w:r w:rsidRPr="00547BD6">
              <w:rPr>
                <w:sz w:val="20"/>
                <w:szCs w:val="20"/>
                <w:lang w:val="fr-FR"/>
              </w:rPr>
              <w:t xml:space="preserve">Même si le détail des politiques varie fortement selon les circonstances et les objectifs, du point de vue de l’égalité des genres, un ensemble de principes clairs devrait guider la réflexion sur les politiques de protection sociale. L’objectif clé d’ensemble des politiques devrait être d’aider les femmes pauvres et vulnérables, qu’elles soient ou non explicitement ciblées. </w:t>
            </w:r>
          </w:p>
          <w:p w:rsidR="004B3541" w:rsidRDefault="00D6364C">
            <w:pPr>
              <w:tabs>
                <w:tab w:val="clear" w:pos="709"/>
                <w:tab w:val="num" w:pos="720"/>
                <w:tab w:val="num" w:pos="1440"/>
              </w:tabs>
              <w:spacing w:before="80" w:after="0"/>
              <w:rPr>
                <w:b/>
                <w:sz w:val="20"/>
                <w:szCs w:val="20"/>
                <w:lang w:val="fr-FR"/>
              </w:rPr>
            </w:pPr>
            <w:r w:rsidRPr="00547BD6">
              <w:rPr>
                <w:sz w:val="20"/>
                <w:szCs w:val="20"/>
                <w:lang w:val="fr-FR"/>
              </w:rPr>
              <w:t>Afin d’atteindre cet objectif, les politiques devraient</w:t>
            </w:r>
            <w:r w:rsidR="005738FE">
              <w:rPr>
                <w:sz w:val="20"/>
                <w:szCs w:val="20"/>
                <w:lang w:val="fr-FR"/>
              </w:rPr>
              <w:t> :</w:t>
            </w:r>
          </w:p>
          <w:p w:rsidR="00D6364C" w:rsidRPr="00547BD6" w:rsidRDefault="00D6364C" w:rsidP="00E52A30">
            <w:pPr>
              <w:numPr>
                <w:ilvl w:val="0"/>
                <w:numId w:val="27"/>
              </w:numPr>
              <w:tabs>
                <w:tab w:val="clear" w:pos="709"/>
              </w:tabs>
              <w:spacing w:after="0"/>
              <w:ind w:left="567"/>
              <w:rPr>
                <w:sz w:val="20"/>
                <w:szCs w:val="20"/>
                <w:lang w:val="fr-FR"/>
              </w:rPr>
            </w:pPr>
            <w:r w:rsidRPr="00547BD6">
              <w:rPr>
                <w:sz w:val="20"/>
                <w:szCs w:val="20"/>
                <w:lang w:val="fr-FR"/>
              </w:rPr>
              <w:t>Ne pas considérer un modèle unique de ménage et se rappeler que le bénéficiaire du transfert est important</w:t>
            </w:r>
            <w:r w:rsidR="0007340F" w:rsidRPr="00547BD6">
              <w:rPr>
                <w:sz w:val="20"/>
                <w:szCs w:val="20"/>
                <w:lang w:val="fr-FR"/>
              </w:rPr>
              <w:t xml:space="preserve"> </w:t>
            </w:r>
            <w:r w:rsidRPr="00547BD6">
              <w:rPr>
                <w:sz w:val="20"/>
                <w:szCs w:val="20"/>
                <w:lang w:val="fr-FR"/>
              </w:rPr>
              <w:t>les transferts devraient être destinés aux femmes ;</w:t>
            </w:r>
          </w:p>
          <w:p w:rsidR="00D6364C" w:rsidRPr="00547BD6" w:rsidRDefault="00D6364C" w:rsidP="00E52A30">
            <w:pPr>
              <w:numPr>
                <w:ilvl w:val="0"/>
                <w:numId w:val="27"/>
              </w:numPr>
              <w:tabs>
                <w:tab w:val="clear" w:pos="709"/>
              </w:tabs>
              <w:spacing w:after="0"/>
              <w:ind w:left="567"/>
              <w:rPr>
                <w:sz w:val="20"/>
                <w:szCs w:val="20"/>
                <w:lang w:val="fr-FR"/>
              </w:rPr>
            </w:pPr>
            <w:r w:rsidRPr="00547BD6">
              <w:rPr>
                <w:sz w:val="20"/>
                <w:szCs w:val="20"/>
                <w:lang w:val="fr-FR"/>
              </w:rPr>
              <w:t>Ne pas se limiter aux chefs de familles, aux hommes ou aux chômeurs ;</w:t>
            </w:r>
          </w:p>
          <w:p w:rsidR="00D6364C" w:rsidRPr="00547BD6" w:rsidRDefault="00D6364C" w:rsidP="00E52A30">
            <w:pPr>
              <w:numPr>
                <w:ilvl w:val="0"/>
                <w:numId w:val="27"/>
              </w:numPr>
              <w:tabs>
                <w:tab w:val="clear" w:pos="709"/>
              </w:tabs>
              <w:spacing w:after="0"/>
              <w:ind w:left="567"/>
              <w:rPr>
                <w:sz w:val="20"/>
                <w:szCs w:val="20"/>
                <w:lang w:val="fr-FR"/>
              </w:rPr>
            </w:pPr>
            <w:r w:rsidRPr="00547BD6">
              <w:rPr>
                <w:sz w:val="20"/>
                <w:szCs w:val="20"/>
                <w:lang w:val="fr-FR"/>
              </w:rPr>
              <w:t>Rechercher des mécanismes réalisables de ciblage des pauvres en tant qu’individus, sans coût inopportun pour les atteindre ;</w:t>
            </w:r>
          </w:p>
          <w:p w:rsidR="00D6364C" w:rsidRPr="00547BD6" w:rsidRDefault="00D6364C" w:rsidP="00E52A30">
            <w:pPr>
              <w:numPr>
                <w:ilvl w:val="0"/>
                <w:numId w:val="27"/>
              </w:numPr>
              <w:tabs>
                <w:tab w:val="clear" w:pos="709"/>
              </w:tabs>
              <w:spacing w:after="0"/>
              <w:ind w:left="567"/>
              <w:rPr>
                <w:sz w:val="20"/>
                <w:szCs w:val="20"/>
                <w:lang w:val="fr-FR"/>
              </w:rPr>
            </w:pPr>
            <w:r w:rsidRPr="00547BD6">
              <w:rPr>
                <w:sz w:val="20"/>
                <w:szCs w:val="20"/>
                <w:lang w:val="fr-FR"/>
              </w:rPr>
              <w:t>Ne pas entretenir de préjugés contre les femmes, ne pas exacerber les inégalités ;</w:t>
            </w:r>
          </w:p>
          <w:p w:rsidR="00D6364C" w:rsidRPr="00547BD6" w:rsidRDefault="00D6364C" w:rsidP="00E52A30">
            <w:pPr>
              <w:numPr>
                <w:ilvl w:val="0"/>
                <w:numId w:val="27"/>
              </w:numPr>
              <w:tabs>
                <w:tab w:val="clear" w:pos="709"/>
              </w:tabs>
              <w:spacing w:after="0"/>
              <w:ind w:left="567"/>
              <w:rPr>
                <w:sz w:val="20"/>
                <w:szCs w:val="20"/>
                <w:lang w:val="fr-FR"/>
              </w:rPr>
            </w:pPr>
            <w:r w:rsidRPr="00547BD6">
              <w:rPr>
                <w:sz w:val="20"/>
                <w:szCs w:val="20"/>
                <w:lang w:val="fr-FR"/>
              </w:rPr>
              <w:t>Essayer de compenser les préjugées préexistants à l’encontre des femmes ;</w:t>
            </w:r>
          </w:p>
          <w:p w:rsidR="00D6364C" w:rsidRPr="00547BD6" w:rsidRDefault="00D6364C" w:rsidP="00E52A30">
            <w:pPr>
              <w:numPr>
                <w:ilvl w:val="0"/>
                <w:numId w:val="27"/>
              </w:numPr>
              <w:tabs>
                <w:tab w:val="clear" w:pos="709"/>
              </w:tabs>
              <w:spacing w:after="0"/>
              <w:ind w:left="567"/>
              <w:rPr>
                <w:sz w:val="20"/>
                <w:szCs w:val="20"/>
                <w:lang w:val="fr-FR"/>
              </w:rPr>
            </w:pPr>
            <w:r w:rsidRPr="00547BD6">
              <w:rPr>
                <w:sz w:val="20"/>
                <w:szCs w:val="20"/>
                <w:lang w:val="fr-FR"/>
              </w:rPr>
              <w:t>Considérer la forme du transfert</w:t>
            </w:r>
            <w:r w:rsidRPr="00547BD6">
              <w:rPr>
                <w:rFonts w:ascii="Cambria Math" w:hAnsi="Cambria Math" w:cs="Cambria Math"/>
                <w:sz w:val="20"/>
                <w:szCs w:val="20"/>
                <w:lang w:val="fr-FR"/>
              </w:rPr>
              <w:t> </w:t>
            </w:r>
            <w:r w:rsidRPr="00547BD6">
              <w:rPr>
                <w:sz w:val="20"/>
                <w:szCs w:val="20"/>
                <w:lang w:val="fr-FR"/>
              </w:rPr>
              <w:t>: Une partie des salaires ou les transferts en nature sont souvent préférés par les femmes car les hommes du ménage peuvent plus facilement s’approprier l’argent liquide. L’imposition de conditions est souvent souhaitable pour la même raison ;</w:t>
            </w:r>
          </w:p>
          <w:p w:rsidR="00D6364C" w:rsidRPr="00547BD6" w:rsidRDefault="00D6364C" w:rsidP="00E52A30">
            <w:pPr>
              <w:numPr>
                <w:ilvl w:val="0"/>
                <w:numId w:val="27"/>
              </w:numPr>
              <w:tabs>
                <w:tab w:val="clear" w:pos="709"/>
              </w:tabs>
              <w:spacing w:after="0"/>
              <w:ind w:left="567"/>
              <w:rPr>
                <w:sz w:val="20"/>
                <w:szCs w:val="20"/>
                <w:lang w:val="fr-FR"/>
              </w:rPr>
            </w:pPr>
            <w:r w:rsidRPr="00547BD6">
              <w:rPr>
                <w:sz w:val="20"/>
                <w:szCs w:val="20"/>
                <w:lang w:val="fr-FR"/>
              </w:rPr>
              <w:t>Prendre en compte les coûts de transaction :</w:t>
            </w:r>
            <w:r w:rsidRPr="00547BD6">
              <w:rPr>
                <w:rFonts w:ascii="Cambria Math" w:hAnsi="Cambria Math" w:cs="Cambria Math"/>
                <w:sz w:val="20"/>
                <w:szCs w:val="20"/>
                <w:lang w:val="fr-FR"/>
              </w:rPr>
              <w:t> </w:t>
            </w:r>
            <w:r w:rsidRPr="00547BD6">
              <w:rPr>
                <w:sz w:val="20"/>
                <w:szCs w:val="20"/>
                <w:lang w:val="fr-FR"/>
              </w:rPr>
              <w:t>les femmes sont souvent confrontées à de plus grandes contraintes de temps et à une plus faible mobilité ;</w:t>
            </w:r>
          </w:p>
          <w:p w:rsidR="00D6364C" w:rsidRPr="00547BD6" w:rsidRDefault="00D6364C" w:rsidP="00E52A30">
            <w:pPr>
              <w:numPr>
                <w:ilvl w:val="0"/>
                <w:numId w:val="27"/>
              </w:numPr>
              <w:tabs>
                <w:tab w:val="clear" w:pos="709"/>
              </w:tabs>
              <w:spacing w:after="0"/>
              <w:ind w:left="567"/>
              <w:rPr>
                <w:sz w:val="20"/>
                <w:szCs w:val="20"/>
                <w:lang w:val="fr-FR"/>
              </w:rPr>
            </w:pPr>
            <w:r w:rsidRPr="00547BD6">
              <w:rPr>
                <w:sz w:val="20"/>
                <w:szCs w:val="20"/>
                <w:lang w:val="fr-FR"/>
              </w:rPr>
              <w:t>Ne pas oublier que les femmes subissent de multiples contraintes sociales ;</w:t>
            </w:r>
          </w:p>
          <w:p w:rsidR="00D6364C" w:rsidRPr="00547BD6" w:rsidRDefault="00D6364C" w:rsidP="00E52A30">
            <w:pPr>
              <w:numPr>
                <w:ilvl w:val="0"/>
                <w:numId w:val="27"/>
              </w:numPr>
              <w:tabs>
                <w:tab w:val="clear" w:pos="709"/>
              </w:tabs>
              <w:spacing w:after="0"/>
              <w:ind w:left="567"/>
              <w:rPr>
                <w:sz w:val="20"/>
                <w:szCs w:val="20"/>
                <w:lang w:val="fr-FR"/>
              </w:rPr>
            </w:pPr>
            <w:r w:rsidRPr="00547BD6">
              <w:rPr>
                <w:sz w:val="20"/>
                <w:szCs w:val="20"/>
                <w:lang w:val="fr-FR"/>
              </w:rPr>
              <w:t>Fournir des services de garde d’enfants ;</w:t>
            </w:r>
          </w:p>
          <w:p w:rsidR="00D6364C" w:rsidRPr="00547BD6" w:rsidRDefault="00D6364C" w:rsidP="00E52A30">
            <w:pPr>
              <w:numPr>
                <w:ilvl w:val="0"/>
                <w:numId w:val="27"/>
              </w:numPr>
              <w:tabs>
                <w:tab w:val="clear" w:pos="709"/>
              </w:tabs>
              <w:spacing w:after="0"/>
              <w:ind w:left="567"/>
              <w:rPr>
                <w:sz w:val="20"/>
                <w:szCs w:val="20"/>
                <w:lang w:val="fr-FR"/>
              </w:rPr>
            </w:pPr>
            <w:r w:rsidRPr="00547BD6">
              <w:rPr>
                <w:sz w:val="20"/>
                <w:szCs w:val="20"/>
                <w:lang w:val="fr-FR"/>
              </w:rPr>
              <w:t>Ne pas oublier que les réactions aux politiques peuvent varier en fonction du genre</w:t>
            </w:r>
            <w:r w:rsidR="0007340F" w:rsidRPr="00547BD6">
              <w:rPr>
                <w:sz w:val="20"/>
                <w:szCs w:val="20"/>
                <w:lang w:val="fr-FR"/>
              </w:rPr>
              <w:t xml:space="preserve"> </w:t>
            </w:r>
            <w:r w:rsidRPr="00547BD6">
              <w:rPr>
                <w:sz w:val="20"/>
                <w:szCs w:val="20"/>
                <w:lang w:val="fr-FR"/>
              </w:rPr>
              <w:t>par exemple, le manque à gagner ou les effets incitatifs peuvent varier ;</w:t>
            </w:r>
          </w:p>
          <w:p w:rsidR="00D6364C" w:rsidRPr="00547BD6" w:rsidRDefault="00D6364C" w:rsidP="00E52A30">
            <w:pPr>
              <w:numPr>
                <w:ilvl w:val="0"/>
                <w:numId w:val="27"/>
              </w:numPr>
              <w:tabs>
                <w:tab w:val="clear" w:pos="709"/>
              </w:tabs>
              <w:spacing w:after="0"/>
              <w:ind w:left="567"/>
              <w:rPr>
                <w:sz w:val="20"/>
                <w:szCs w:val="20"/>
                <w:lang w:val="fr-FR"/>
              </w:rPr>
            </w:pPr>
            <w:r w:rsidRPr="00547BD6">
              <w:rPr>
                <w:sz w:val="20"/>
                <w:szCs w:val="20"/>
                <w:lang w:val="fr-FR"/>
              </w:rPr>
              <w:t>Ne pas oublier que les programmes peuvent avoir des conséquences imprévues</w:t>
            </w:r>
            <w:r w:rsidRPr="00547BD6">
              <w:rPr>
                <w:rFonts w:ascii="Cambria Math" w:hAnsi="Cambria Math" w:cs="Cambria Math"/>
                <w:sz w:val="20"/>
                <w:szCs w:val="20"/>
                <w:lang w:val="fr-FR"/>
              </w:rPr>
              <w:t> </w:t>
            </w:r>
            <w:r w:rsidRPr="00547BD6">
              <w:rPr>
                <w:sz w:val="20"/>
                <w:szCs w:val="20"/>
                <w:lang w:val="fr-FR"/>
              </w:rPr>
              <w:t>: les transferts ont sur l’offre de main-d’œuvre un impact différent selon le genre. Ils peuvent entraîner une redistribution des tâches vers les enfants au sein des ménages ;</w:t>
            </w:r>
          </w:p>
          <w:p w:rsidR="004B3541" w:rsidRDefault="00D6364C">
            <w:pPr>
              <w:numPr>
                <w:ilvl w:val="0"/>
                <w:numId w:val="27"/>
              </w:numPr>
              <w:tabs>
                <w:tab w:val="clear" w:pos="709"/>
              </w:tabs>
              <w:spacing w:after="80"/>
              <w:ind w:left="567" w:hanging="357"/>
              <w:rPr>
                <w:sz w:val="18"/>
                <w:szCs w:val="18"/>
                <w:lang w:val="fr-FR"/>
              </w:rPr>
            </w:pPr>
            <w:r w:rsidRPr="00547BD6">
              <w:rPr>
                <w:sz w:val="20"/>
                <w:szCs w:val="20"/>
                <w:lang w:val="fr-FR"/>
              </w:rPr>
              <w:t>Ne pas supposer que l’égalité prévue dans la loi est suffisant. Des actions assertives peuvent être nécessaires pour des raisons à la fois d’efficacité (par exemple, externalités potentielles dues aux avantages pour les enfants du ciblage des femmes</w:t>
            </w:r>
            <w:r w:rsidR="0007340F" w:rsidRPr="00547BD6">
              <w:rPr>
                <w:sz w:val="20"/>
                <w:szCs w:val="20"/>
                <w:lang w:val="fr-FR"/>
              </w:rPr>
              <w:t xml:space="preserve"> </w:t>
            </w:r>
            <w:r w:rsidRPr="00547BD6">
              <w:rPr>
                <w:sz w:val="20"/>
                <w:szCs w:val="20"/>
                <w:lang w:val="fr-FR"/>
              </w:rPr>
              <w:t>le genre du bénéficiaire des transferts compte pour le bien-être des ménages) et d’égalité (lorsque les femmes sont plus pauvres et vulnérables).</w:t>
            </w:r>
          </w:p>
        </w:tc>
      </w:tr>
    </w:tbl>
    <w:p w:rsidR="004B3541" w:rsidRDefault="00EB214A">
      <w:pPr>
        <w:widowControl w:val="0"/>
        <w:spacing w:before="120" w:after="480"/>
        <w:rPr>
          <w:szCs w:val="24"/>
          <w:lang w:val="fr-FR"/>
        </w:rPr>
      </w:pPr>
      <w:r w:rsidRPr="00EB214A">
        <w:rPr>
          <w:i/>
          <w:sz w:val="20"/>
          <w:szCs w:val="18"/>
          <w:lang w:val="fr-FR"/>
        </w:rPr>
        <w:t>Source :</w:t>
      </w:r>
      <w:r w:rsidRPr="00EB214A">
        <w:rPr>
          <w:sz w:val="20"/>
          <w:szCs w:val="18"/>
          <w:lang w:val="fr-FR"/>
        </w:rPr>
        <w:t xml:space="preserve"> van de Walle 2010.</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Améliorer les mécanismes d’augmentation/réduction de l’échelle des programmes en cas de choc.</w:t>
      </w:r>
      <w:r w:rsidRPr="00577EB1">
        <w:rPr>
          <w:szCs w:val="24"/>
          <w:lang w:val="fr-FR"/>
        </w:rPr>
        <w:t xml:space="preserve"> Une fois qu’un système de filets sociaux permanent approprié est en place, des mécanismes particuliers devraient être envisagés pour étendre leur échelle en cas de crise, en les complétant avec d’autres instruments temporaires. Les règles d’extension des programmes devront être intégrées au système national de sécurité alimentaire (système d’alerte précoce,</w:t>
      </w:r>
      <w:r w:rsidRPr="00577EB1">
        <w:rPr>
          <w:szCs w:val="24"/>
          <w:vertAlign w:val="superscript"/>
          <w:lang w:val="fr-FR"/>
        </w:rPr>
        <w:footnoteReference w:id="55"/>
      </w:r>
      <w:r w:rsidRPr="00577EB1">
        <w:rPr>
          <w:szCs w:val="24"/>
          <w:lang w:val="fr-FR"/>
        </w:rPr>
        <w:t xml:space="preserve"> plans d’urgence, expérience des interventions d’urgence, etc.)</w:t>
      </w:r>
    </w:p>
    <w:p w:rsidR="004B3541" w:rsidRDefault="00D6364C">
      <w:pPr>
        <w:pStyle w:val="Heading2"/>
        <w:numPr>
          <w:ilvl w:val="3"/>
          <w:numId w:val="35"/>
        </w:numPr>
        <w:tabs>
          <w:tab w:val="clear" w:pos="709"/>
          <w:tab w:val="left" w:pos="567"/>
        </w:tabs>
        <w:rPr>
          <w:sz w:val="24"/>
          <w:szCs w:val="24"/>
          <w:u w:val="single"/>
        </w:rPr>
      </w:pPr>
      <w:bookmarkStart w:id="282" w:name="_Toc264748747"/>
      <w:r w:rsidRPr="00577EB1">
        <w:rPr>
          <w:sz w:val="24"/>
          <w:szCs w:val="24"/>
          <w:u w:val="single"/>
        </w:rPr>
        <w:t>Renforcer l’efficacité de quelques programmes de filets sociaux choisis</w:t>
      </w:r>
      <w:bookmarkEnd w:id="282"/>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Améliorer l’efficience des programmes.</w:t>
      </w:r>
      <w:r w:rsidRPr="00577EB1">
        <w:rPr>
          <w:szCs w:val="24"/>
          <w:lang w:val="fr-FR"/>
        </w:rPr>
        <w:t xml:space="preserve"> Un examen critique approfondi de chaque programme (largement inexistant au Burkina Faso) devrait éclairer les nécessaires ajustements. Sur la base de l’examen des programmes existant présenté dans ce rapport, les recommandations initiales sont les suivantes :</w:t>
      </w:r>
    </w:p>
    <w:p w:rsidR="00D6364C" w:rsidRPr="00577EB1" w:rsidRDefault="00D6364C" w:rsidP="00E52A30">
      <w:pPr>
        <w:numPr>
          <w:ilvl w:val="8"/>
          <w:numId w:val="11"/>
        </w:numPr>
        <w:tabs>
          <w:tab w:val="clear" w:pos="709"/>
          <w:tab w:val="left" w:pos="720"/>
        </w:tabs>
        <w:spacing w:after="120"/>
        <w:ind w:left="720" w:hanging="720"/>
        <w:rPr>
          <w:szCs w:val="24"/>
          <w:lang w:val="fr-FR"/>
        </w:rPr>
      </w:pPr>
      <w:r w:rsidRPr="00577EB1">
        <w:rPr>
          <w:i/>
          <w:iCs/>
          <w:szCs w:val="24"/>
          <w:lang w:val="fr-FR"/>
        </w:rPr>
        <w:lastRenderedPageBreak/>
        <w:t>Transferts monétaires</w:t>
      </w:r>
      <w:r w:rsidR="0007340F">
        <w:rPr>
          <w:szCs w:val="24"/>
          <w:lang w:val="fr-FR"/>
        </w:rPr>
        <w:t xml:space="preserve"> </w:t>
      </w:r>
      <w:r w:rsidRPr="00577EB1">
        <w:rPr>
          <w:szCs w:val="24"/>
          <w:lang w:val="fr-FR"/>
        </w:rPr>
        <w:t xml:space="preserve">De robustes évaluations d’impact des programmes pilotes en cours devraient prochainement fournir de l’information à l’éventuelle extension des programmes monétaires. Avant </w:t>
      </w:r>
      <w:r w:rsidRPr="00577EB1">
        <w:rPr>
          <w:color w:val="000000"/>
          <w:szCs w:val="24"/>
          <w:lang w:val="fr-FR"/>
        </w:rPr>
        <w:t>d’envisager l’augmentation d’échelle des transferts monétaires pour faciliter l’accès des familles extrêmement pauvres à une meilleure alimentation, en milieu rural comme en milieu urbain, il sera nécessaire de mener de nouvelles études sur leur pertinence et leur faisabilité.</w:t>
      </w:r>
      <w:r w:rsidRPr="00577EB1">
        <w:rPr>
          <w:szCs w:val="24"/>
          <w:lang w:val="fr-FR"/>
        </w:rPr>
        <w:t xml:space="preserve"> En particulier pour la conception et les modalités d’exécution, il serait</w:t>
      </w:r>
      <w:r w:rsidRPr="00577EB1" w:rsidDel="00B6473B">
        <w:rPr>
          <w:szCs w:val="24"/>
          <w:lang w:val="fr-FR"/>
        </w:rPr>
        <w:t xml:space="preserve"> </w:t>
      </w:r>
      <w:r w:rsidRPr="00577EB1">
        <w:rPr>
          <w:szCs w:val="24"/>
          <w:lang w:val="fr-FR"/>
        </w:rPr>
        <w:t>extrêmement utile</w:t>
      </w:r>
      <w:r w:rsidRPr="00577EB1" w:rsidDel="00B6473B">
        <w:rPr>
          <w:szCs w:val="24"/>
          <w:lang w:val="fr-FR"/>
        </w:rPr>
        <w:t xml:space="preserve"> </w:t>
      </w:r>
      <w:r w:rsidRPr="00577EB1">
        <w:rPr>
          <w:szCs w:val="24"/>
          <w:lang w:val="fr-FR"/>
        </w:rPr>
        <w:t xml:space="preserve">de mettre en œuvre, en collaboration étroite avec les autorités nationales, des systèmes pilotes de transferts monétaires prévisibles destinés aux membres féminins des ménages pauvres, sur une base pluriannuelle (pour permettre des ajustements successifs des programmes et un apprentissage) et en couvrant une population suffisamment nombreuse (pour recueillir des faits probants). </w:t>
      </w:r>
      <w:r w:rsidRPr="00577EB1">
        <w:rPr>
          <w:color w:val="000000"/>
          <w:szCs w:val="24"/>
          <w:lang w:val="fr-FR"/>
        </w:rPr>
        <w:t>L’intégration de mesures incitatives pour encourager les mères d’enfants en bas âge à participer à des interventions de nutrition liées à l’offre pourrait également être envisagée.</w:t>
      </w:r>
    </w:p>
    <w:p w:rsidR="00D6364C" w:rsidRPr="00577EB1" w:rsidRDefault="00D6364C" w:rsidP="00E52A30">
      <w:pPr>
        <w:numPr>
          <w:ilvl w:val="6"/>
          <w:numId w:val="36"/>
        </w:numPr>
        <w:spacing w:after="120"/>
        <w:ind w:left="709" w:hanging="709"/>
        <w:rPr>
          <w:szCs w:val="24"/>
          <w:lang w:val="fr-FR"/>
        </w:rPr>
      </w:pPr>
      <w:r w:rsidRPr="00577EB1">
        <w:rPr>
          <w:i/>
          <w:iCs/>
          <w:szCs w:val="24"/>
          <w:lang w:val="fr-FR"/>
        </w:rPr>
        <w:t>Ventes d’aliments à des prix subventionnés et distributions ciblées de vivres</w:t>
      </w:r>
      <w:r w:rsidR="0007340F">
        <w:rPr>
          <w:i/>
          <w:iCs/>
          <w:szCs w:val="24"/>
          <w:lang w:val="fr-FR"/>
        </w:rPr>
        <w:t xml:space="preserve"> </w:t>
      </w:r>
      <w:r w:rsidRPr="00577EB1">
        <w:rPr>
          <w:szCs w:val="24"/>
          <w:lang w:val="fr-FR"/>
        </w:rPr>
        <w:t>Un examen plus approfondi est nécessaire pour évaluer leur efficience et leur impact sur les bénéficiaires. Toutefois, une réduction de l’envergure de ces programmes en faveur de programmes avec un ciblage plus performant devrait être envisagée.</w:t>
      </w:r>
    </w:p>
    <w:p w:rsidR="00D6364C" w:rsidRPr="00577EB1" w:rsidRDefault="00D6364C" w:rsidP="00E52A30">
      <w:pPr>
        <w:numPr>
          <w:ilvl w:val="6"/>
          <w:numId w:val="36"/>
        </w:numPr>
        <w:spacing w:after="120"/>
        <w:ind w:left="709" w:hanging="709"/>
        <w:rPr>
          <w:szCs w:val="24"/>
          <w:lang w:val="fr-FR"/>
        </w:rPr>
      </w:pPr>
      <w:r w:rsidRPr="00577EB1">
        <w:rPr>
          <w:i/>
          <w:iCs/>
          <w:szCs w:val="24"/>
          <w:lang w:val="fr-FR"/>
        </w:rPr>
        <w:t>Programmes de nutrition</w:t>
      </w:r>
      <w:r w:rsidR="0007340F">
        <w:rPr>
          <w:i/>
          <w:iCs/>
          <w:szCs w:val="24"/>
          <w:lang w:val="fr-FR"/>
        </w:rPr>
        <w:t xml:space="preserve"> </w:t>
      </w:r>
      <w:r w:rsidRPr="00577EB1">
        <w:rPr>
          <w:szCs w:val="24"/>
          <w:lang w:val="fr-FR"/>
        </w:rPr>
        <w:t>Étant donné les besoins existants, la couverture des programmes doit être élargie et leur cadre stratégique et institutionnel renforcé.</w:t>
      </w:r>
    </w:p>
    <w:p w:rsidR="00D6364C" w:rsidRPr="00577EB1" w:rsidRDefault="00D6364C" w:rsidP="00E52A30">
      <w:pPr>
        <w:numPr>
          <w:ilvl w:val="6"/>
          <w:numId w:val="36"/>
        </w:numPr>
        <w:spacing w:after="120"/>
        <w:ind w:left="709" w:hanging="709"/>
        <w:rPr>
          <w:szCs w:val="24"/>
          <w:lang w:val="fr-FR"/>
        </w:rPr>
      </w:pPr>
      <w:r w:rsidRPr="00577EB1">
        <w:rPr>
          <w:i/>
          <w:iCs/>
          <w:szCs w:val="24"/>
          <w:lang w:val="fr-FR"/>
        </w:rPr>
        <w:t>Cantines scolaires</w:t>
      </w:r>
      <w:r w:rsidR="0007340F">
        <w:rPr>
          <w:i/>
          <w:iCs/>
          <w:szCs w:val="24"/>
          <w:lang w:val="fr-FR"/>
        </w:rPr>
        <w:t xml:space="preserve"> </w:t>
      </w:r>
      <w:r w:rsidRPr="00577EB1">
        <w:rPr>
          <w:szCs w:val="24"/>
          <w:lang w:val="fr-FR"/>
        </w:rPr>
        <w:t>En se basant sur les estimations disponibles, des études supplémentaires sont nécessaires pour évaluer l’efficience relative des programmes de cantines scolaires assistées par rapport aux autres formes de filets sociaux, en prenant en compte les coûts, l’impact sur la cohésion sociale, le développement humain, etc., et pour rechercher un modèle intégré amélioré de cantines scolaires, qui garantisse un meilleur ciblage des enfants pauvres et une contribution au développement local, grâce à une meilleure appropriation et à un approvisionnement local.</w:t>
      </w:r>
    </w:p>
    <w:p w:rsidR="00D6364C" w:rsidRPr="00577EB1" w:rsidRDefault="00D6364C" w:rsidP="00E52A30">
      <w:pPr>
        <w:numPr>
          <w:ilvl w:val="6"/>
          <w:numId w:val="36"/>
        </w:numPr>
        <w:spacing w:after="120"/>
        <w:ind w:left="709" w:hanging="709"/>
        <w:rPr>
          <w:szCs w:val="24"/>
          <w:lang w:val="fr-FR"/>
        </w:rPr>
      </w:pPr>
      <w:r w:rsidRPr="00577EB1">
        <w:rPr>
          <w:i/>
          <w:iCs/>
          <w:szCs w:val="24"/>
          <w:lang w:val="fr-FR"/>
        </w:rPr>
        <w:t>Subventions générales</w:t>
      </w:r>
      <w:r w:rsidR="0007340F">
        <w:rPr>
          <w:i/>
          <w:iCs/>
          <w:szCs w:val="24"/>
          <w:lang w:val="fr-FR"/>
        </w:rPr>
        <w:t xml:space="preserve"> </w:t>
      </w:r>
      <w:r w:rsidRPr="00577EB1">
        <w:rPr>
          <w:szCs w:val="24"/>
          <w:lang w:val="fr-FR"/>
        </w:rPr>
        <w:t>Ces mesures ne devraient être adoptées qu’en dernier recours en période de crise et surtout cibler les produits qui sont principalement consommés par les pauvres.</w:t>
      </w:r>
    </w:p>
    <w:p w:rsidR="00D6364C" w:rsidRPr="00577EB1" w:rsidRDefault="00D6364C" w:rsidP="00E52A30">
      <w:pPr>
        <w:numPr>
          <w:ilvl w:val="6"/>
          <w:numId w:val="36"/>
        </w:numPr>
        <w:spacing w:after="120"/>
        <w:ind w:left="709" w:hanging="709"/>
        <w:rPr>
          <w:szCs w:val="24"/>
          <w:lang w:val="fr-FR"/>
        </w:rPr>
      </w:pPr>
      <w:r w:rsidRPr="00577EB1">
        <w:rPr>
          <w:i/>
          <w:iCs/>
          <w:szCs w:val="24"/>
          <w:lang w:val="fr-FR"/>
        </w:rPr>
        <w:t>Travaux publics</w:t>
      </w:r>
      <w:r w:rsidR="0007340F">
        <w:rPr>
          <w:iCs/>
          <w:szCs w:val="24"/>
          <w:lang w:val="fr-FR"/>
        </w:rPr>
        <w:t xml:space="preserve"> </w:t>
      </w:r>
      <w:r w:rsidRPr="00577EB1">
        <w:rPr>
          <w:szCs w:val="24"/>
          <w:lang w:val="fr-FR"/>
        </w:rPr>
        <w:t>Il est nécessaire d’évaluer la pertinence et la faisabilité de l’introduction de nouveaux programmes ciblant les pauvres en milieu rural, comme l’utilisation d’un faible taux de rémunération et d’autres critères de ciblage possibles. Ce type de programmes s’est révélé particulièrement adapté dans les situations de forte vulnérabilité, pour soutenir le développement régional et les structures communautaires (Annexe 3), et un programme</w:t>
      </w:r>
      <w:r w:rsidRPr="00577EB1">
        <w:rPr>
          <w:color w:val="000000"/>
          <w:szCs w:val="24"/>
          <w:lang w:val="fr-FR"/>
        </w:rPr>
        <w:t xml:space="preserve"> de travaux publics (Argent contre travail) pourrait devenir un filet social productif s’il est conçu en intégrant de bons principes d’assistance-travail (salaire inférieur à celui du marché, sélection des projets, etc.),</w:t>
      </w:r>
      <w:r w:rsidRPr="00577EB1">
        <w:rPr>
          <w:i/>
          <w:iCs/>
          <w:color w:val="000000"/>
          <w:szCs w:val="24"/>
          <w:lang w:val="fr-FR"/>
        </w:rPr>
        <w:t xml:space="preserve"> </w:t>
      </w:r>
      <w:r w:rsidRPr="00577EB1">
        <w:rPr>
          <w:color w:val="000000"/>
          <w:szCs w:val="24"/>
          <w:lang w:val="fr-FR"/>
        </w:rPr>
        <w:t>et il pourrait avoir un effet direct</w:t>
      </w:r>
      <w:r w:rsidRPr="00577EB1">
        <w:rPr>
          <w:szCs w:val="24"/>
          <w:lang w:val="fr-FR"/>
        </w:rPr>
        <w:t xml:space="preserve"> sur la génération de revenus</w:t>
      </w:r>
      <w:r w:rsidRPr="00577EB1">
        <w:rPr>
          <w:color w:val="000000"/>
          <w:szCs w:val="24"/>
          <w:lang w:val="fr-FR"/>
        </w:rPr>
        <w:t xml:space="preserve"> lors des pénuries saisonnières d’emplois et en temps de crise.</w:t>
      </w:r>
    </w:p>
    <w:p w:rsidR="00D6364C" w:rsidRPr="00577EB1" w:rsidRDefault="00D6364C" w:rsidP="00E52A30">
      <w:pPr>
        <w:numPr>
          <w:ilvl w:val="6"/>
          <w:numId w:val="36"/>
        </w:numPr>
        <w:ind w:left="709" w:hanging="709"/>
        <w:rPr>
          <w:szCs w:val="24"/>
          <w:lang w:val="fr-FR"/>
        </w:rPr>
      </w:pPr>
      <w:r w:rsidRPr="00577EB1">
        <w:rPr>
          <w:i/>
          <w:iCs/>
          <w:szCs w:val="24"/>
          <w:lang w:val="fr-FR"/>
        </w:rPr>
        <w:t>Exemption des frais de santé</w:t>
      </w:r>
      <w:r w:rsidR="0007340F">
        <w:rPr>
          <w:szCs w:val="24"/>
          <w:lang w:val="fr-FR"/>
        </w:rPr>
        <w:t xml:space="preserve"> </w:t>
      </w:r>
      <w:r w:rsidRPr="00577EB1">
        <w:rPr>
          <w:szCs w:val="24"/>
          <w:lang w:val="fr-FR"/>
        </w:rPr>
        <w:t xml:space="preserve">La suppression du paiement par l’usager et les exemptions de frais pour les pauvres ruraux (en particulier, les enfants de moins de 5 ans, les femmes enceintes et allaitantes, les veuves vulnérables ou remariées et leurs enfants) devraient être soigneusement examinées dans le cadre d’une stratégie sanitaire élargie et de réformes financières, afin de mettre en place des mécanismes de compensation qui garantiront la mise en œuvre efficace du programme. Les </w:t>
      </w:r>
      <w:r w:rsidRPr="00577EB1">
        <w:rPr>
          <w:szCs w:val="24"/>
          <w:lang w:val="fr-FR"/>
        </w:rPr>
        <w:lastRenderedPageBreak/>
        <w:t>questions suivantes sont critiques et devront être abordées :</w:t>
      </w:r>
      <w:r w:rsidRPr="00577EB1">
        <w:rPr>
          <w:rFonts w:ascii="Cambria Math" w:hAnsi="Cambria Math" w:cs="Cambria Math"/>
          <w:szCs w:val="24"/>
          <w:lang w:val="fr-FR"/>
        </w:rPr>
        <w:t> </w:t>
      </w:r>
      <w:r w:rsidRPr="00577EB1">
        <w:rPr>
          <w:szCs w:val="24"/>
          <w:lang w:val="fr-FR"/>
        </w:rPr>
        <w:t>identification des bénéficiaires, systèmes de financement et mécanismes de mise en œuvre.</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Renforcer les liens entre les filets sociaux et les autres services sociaux (éducation et santé).</w:t>
      </w:r>
      <w:r w:rsidRPr="00577EB1">
        <w:rPr>
          <w:szCs w:val="24"/>
          <w:lang w:val="fr-FR"/>
        </w:rPr>
        <w:t xml:space="preserve"> Les investissements suivants sont importants pour élargir la couverture, améliorer l’efficacité et accroître l’impact des transferts sociaux :</w:t>
      </w:r>
    </w:p>
    <w:p w:rsidR="00D6364C" w:rsidRPr="00577EB1" w:rsidRDefault="00D6364C" w:rsidP="00E52A30">
      <w:pPr>
        <w:numPr>
          <w:ilvl w:val="8"/>
          <w:numId w:val="36"/>
        </w:numPr>
        <w:spacing w:after="120"/>
        <w:ind w:left="709" w:hanging="709"/>
        <w:rPr>
          <w:szCs w:val="24"/>
          <w:lang w:val="fr-FR"/>
        </w:rPr>
      </w:pPr>
      <w:r w:rsidRPr="00577EB1">
        <w:rPr>
          <w:i/>
          <w:szCs w:val="24"/>
          <w:lang w:val="fr-FR"/>
        </w:rPr>
        <w:t>Services d’assistance sociale</w:t>
      </w:r>
      <w:r w:rsidRPr="00577EB1">
        <w:rPr>
          <w:szCs w:val="24"/>
          <w:lang w:val="fr-FR"/>
        </w:rPr>
        <w:t xml:space="preserve"> (pour lesquels le rôle de la société civile est important)</w:t>
      </w:r>
      <w:r w:rsidR="0007340F">
        <w:rPr>
          <w:szCs w:val="24"/>
          <w:lang w:val="fr-FR"/>
        </w:rPr>
        <w:t xml:space="preserve"> </w:t>
      </w:r>
      <w:r w:rsidRPr="00577EB1">
        <w:rPr>
          <w:szCs w:val="24"/>
          <w:lang w:val="fr-FR"/>
        </w:rPr>
        <w:t>Travailleurs sociaux communautaires pour aider les ménages à bénéficier des prestations auxquelles ils ont droit et pour créer des opportunités de mettre les ménages en relation avec les autres services disponibles (par exemple, les</w:t>
      </w:r>
      <w:r w:rsidRPr="00577EB1">
        <w:rPr>
          <w:rFonts w:ascii="Cambria Math" w:hAnsi="Cambria Math" w:cs="Cambria Math"/>
          <w:szCs w:val="24"/>
          <w:lang w:val="fr-FR"/>
        </w:rPr>
        <w:t> </w:t>
      </w:r>
      <w:r w:rsidRPr="00577EB1">
        <w:rPr>
          <w:szCs w:val="24"/>
          <w:lang w:val="fr-FR"/>
        </w:rPr>
        <w:t>activités génératrices de revenus)</w:t>
      </w:r>
      <w:r w:rsidR="0007340F">
        <w:rPr>
          <w:szCs w:val="24"/>
          <w:lang w:val="fr-FR"/>
        </w:rPr>
        <w:t xml:space="preserve"> </w:t>
      </w:r>
      <w:r w:rsidRPr="00577EB1">
        <w:rPr>
          <w:szCs w:val="24"/>
          <w:lang w:val="fr-FR"/>
        </w:rPr>
        <w:t>communication et information du public sur les critères d’éligibilité et les droits aux prestations</w:t>
      </w:r>
      <w:r w:rsidR="0007340F">
        <w:rPr>
          <w:szCs w:val="24"/>
          <w:lang w:val="fr-FR"/>
        </w:rPr>
        <w:t xml:space="preserve"> </w:t>
      </w:r>
      <w:r w:rsidRPr="00577EB1">
        <w:rPr>
          <w:szCs w:val="24"/>
          <w:lang w:val="fr-FR"/>
        </w:rPr>
        <w:t>programmes de soutien parental</w:t>
      </w:r>
      <w:r w:rsidR="0007340F">
        <w:rPr>
          <w:szCs w:val="24"/>
          <w:lang w:val="fr-FR"/>
        </w:rPr>
        <w:t xml:space="preserve"> </w:t>
      </w:r>
      <w:r w:rsidRPr="00577EB1">
        <w:rPr>
          <w:szCs w:val="24"/>
          <w:lang w:val="fr-FR"/>
        </w:rPr>
        <w:t>et services communautaires de santé et d’éducation de qualité, pour permettre aux bénéficiaires d’investir efficacement dans le capital humain</w:t>
      </w:r>
      <w:r w:rsidR="0007340F">
        <w:rPr>
          <w:szCs w:val="24"/>
          <w:lang w:val="fr-FR"/>
        </w:rPr>
        <w:t xml:space="preserve"> </w:t>
      </w:r>
      <w:r w:rsidRPr="00577EB1">
        <w:rPr>
          <w:szCs w:val="24"/>
          <w:lang w:val="fr-FR"/>
        </w:rPr>
        <w:t>et</w:t>
      </w:r>
    </w:p>
    <w:p w:rsidR="00D6364C" w:rsidRPr="00577EB1" w:rsidRDefault="00D6364C" w:rsidP="00E52A30">
      <w:pPr>
        <w:numPr>
          <w:ilvl w:val="8"/>
          <w:numId w:val="36"/>
        </w:numPr>
        <w:ind w:left="709" w:hanging="709"/>
        <w:rPr>
          <w:szCs w:val="24"/>
          <w:lang w:val="fr-FR"/>
        </w:rPr>
      </w:pPr>
      <w:r w:rsidRPr="00577EB1">
        <w:rPr>
          <w:i/>
          <w:szCs w:val="24"/>
          <w:lang w:val="fr-FR"/>
        </w:rPr>
        <w:t>Mesures de renforcement des capacités</w:t>
      </w:r>
      <w:r w:rsidR="0007340F">
        <w:rPr>
          <w:szCs w:val="24"/>
          <w:lang w:val="fr-FR"/>
        </w:rPr>
        <w:t xml:space="preserve"> </w:t>
      </w:r>
      <w:r w:rsidRPr="00577EB1">
        <w:rPr>
          <w:szCs w:val="24"/>
          <w:lang w:val="fr-FR"/>
        </w:rPr>
        <w:t>Pour que le système national de gestion des données (le registre de l’état civil par exemple) et les services sociaux publics décentralisés puissent assurer la supervision et la coordination des différentes ONG participant aux activités de protection sociale.</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Augmenter l’échelle des programmes efficaces.</w:t>
      </w:r>
      <w:r w:rsidRPr="00577EB1">
        <w:rPr>
          <w:szCs w:val="24"/>
          <w:lang w:val="fr-FR"/>
        </w:rPr>
        <w:t xml:space="preserve"> La couverture actuelle des programmes de filets sociaux reste limitée par rapport aux besoins. Une fois que l’efficience des différents types de programmes de filets sociaux aura été déterminée, et que l’évaluation d’impact des programmes pilotes en cours (transferts monétaires et bons alimentaires) et récemment introduits (travaux publics) sera terminée, il serait souhaitable d’augmenter l’échelle des programmes efficaces.</w:t>
      </w:r>
    </w:p>
    <w:p w:rsidR="004B3541" w:rsidRDefault="00D6364C">
      <w:pPr>
        <w:pStyle w:val="Heading2"/>
        <w:numPr>
          <w:ilvl w:val="3"/>
          <w:numId w:val="35"/>
        </w:numPr>
        <w:tabs>
          <w:tab w:val="clear" w:pos="709"/>
          <w:tab w:val="left" w:pos="567"/>
        </w:tabs>
        <w:rPr>
          <w:sz w:val="24"/>
          <w:szCs w:val="24"/>
          <w:u w:val="single"/>
        </w:rPr>
      </w:pPr>
      <w:bookmarkStart w:id="283" w:name="_Toc264748748"/>
      <w:r w:rsidRPr="00577EB1">
        <w:rPr>
          <w:sz w:val="24"/>
          <w:szCs w:val="24"/>
          <w:u w:val="single"/>
        </w:rPr>
        <w:t>Améliorer et harmoniser les approches de ciblage</w:t>
      </w:r>
      <w:bookmarkEnd w:id="283"/>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Se mettre d’accord sur des principes de ciblage généraux.</w:t>
      </w:r>
      <w:r w:rsidRPr="00577EB1">
        <w:rPr>
          <w:szCs w:val="24"/>
          <w:lang w:val="fr-FR"/>
        </w:rPr>
        <w:t xml:space="preserve"> Les responsables des politiques devraient prendre en compte les principes suivants :</w:t>
      </w:r>
    </w:p>
    <w:p w:rsidR="00D6364C" w:rsidRPr="00577EB1" w:rsidRDefault="00D6364C" w:rsidP="00E52A30">
      <w:pPr>
        <w:numPr>
          <w:ilvl w:val="0"/>
          <w:numId w:val="13"/>
        </w:numPr>
        <w:tabs>
          <w:tab w:val="clear" w:pos="709"/>
        </w:tabs>
        <w:spacing w:after="120"/>
        <w:ind w:left="709" w:hanging="357"/>
        <w:rPr>
          <w:szCs w:val="24"/>
          <w:lang w:val="fr-FR"/>
        </w:rPr>
      </w:pPr>
      <w:r w:rsidRPr="00577EB1">
        <w:rPr>
          <w:i/>
          <w:iCs/>
          <w:szCs w:val="24"/>
          <w:lang w:val="fr-FR"/>
        </w:rPr>
        <w:t>Envisager de combiner plusieurs méthodes de ciblage</w:t>
      </w:r>
      <w:r w:rsidR="00273667">
        <w:rPr>
          <w:i/>
          <w:iCs/>
          <w:szCs w:val="24"/>
          <w:lang w:val="fr-FR"/>
        </w:rPr>
        <w:t xml:space="preserve"> –</w:t>
      </w:r>
      <w:r w:rsidR="0007340F">
        <w:rPr>
          <w:szCs w:val="24"/>
          <w:lang w:val="fr-FR"/>
        </w:rPr>
        <w:t xml:space="preserve"> </w:t>
      </w:r>
      <w:r w:rsidR="005E551A">
        <w:rPr>
          <w:szCs w:val="24"/>
          <w:lang w:val="fr-FR"/>
        </w:rPr>
        <w:t xml:space="preserve">Des évidences </w:t>
      </w:r>
      <w:r w:rsidRPr="00577EB1">
        <w:rPr>
          <w:szCs w:val="24"/>
          <w:lang w:val="fr-FR"/>
        </w:rPr>
        <w:t xml:space="preserve"> indiquent que l’utilisation de multiples méthodes de ciblage (géographique, communautaire, par catégorie, auto-ciblage, par test des moyens d’existence à l’aide de variables de remplacement) rend l’identification des personnes dans le besoin plus précise et plus complète, et améliore donc la performance du ciblage</w:t>
      </w:r>
      <w:r w:rsidR="005E551A">
        <w:rPr>
          <w:szCs w:val="24"/>
          <w:lang w:val="fr-FR"/>
        </w:rPr>
        <w:t xml:space="preserve"> [Coady et coll. 2004a]</w:t>
      </w:r>
      <w:r w:rsidRPr="00577EB1">
        <w:rPr>
          <w:szCs w:val="24"/>
          <w:lang w:val="fr-FR"/>
        </w:rPr>
        <w:t xml:space="preserve">. </w:t>
      </w:r>
    </w:p>
    <w:p w:rsidR="00D6364C" w:rsidRPr="00577EB1" w:rsidRDefault="00D6364C" w:rsidP="00E52A30">
      <w:pPr>
        <w:numPr>
          <w:ilvl w:val="0"/>
          <w:numId w:val="13"/>
        </w:numPr>
        <w:tabs>
          <w:tab w:val="clear" w:pos="709"/>
        </w:tabs>
        <w:spacing w:after="120"/>
        <w:ind w:left="709" w:hanging="357"/>
        <w:rPr>
          <w:szCs w:val="24"/>
          <w:lang w:val="fr-FR"/>
        </w:rPr>
      </w:pPr>
      <w:r w:rsidRPr="00577EB1">
        <w:rPr>
          <w:i/>
          <w:iCs/>
          <w:szCs w:val="24"/>
          <w:lang w:val="fr-FR"/>
        </w:rPr>
        <w:t xml:space="preserve">Considérer des mécanismes de ciblage simplistes mais pratiques et transparents </w:t>
      </w:r>
      <w:r w:rsidRPr="00577EB1">
        <w:rPr>
          <w:iCs/>
          <w:szCs w:val="24"/>
          <w:lang w:val="fr-FR"/>
        </w:rPr>
        <w:t>–</w:t>
      </w:r>
      <w:r w:rsidRPr="00577EB1">
        <w:rPr>
          <w:szCs w:val="24"/>
          <w:lang w:val="fr-FR"/>
        </w:rPr>
        <w:t>L’élaboration d’un système de ciblage de la pauvreté juste, transparent, efficace et graduel est cruciale au Burkina Faso mais particulièrement compliquée étant donné les difficultés politiques et administratives. Le ciblage de la pauvreté vise à économiser les ressources des programmes en ne dirigeant les transferts que vers les pauvres. Les économies sur les transferts sociaux doivent être mises en regard du coût des processus de ciblage, qui inclut non seulement les coûts directs pour l’État de l’administration des mécanismes de ciblage mais aussi les coûts privés encourus par les participants pour satisfaire les critères de ciblage, ainsi qu’un ensemble de coûts sociaux, politiques et autres (Encadré 1</w:t>
      </w:r>
      <w:r w:rsidR="0051644E">
        <w:rPr>
          <w:szCs w:val="24"/>
          <w:lang w:val="fr-FR"/>
        </w:rPr>
        <w:t>6</w:t>
      </w:r>
      <w:r w:rsidRPr="00577EB1">
        <w:rPr>
          <w:szCs w:val="24"/>
          <w:lang w:val="fr-FR"/>
        </w:rPr>
        <w:t>).</w:t>
      </w:r>
    </w:p>
    <w:p w:rsidR="00D6364C" w:rsidRPr="00577EB1" w:rsidRDefault="00D6364C" w:rsidP="00E52A30">
      <w:pPr>
        <w:numPr>
          <w:ilvl w:val="0"/>
          <w:numId w:val="13"/>
        </w:numPr>
        <w:tabs>
          <w:tab w:val="clear" w:pos="709"/>
        </w:tabs>
        <w:spacing w:after="120"/>
        <w:ind w:left="709" w:hanging="357"/>
        <w:rPr>
          <w:szCs w:val="24"/>
          <w:lang w:val="fr-FR"/>
        </w:rPr>
      </w:pPr>
      <w:r w:rsidRPr="00577EB1">
        <w:rPr>
          <w:i/>
          <w:iCs/>
          <w:szCs w:val="24"/>
          <w:lang w:val="fr-FR"/>
        </w:rPr>
        <w:t>Mettre en place des mécanismes d’appel et de réclamation</w:t>
      </w:r>
      <w:r w:rsidR="0007340F">
        <w:rPr>
          <w:i/>
          <w:iCs/>
          <w:szCs w:val="24"/>
          <w:lang w:val="fr-FR"/>
        </w:rPr>
        <w:t xml:space="preserve"> </w:t>
      </w:r>
      <w:r w:rsidRPr="00577EB1">
        <w:rPr>
          <w:szCs w:val="24"/>
          <w:lang w:val="fr-FR"/>
        </w:rPr>
        <w:t xml:space="preserve">La réputation d’un programme peut être compromise s’il ne s’accompagne d’aucun mécanisme de résolution des problèmes de ciblage. La mise en place de procédures de réclamation </w:t>
      </w:r>
      <w:r w:rsidRPr="00577EB1">
        <w:rPr>
          <w:szCs w:val="24"/>
          <w:lang w:val="fr-FR"/>
        </w:rPr>
        <w:lastRenderedPageBreak/>
        <w:t>et d’appel contribue à garantir l’accessibilité, la simplicité, la transparence, l’équité et la rapidité des programmes. Une plus grande transparence des normes des programmes est donc nécessaire et des normes de gouvernance élevées doivent être établies et maintenues.</w:t>
      </w:r>
    </w:p>
    <w:p w:rsidR="00D6364C" w:rsidRPr="00577EB1" w:rsidRDefault="005738FE" w:rsidP="00D6364C">
      <w:pPr>
        <w:pStyle w:val="Heading9"/>
      </w:pPr>
      <w:bookmarkStart w:id="284" w:name="_Toc136694425"/>
      <w:bookmarkStart w:id="285" w:name="_Toc269723988"/>
      <w:bookmarkStart w:id="286" w:name="_Toc269724029"/>
      <w:bookmarkStart w:id="287" w:name="_Toc269724135"/>
      <w:bookmarkStart w:id="288" w:name="_Toc284613576"/>
      <w:r w:rsidRPr="005738FE">
        <w:t xml:space="preserve">Encadré </w:t>
      </w:r>
      <w:r w:rsidR="00725419">
        <w:fldChar w:fldCharType="begin"/>
      </w:r>
      <w:r w:rsidRPr="005738FE">
        <w:instrText xml:space="preserve"> SEQ Encadré \* ARABIC </w:instrText>
      </w:r>
      <w:r w:rsidR="00725419">
        <w:fldChar w:fldCharType="separate"/>
      </w:r>
      <w:r w:rsidR="00EF56B2">
        <w:rPr>
          <w:noProof/>
        </w:rPr>
        <w:t>16</w:t>
      </w:r>
      <w:r w:rsidR="00725419">
        <w:fldChar w:fldCharType="end"/>
      </w:r>
      <w:r w:rsidR="003203FB">
        <w:t> :</w:t>
      </w:r>
      <w:r w:rsidR="0007340F">
        <w:t xml:space="preserve"> </w:t>
      </w:r>
      <w:r w:rsidR="00D6364C" w:rsidRPr="00577EB1">
        <w:t>Cibler ou ne pas cibler</w:t>
      </w:r>
      <w:r w:rsidR="0007340F">
        <w:t xml:space="preserve"> </w:t>
      </w:r>
      <w:r w:rsidR="00D6364C" w:rsidRPr="00577EB1">
        <w:t>– Les coûts et l’économie politique d’une approche sélective</w:t>
      </w:r>
      <w:bookmarkEnd w:id="284"/>
      <w:bookmarkEnd w:id="285"/>
      <w:bookmarkEnd w:id="286"/>
      <w:bookmarkEnd w:id="287"/>
      <w:bookmarkEnd w:id="288"/>
    </w:p>
    <w:p w:rsidR="00D6364C" w:rsidRPr="00577EB1" w:rsidRDefault="00725419" w:rsidP="00D6364C">
      <w:pPr>
        <w:keepNext/>
        <w:keepLines/>
        <w:spacing w:after="0"/>
        <w:jc w:val="center"/>
        <w:rPr>
          <w:b/>
          <w:bCs/>
          <w:sz w:val="20"/>
          <w:szCs w:val="20"/>
          <w:lang w:val="fr-FR"/>
        </w:rPr>
      </w:pPr>
      <w:r w:rsidRPr="00725419">
        <w:rPr>
          <w:b/>
          <w:bCs/>
          <w:sz w:val="20"/>
          <w:szCs w:val="20"/>
          <w:lang w:val="fr-FR"/>
        </w:rPr>
      </w:r>
      <w:r>
        <w:rPr>
          <w:b/>
          <w:bCs/>
          <w:sz w:val="20"/>
          <w:szCs w:val="20"/>
          <w:lang w:val="fr-FR"/>
        </w:rPr>
        <w:pict>
          <v:shapetype id="_x0000_t202" coordsize="21600,21600" o:spt="202" path="m,l,21600r21600,l21600,xe">
            <v:stroke joinstyle="miter"/>
            <v:path gradientshapeok="t" o:connecttype="rect"/>
          </v:shapetype>
          <v:shape id="_x0000_s1029" type="#_x0000_t202" style="width:428.8pt;height:280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29">
              <w:txbxContent>
                <w:p w:rsidR="00BB0D3F" w:rsidRPr="002A092E" w:rsidRDefault="00BB0D3F" w:rsidP="00D6364C">
                  <w:pPr>
                    <w:spacing w:after="0"/>
                    <w:rPr>
                      <w:sz w:val="20"/>
                      <w:szCs w:val="20"/>
                      <w:lang w:val="fr-FR"/>
                    </w:rPr>
                  </w:pPr>
                  <w:r w:rsidRPr="002A092E">
                    <w:rPr>
                      <w:sz w:val="20"/>
                      <w:szCs w:val="20"/>
                      <w:lang w:val="fr-FR"/>
                    </w:rPr>
                    <w:t>Comme l’illustre le diagramme ci-dessous, il est nécessaire de trouver le bon compromis entre une couverture universelle et un ciblage trop étroit.</w:t>
                  </w:r>
                </w:p>
                <w:p w:rsidR="00BB0D3F" w:rsidRPr="002A092E" w:rsidRDefault="00BB0D3F" w:rsidP="00D6364C">
                  <w:pPr>
                    <w:spacing w:after="0"/>
                    <w:rPr>
                      <w:sz w:val="20"/>
                      <w:szCs w:val="20"/>
                      <w:lang w:val="fr-FR"/>
                    </w:rPr>
                  </w:pPr>
                </w:p>
                <w:p w:rsidR="00BB0D3F" w:rsidRPr="002A092E" w:rsidRDefault="00BB0D3F" w:rsidP="00D6364C">
                  <w:pPr>
                    <w:spacing w:after="0"/>
                    <w:jc w:val="center"/>
                    <w:rPr>
                      <w:sz w:val="20"/>
                      <w:szCs w:val="20"/>
                      <w:lang w:val="fr-FR"/>
                    </w:rPr>
                  </w:pPr>
                  <w:r>
                    <w:rPr>
                      <w:noProof/>
                      <w:color w:val="808080"/>
                      <w:sz w:val="20"/>
                      <w:szCs w:val="20"/>
                    </w:rPr>
                    <w:drawing>
                      <wp:inline distT="0" distB="0" distL="0" distR="0">
                        <wp:extent cx="3637915" cy="1232535"/>
                        <wp:effectExtent l="19050" t="0" r="63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srcRect/>
                                <a:stretch>
                                  <a:fillRect/>
                                </a:stretch>
                              </pic:blipFill>
                              <pic:spPr bwMode="auto">
                                <a:xfrm>
                                  <a:off x="0" y="0"/>
                                  <a:ext cx="3637915" cy="1232535"/>
                                </a:xfrm>
                                <a:prstGeom prst="rect">
                                  <a:avLst/>
                                </a:prstGeom>
                                <a:noFill/>
                                <a:ln w="9525">
                                  <a:noFill/>
                                  <a:miter lim="800000"/>
                                  <a:headEnd/>
                                  <a:tailEnd/>
                                </a:ln>
                              </pic:spPr>
                            </pic:pic>
                          </a:graphicData>
                        </a:graphic>
                      </wp:inline>
                    </w:drawing>
                  </w:r>
                </w:p>
                <w:p w:rsidR="00BB0D3F" w:rsidRPr="002A092E" w:rsidRDefault="00BB0D3F" w:rsidP="00D6364C">
                  <w:pPr>
                    <w:spacing w:after="0"/>
                    <w:rPr>
                      <w:sz w:val="20"/>
                      <w:szCs w:val="20"/>
                      <w:lang w:val="fr-FR"/>
                    </w:rPr>
                  </w:pPr>
                  <w:r w:rsidRPr="002A092E">
                    <w:rPr>
                      <w:sz w:val="20"/>
                      <w:szCs w:val="20"/>
                      <w:lang w:val="fr-FR"/>
                    </w:rPr>
                    <w:t xml:space="preserve">La question est de </w:t>
                  </w:r>
                  <w:r>
                    <w:rPr>
                      <w:sz w:val="20"/>
                      <w:szCs w:val="20"/>
                      <w:lang w:val="fr-FR"/>
                    </w:rPr>
                    <w:t>déterminer</w:t>
                  </w:r>
                  <w:r w:rsidRPr="002A092E">
                    <w:rPr>
                      <w:sz w:val="20"/>
                      <w:szCs w:val="20"/>
                      <w:lang w:val="fr-FR"/>
                    </w:rPr>
                    <w:t xml:space="preserve"> </w:t>
                  </w:r>
                  <w:r>
                    <w:rPr>
                      <w:sz w:val="20"/>
                      <w:szCs w:val="20"/>
                      <w:lang w:val="fr-FR"/>
                    </w:rPr>
                    <w:t xml:space="preserve">où </w:t>
                  </w:r>
                  <w:r w:rsidRPr="002A092E">
                    <w:rPr>
                      <w:sz w:val="20"/>
                      <w:szCs w:val="20"/>
                      <w:lang w:val="fr-FR"/>
                    </w:rPr>
                    <w:t xml:space="preserve">se situe le bon endroit le long de la courbe. La quantité </w:t>
                  </w:r>
                  <w:r>
                    <w:rPr>
                      <w:sz w:val="20"/>
                      <w:szCs w:val="20"/>
                      <w:lang w:val="fr-FR"/>
                    </w:rPr>
                    <w:t>de données</w:t>
                  </w:r>
                  <w:r w:rsidRPr="002A092E">
                    <w:rPr>
                      <w:sz w:val="20"/>
                      <w:szCs w:val="20"/>
                      <w:lang w:val="fr-FR"/>
                    </w:rPr>
                    <w:t xml:space="preserve"> actuellement disponibles ne permet pas d’évaluer avec </w:t>
                  </w:r>
                  <w:r>
                    <w:rPr>
                      <w:sz w:val="20"/>
                      <w:szCs w:val="20"/>
                      <w:lang w:val="fr-FR"/>
                    </w:rPr>
                    <w:t>rigueur</w:t>
                  </w:r>
                  <w:r w:rsidRPr="002A092E">
                    <w:rPr>
                      <w:sz w:val="20"/>
                      <w:szCs w:val="20"/>
                      <w:lang w:val="fr-FR"/>
                    </w:rPr>
                    <w:t xml:space="preserve"> ces compromis</w:t>
                  </w:r>
                  <w:r w:rsidRPr="00ED69F8">
                    <w:rPr>
                      <w:sz w:val="20"/>
                      <w:szCs w:val="20"/>
                      <w:lang w:val="fr-FR"/>
                    </w:rPr>
                    <w:t xml:space="preserve"> </w:t>
                  </w:r>
                  <w:r w:rsidRPr="002A092E">
                    <w:rPr>
                      <w:sz w:val="20"/>
                      <w:szCs w:val="20"/>
                      <w:lang w:val="fr-FR"/>
                    </w:rPr>
                    <w:t xml:space="preserve">pour le Burkina Faso. Cependant, les responsables </w:t>
                  </w:r>
                  <w:r>
                    <w:rPr>
                      <w:sz w:val="20"/>
                      <w:szCs w:val="20"/>
                      <w:lang w:val="fr-FR"/>
                    </w:rPr>
                    <w:t xml:space="preserve">des </w:t>
                  </w:r>
                  <w:r w:rsidRPr="002A092E">
                    <w:rPr>
                      <w:sz w:val="20"/>
                      <w:szCs w:val="20"/>
                      <w:lang w:val="fr-FR"/>
                    </w:rPr>
                    <w:t>politiques devraient garder à l’esprit un certain nombre de considérations :</w:t>
                  </w:r>
                </w:p>
                <w:p w:rsidR="00BB0D3F" w:rsidRPr="002A092E" w:rsidRDefault="00BB0D3F" w:rsidP="00E52A30">
                  <w:pPr>
                    <w:numPr>
                      <w:ilvl w:val="0"/>
                      <w:numId w:val="14"/>
                    </w:numPr>
                    <w:tabs>
                      <w:tab w:val="clear" w:pos="709"/>
                      <w:tab w:val="left" w:pos="567"/>
                    </w:tabs>
                    <w:spacing w:after="0"/>
                    <w:ind w:left="567" w:hanging="283"/>
                    <w:rPr>
                      <w:sz w:val="20"/>
                      <w:szCs w:val="20"/>
                      <w:lang w:val="fr-FR"/>
                    </w:rPr>
                  </w:pPr>
                  <w:r w:rsidRPr="002A092E">
                    <w:rPr>
                      <w:sz w:val="20"/>
                      <w:szCs w:val="20"/>
                      <w:lang w:val="fr-FR"/>
                    </w:rPr>
                    <w:t xml:space="preserve">Les programmes universels </w:t>
                  </w:r>
                  <w:r>
                    <w:rPr>
                      <w:sz w:val="20"/>
                      <w:szCs w:val="20"/>
                      <w:lang w:val="fr-FR"/>
                    </w:rPr>
                    <w:t xml:space="preserve">peuvent </w:t>
                  </w:r>
                  <w:r w:rsidRPr="002A092E">
                    <w:rPr>
                      <w:sz w:val="20"/>
                      <w:szCs w:val="20"/>
                      <w:lang w:val="fr-FR"/>
                    </w:rPr>
                    <w:t>bénéficie</w:t>
                  </w:r>
                  <w:r>
                    <w:rPr>
                      <w:sz w:val="20"/>
                      <w:szCs w:val="20"/>
                      <w:lang w:val="fr-FR"/>
                    </w:rPr>
                    <w:t>r</w:t>
                  </w:r>
                  <w:r w:rsidRPr="002A092E">
                    <w:rPr>
                      <w:sz w:val="20"/>
                      <w:szCs w:val="20"/>
                      <w:lang w:val="fr-FR"/>
                    </w:rPr>
                    <w:t xml:space="preserve"> d’un appui politique et populaire plus étendu ;</w:t>
                  </w:r>
                </w:p>
                <w:p w:rsidR="00BB0D3F" w:rsidRPr="002A092E" w:rsidRDefault="00BB0D3F" w:rsidP="00E52A30">
                  <w:pPr>
                    <w:numPr>
                      <w:ilvl w:val="0"/>
                      <w:numId w:val="14"/>
                    </w:numPr>
                    <w:tabs>
                      <w:tab w:val="clear" w:pos="709"/>
                      <w:tab w:val="left" w:pos="567"/>
                    </w:tabs>
                    <w:spacing w:after="0"/>
                    <w:ind w:left="567" w:hanging="283"/>
                    <w:rPr>
                      <w:sz w:val="20"/>
                      <w:szCs w:val="20"/>
                      <w:lang w:val="fr-FR"/>
                    </w:rPr>
                  </w:pPr>
                  <w:r w:rsidRPr="002A092E">
                    <w:rPr>
                      <w:sz w:val="20"/>
                      <w:szCs w:val="20"/>
                      <w:lang w:val="fr-FR"/>
                    </w:rPr>
                    <w:t xml:space="preserve">Les programmes universels sont onéreux (même dans les pays les plus riches, le débat </w:t>
                  </w:r>
                  <w:r>
                    <w:rPr>
                      <w:sz w:val="20"/>
                      <w:szCs w:val="20"/>
                      <w:lang w:val="fr-FR"/>
                    </w:rPr>
                    <w:t>sur leur accessibilité financière est acharné</w:t>
                  </w:r>
                  <w:r w:rsidRPr="002A092E">
                    <w:rPr>
                      <w:sz w:val="20"/>
                      <w:szCs w:val="20"/>
                      <w:lang w:val="fr-FR"/>
                    </w:rPr>
                    <w:t xml:space="preserve">) et </w:t>
                  </w:r>
                  <w:r>
                    <w:rPr>
                      <w:sz w:val="20"/>
                      <w:szCs w:val="20"/>
                      <w:lang w:val="fr-FR"/>
                    </w:rPr>
                    <w:t>ils profitent</w:t>
                  </w:r>
                  <w:r w:rsidRPr="002A092E">
                    <w:rPr>
                      <w:sz w:val="20"/>
                      <w:szCs w:val="20"/>
                      <w:lang w:val="fr-FR"/>
                    </w:rPr>
                    <w:t xml:space="preserve"> à </w:t>
                  </w:r>
                  <w:r>
                    <w:rPr>
                      <w:sz w:val="20"/>
                      <w:szCs w:val="20"/>
                      <w:lang w:val="fr-FR"/>
                    </w:rPr>
                    <w:t xml:space="preserve">beaucoup </w:t>
                  </w:r>
                  <w:r w:rsidRPr="002A092E">
                    <w:rPr>
                      <w:sz w:val="20"/>
                      <w:szCs w:val="20"/>
                      <w:lang w:val="fr-FR"/>
                    </w:rPr>
                    <w:t>de personnes qui n’en ont pas besoins ;</w:t>
                  </w:r>
                </w:p>
                <w:p w:rsidR="00BB0D3F" w:rsidRPr="002A092E" w:rsidRDefault="00BB0D3F" w:rsidP="00E52A30">
                  <w:pPr>
                    <w:numPr>
                      <w:ilvl w:val="0"/>
                      <w:numId w:val="14"/>
                    </w:numPr>
                    <w:tabs>
                      <w:tab w:val="clear" w:pos="709"/>
                      <w:tab w:val="left" w:pos="567"/>
                    </w:tabs>
                    <w:spacing w:after="0"/>
                    <w:ind w:left="567" w:hanging="283"/>
                    <w:rPr>
                      <w:sz w:val="20"/>
                      <w:szCs w:val="20"/>
                      <w:lang w:val="fr-FR"/>
                    </w:rPr>
                  </w:pPr>
                  <w:r w:rsidRPr="002A092E">
                    <w:rPr>
                      <w:sz w:val="20"/>
                      <w:szCs w:val="20"/>
                      <w:lang w:val="fr-FR"/>
                    </w:rPr>
                    <w:t xml:space="preserve">Le ciblage peut entraîner des effets incitatifs </w:t>
                  </w:r>
                  <w:r>
                    <w:rPr>
                      <w:sz w:val="20"/>
                      <w:szCs w:val="20"/>
                      <w:lang w:val="fr-FR"/>
                    </w:rPr>
                    <w:t>pervers</w:t>
                  </w:r>
                  <w:r w:rsidRPr="002A092E">
                    <w:rPr>
                      <w:sz w:val="20"/>
                      <w:szCs w:val="20"/>
                      <w:lang w:val="fr-FR"/>
                    </w:rPr>
                    <w:t> ;</w:t>
                  </w:r>
                </w:p>
                <w:p w:rsidR="00BB0D3F" w:rsidRPr="002A092E" w:rsidRDefault="00BB0D3F" w:rsidP="00E52A30">
                  <w:pPr>
                    <w:numPr>
                      <w:ilvl w:val="0"/>
                      <w:numId w:val="14"/>
                    </w:numPr>
                    <w:tabs>
                      <w:tab w:val="clear" w:pos="709"/>
                      <w:tab w:val="left" w:pos="567"/>
                    </w:tabs>
                    <w:spacing w:after="0"/>
                    <w:ind w:left="567" w:hanging="283"/>
                    <w:rPr>
                      <w:sz w:val="20"/>
                      <w:szCs w:val="20"/>
                      <w:lang w:val="fr-FR"/>
                    </w:rPr>
                  </w:pPr>
                  <w:r w:rsidRPr="002A092E">
                    <w:rPr>
                      <w:sz w:val="20"/>
                      <w:szCs w:val="20"/>
                      <w:lang w:val="fr-FR"/>
                    </w:rPr>
                    <w:t>L’information est coûteuse ;</w:t>
                  </w:r>
                </w:p>
                <w:p w:rsidR="00BB0D3F" w:rsidRPr="002A092E" w:rsidRDefault="00BB0D3F" w:rsidP="00E52A30">
                  <w:pPr>
                    <w:numPr>
                      <w:ilvl w:val="0"/>
                      <w:numId w:val="14"/>
                    </w:numPr>
                    <w:tabs>
                      <w:tab w:val="clear" w:pos="709"/>
                      <w:tab w:val="left" w:pos="567"/>
                    </w:tabs>
                    <w:spacing w:after="0"/>
                    <w:ind w:left="567" w:hanging="283"/>
                    <w:rPr>
                      <w:sz w:val="20"/>
                      <w:szCs w:val="20"/>
                      <w:lang w:val="fr-FR"/>
                    </w:rPr>
                  </w:pPr>
                  <w:r w:rsidRPr="002A092E">
                    <w:rPr>
                      <w:sz w:val="20"/>
                      <w:szCs w:val="20"/>
                      <w:lang w:val="fr-FR"/>
                    </w:rPr>
                    <w:t xml:space="preserve">Le ciblage </w:t>
                  </w:r>
                  <w:r>
                    <w:rPr>
                      <w:sz w:val="20"/>
                      <w:szCs w:val="20"/>
                      <w:lang w:val="fr-FR"/>
                    </w:rPr>
                    <w:t xml:space="preserve">par la </w:t>
                  </w:r>
                  <w:r w:rsidRPr="002A092E">
                    <w:rPr>
                      <w:sz w:val="20"/>
                      <w:szCs w:val="20"/>
                      <w:lang w:val="fr-FR"/>
                    </w:rPr>
                    <w:t>communaut</w:t>
                  </w:r>
                  <w:r>
                    <w:rPr>
                      <w:sz w:val="20"/>
                      <w:szCs w:val="20"/>
                      <w:lang w:val="fr-FR"/>
                    </w:rPr>
                    <w:t>é</w:t>
                  </w:r>
                  <w:r w:rsidRPr="002A092E">
                    <w:rPr>
                      <w:sz w:val="20"/>
                      <w:szCs w:val="20"/>
                      <w:lang w:val="fr-FR"/>
                    </w:rPr>
                    <w:t xml:space="preserve"> peut </w:t>
                  </w:r>
                  <w:r>
                    <w:rPr>
                      <w:sz w:val="20"/>
                      <w:szCs w:val="20"/>
                      <w:lang w:val="fr-FR"/>
                    </w:rPr>
                    <w:t>réduire les</w:t>
                  </w:r>
                  <w:r w:rsidRPr="002A092E">
                    <w:rPr>
                      <w:sz w:val="20"/>
                      <w:szCs w:val="20"/>
                      <w:lang w:val="fr-FR"/>
                    </w:rPr>
                    <w:t xml:space="preserve"> coûts d’information et </w:t>
                  </w:r>
                  <w:r>
                    <w:rPr>
                      <w:sz w:val="20"/>
                      <w:szCs w:val="20"/>
                      <w:lang w:val="fr-FR"/>
                    </w:rPr>
                    <w:t>administratifs</w:t>
                  </w:r>
                  <w:r w:rsidRPr="002A092E">
                    <w:rPr>
                      <w:sz w:val="20"/>
                      <w:szCs w:val="20"/>
                      <w:lang w:val="fr-FR"/>
                    </w:rPr>
                    <w:t xml:space="preserve"> du ciblage mais peut également déplacer certains coûts (opportunité, social, etc.) vers les communautés</w:t>
                  </w:r>
                  <w:r>
                    <w:rPr>
                      <w:sz w:val="20"/>
                      <w:szCs w:val="20"/>
                      <w:lang w:val="fr-FR"/>
                    </w:rPr>
                    <w:t xml:space="preserve"> </w:t>
                  </w:r>
                  <w:r w:rsidRPr="002A092E">
                    <w:rPr>
                      <w:sz w:val="20"/>
                      <w:szCs w:val="20"/>
                      <w:lang w:val="fr-FR"/>
                    </w:rPr>
                    <w:t>et</w:t>
                  </w:r>
                </w:p>
                <w:p w:rsidR="00BB0D3F" w:rsidRPr="002A092E" w:rsidRDefault="00BB0D3F" w:rsidP="00E52A30">
                  <w:pPr>
                    <w:numPr>
                      <w:ilvl w:val="0"/>
                      <w:numId w:val="14"/>
                    </w:numPr>
                    <w:tabs>
                      <w:tab w:val="clear" w:pos="709"/>
                      <w:tab w:val="left" w:pos="567"/>
                    </w:tabs>
                    <w:spacing w:after="0"/>
                    <w:ind w:left="567" w:hanging="283"/>
                    <w:rPr>
                      <w:sz w:val="20"/>
                      <w:szCs w:val="20"/>
                      <w:lang w:val="fr-FR"/>
                    </w:rPr>
                  </w:pPr>
                  <w:r w:rsidRPr="002A092E">
                    <w:rPr>
                      <w:sz w:val="20"/>
                      <w:szCs w:val="20"/>
                      <w:lang w:val="fr-FR"/>
                    </w:rPr>
                    <w:t>Il n’est pas toujours administrati</w:t>
                  </w:r>
                  <w:r>
                    <w:rPr>
                      <w:sz w:val="20"/>
                      <w:szCs w:val="20"/>
                      <w:lang w:val="fr-FR"/>
                    </w:rPr>
                    <w:t>vement</w:t>
                  </w:r>
                  <w:r w:rsidRPr="002A092E">
                    <w:rPr>
                      <w:sz w:val="20"/>
                      <w:szCs w:val="20"/>
                      <w:lang w:val="fr-FR"/>
                    </w:rPr>
                    <w:t xml:space="preserve"> possible de cibler.</w:t>
                  </w:r>
                </w:p>
                <w:p w:rsidR="00BB0D3F" w:rsidRPr="00965D17" w:rsidRDefault="00BB0D3F" w:rsidP="00D6364C">
                  <w:pPr>
                    <w:rPr>
                      <w:sz w:val="19"/>
                      <w:szCs w:val="19"/>
                      <w:lang w:val="fr-FR"/>
                    </w:rPr>
                  </w:pPr>
                </w:p>
                <w:p w:rsidR="00BB0D3F" w:rsidRPr="00965D17" w:rsidRDefault="00BB0D3F" w:rsidP="00D6364C">
                  <w:pPr>
                    <w:rPr>
                      <w:sz w:val="19"/>
                      <w:szCs w:val="19"/>
                      <w:lang w:val="fr-FR"/>
                    </w:rPr>
                  </w:pPr>
                </w:p>
                <w:p w:rsidR="00BB0D3F" w:rsidRPr="00965D17" w:rsidRDefault="00BB0D3F" w:rsidP="00D6364C">
                  <w:pPr>
                    <w:rPr>
                      <w:lang w:val="fr-FR"/>
                    </w:rPr>
                  </w:pPr>
                </w:p>
              </w:txbxContent>
            </v:textbox>
            <w10:wrap type="none"/>
            <w10:anchorlock/>
          </v:shape>
        </w:pict>
      </w:r>
    </w:p>
    <w:p w:rsidR="004B3541" w:rsidRDefault="00D6364C">
      <w:pPr>
        <w:widowControl w:val="0"/>
        <w:spacing w:before="120" w:after="480"/>
        <w:ind w:left="142"/>
        <w:rPr>
          <w:szCs w:val="24"/>
          <w:lang w:val="fr-FR"/>
        </w:rPr>
      </w:pPr>
      <w:r w:rsidRPr="00577EB1">
        <w:rPr>
          <w:i/>
          <w:iCs/>
          <w:sz w:val="20"/>
          <w:szCs w:val="20"/>
          <w:lang w:val="fr-FR"/>
        </w:rPr>
        <w:t>Source</w:t>
      </w:r>
      <w:r w:rsidR="003203FB">
        <w:rPr>
          <w:i/>
          <w:iCs/>
          <w:sz w:val="20"/>
          <w:szCs w:val="20"/>
          <w:lang w:val="fr-FR"/>
        </w:rPr>
        <w:t> :</w:t>
      </w:r>
      <w:r w:rsidR="0007340F">
        <w:rPr>
          <w:i/>
          <w:iCs/>
          <w:sz w:val="20"/>
          <w:szCs w:val="20"/>
          <w:lang w:val="fr-FR"/>
        </w:rPr>
        <w:t xml:space="preserve"> </w:t>
      </w:r>
      <w:r w:rsidRPr="00577EB1">
        <w:rPr>
          <w:sz w:val="20"/>
          <w:szCs w:val="20"/>
          <w:lang w:val="fr-FR"/>
        </w:rPr>
        <w:t>Smith, 2001</w:t>
      </w:r>
      <w:r w:rsidR="005738FE">
        <w:rPr>
          <w:sz w:val="20"/>
          <w:szCs w:val="20"/>
          <w:lang w:val="fr-FR"/>
        </w:rPr>
        <w:t> ;</w:t>
      </w:r>
      <w:r w:rsidR="0007340F">
        <w:rPr>
          <w:sz w:val="20"/>
          <w:szCs w:val="20"/>
          <w:lang w:val="fr-FR"/>
        </w:rPr>
        <w:t xml:space="preserve"> </w:t>
      </w:r>
      <w:r w:rsidRPr="00577EB1">
        <w:rPr>
          <w:sz w:val="20"/>
          <w:szCs w:val="20"/>
          <w:lang w:val="fr-FR"/>
        </w:rPr>
        <w:t>Auteurs.</w:t>
      </w:r>
      <w:r w:rsidRPr="00577EB1">
        <w:rPr>
          <w:szCs w:val="24"/>
          <w:lang w:val="fr-FR"/>
        </w:rPr>
        <w:t xml:space="preserve"> </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Clarifier les critères d’éligibilité pour chaque type de programme (et les critères de sortie).</w:t>
      </w:r>
      <w:r w:rsidRPr="00577EB1">
        <w:rPr>
          <w:szCs w:val="24"/>
          <w:lang w:val="fr-FR"/>
        </w:rPr>
        <w:t xml:space="preserve"> A l’heure actuelle, de nombreuses contraintes empêchent le ciblage d’être efficace, comme l’information sur la pauvreté, les capacités administratives, les choix politiques et la qualité de la gouvernance. Bien que le terme « indigent » revienne souvent dans les documents de politiques du</w:t>
      </w:r>
      <w:r w:rsidRPr="00577EB1">
        <w:rPr>
          <w:rFonts w:ascii="Cambria Math" w:hAnsi="Cambria Math" w:cs="Cambria Math"/>
          <w:szCs w:val="24"/>
          <w:lang w:val="fr-FR"/>
        </w:rPr>
        <w:t> </w:t>
      </w:r>
      <w:r w:rsidRPr="00577EB1">
        <w:rPr>
          <w:szCs w:val="24"/>
          <w:lang w:val="fr-FR"/>
        </w:rPr>
        <w:t>Burkina Faso, il n’</w:t>
      </w:r>
      <w:r w:rsidR="005E551A">
        <w:rPr>
          <w:szCs w:val="24"/>
          <w:lang w:val="fr-FR"/>
        </w:rPr>
        <w:t xml:space="preserve">y a pas de compréhension </w:t>
      </w:r>
      <w:r w:rsidRPr="00577EB1">
        <w:rPr>
          <w:szCs w:val="24"/>
          <w:lang w:val="fr-FR"/>
        </w:rPr>
        <w:t xml:space="preserve"> commune </w:t>
      </w:r>
      <w:r w:rsidR="005E551A">
        <w:rPr>
          <w:szCs w:val="24"/>
          <w:lang w:val="fr-FR"/>
        </w:rPr>
        <w:t xml:space="preserve">de ce qui </w:t>
      </w:r>
      <w:r w:rsidRPr="00577EB1">
        <w:rPr>
          <w:szCs w:val="24"/>
          <w:lang w:val="fr-FR"/>
        </w:rPr>
        <w:t>décrit une personne indigente.</w:t>
      </w:r>
    </w:p>
    <w:p w:rsidR="00D6364C" w:rsidRPr="00577EB1" w:rsidRDefault="00D6364C" w:rsidP="00E52A30">
      <w:pPr>
        <w:numPr>
          <w:ilvl w:val="0"/>
          <w:numId w:val="33"/>
        </w:numPr>
        <w:tabs>
          <w:tab w:val="clear" w:pos="709"/>
        </w:tabs>
        <w:ind w:left="0" w:firstLine="0"/>
        <w:rPr>
          <w:szCs w:val="24"/>
          <w:lang w:val="fr-FR"/>
        </w:rPr>
      </w:pPr>
      <w:r w:rsidRPr="00577EB1">
        <w:rPr>
          <w:b/>
          <w:bCs/>
          <w:szCs w:val="24"/>
          <w:lang w:val="fr-FR"/>
        </w:rPr>
        <w:t>Rechercher des méthodes novatrices de ciblage de la pauvreté.</w:t>
      </w:r>
      <w:r w:rsidRPr="00577EB1">
        <w:rPr>
          <w:szCs w:val="24"/>
          <w:lang w:val="fr-FR"/>
        </w:rPr>
        <w:t xml:space="preserve"> De plus amples recherches sont nécessaires pour pouvoir élaborer des outils de ciblage efficaces, capables de diriger le flux des ressources vers les plus pauvres. Dans ce contexte, il est nécessaire d’adopter l’approche suivante :</w:t>
      </w:r>
    </w:p>
    <w:p w:rsidR="00D6364C" w:rsidRPr="00577EB1" w:rsidRDefault="00D6364C" w:rsidP="00E52A30">
      <w:pPr>
        <w:numPr>
          <w:ilvl w:val="0"/>
          <w:numId w:val="13"/>
        </w:numPr>
        <w:tabs>
          <w:tab w:val="clear" w:pos="709"/>
        </w:tabs>
        <w:spacing w:after="120"/>
        <w:ind w:left="709" w:hanging="357"/>
        <w:rPr>
          <w:szCs w:val="24"/>
          <w:lang w:val="fr-FR"/>
        </w:rPr>
      </w:pPr>
      <w:r w:rsidRPr="00577EB1">
        <w:rPr>
          <w:i/>
          <w:iCs/>
          <w:szCs w:val="24"/>
          <w:lang w:val="fr-FR"/>
        </w:rPr>
        <w:t>Collecter des informations de meilleure qualité pour faciliter le ciblage et évaluer les résultats</w:t>
      </w:r>
      <w:r w:rsidR="0007340F">
        <w:rPr>
          <w:szCs w:val="24"/>
          <w:lang w:val="fr-FR"/>
        </w:rPr>
        <w:t xml:space="preserve"> </w:t>
      </w:r>
      <w:r w:rsidRPr="00577EB1">
        <w:rPr>
          <w:szCs w:val="24"/>
          <w:lang w:val="fr-FR"/>
        </w:rPr>
        <w:t>À l’heure actuelle, il y a un manque de données détaillées sur les bénéficiaires et les coûts des programmes. De plus, l’information sur la pauvreté n’est souvent pas suffisamment désagrégées pour permettre un ciblage fin.</w:t>
      </w:r>
    </w:p>
    <w:p w:rsidR="00D6364C" w:rsidRPr="00577EB1" w:rsidRDefault="00D6364C" w:rsidP="00E52A30">
      <w:pPr>
        <w:numPr>
          <w:ilvl w:val="0"/>
          <w:numId w:val="13"/>
        </w:numPr>
        <w:tabs>
          <w:tab w:val="clear" w:pos="709"/>
        </w:tabs>
        <w:spacing w:after="120"/>
        <w:ind w:left="709" w:hanging="357"/>
        <w:rPr>
          <w:szCs w:val="24"/>
          <w:lang w:val="fr-FR"/>
        </w:rPr>
      </w:pPr>
      <w:r w:rsidRPr="00577EB1">
        <w:rPr>
          <w:i/>
          <w:iCs/>
          <w:szCs w:val="24"/>
          <w:lang w:val="fr-FR"/>
        </w:rPr>
        <w:t>Évaluer l’efficacité du ciblage</w:t>
      </w:r>
      <w:r w:rsidR="0007340F">
        <w:rPr>
          <w:i/>
          <w:iCs/>
          <w:szCs w:val="24"/>
          <w:lang w:val="fr-FR"/>
        </w:rPr>
        <w:t xml:space="preserve"> </w:t>
      </w:r>
      <w:r w:rsidRPr="00577EB1">
        <w:rPr>
          <w:szCs w:val="24"/>
          <w:lang w:val="fr-FR"/>
        </w:rPr>
        <w:t xml:space="preserve">Pour la plupart des programmes, il n’est pas possible de juger si les méthodes de ciblage adoptées sont efficaces ou non. Seules quelques initiatives ont actuellement fait d’importants efforts de recherche sur le ciblage et mesurent les erreurs d’inclusion et d’exclusion (le programme des coupons urbains, </w:t>
      </w:r>
      <w:r w:rsidR="00082B33" w:rsidRPr="00577EB1">
        <w:rPr>
          <w:szCs w:val="24"/>
          <w:lang w:val="fr-FR"/>
        </w:rPr>
        <w:lastRenderedPageBreak/>
        <w:t xml:space="preserve">les travaux de recherche </w:t>
      </w:r>
      <w:r w:rsidR="00082B33">
        <w:rPr>
          <w:szCs w:val="24"/>
          <w:lang w:val="fr-FR"/>
        </w:rPr>
        <w:t xml:space="preserve">de </w:t>
      </w:r>
      <w:r w:rsidRPr="00577EB1">
        <w:rPr>
          <w:szCs w:val="24"/>
          <w:lang w:val="fr-FR"/>
        </w:rPr>
        <w:t>l’</w:t>
      </w:r>
      <w:r w:rsidR="00082B33">
        <w:rPr>
          <w:szCs w:val="24"/>
          <w:lang w:val="fr-FR"/>
        </w:rPr>
        <w:t>Université de Montréal</w:t>
      </w:r>
      <w:r w:rsidRPr="00577EB1">
        <w:rPr>
          <w:szCs w:val="24"/>
          <w:lang w:val="fr-FR"/>
        </w:rPr>
        <w:t xml:space="preserve"> et du Centre de recherche sur la santé de Nouna). </w:t>
      </w:r>
    </w:p>
    <w:p w:rsidR="00D6364C" w:rsidRPr="00577EB1" w:rsidRDefault="00D6364C" w:rsidP="00E52A30">
      <w:pPr>
        <w:numPr>
          <w:ilvl w:val="0"/>
          <w:numId w:val="13"/>
        </w:numPr>
        <w:tabs>
          <w:tab w:val="clear" w:pos="709"/>
        </w:tabs>
        <w:spacing w:after="120"/>
        <w:ind w:left="709" w:hanging="357"/>
        <w:rPr>
          <w:szCs w:val="24"/>
          <w:lang w:val="fr-FR"/>
        </w:rPr>
      </w:pPr>
      <w:r w:rsidRPr="00577EB1">
        <w:rPr>
          <w:i/>
          <w:iCs/>
          <w:szCs w:val="24"/>
          <w:lang w:val="fr-FR"/>
        </w:rPr>
        <w:t>Rechercher des méthodes novatrices de ciblage de la pauvreté</w:t>
      </w:r>
      <w:r w:rsidR="0007340F">
        <w:rPr>
          <w:szCs w:val="24"/>
          <w:lang w:val="fr-FR"/>
        </w:rPr>
        <w:t xml:space="preserve"> </w:t>
      </w:r>
      <w:r w:rsidRPr="00577EB1">
        <w:rPr>
          <w:szCs w:val="24"/>
          <w:lang w:val="fr-FR"/>
        </w:rPr>
        <w:t xml:space="preserve">Il semble particulièrement difficile de cibler efficacement les plus pauvres, étant donné les fortes la similarité des caractéristiques observables, qui rend difficile, par exemple, les tests des moyens d’existence à </w:t>
      </w:r>
      <w:r w:rsidR="007D6095">
        <w:rPr>
          <w:szCs w:val="24"/>
          <w:lang w:val="fr-FR"/>
        </w:rPr>
        <w:t>l’aide de</w:t>
      </w:r>
      <w:r w:rsidRPr="00577EB1">
        <w:rPr>
          <w:szCs w:val="24"/>
          <w:lang w:val="fr-FR"/>
        </w:rPr>
        <w:t xml:space="preserve"> variables de remplacement</w:t>
      </w:r>
      <w:r w:rsidR="007D6095">
        <w:rPr>
          <w:szCs w:val="24"/>
          <w:lang w:val="fr-FR"/>
        </w:rPr>
        <w:t xml:space="preserve"> (</w:t>
      </w:r>
      <w:r w:rsidR="007D6095" w:rsidRPr="007D6095">
        <w:rPr>
          <w:i/>
          <w:szCs w:val="24"/>
          <w:lang w:val="fr-FR"/>
        </w:rPr>
        <w:t>proxy means tests</w:t>
      </w:r>
      <w:r w:rsidR="007D6095">
        <w:rPr>
          <w:szCs w:val="24"/>
          <w:lang w:val="fr-FR"/>
        </w:rPr>
        <w:t>)</w:t>
      </w:r>
      <w:r w:rsidRPr="00577EB1">
        <w:rPr>
          <w:szCs w:val="24"/>
          <w:lang w:val="fr-FR"/>
        </w:rPr>
        <w:t xml:space="preserve"> D’un autre côté, il peut être difficile de mettre en place des mécanismes communautaires sur une grande échelle [Coady et coll. 2004</w:t>
      </w:r>
      <w:r w:rsidR="0007340F">
        <w:rPr>
          <w:szCs w:val="24"/>
          <w:lang w:val="fr-FR"/>
        </w:rPr>
        <w:t xml:space="preserve"> </w:t>
      </w:r>
      <w:r w:rsidRPr="00577EB1">
        <w:rPr>
          <w:i/>
          <w:szCs w:val="24"/>
          <w:lang w:val="fr-FR"/>
        </w:rPr>
        <w:t>Save the Children</w:t>
      </w:r>
      <w:r w:rsidRPr="00577EB1">
        <w:rPr>
          <w:szCs w:val="24"/>
          <w:lang w:val="fr-FR"/>
        </w:rPr>
        <w:t xml:space="preserve"> UK et coll. 2005]. Ces difficultés appellent de plus amples recherches sur l’efficacité des différents mécanismes de ciblage (communautaires, enquêtes auprès des ménages, par catégories, auto-ciblage, etc.) dans le contexte socioéconomique particulier des régions du Burkina.</w:t>
      </w:r>
    </w:p>
    <w:p w:rsidR="00D6364C" w:rsidRPr="00577EB1" w:rsidRDefault="00D6364C" w:rsidP="00E52A30">
      <w:pPr>
        <w:numPr>
          <w:ilvl w:val="0"/>
          <w:numId w:val="13"/>
        </w:numPr>
        <w:tabs>
          <w:tab w:val="clear" w:pos="709"/>
        </w:tabs>
        <w:ind w:left="709" w:hanging="357"/>
        <w:rPr>
          <w:szCs w:val="24"/>
          <w:lang w:val="fr-FR"/>
        </w:rPr>
      </w:pPr>
      <w:r w:rsidRPr="00577EB1">
        <w:rPr>
          <w:i/>
          <w:iCs/>
          <w:szCs w:val="24"/>
          <w:lang w:val="fr-FR"/>
        </w:rPr>
        <w:t>Déterminer la dynamique sociale susceptible d’influencer l’efficacité du ciblage</w:t>
      </w:r>
      <w:r w:rsidR="0007340F">
        <w:rPr>
          <w:szCs w:val="24"/>
          <w:lang w:val="fr-FR"/>
        </w:rPr>
        <w:t xml:space="preserve"> </w:t>
      </w:r>
      <w:r w:rsidRPr="00577EB1">
        <w:rPr>
          <w:szCs w:val="24"/>
          <w:lang w:val="fr-FR"/>
        </w:rPr>
        <w:t>De plus amples recherches sont nécessaires pour mieux comprendre les mécanismes de redistribution existant au sein des ménages et entre eux, et qui sont répandus et fortement ancrés dans la culture de certaines communautés, et pour déterminer comment ces mécanismes influent sur l’efficacité du ciblage et sur l’impact général du programme. De plus, la polygamie est courante au Burkina Faso et une approche commune doit être définie pour ces ménages (faut-il les considérer comme un ou plusieurs ménages ?). Enfin, des recherches doivent également être entreprises pour définir l’unité de ciblage la plus appropriée (le ménage ou l’individu). Des recherches en cours, menées par l’</w:t>
      </w:r>
      <w:r w:rsidR="00082B33">
        <w:rPr>
          <w:szCs w:val="24"/>
          <w:lang w:val="fr-FR"/>
        </w:rPr>
        <w:t>Université de Montréal</w:t>
      </w:r>
      <w:r w:rsidRPr="00577EB1">
        <w:rPr>
          <w:szCs w:val="24"/>
          <w:lang w:val="fr-FR"/>
        </w:rPr>
        <w:t xml:space="preserve">, indiquent que le ciblage par les communautés (pour identifier les indigents susceptibles de bénéficier d’une exemption de frais) a permis d’identifier des individus pauvres dans des ménages non pauvres. Ce type d’information est impossible à détecter en utilisant des tests des moyens d’existence à </w:t>
      </w:r>
      <w:r w:rsidR="007D6095">
        <w:rPr>
          <w:szCs w:val="24"/>
          <w:lang w:val="fr-FR"/>
        </w:rPr>
        <w:t>l’aide</w:t>
      </w:r>
      <w:r w:rsidRPr="00577EB1">
        <w:rPr>
          <w:szCs w:val="24"/>
          <w:lang w:val="fr-FR"/>
        </w:rPr>
        <w:t xml:space="preserve"> de variables de remplacement (au niveau des ménages). </w:t>
      </w:r>
    </w:p>
    <w:p w:rsidR="00D6364C" w:rsidRPr="00577EB1" w:rsidRDefault="00D6364C" w:rsidP="00E52A30">
      <w:pPr>
        <w:numPr>
          <w:ilvl w:val="0"/>
          <w:numId w:val="33"/>
        </w:numPr>
        <w:tabs>
          <w:tab w:val="clear" w:pos="709"/>
        </w:tabs>
        <w:ind w:left="0" w:firstLine="0"/>
        <w:rPr>
          <w:lang w:val="fr-FR"/>
        </w:rPr>
      </w:pPr>
      <w:r w:rsidRPr="00577EB1">
        <w:rPr>
          <w:b/>
          <w:bCs/>
          <w:szCs w:val="24"/>
          <w:lang w:val="fr-FR"/>
        </w:rPr>
        <w:t>Travailler à la création d’un registre commun.</w:t>
      </w:r>
      <w:r w:rsidRPr="00577EB1">
        <w:rPr>
          <w:szCs w:val="24"/>
          <w:lang w:val="fr-FR"/>
        </w:rPr>
        <w:t xml:space="preserve"> L’identification des individus ou ménages chroniquement pauvres devrait (à l’avenir) profiter à différents programmes de filets sociaux tels que les transferts monétaires et l’exemption des frais, de même qu’au système national d’assurance maladie envisagé. Elle pourrait aussi être utile à d’autres initiatives telles que les exonérations fiscales. Ceci contribuerait fortement à créer de meilleures synergies et à réaliser de plus grandes économies d’échelle au sein du système de protection sociale.</w:t>
      </w:r>
    </w:p>
    <w:p w:rsidR="008208DF" w:rsidRPr="00577EB1" w:rsidRDefault="008208DF" w:rsidP="00D6364C">
      <w:pPr>
        <w:widowControl w:val="0"/>
        <w:rPr>
          <w:highlight w:val="yellow"/>
          <w:lang w:val="fr-FR"/>
        </w:rPr>
      </w:pPr>
    </w:p>
    <w:p w:rsidR="008208DF" w:rsidRPr="00577EB1" w:rsidRDefault="008208DF" w:rsidP="001E4944">
      <w:pPr>
        <w:rPr>
          <w:highlight w:val="yellow"/>
          <w:lang w:val="fr-FR"/>
        </w:rPr>
      </w:pPr>
    </w:p>
    <w:p w:rsidR="001E4944" w:rsidRPr="00577EB1" w:rsidRDefault="001E4944" w:rsidP="00E52A30">
      <w:pPr>
        <w:pStyle w:val="Heading1"/>
        <w:numPr>
          <w:ilvl w:val="0"/>
          <w:numId w:val="36"/>
        </w:numPr>
      </w:pPr>
      <w:bookmarkStart w:id="289" w:name="_Toc262169646"/>
      <w:bookmarkStart w:id="290" w:name="_Toc264748749"/>
      <w:r w:rsidRPr="00577EB1">
        <w:lastRenderedPageBreak/>
        <w:t>R</w:t>
      </w:r>
      <w:r w:rsidR="0052053A" w:rsidRPr="00577EB1">
        <w:t>É</w:t>
      </w:r>
      <w:r w:rsidRPr="00577EB1">
        <w:t>F</w:t>
      </w:r>
      <w:r w:rsidR="0052053A" w:rsidRPr="00577EB1">
        <w:t>É</w:t>
      </w:r>
      <w:r w:rsidRPr="00577EB1">
        <w:t>RENCES</w:t>
      </w:r>
      <w:bookmarkEnd w:id="289"/>
      <w:bookmarkEnd w:id="290"/>
    </w:p>
    <w:p w:rsidR="00A23A26" w:rsidRDefault="0088426E">
      <w:pPr>
        <w:tabs>
          <w:tab w:val="clear" w:pos="709"/>
          <w:tab w:val="left" w:pos="567"/>
        </w:tabs>
        <w:spacing w:after="120"/>
        <w:ind w:left="567" w:hanging="567"/>
        <w:rPr>
          <w:szCs w:val="20"/>
          <w:lang w:val="fr-FR"/>
        </w:rPr>
      </w:pPr>
      <w:r w:rsidRPr="0088426E">
        <w:rPr>
          <w:szCs w:val="20"/>
          <w:lang w:val="fr-FR"/>
        </w:rPr>
        <w:t xml:space="preserve">Amnesty International (AI). 2009. </w:t>
      </w:r>
      <w:r w:rsidR="008A56CF" w:rsidRPr="00577EB1">
        <w:rPr>
          <w:i/>
          <w:szCs w:val="20"/>
          <w:lang w:val="fr-FR"/>
        </w:rPr>
        <w:t>‘</w:t>
      </w:r>
      <w:r w:rsidRPr="0088426E">
        <w:rPr>
          <w:i/>
          <w:szCs w:val="20"/>
          <w:lang w:val="fr-FR"/>
        </w:rPr>
        <w:t>Donner la vie, risquer la mort. La mortalité maternelle au Burkina Faso</w:t>
      </w:r>
      <w:r w:rsidR="008A56CF" w:rsidRPr="00577EB1">
        <w:rPr>
          <w:i/>
          <w:szCs w:val="20"/>
          <w:lang w:val="fr-FR"/>
        </w:rPr>
        <w:t>’</w:t>
      </w:r>
      <w:r w:rsidRPr="0088426E">
        <w:rPr>
          <w:szCs w:val="20"/>
          <w:lang w:val="fr-FR"/>
        </w:rPr>
        <w:t xml:space="preserve">. </w:t>
      </w:r>
      <w:r>
        <w:rPr>
          <w:szCs w:val="20"/>
          <w:lang w:val="fr-FR"/>
        </w:rPr>
        <w:t>Décembre</w:t>
      </w:r>
      <w:r w:rsidRPr="0088426E">
        <w:rPr>
          <w:szCs w:val="20"/>
          <w:lang w:val="fr-FR"/>
        </w:rPr>
        <w:t>.</w:t>
      </w:r>
    </w:p>
    <w:p w:rsidR="00A23A26" w:rsidRDefault="0088426E">
      <w:pPr>
        <w:tabs>
          <w:tab w:val="clear" w:pos="709"/>
          <w:tab w:val="left" w:pos="567"/>
        </w:tabs>
        <w:spacing w:after="120"/>
        <w:ind w:left="567" w:hanging="567"/>
        <w:rPr>
          <w:szCs w:val="20"/>
          <w:lang w:val="fr-FR"/>
        </w:rPr>
      </w:pPr>
      <w:r w:rsidRPr="0088426E">
        <w:rPr>
          <w:szCs w:val="20"/>
          <w:lang w:val="fr-FR"/>
        </w:rPr>
        <w:t xml:space="preserve">Balkouma Boursin, F. 2008. </w:t>
      </w:r>
      <w:r w:rsidR="008A56CF" w:rsidRPr="00577EB1">
        <w:rPr>
          <w:i/>
          <w:szCs w:val="20"/>
          <w:lang w:val="fr-FR"/>
        </w:rPr>
        <w:t>‘</w:t>
      </w:r>
      <w:r w:rsidRPr="0088426E">
        <w:rPr>
          <w:i/>
          <w:szCs w:val="20"/>
          <w:lang w:val="fr-FR"/>
        </w:rPr>
        <w:t>L</w:t>
      </w:r>
      <w:r w:rsidR="008A56CF" w:rsidRPr="00577EB1">
        <w:rPr>
          <w:i/>
          <w:szCs w:val="20"/>
          <w:lang w:val="fr-FR"/>
        </w:rPr>
        <w:t>’</w:t>
      </w:r>
      <w:r w:rsidRPr="0088426E">
        <w:rPr>
          <w:i/>
          <w:szCs w:val="20"/>
          <w:lang w:val="fr-FR"/>
        </w:rPr>
        <w:t>impact des activités du Program Pistes Rurales (PrEst) sur la migration des jeunes dans la région de l</w:t>
      </w:r>
      <w:r w:rsidR="008A56CF" w:rsidRPr="00577EB1">
        <w:rPr>
          <w:i/>
          <w:szCs w:val="20"/>
          <w:lang w:val="fr-FR"/>
        </w:rPr>
        <w:t>’</w:t>
      </w:r>
      <w:r w:rsidRPr="0088426E">
        <w:rPr>
          <w:i/>
          <w:szCs w:val="20"/>
          <w:lang w:val="fr-FR"/>
        </w:rPr>
        <w:t>Est du Burkina Faso</w:t>
      </w:r>
      <w:r w:rsidR="008A56CF" w:rsidRPr="00577EB1">
        <w:rPr>
          <w:i/>
          <w:szCs w:val="20"/>
          <w:lang w:val="fr-FR"/>
        </w:rPr>
        <w:t>’</w:t>
      </w:r>
      <w:r w:rsidRPr="0088426E">
        <w:rPr>
          <w:szCs w:val="20"/>
          <w:lang w:val="fr-FR"/>
        </w:rPr>
        <w:t>. Rapport d</w:t>
      </w:r>
      <w:r w:rsidR="008A56CF" w:rsidRPr="00577EB1">
        <w:rPr>
          <w:szCs w:val="20"/>
          <w:lang w:val="fr-FR"/>
        </w:rPr>
        <w:t>’</w:t>
      </w:r>
      <w:r w:rsidRPr="0088426E">
        <w:rPr>
          <w:szCs w:val="20"/>
          <w:lang w:val="fr-FR"/>
        </w:rPr>
        <w:t xml:space="preserve">Etude. Version synthétique. Helvetas Burkina Faso. </w:t>
      </w:r>
      <w:r>
        <w:rPr>
          <w:szCs w:val="20"/>
          <w:lang w:val="fr-FR"/>
        </w:rPr>
        <w:t>Décembre</w:t>
      </w:r>
      <w:r w:rsidRPr="0088426E">
        <w:rPr>
          <w:szCs w:val="20"/>
          <w:lang w:val="fr-FR"/>
        </w:rPr>
        <w:t>. Ouagadougou, Burkina Faso.</w:t>
      </w:r>
    </w:p>
    <w:p w:rsidR="00A23A26" w:rsidRDefault="0088426E">
      <w:pPr>
        <w:tabs>
          <w:tab w:val="clear" w:pos="709"/>
          <w:tab w:val="left" w:pos="567"/>
        </w:tabs>
        <w:spacing w:after="120"/>
        <w:ind w:left="567" w:hanging="567"/>
        <w:rPr>
          <w:szCs w:val="20"/>
        </w:rPr>
      </w:pPr>
      <w:r w:rsidRPr="0088426E">
        <w:rPr>
          <w:szCs w:val="20"/>
        </w:rPr>
        <w:t xml:space="preserve">Bundy, D., C. Burbano, M. Grosh, A. Gelli, M. Jukes, and L. Drake. 2009. </w:t>
      </w:r>
      <w:r w:rsidR="008A56CF" w:rsidRPr="0007340F">
        <w:rPr>
          <w:i/>
          <w:szCs w:val="20"/>
        </w:rPr>
        <w:t>‘</w:t>
      </w:r>
      <w:r w:rsidRPr="0088426E">
        <w:rPr>
          <w:i/>
          <w:szCs w:val="20"/>
        </w:rPr>
        <w:t>Rethinking School Feeding: Social Safety Nets, Child Development, and the Education Sector</w:t>
      </w:r>
      <w:r w:rsidR="008A56CF" w:rsidRPr="0007340F">
        <w:rPr>
          <w:i/>
          <w:szCs w:val="20"/>
        </w:rPr>
        <w:t>’</w:t>
      </w:r>
      <w:r w:rsidRPr="0088426E">
        <w:rPr>
          <w:i/>
          <w:szCs w:val="20"/>
        </w:rPr>
        <w:t>.</w:t>
      </w:r>
      <w:r w:rsidRPr="0088426E">
        <w:rPr>
          <w:szCs w:val="20"/>
        </w:rPr>
        <w:t xml:space="preserve"> June. World Food Program &amp; World Bank: Washington, DC.</w:t>
      </w:r>
    </w:p>
    <w:p w:rsidR="00A23A26" w:rsidRDefault="0088426E">
      <w:pPr>
        <w:tabs>
          <w:tab w:val="clear" w:pos="709"/>
          <w:tab w:val="left" w:pos="567"/>
        </w:tabs>
        <w:spacing w:after="120"/>
        <w:ind w:left="567" w:hanging="567"/>
        <w:rPr>
          <w:szCs w:val="20"/>
        </w:rPr>
      </w:pPr>
      <w:r w:rsidRPr="0088426E">
        <w:rPr>
          <w:szCs w:val="20"/>
        </w:rPr>
        <w:t xml:space="preserve">Carneiro, P. and J. Heckman. 2003. </w:t>
      </w:r>
      <w:r w:rsidR="008A56CF" w:rsidRPr="0007340F">
        <w:rPr>
          <w:i/>
          <w:szCs w:val="20"/>
        </w:rPr>
        <w:t>‘</w:t>
      </w:r>
      <w:r w:rsidRPr="0088426E">
        <w:rPr>
          <w:i/>
          <w:szCs w:val="20"/>
        </w:rPr>
        <w:t>Human Capital Policy</w:t>
      </w:r>
      <w:r w:rsidR="008A56CF" w:rsidRPr="0007340F">
        <w:rPr>
          <w:i/>
          <w:szCs w:val="20"/>
        </w:rPr>
        <w:t>’</w:t>
      </w:r>
      <w:r w:rsidRPr="0088426E">
        <w:rPr>
          <w:szCs w:val="20"/>
        </w:rPr>
        <w:t>. IZA Discussion Paper No. 821. July.</w:t>
      </w:r>
    </w:p>
    <w:p w:rsidR="00A23A26" w:rsidRDefault="0088426E">
      <w:pPr>
        <w:tabs>
          <w:tab w:val="clear" w:pos="709"/>
          <w:tab w:val="left" w:pos="567"/>
        </w:tabs>
        <w:spacing w:after="120"/>
        <w:ind w:left="567" w:hanging="567"/>
        <w:rPr>
          <w:szCs w:val="20"/>
        </w:rPr>
      </w:pPr>
      <w:r w:rsidRPr="0088426E">
        <w:rPr>
          <w:szCs w:val="20"/>
        </w:rPr>
        <w:t xml:space="preserve">Coady, D., M. Grosh, and J. Hoddinott. 2004a. </w:t>
      </w:r>
      <w:r w:rsidR="008A56CF" w:rsidRPr="0007340F">
        <w:rPr>
          <w:i/>
          <w:szCs w:val="20"/>
        </w:rPr>
        <w:t>‘</w:t>
      </w:r>
      <w:r w:rsidRPr="0088426E">
        <w:rPr>
          <w:i/>
          <w:szCs w:val="20"/>
        </w:rPr>
        <w:t xml:space="preserve">Targeting of </w:t>
      </w:r>
      <w:r w:rsidR="00464554" w:rsidRPr="0007340F">
        <w:rPr>
          <w:i/>
          <w:szCs w:val="20"/>
        </w:rPr>
        <w:t>T</w:t>
      </w:r>
      <w:r w:rsidRPr="0088426E">
        <w:rPr>
          <w:i/>
          <w:szCs w:val="20"/>
        </w:rPr>
        <w:t>ransfers in Developing Countries. Review of Lessons and Experience</w:t>
      </w:r>
      <w:r w:rsidR="008A56CF" w:rsidRPr="0007340F">
        <w:rPr>
          <w:i/>
          <w:szCs w:val="20"/>
        </w:rPr>
        <w:t>’</w:t>
      </w:r>
      <w:r w:rsidRPr="0088426E">
        <w:rPr>
          <w:szCs w:val="20"/>
        </w:rPr>
        <w:t>. October. World Bank: Washington, DC.</w:t>
      </w:r>
    </w:p>
    <w:p w:rsidR="00A23A26" w:rsidRDefault="0088426E">
      <w:pPr>
        <w:tabs>
          <w:tab w:val="clear" w:pos="709"/>
          <w:tab w:val="left" w:pos="567"/>
        </w:tabs>
        <w:spacing w:after="120"/>
        <w:ind w:left="567" w:hanging="567"/>
        <w:rPr>
          <w:szCs w:val="20"/>
        </w:rPr>
      </w:pPr>
      <w:r w:rsidRPr="0088426E">
        <w:rPr>
          <w:szCs w:val="20"/>
        </w:rPr>
        <w:t xml:space="preserve">______. 2004b. </w:t>
      </w:r>
      <w:r w:rsidR="008A56CF" w:rsidRPr="0007340F">
        <w:rPr>
          <w:i/>
          <w:szCs w:val="20"/>
        </w:rPr>
        <w:t>‘</w:t>
      </w:r>
      <w:r w:rsidRPr="0088426E">
        <w:rPr>
          <w:i/>
          <w:szCs w:val="20"/>
        </w:rPr>
        <w:t xml:space="preserve">Targeting </w:t>
      </w:r>
      <w:r w:rsidR="0070324D" w:rsidRPr="0007340F">
        <w:rPr>
          <w:i/>
          <w:szCs w:val="20"/>
        </w:rPr>
        <w:t>Outcomes Redux</w:t>
      </w:r>
      <w:r w:rsidR="008A56CF" w:rsidRPr="0007340F">
        <w:rPr>
          <w:i/>
          <w:szCs w:val="20"/>
        </w:rPr>
        <w:t>’</w:t>
      </w:r>
      <w:r w:rsidRPr="0088426E">
        <w:rPr>
          <w:szCs w:val="20"/>
        </w:rPr>
        <w:t>. The World Bank Research Observer, Vol. 19, No.1, pp.61-85. World Bank: Washington, DC.</w:t>
      </w:r>
    </w:p>
    <w:p w:rsidR="00A23A26" w:rsidRDefault="0088426E">
      <w:pPr>
        <w:tabs>
          <w:tab w:val="clear" w:pos="709"/>
          <w:tab w:val="left" w:pos="567"/>
        </w:tabs>
        <w:spacing w:after="120"/>
        <w:ind w:left="567" w:hanging="567"/>
        <w:rPr>
          <w:szCs w:val="20"/>
        </w:rPr>
      </w:pPr>
      <w:r w:rsidRPr="0088426E">
        <w:rPr>
          <w:szCs w:val="20"/>
        </w:rPr>
        <w:t xml:space="preserve">del Ninno, C., K. Subbarao and A. Milazzo. 2009. </w:t>
      </w:r>
      <w:r w:rsidR="008A56CF" w:rsidRPr="0007340F">
        <w:rPr>
          <w:i/>
          <w:szCs w:val="20"/>
        </w:rPr>
        <w:t>‘</w:t>
      </w:r>
      <w:r w:rsidRPr="0088426E">
        <w:rPr>
          <w:i/>
          <w:szCs w:val="20"/>
        </w:rPr>
        <w:t>How to Make Public Works Work: A Review of the Experiences</w:t>
      </w:r>
      <w:r w:rsidR="008A56CF" w:rsidRPr="0007340F">
        <w:rPr>
          <w:i/>
          <w:szCs w:val="20"/>
        </w:rPr>
        <w:t>’</w:t>
      </w:r>
      <w:r w:rsidRPr="0088426E">
        <w:rPr>
          <w:szCs w:val="20"/>
        </w:rPr>
        <w:t>. Social Protection Discussion Paper No. 0905. World Bank: Washington, DC.</w:t>
      </w:r>
    </w:p>
    <w:p w:rsidR="00A23A26" w:rsidRDefault="0088426E">
      <w:pPr>
        <w:tabs>
          <w:tab w:val="clear" w:pos="709"/>
          <w:tab w:val="left" w:pos="567"/>
        </w:tabs>
        <w:spacing w:after="120"/>
        <w:ind w:left="567" w:hanging="567"/>
        <w:rPr>
          <w:szCs w:val="20"/>
        </w:rPr>
      </w:pPr>
      <w:r w:rsidRPr="007F20CC">
        <w:rPr>
          <w:szCs w:val="20"/>
          <w:lang w:val="fr-FR"/>
        </w:rPr>
        <w:t xml:space="preserve">Dembele, S. 2010. </w:t>
      </w:r>
      <w:r w:rsidR="008A56CF" w:rsidRPr="00577EB1">
        <w:rPr>
          <w:i/>
          <w:szCs w:val="20"/>
          <w:lang w:val="fr-FR"/>
        </w:rPr>
        <w:t>‘</w:t>
      </w:r>
      <w:r w:rsidRPr="0088426E">
        <w:rPr>
          <w:i/>
          <w:szCs w:val="20"/>
          <w:lang w:val="fr-FR"/>
        </w:rPr>
        <w:t>Diagnostic de la commission sectorielle et thématique chargée de la protection sociale</w:t>
      </w:r>
      <w:r w:rsidR="008A56CF" w:rsidRPr="00577EB1">
        <w:rPr>
          <w:i/>
          <w:szCs w:val="20"/>
          <w:lang w:val="fr-FR"/>
        </w:rPr>
        <w:t>’</w:t>
      </w:r>
      <w:r w:rsidRPr="0088426E">
        <w:rPr>
          <w:szCs w:val="20"/>
          <w:lang w:val="fr-FR"/>
        </w:rPr>
        <w:t xml:space="preserve">. </w:t>
      </w:r>
      <w:r w:rsidRPr="0088426E">
        <w:rPr>
          <w:szCs w:val="20"/>
        </w:rPr>
        <w:t>Draft 01. January. Ouagadougou, Burkina Faso.</w:t>
      </w:r>
    </w:p>
    <w:p w:rsidR="00A23A26" w:rsidRDefault="0088426E">
      <w:pPr>
        <w:tabs>
          <w:tab w:val="clear" w:pos="709"/>
          <w:tab w:val="left" w:pos="567"/>
        </w:tabs>
        <w:spacing w:after="120"/>
        <w:ind w:left="567" w:hanging="567"/>
        <w:rPr>
          <w:szCs w:val="20"/>
          <w:lang w:val="fr-FR"/>
        </w:rPr>
      </w:pPr>
      <w:r w:rsidRPr="0088426E">
        <w:rPr>
          <w:szCs w:val="20"/>
        </w:rPr>
        <w:t>Department for International Development, United Kingdom (DFID UK), HelpAge International, Hope &amp; Homes for Children, Institute of Development Studies, International Labor Organization, Overseas Development Institute, Save the Children UK, United Nations Children</w:t>
      </w:r>
      <w:r w:rsidR="008A56CF" w:rsidRPr="0007340F">
        <w:rPr>
          <w:szCs w:val="20"/>
        </w:rPr>
        <w:t>’</w:t>
      </w:r>
      <w:r w:rsidRPr="0088426E">
        <w:rPr>
          <w:szCs w:val="20"/>
        </w:rPr>
        <w:t xml:space="preserve">s Fund (UNICEF), United Nations Development Program (UNDP) and the World Bank. 2009. </w:t>
      </w:r>
      <w:r w:rsidR="008A56CF" w:rsidRPr="00577EB1">
        <w:rPr>
          <w:i/>
          <w:szCs w:val="20"/>
          <w:lang w:val="fr-FR"/>
        </w:rPr>
        <w:t>‘</w:t>
      </w:r>
      <w:r w:rsidRPr="0088426E">
        <w:rPr>
          <w:i/>
          <w:szCs w:val="20"/>
          <w:lang w:val="fr-FR"/>
        </w:rPr>
        <w:t xml:space="preserve">Joint </w:t>
      </w:r>
      <w:r w:rsidR="0070324D" w:rsidRPr="00577EB1">
        <w:rPr>
          <w:i/>
          <w:szCs w:val="20"/>
          <w:lang w:val="fr-FR"/>
        </w:rPr>
        <w:t xml:space="preserve">Statement </w:t>
      </w:r>
      <w:r w:rsidRPr="0088426E">
        <w:rPr>
          <w:i/>
          <w:szCs w:val="20"/>
          <w:lang w:val="fr-FR"/>
        </w:rPr>
        <w:t xml:space="preserve">on </w:t>
      </w:r>
      <w:r w:rsidR="0070324D" w:rsidRPr="00577EB1">
        <w:rPr>
          <w:i/>
          <w:szCs w:val="20"/>
          <w:lang w:val="fr-FR"/>
        </w:rPr>
        <w:t xml:space="preserve">Advancing </w:t>
      </w:r>
      <w:r w:rsidRPr="0088426E">
        <w:rPr>
          <w:i/>
          <w:szCs w:val="20"/>
          <w:lang w:val="fr-FR"/>
        </w:rPr>
        <w:t>Child-Sensitive Social Protection</w:t>
      </w:r>
      <w:r w:rsidR="008A56CF" w:rsidRPr="00577EB1">
        <w:rPr>
          <w:i/>
          <w:szCs w:val="20"/>
          <w:lang w:val="fr-FR"/>
        </w:rPr>
        <w:t>’</w:t>
      </w:r>
      <w:r w:rsidRPr="0088426E">
        <w:rPr>
          <w:szCs w:val="20"/>
          <w:lang w:val="fr-FR"/>
        </w:rPr>
        <w:t>. August.</w:t>
      </w:r>
    </w:p>
    <w:p w:rsidR="00A23A26" w:rsidRPr="005F6416" w:rsidRDefault="0088426E">
      <w:pPr>
        <w:tabs>
          <w:tab w:val="clear" w:pos="709"/>
          <w:tab w:val="left" w:pos="567"/>
        </w:tabs>
        <w:spacing w:after="120"/>
        <w:ind w:left="567" w:hanging="567"/>
        <w:rPr>
          <w:szCs w:val="20"/>
        </w:rPr>
      </w:pPr>
      <w:r w:rsidRPr="0088426E">
        <w:rPr>
          <w:szCs w:val="20"/>
          <w:lang w:val="fr-FR"/>
        </w:rPr>
        <w:t xml:space="preserve">Fonds National de Solidarité (FNS) [Burkina Faso]. 2009. </w:t>
      </w:r>
      <w:r w:rsidR="008A56CF" w:rsidRPr="00577EB1">
        <w:rPr>
          <w:szCs w:val="20"/>
          <w:lang w:val="fr-FR"/>
        </w:rPr>
        <w:t>‘</w:t>
      </w:r>
      <w:r w:rsidRPr="0088426E">
        <w:rPr>
          <w:i/>
          <w:szCs w:val="20"/>
          <w:lang w:val="fr-FR"/>
        </w:rPr>
        <w:t>Rapport d</w:t>
      </w:r>
      <w:r w:rsidR="008A56CF" w:rsidRPr="00577EB1">
        <w:rPr>
          <w:i/>
          <w:szCs w:val="20"/>
          <w:lang w:val="fr-FR"/>
        </w:rPr>
        <w:t>’</w:t>
      </w:r>
      <w:r w:rsidR="00211888" w:rsidRPr="00577EB1">
        <w:rPr>
          <w:i/>
          <w:szCs w:val="20"/>
          <w:lang w:val="fr-FR"/>
        </w:rPr>
        <w:t>a</w:t>
      </w:r>
      <w:r w:rsidRPr="0088426E">
        <w:rPr>
          <w:i/>
          <w:szCs w:val="20"/>
          <w:lang w:val="fr-FR"/>
        </w:rPr>
        <w:t>ctivités 2008</w:t>
      </w:r>
      <w:r w:rsidR="008A56CF" w:rsidRPr="00577EB1">
        <w:rPr>
          <w:szCs w:val="20"/>
          <w:lang w:val="fr-FR"/>
        </w:rPr>
        <w:t>’</w:t>
      </w:r>
      <w:r w:rsidRPr="0088426E">
        <w:rPr>
          <w:szCs w:val="20"/>
          <w:lang w:val="fr-FR"/>
        </w:rPr>
        <w:t>. Ministère de l</w:t>
      </w:r>
      <w:r w:rsidR="008A56CF" w:rsidRPr="00577EB1">
        <w:rPr>
          <w:szCs w:val="20"/>
          <w:lang w:val="fr-FR"/>
        </w:rPr>
        <w:t>’</w:t>
      </w:r>
      <w:r w:rsidRPr="0088426E">
        <w:rPr>
          <w:szCs w:val="20"/>
          <w:lang w:val="fr-FR"/>
        </w:rPr>
        <w:t xml:space="preserve">Action Sociale et de la Solidarité Nationale. </w:t>
      </w:r>
      <w:r w:rsidR="00EB214A" w:rsidRPr="00D77891">
        <w:rPr>
          <w:szCs w:val="20"/>
          <w:lang w:val="fr-FR"/>
        </w:rPr>
        <w:t xml:space="preserve">Janvier. </w:t>
      </w:r>
      <w:r w:rsidR="00DF51D5" w:rsidRPr="005F6416">
        <w:rPr>
          <w:szCs w:val="20"/>
        </w:rPr>
        <w:t>Ouagadougou, Burkina Faso.</w:t>
      </w:r>
    </w:p>
    <w:p w:rsidR="00A23A26" w:rsidRDefault="002A3E44">
      <w:pPr>
        <w:tabs>
          <w:tab w:val="clear" w:pos="709"/>
          <w:tab w:val="left" w:pos="567"/>
        </w:tabs>
        <w:spacing w:after="120"/>
        <w:ind w:left="567" w:hanging="567"/>
        <w:rPr>
          <w:szCs w:val="20"/>
        </w:rPr>
      </w:pPr>
      <w:r>
        <w:rPr>
          <w:szCs w:val="20"/>
        </w:rPr>
        <w:t xml:space="preserve">Grosh, M., C. del Ninno, E. Tesliuc, and A. Ouerghi. </w:t>
      </w:r>
      <w:r w:rsidR="0088426E" w:rsidRPr="0088426E">
        <w:rPr>
          <w:szCs w:val="20"/>
        </w:rPr>
        <w:t xml:space="preserve">2008. </w:t>
      </w:r>
      <w:r w:rsidR="008A56CF" w:rsidRPr="0007340F">
        <w:rPr>
          <w:i/>
          <w:szCs w:val="20"/>
        </w:rPr>
        <w:t>‘</w:t>
      </w:r>
      <w:r w:rsidR="0088426E" w:rsidRPr="0088426E">
        <w:rPr>
          <w:i/>
          <w:szCs w:val="20"/>
        </w:rPr>
        <w:t xml:space="preserve">For Protection </w:t>
      </w:r>
      <w:r w:rsidR="00211888" w:rsidRPr="0007340F">
        <w:rPr>
          <w:i/>
          <w:szCs w:val="20"/>
        </w:rPr>
        <w:t>and</w:t>
      </w:r>
      <w:r w:rsidR="0088426E" w:rsidRPr="0088426E">
        <w:rPr>
          <w:i/>
          <w:szCs w:val="20"/>
        </w:rPr>
        <w:t xml:space="preserve"> Promotion: The Design and Implementation of Effective Safety Nets</w:t>
      </w:r>
      <w:r w:rsidR="008A56CF" w:rsidRPr="0007340F">
        <w:rPr>
          <w:i/>
          <w:szCs w:val="20"/>
        </w:rPr>
        <w:t>’</w:t>
      </w:r>
      <w:r w:rsidR="0088426E" w:rsidRPr="0088426E">
        <w:rPr>
          <w:i/>
          <w:szCs w:val="20"/>
        </w:rPr>
        <w:t xml:space="preserve">. </w:t>
      </w:r>
      <w:r w:rsidR="0088426E" w:rsidRPr="0088426E">
        <w:rPr>
          <w:szCs w:val="20"/>
        </w:rPr>
        <w:t>World Bank: Washington, DC.</w:t>
      </w:r>
    </w:p>
    <w:p w:rsidR="00A23A26" w:rsidRDefault="0088426E">
      <w:pPr>
        <w:tabs>
          <w:tab w:val="clear" w:pos="709"/>
          <w:tab w:val="left" w:pos="567"/>
        </w:tabs>
        <w:spacing w:after="120"/>
        <w:ind w:left="567" w:hanging="567"/>
        <w:rPr>
          <w:szCs w:val="20"/>
        </w:rPr>
      </w:pPr>
      <w:r w:rsidRPr="0088426E">
        <w:rPr>
          <w:szCs w:val="20"/>
        </w:rPr>
        <w:t xml:space="preserve">Gottschalk J., V. Manh Le, H. Lofgren and K. Nouve. 2009. </w:t>
      </w:r>
      <w:r w:rsidR="008A56CF" w:rsidRPr="0007340F">
        <w:rPr>
          <w:i/>
          <w:szCs w:val="20"/>
        </w:rPr>
        <w:t>‘</w:t>
      </w:r>
      <w:r w:rsidRPr="0088426E">
        <w:rPr>
          <w:i/>
          <w:szCs w:val="20"/>
        </w:rPr>
        <w:t>Analyzing Fiscal Space Using MAMS: An Application to Burkina Faso</w:t>
      </w:r>
      <w:r w:rsidR="008A56CF" w:rsidRPr="0007340F">
        <w:rPr>
          <w:i/>
          <w:szCs w:val="20"/>
        </w:rPr>
        <w:t>’</w:t>
      </w:r>
      <w:r w:rsidRPr="0088426E">
        <w:rPr>
          <w:szCs w:val="20"/>
        </w:rPr>
        <w:t xml:space="preserve">. International Monetary Fund Working Paper 09/227. </w:t>
      </w:r>
    </w:p>
    <w:p w:rsidR="00A23A26" w:rsidRDefault="0088426E">
      <w:pPr>
        <w:tabs>
          <w:tab w:val="clear" w:pos="709"/>
          <w:tab w:val="left" w:pos="567"/>
        </w:tabs>
        <w:spacing w:after="120"/>
        <w:ind w:left="567" w:hanging="567"/>
        <w:rPr>
          <w:szCs w:val="20"/>
          <w:lang w:val="fr-FR"/>
        </w:rPr>
      </w:pPr>
      <w:r w:rsidRPr="0088426E">
        <w:rPr>
          <w:szCs w:val="20"/>
        </w:rPr>
        <w:t xml:space="preserve">Government of Burkina Faso (GoBF). </w:t>
      </w:r>
      <w:r w:rsidRPr="0088426E">
        <w:rPr>
          <w:szCs w:val="20"/>
          <w:lang w:val="fr-FR"/>
        </w:rPr>
        <w:t xml:space="preserve">1996. </w:t>
      </w:r>
      <w:r w:rsidR="008A56CF" w:rsidRPr="00577EB1">
        <w:rPr>
          <w:i/>
          <w:szCs w:val="20"/>
          <w:lang w:val="fr-FR"/>
        </w:rPr>
        <w:t>‘</w:t>
      </w:r>
      <w:r w:rsidRPr="0088426E">
        <w:rPr>
          <w:i/>
          <w:szCs w:val="20"/>
          <w:lang w:val="fr-FR"/>
        </w:rPr>
        <w:t>Loi n°013/96/ADP portant orientation de l</w:t>
      </w:r>
      <w:r w:rsidR="008A56CF" w:rsidRPr="00577EB1">
        <w:rPr>
          <w:i/>
          <w:szCs w:val="20"/>
          <w:lang w:val="fr-FR"/>
        </w:rPr>
        <w:t>’</w:t>
      </w:r>
      <w:r w:rsidRPr="0088426E">
        <w:rPr>
          <w:i/>
          <w:szCs w:val="20"/>
          <w:lang w:val="fr-FR"/>
        </w:rPr>
        <w:t>éducation au Burkina Faso</w:t>
      </w:r>
      <w:r w:rsidR="008A56CF" w:rsidRPr="00577EB1">
        <w:rPr>
          <w:i/>
          <w:szCs w:val="20"/>
          <w:lang w:val="fr-FR"/>
        </w:rPr>
        <w:t>’</w:t>
      </w:r>
      <w:r w:rsidRPr="0088426E">
        <w:rPr>
          <w:szCs w:val="20"/>
          <w:lang w:val="fr-FR"/>
        </w:rPr>
        <w:t>. Ouagadougou, Burkina Faso.</w:t>
      </w:r>
    </w:p>
    <w:p w:rsidR="00A23A26" w:rsidRPr="008E7B13" w:rsidRDefault="0088426E">
      <w:pPr>
        <w:spacing w:after="120"/>
        <w:ind w:left="567" w:hanging="567"/>
        <w:rPr>
          <w:szCs w:val="20"/>
          <w:lang w:val="fr-FR"/>
        </w:rPr>
      </w:pPr>
      <w:r w:rsidRPr="0088426E">
        <w:rPr>
          <w:szCs w:val="20"/>
          <w:lang w:val="fr-FR"/>
        </w:rPr>
        <w:t xml:space="preserve">______. 2008a. </w:t>
      </w:r>
      <w:r w:rsidR="008A56CF" w:rsidRPr="00577EB1">
        <w:rPr>
          <w:i/>
          <w:szCs w:val="20"/>
          <w:lang w:val="fr-FR"/>
        </w:rPr>
        <w:t>‘</w:t>
      </w:r>
      <w:r w:rsidRPr="0088426E">
        <w:rPr>
          <w:i/>
          <w:szCs w:val="20"/>
          <w:lang w:val="fr-FR"/>
        </w:rPr>
        <w:t xml:space="preserve">Politique </w:t>
      </w:r>
      <w:r w:rsidR="00211888" w:rsidRPr="00577EB1">
        <w:rPr>
          <w:i/>
          <w:szCs w:val="20"/>
          <w:lang w:val="fr-FR"/>
        </w:rPr>
        <w:t>n</w:t>
      </w:r>
      <w:r w:rsidRPr="0088426E">
        <w:rPr>
          <w:i/>
          <w:szCs w:val="20"/>
          <w:lang w:val="fr-FR"/>
        </w:rPr>
        <w:t>ationale de l</w:t>
      </w:r>
      <w:r w:rsidR="008A56CF" w:rsidRPr="00577EB1">
        <w:rPr>
          <w:i/>
          <w:szCs w:val="20"/>
          <w:lang w:val="fr-FR"/>
        </w:rPr>
        <w:t>’</w:t>
      </w:r>
      <w:r w:rsidR="00211888" w:rsidRPr="00577EB1">
        <w:rPr>
          <w:i/>
          <w:szCs w:val="20"/>
          <w:lang w:val="fr-FR"/>
        </w:rPr>
        <w:t>e</w:t>
      </w:r>
      <w:r w:rsidRPr="0088426E">
        <w:rPr>
          <w:i/>
          <w:szCs w:val="20"/>
          <w:lang w:val="fr-FR"/>
        </w:rPr>
        <w:t>mploi</w:t>
      </w:r>
      <w:r w:rsidR="008A56CF" w:rsidRPr="00577EB1">
        <w:rPr>
          <w:i/>
          <w:szCs w:val="20"/>
          <w:lang w:val="fr-FR"/>
        </w:rPr>
        <w:t>’</w:t>
      </w:r>
      <w:r w:rsidRPr="0088426E">
        <w:rPr>
          <w:szCs w:val="20"/>
          <w:lang w:val="fr-FR"/>
        </w:rPr>
        <w:t xml:space="preserve">. </w:t>
      </w:r>
      <w:r w:rsidR="00EB214A" w:rsidRPr="008E7B13">
        <w:rPr>
          <w:szCs w:val="20"/>
          <w:lang w:val="fr-FR"/>
        </w:rPr>
        <w:t>March. Ouagadougou, Burkina Faso.</w:t>
      </w:r>
    </w:p>
    <w:p w:rsidR="00A23A26" w:rsidRDefault="00EB214A">
      <w:pPr>
        <w:spacing w:after="120"/>
        <w:ind w:left="567" w:hanging="567"/>
        <w:rPr>
          <w:szCs w:val="20"/>
          <w:lang w:val="fr-FR"/>
        </w:rPr>
      </w:pPr>
      <w:r w:rsidRPr="008E7B13">
        <w:rPr>
          <w:szCs w:val="20"/>
          <w:lang w:val="fr-FR"/>
        </w:rPr>
        <w:t xml:space="preserve">______. 2008b. </w:t>
      </w:r>
      <w:r w:rsidR="008A56CF" w:rsidRPr="00577EB1">
        <w:rPr>
          <w:i/>
          <w:szCs w:val="20"/>
          <w:lang w:val="fr-FR"/>
        </w:rPr>
        <w:t>‘</w:t>
      </w:r>
      <w:r w:rsidR="0088426E" w:rsidRPr="0088426E">
        <w:rPr>
          <w:i/>
          <w:szCs w:val="20"/>
          <w:lang w:val="fr-FR"/>
        </w:rPr>
        <w:t>Plan d</w:t>
      </w:r>
      <w:r w:rsidR="008A56CF" w:rsidRPr="00577EB1">
        <w:rPr>
          <w:i/>
          <w:szCs w:val="20"/>
          <w:lang w:val="fr-FR"/>
        </w:rPr>
        <w:t>’</w:t>
      </w:r>
      <w:r w:rsidR="0088426E" w:rsidRPr="0088426E">
        <w:rPr>
          <w:i/>
          <w:szCs w:val="20"/>
          <w:lang w:val="fr-FR"/>
        </w:rPr>
        <w:t xml:space="preserve">Action Opérationnel (PAO) pour la mise en œuvre de la </w:t>
      </w:r>
      <w:r w:rsidR="00211888" w:rsidRPr="00577EB1">
        <w:rPr>
          <w:i/>
          <w:szCs w:val="20"/>
          <w:lang w:val="fr-FR"/>
        </w:rPr>
        <w:t>p</w:t>
      </w:r>
      <w:r w:rsidR="0088426E" w:rsidRPr="0088426E">
        <w:rPr>
          <w:i/>
          <w:szCs w:val="20"/>
          <w:lang w:val="fr-FR"/>
        </w:rPr>
        <w:t xml:space="preserve">olitique </w:t>
      </w:r>
      <w:r w:rsidR="00211888" w:rsidRPr="00577EB1">
        <w:rPr>
          <w:i/>
          <w:szCs w:val="20"/>
          <w:lang w:val="fr-FR"/>
        </w:rPr>
        <w:t>n</w:t>
      </w:r>
      <w:r w:rsidR="0088426E" w:rsidRPr="0088426E">
        <w:rPr>
          <w:i/>
          <w:szCs w:val="20"/>
          <w:lang w:val="fr-FR"/>
        </w:rPr>
        <w:t>ationale de l</w:t>
      </w:r>
      <w:r w:rsidR="008A56CF" w:rsidRPr="00577EB1">
        <w:rPr>
          <w:i/>
          <w:szCs w:val="20"/>
          <w:lang w:val="fr-FR"/>
        </w:rPr>
        <w:t>’</w:t>
      </w:r>
      <w:r w:rsidR="00211888" w:rsidRPr="00577EB1">
        <w:rPr>
          <w:i/>
          <w:szCs w:val="20"/>
          <w:lang w:val="fr-FR"/>
        </w:rPr>
        <w:t>e</w:t>
      </w:r>
      <w:r w:rsidR="0088426E" w:rsidRPr="0088426E">
        <w:rPr>
          <w:i/>
          <w:szCs w:val="20"/>
          <w:lang w:val="fr-FR"/>
        </w:rPr>
        <w:t>mploi</w:t>
      </w:r>
      <w:r w:rsidR="008A56CF" w:rsidRPr="00577EB1">
        <w:rPr>
          <w:i/>
          <w:szCs w:val="20"/>
          <w:lang w:val="fr-FR"/>
        </w:rPr>
        <w:t>’</w:t>
      </w:r>
      <w:r w:rsidR="0088426E" w:rsidRPr="0088426E">
        <w:rPr>
          <w:szCs w:val="20"/>
          <w:lang w:val="fr-FR"/>
        </w:rPr>
        <w:t>. March. Ouagadougou, Burkina Faso.</w:t>
      </w:r>
    </w:p>
    <w:p w:rsidR="00A23A26" w:rsidRDefault="0088426E">
      <w:pPr>
        <w:spacing w:after="120"/>
        <w:ind w:left="567" w:hanging="567"/>
        <w:rPr>
          <w:szCs w:val="20"/>
          <w:lang w:val="fr-FR"/>
        </w:rPr>
      </w:pPr>
      <w:r w:rsidRPr="0088426E">
        <w:rPr>
          <w:szCs w:val="20"/>
          <w:lang w:val="fr-FR"/>
        </w:rPr>
        <w:lastRenderedPageBreak/>
        <w:t xml:space="preserve">______. 2008c. </w:t>
      </w:r>
      <w:r w:rsidR="008A56CF" w:rsidRPr="00577EB1">
        <w:rPr>
          <w:i/>
          <w:szCs w:val="20"/>
          <w:lang w:val="fr-FR"/>
        </w:rPr>
        <w:t>‘</w:t>
      </w:r>
      <w:r w:rsidRPr="0088426E">
        <w:rPr>
          <w:i/>
          <w:szCs w:val="20"/>
          <w:lang w:val="fr-FR"/>
        </w:rPr>
        <w:t>Plan d</w:t>
      </w:r>
      <w:r w:rsidR="008A56CF" w:rsidRPr="00577EB1">
        <w:rPr>
          <w:i/>
          <w:szCs w:val="20"/>
          <w:lang w:val="fr-FR"/>
        </w:rPr>
        <w:t>’</w:t>
      </w:r>
      <w:r w:rsidRPr="0088426E">
        <w:rPr>
          <w:i/>
          <w:szCs w:val="20"/>
          <w:lang w:val="fr-FR"/>
        </w:rPr>
        <w:t>Urgence pour la réalisation de la sécurité alimentaire et nutritionnelle au Burkina Faso</w:t>
      </w:r>
      <w:r w:rsidR="008A56CF" w:rsidRPr="00577EB1">
        <w:rPr>
          <w:i/>
          <w:szCs w:val="20"/>
          <w:lang w:val="fr-FR"/>
        </w:rPr>
        <w:t>’</w:t>
      </w:r>
      <w:r w:rsidRPr="0088426E">
        <w:rPr>
          <w:szCs w:val="20"/>
          <w:lang w:val="fr-FR"/>
        </w:rPr>
        <w:t xml:space="preserve">. </w:t>
      </w:r>
      <w:r w:rsidR="001E448E" w:rsidRPr="00577EB1">
        <w:rPr>
          <w:szCs w:val="20"/>
          <w:lang w:val="fr-FR"/>
        </w:rPr>
        <w:t>Juin</w:t>
      </w:r>
      <w:r w:rsidRPr="0088426E">
        <w:rPr>
          <w:szCs w:val="20"/>
          <w:lang w:val="fr-FR"/>
        </w:rPr>
        <w:t>. Ouagadougou, Burkina Faso.</w:t>
      </w:r>
    </w:p>
    <w:p w:rsidR="00A23A26" w:rsidRDefault="0088426E">
      <w:pPr>
        <w:spacing w:after="120"/>
        <w:ind w:left="567" w:hanging="567"/>
        <w:rPr>
          <w:szCs w:val="20"/>
          <w:lang w:val="fr-FR"/>
        </w:rPr>
      </w:pPr>
      <w:r w:rsidRPr="0088426E">
        <w:rPr>
          <w:szCs w:val="20"/>
          <w:lang w:val="fr-FR"/>
        </w:rPr>
        <w:t xml:space="preserve">______. 2009a. </w:t>
      </w:r>
      <w:r w:rsidR="008A56CF" w:rsidRPr="00577EB1">
        <w:rPr>
          <w:i/>
          <w:szCs w:val="20"/>
          <w:lang w:val="fr-FR"/>
        </w:rPr>
        <w:t>‘</w:t>
      </w:r>
      <w:r w:rsidRPr="0088426E">
        <w:rPr>
          <w:i/>
          <w:szCs w:val="20"/>
          <w:lang w:val="fr-FR"/>
        </w:rPr>
        <w:t>Plan National Multiri</w:t>
      </w:r>
      <w:r w:rsidR="001E448E" w:rsidRPr="00577EB1">
        <w:rPr>
          <w:i/>
          <w:szCs w:val="20"/>
          <w:lang w:val="fr-FR"/>
        </w:rPr>
        <w:t>s</w:t>
      </w:r>
      <w:r w:rsidRPr="0088426E">
        <w:rPr>
          <w:i/>
          <w:szCs w:val="20"/>
          <w:lang w:val="fr-FR"/>
        </w:rPr>
        <w:t xml:space="preserve">ques de </w:t>
      </w:r>
      <w:r w:rsidR="0070324D" w:rsidRPr="00577EB1">
        <w:rPr>
          <w:i/>
          <w:szCs w:val="20"/>
          <w:lang w:val="fr-FR"/>
        </w:rPr>
        <w:t>préparation et de réponse aux catastrophes. préparation, interventions de premiers secours, réhabilitation et reconstruction. période couverte</w:t>
      </w:r>
      <w:r w:rsidR="0007340F">
        <w:rPr>
          <w:i/>
          <w:szCs w:val="20"/>
          <w:lang w:val="fr-FR"/>
        </w:rPr>
        <w:t xml:space="preserve"> </w:t>
      </w:r>
      <w:r w:rsidR="0070324D" w:rsidRPr="00577EB1">
        <w:rPr>
          <w:i/>
          <w:szCs w:val="20"/>
          <w:lang w:val="fr-FR"/>
        </w:rPr>
        <w:t xml:space="preserve">janvier à décembre </w:t>
      </w:r>
      <w:r w:rsidRPr="0088426E">
        <w:rPr>
          <w:i/>
          <w:szCs w:val="20"/>
          <w:lang w:val="fr-FR"/>
        </w:rPr>
        <w:t>2009</w:t>
      </w:r>
      <w:r w:rsidR="008A56CF" w:rsidRPr="00577EB1">
        <w:rPr>
          <w:i/>
          <w:szCs w:val="20"/>
          <w:lang w:val="fr-FR"/>
        </w:rPr>
        <w:t>’</w:t>
      </w:r>
      <w:r w:rsidRPr="0088426E">
        <w:rPr>
          <w:szCs w:val="20"/>
          <w:lang w:val="fr-FR"/>
        </w:rPr>
        <w:t>. Ouagadougou, Burkina Faso.</w:t>
      </w:r>
    </w:p>
    <w:p w:rsidR="00A23A26" w:rsidRDefault="0088426E">
      <w:pPr>
        <w:spacing w:after="120"/>
        <w:ind w:left="567" w:hanging="567"/>
        <w:rPr>
          <w:szCs w:val="20"/>
          <w:lang w:val="fr-FR"/>
        </w:rPr>
      </w:pPr>
      <w:r w:rsidRPr="0088426E">
        <w:rPr>
          <w:szCs w:val="20"/>
          <w:lang w:val="fr-FR"/>
        </w:rPr>
        <w:t xml:space="preserve"> ______. 2009b. </w:t>
      </w:r>
      <w:r w:rsidR="008A56CF" w:rsidRPr="00577EB1">
        <w:rPr>
          <w:i/>
          <w:szCs w:val="20"/>
          <w:lang w:val="fr-FR"/>
        </w:rPr>
        <w:t>‘</w:t>
      </w:r>
      <w:r w:rsidRPr="0088426E">
        <w:rPr>
          <w:i/>
          <w:szCs w:val="20"/>
          <w:lang w:val="fr-FR"/>
        </w:rPr>
        <w:t xml:space="preserve">Rapport </w:t>
      </w:r>
      <w:r w:rsidR="0070324D" w:rsidRPr="00577EB1">
        <w:rPr>
          <w:i/>
          <w:szCs w:val="20"/>
          <w:lang w:val="fr-FR"/>
        </w:rPr>
        <w:t>national sur la sécurité alimentaire</w:t>
      </w:r>
      <w:r w:rsidR="008A56CF" w:rsidRPr="00577EB1">
        <w:rPr>
          <w:i/>
          <w:szCs w:val="20"/>
          <w:lang w:val="fr-FR"/>
        </w:rPr>
        <w:t>’</w:t>
      </w:r>
      <w:r w:rsidRPr="0088426E">
        <w:rPr>
          <w:szCs w:val="20"/>
          <w:lang w:val="fr-FR"/>
        </w:rPr>
        <w:t xml:space="preserve">. </w:t>
      </w:r>
      <w:r w:rsidRPr="0088426E">
        <w:rPr>
          <w:szCs w:val="20"/>
        </w:rPr>
        <w:t xml:space="preserve">Document prepared for the World Summit on Food Security. </w:t>
      </w:r>
      <w:r w:rsidRPr="0088426E">
        <w:rPr>
          <w:szCs w:val="20"/>
          <w:lang w:val="fr-FR"/>
        </w:rPr>
        <w:t>Octob</w:t>
      </w:r>
      <w:r w:rsidR="001E448E" w:rsidRPr="00577EB1">
        <w:rPr>
          <w:szCs w:val="20"/>
          <w:lang w:val="fr-FR"/>
        </w:rPr>
        <w:t>re</w:t>
      </w:r>
      <w:r w:rsidRPr="0088426E">
        <w:rPr>
          <w:szCs w:val="20"/>
          <w:lang w:val="fr-FR"/>
        </w:rPr>
        <w:t>. Ouagadougou, Burkina Faso.</w:t>
      </w:r>
    </w:p>
    <w:p w:rsidR="00A23A26" w:rsidRDefault="0088426E">
      <w:pPr>
        <w:spacing w:after="120"/>
        <w:ind w:left="567" w:hanging="567"/>
        <w:rPr>
          <w:szCs w:val="20"/>
          <w:lang w:val="fr-FR"/>
        </w:rPr>
      </w:pPr>
      <w:r w:rsidRPr="0088426E">
        <w:rPr>
          <w:szCs w:val="20"/>
          <w:lang w:val="fr-FR"/>
        </w:rPr>
        <w:t xml:space="preserve">______. 2010. </w:t>
      </w:r>
      <w:r w:rsidR="008A56CF" w:rsidRPr="00577EB1">
        <w:rPr>
          <w:i/>
          <w:szCs w:val="20"/>
          <w:lang w:val="fr-FR"/>
        </w:rPr>
        <w:t>‘</w:t>
      </w:r>
      <w:r w:rsidRPr="0088426E">
        <w:rPr>
          <w:i/>
          <w:szCs w:val="20"/>
          <w:lang w:val="fr-FR"/>
        </w:rPr>
        <w:t xml:space="preserve">Stratégie de </w:t>
      </w:r>
      <w:r w:rsidR="0070324D" w:rsidRPr="00577EB1">
        <w:rPr>
          <w:i/>
          <w:szCs w:val="20"/>
          <w:lang w:val="fr-FR"/>
        </w:rPr>
        <w:t xml:space="preserve">croissance accélérée et de développement durable </w:t>
      </w:r>
      <w:r w:rsidRPr="0088426E">
        <w:rPr>
          <w:i/>
          <w:szCs w:val="20"/>
          <w:lang w:val="fr-FR"/>
        </w:rPr>
        <w:t>(SCADD) 2011-2015. Canevas de rédaction</w:t>
      </w:r>
      <w:r w:rsidR="008A56CF" w:rsidRPr="00577EB1">
        <w:rPr>
          <w:i/>
          <w:szCs w:val="20"/>
          <w:lang w:val="fr-FR"/>
        </w:rPr>
        <w:t>’</w:t>
      </w:r>
      <w:r w:rsidRPr="0088426E">
        <w:rPr>
          <w:szCs w:val="20"/>
          <w:lang w:val="fr-FR"/>
        </w:rPr>
        <w:t xml:space="preserve">. </w:t>
      </w:r>
      <w:r w:rsidR="001E448E" w:rsidRPr="00577EB1">
        <w:rPr>
          <w:szCs w:val="20"/>
          <w:lang w:val="fr-FR"/>
        </w:rPr>
        <w:t>Février</w:t>
      </w:r>
      <w:r w:rsidRPr="0088426E">
        <w:rPr>
          <w:szCs w:val="20"/>
          <w:lang w:val="fr-FR"/>
        </w:rPr>
        <w:t>. Ouagadougou, Burkina Faso.</w:t>
      </w:r>
    </w:p>
    <w:p w:rsidR="00A23A26" w:rsidRDefault="0088426E">
      <w:pPr>
        <w:tabs>
          <w:tab w:val="clear" w:pos="709"/>
          <w:tab w:val="left" w:pos="567"/>
        </w:tabs>
        <w:spacing w:after="120"/>
        <w:ind w:left="567" w:hanging="567"/>
        <w:rPr>
          <w:szCs w:val="20"/>
          <w:lang w:val="fr-FR"/>
        </w:rPr>
      </w:pPr>
      <w:r w:rsidRPr="0088426E">
        <w:rPr>
          <w:szCs w:val="20"/>
          <w:lang w:val="fr-FR"/>
        </w:rPr>
        <w:t xml:space="preserve">Helvetas. 2008. </w:t>
      </w:r>
      <w:r w:rsidR="008A56CF" w:rsidRPr="00577EB1">
        <w:rPr>
          <w:i/>
          <w:szCs w:val="20"/>
          <w:lang w:val="fr-FR"/>
        </w:rPr>
        <w:t>‘</w:t>
      </w:r>
      <w:r w:rsidRPr="0088426E">
        <w:rPr>
          <w:i/>
          <w:szCs w:val="20"/>
          <w:lang w:val="fr-FR"/>
        </w:rPr>
        <w:t>Rapport de fin de phase du Program Pistes Rurales</w:t>
      </w:r>
      <w:r w:rsidR="0007340F">
        <w:rPr>
          <w:i/>
          <w:szCs w:val="20"/>
          <w:lang w:val="fr-FR"/>
        </w:rPr>
        <w:t xml:space="preserve"> </w:t>
      </w:r>
      <w:r w:rsidRPr="0088426E">
        <w:rPr>
          <w:i/>
          <w:szCs w:val="20"/>
          <w:lang w:val="fr-FR"/>
        </w:rPr>
        <w:t>Désenclavement à l</w:t>
      </w:r>
      <w:r w:rsidR="008A56CF" w:rsidRPr="00577EB1">
        <w:rPr>
          <w:i/>
          <w:szCs w:val="20"/>
          <w:lang w:val="fr-FR"/>
        </w:rPr>
        <w:t>’</w:t>
      </w:r>
      <w:r w:rsidRPr="0088426E">
        <w:rPr>
          <w:i/>
          <w:szCs w:val="20"/>
          <w:lang w:val="fr-FR"/>
        </w:rPr>
        <w:t>Est</w:t>
      </w:r>
      <w:r w:rsidR="0007340F">
        <w:rPr>
          <w:i/>
          <w:szCs w:val="20"/>
          <w:lang w:val="fr-FR"/>
        </w:rPr>
        <w:t xml:space="preserve"> </w:t>
      </w:r>
      <w:r w:rsidRPr="0088426E">
        <w:rPr>
          <w:i/>
          <w:szCs w:val="20"/>
          <w:lang w:val="fr-FR"/>
        </w:rPr>
        <w:t>(PrEst)</w:t>
      </w:r>
      <w:r w:rsidR="0007340F">
        <w:rPr>
          <w:i/>
          <w:szCs w:val="20"/>
          <w:lang w:val="fr-FR"/>
        </w:rPr>
        <w:t xml:space="preserve"> </w:t>
      </w:r>
      <w:r w:rsidRPr="0088426E">
        <w:rPr>
          <w:i/>
          <w:szCs w:val="20"/>
          <w:lang w:val="fr-FR"/>
        </w:rPr>
        <w:t>Octobre 2004-Mars 2008</w:t>
      </w:r>
      <w:r w:rsidR="008A56CF" w:rsidRPr="00577EB1">
        <w:rPr>
          <w:i/>
          <w:szCs w:val="20"/>
          <w:lang w:val="fr-FR"/>
        </w:rPr>
        <w:t>’</w:t>
      </w:r>
      <w:r w:rsidRPr="0088426E">
        <w:rPr>
          <w:szCs w:val="20"/>
          <w:lang w:val="fr-FR"/>
        </w:rPr>
        <w:t>. March. Ouagadougou, Burkina Faso.</w:t>
      </w:r>
    </w:p>
    <w:p w:rsidR="00A23A26" w:rsidRDefault="0088426E">
      <w:pPr>
        <w:tabs>
          <w:tab w:val="clear" w:pos="709"/>
          <w:tab w:val="left" w:pos="567"/>
        </w:tabs>
        <w:spacing w:after="120"/>
        <w:ind w:left="567" w:hanging="567"/>
        <w:rPr>
          <w:szCs w:val="20"/>
        </w:rPr>
      </w:pPr>
      <w:r w:rsidRPr="0088426E">
        <w:rPr>
          <w:szCs w:val="20"/>
          <w:lang w:val="fr-FR"/>
        </w:rPr>
        <w:t xml:space="preserve">Institut de Recherche pour le Développement (IRD). 2009. </w:t>
      </w:r>
      <w:r w:rsidR="008A56CF" w:rsidRPr="00577EB1">
        <w:rPr>
          <w:i/>
          <w:szCs w:val="20"/>
          <w:lang w:val="fr-FR"/>
        </w:rPr>
        <w:t>‘</w:t>
      </w:r>
      <w:r w:rsidRPr="0088426E">
        <w:rPr>
          <w:i/>
          <w:szCs w:val="20"/>
          <w:lang w:val="fr-FR"/>
        </w:rPr>
        <w:t>Évaluation du processus d</w:t>
      </w:r>
      <w:r w:rsidR="008A56CF" w:rsidRPr="00577EB1">
        <w:rPr>
          <w:i/>
          <w:szCs w:val="20"/>
          <w:lang w:val="fr-FR"/>
        </w:rPr>
        <w:t>’</w:t>
      </w:r>
      <w:r w:rsidRPr="0088426E">
        <w:rPr>
          <w:i/>
          <w:szCs w:val="20"/>
          <w:lang w:val="fr-FR"/>
        </w:rPr>
        <w:t>identification des ménages bénéficiaires dans le cadre de l</w:t>
      </w:r>
      <w:r w:rsidR="008A56CF" w:rsidRPr="00577EB1">
        <w:rPr>
          <w:i/>
          <w:szCs w:val="20"/>
          <w:lang w:val="fr-FR"/>
        </w:rPr>
        <w:t>’</w:t>
      </w:r>
      <w:r w:rsidRPr="0088426E">
        <w:rPr>
          <w:i/>
          <w:szCs w:val="20"/>
          <w:lang w:val="fr-FR"/>
        </w:rPr>
        <w:t>opération d</w:t>
      </w:r>
      <w:r w:rsidR="008A56CF" w:rsidRPr="00577EB1">
        <w:rPr>
          <w:i/>
          <w:szCs w:val="20"/>
          <w:lang w:val="fr-FR"/>
        </w:rPr>
        <w:t>’</w:t>
      </w:r>
      <w:r w:rsidRPr="0088426E">
        <w:rPr>
          <w:i/>
          <w:szCs w:val="20"/>
          <w:lang w:val="fr-FR"/>
        </w:rPr>
        <w:t>urgence d</w:t>
      </w:r>
      <w:r w:rsidR="008A56CF" w:rsidRPr="00577EB1">
        <w:rPr>
          <w:i/>
          <w:szCs w:val="20"/>
          <w:lang w:val="fr-FR"/>
        </w:rPr>
        <w:t>’</w:t>
      </w:r>
      <w:r w:rsidRPr="0088426E">
        <w:rPr>
          <w:i/>
          <w:szCs w:val="20"/>
          <w:lang w:val="fr-FR"/>
        </w:rPr>
        <w:t>assistance aux ménages pauvres et très pauvres de la ville de Ouagadougou (Burkina Faso</w:t>
      </w:r>
      <w:r w:rsidR="0007340F">
        <w:rPr>
          <w:i/>
          <w:szCs w:val="20"/>
          <w:lang w:val="fr-FR"/>
        </w:rPr>
        <w:t xml:space="preserve"> </w:t>
      </w:r>
      <w:r w:rsidRPr="0088426E">
        <w:rPr>
          <w:i/>
          <w:szCs w:val="20"/>
          <w:lang w:val="fr-FR"/>
        </w:rPr>
        <w:t>EMOP 10773.0)</w:t>
      </w:r>
      <w:r w:rsidR="008A56CF" w:rsidRPr="00577EB1">
        <w:rPr>
          <w:i/>
          <w:szCs w:val="20"/>
          <w:lang w:val="fr-FR"/>
        </w:rPr>
        <w:t>’</w:t>
      </w:r>
      <w:r w:rsidRPr="0088426E">
        <w:rPr>
          <w:szCs w:val="20"/>
          <w:lang w:val="fr-FR"/>
        </w:rPr>
        <w:t xml:space="preserve">. </w:t>
      </w:r>
      <w:r w:rsidRPr="008E7B13">
        <w:rPr>
          <w:szCs w:val="20"/>
          <w:lang w:val="fr-FR"/>
        </w:rPr>
        <w:t>Preliminary Report. 2</w:t>
      </w:r>
      <w:r w:rsidRPr="008E7B13">
        <w:rPr>
          <w:szCs w:val="20"/>
          <w:vertAlign w:val="superscript"/>
          <w:lang w:val="fr-FR"/>
        </w:rPr>
        <w:t>nd</w:t>
      </w:r>
      <w:r w:rsidRPr="008E7B13">
        <w:rPr>
          <w:szCs w:val="20"/>
          <w:lang w:val="fr-FR"/>
        </w:rPr>
        <w:t xml:space="preserve"> version. November. </w:t>
      </w:r>
      <w:r w:rsidRPr="0088426E">
        <w:rPr>
          <w:szCs w:val="20"/>
        </w:rPr>
        <w:t>Ouagadougou, Burkina Faso.</w:t>
      </w:r>
    </w:p>
    <w:p w:rsidR="00A23A26" w:rsidRDefault="0088426E">
      <w:pPr>
        <w:tabs>
          <w:tab w:val="clear" w:pos="709"/>
          <w:tab w:val="left" w:pos="567"/>
        </w:tabs>
        <w:spacing w:after="120"/>
        <w:ind w:left="567" w:hanging="567"/>
        <w:rPr>
          <w:szCs w:val="20"/>
          <w:lang w:val="fr-FR"/>
        </w:rPr>
      </w:pPr>
      <w:r w:rsidRPr="0088426E">
        <w:rPr>
          <w:szCs w:val="20"/>
        </w:rPr>
        <w:t xml:space="preserve">International Labor Office [ILO] and World Health Organisation [WHO]. 2009. </w:t>
      </w:r>
      <w:r w:rsidR="008A56CF" w:rsidRPr="0007340F">
        <w:rPr>
          <w:i/>
          <w:szCs w:val="20"/>
        </w:rPr>
        <w:t>‘</w:t>
      </w:r>
      <w:r w:rsidRPr="0088426E">
        <w:rPr>
          <w:i/>
          <w:szCs w:val="20"/>
        </w:rPr>
        <w:t xml:space="preserve">The Social Protection Floor. A </w:t>
      </w:r>
      <w:r w:rsidR="008E2104" w:rsidRPr="0007340F">
        <w:rPr>
          <w:i/>
          <w:szCs w:val="20"/>
        </w:rPr>
        <w:t>J</w:t>
      </w:r>
      <w:r w:rsidRPr="0088426E">
        <w:rPr>
          <w:i/>
          <w:szCs w:val="20"/>
        </w:rPr>
        <w:t>oint Crisis Initiative of the UN Chief Executives Board for Co-ordination on the Social Protection Floor</w:t>
      </w:r>
      <w:r w:rsidR="008A56CF" w:rsidRPr="0007340F">
        <w:rPr>
          <w:i/>
          <w:szCs w:val="20"/>
        </w:rPr>
        <w:t>’</w:t>
      </w:r>
      <w:r w:rsidRPr="0088426E">
        <w:rPr>
          <w:szCs w:val="20"/>
        </w:rPr>
        <w:t xml:space="preserve">. </w:t>
      </w:r>
      <w:r w:rsidRPr="0088426E">
        <w:rPr>
          <w:szCs w:val="20"/>
          <w:lang w:val="fr-FR"/>
        </w:rPr>
        <w:t>October. Geneva, Switzerland.</w:t>
      </w:r>
    </w:p>
    <w:p w:rsidR="00A23A26" w:rsidRDefault="00EB214A">
      <w:pPr>
        <w:tabs>
          <w:tab w:val="clear" w:pos="709"/>
          <w:tab w:val="left" w:pos="567"/>
        </w:tabs>
        <w:spacing w:after="120"/>
        <w:ind w:left="567" w:hanging="567"/>
        <w:rPr>
          <w:szCs w:val="20"/>
        </w:rPr>
      </w:pPr>
      <w:r w:rsidRPr="00506921">
        <w:rPr>
          <w:szCs w:val="20"/>
        </w:rPr>
        <w:t xml:space="preserve">James, C., </w:t>
      </w:r>
      <w:r w:rsidRPr="00506921">
        <w:rPr>
          <w:i/>
          <w:szCs w:val="20"/>
        </w:rPr>
        <w:t>et coll.</w:t>
      </w:r>
      <w:r w:rsidRPr="00506921">
        <w:rPr>
          <w:szCs w:val="20"/>
        </w:rPr>
        <w:t xml:space="preserve"> </w:t>
      </w:r>
      <w:r w:rsidRPr="00EB214A">
        <w:rPr>
          <w:szCs w:val="20"/>
        </w:rPr>
        <w:t xml:space="preserve">2005. </w:t>
      </w:r>
      <w:r w:rsidR="008A56CF" w:rsidRPr="0007340F">
        <w:rPr>
          <w:i/>
          <w:szCs w:val="20"/>
        </w:rPr>
        <w:t>‘</w:t>
      </w:r>
      <w:r w:rsidR="0088426E" w:rsidRPr="0088426E">
        <w:rPr>
          <w:i/>
          <w:szCs w:val="20"/>
        </w:rPr>
        <w:t>Impact on child mortality of removing user fees: simulation model</w:t>
      </w:r>
      <w:r w:rsidR="008A56CF" w:rsidRPr="0007340F">
        <w:rPr>
          <w:i/>
          <w:szCs w:val="20"/>
        </w:rPr>
        <w:t>’</w:t>
      </w:r>
      <w:r w:rsidR="0088426E" w:rsidRPr="0088426E">
        <w:rPr>
          <w:szCs w:val="20"/>
        </w:rPr>
        <w:t>. British Medical Journal, 2005. 331(7519): p. 747-9.</w:t>
      </w:r>
    </w:p>
    <w:p w:rsidR="00A23A26" w:rsidRDefault="0088426E">
      <w:pPr>
        <w:tabs>
          <w:tab w:val="clear" w:pos="709"/>
          <w:tab w:val="left" w:pos="567"/>
        </w:tabs>
        <w:spacing w:after="120"/>
        <w:ind w:left="567" w:hanging="567"/>
        <w:rPr>
          <w:szCs w:val="20"/>
        </w:rPr>
      </w:pPr>
      <w:r w:rsidRPr="0088426E">
        <w:rPr>
          <w:szCs w:val="20"/>
        </w:rPr>
        <w:t xml:space="preserve">Kazianga, H., de Walque, D., and Alderman, H. 2008. </w:t>
      </w:r>
      <w:r w:rsidR="008A56CF" w:rsidRPr="0007340F">
        <w:rPr>
          <w:i/>
          <w:szCs w:val="20"/>
        </w:rPr>
        <w:t>‘</w:t>
      </w:r>
      <w:r w:rsidRPr="0088426E">
        <w:rPr>
          <w:i/>
          <w:szCs w:val="20"/>
        </w:rPr>
        <w:t>Educational and Health Impact of Two School Feeding Schemes: Evidence from a Randomized Trial in Rural Burkina Faso</w:t>
      </w:r>
      <w:r w:rsidR="008A56CF" w:rsidRPr="0007340F">
        <w:rPr>
          <w:i/>
          <w:szCs w:val="20"/>
        </w:rPr>
        <w:t>’</w:t>
      </w:r>
      <w:r w:rsidRPr="0088426E">
        <w:rPr>
          <w:szCs w:val="20"/>
        </w:rPr>
        <w:t>. December.</w:t>
      </w:r>
    </w:p>
    <w:p w:rsidR="00A23A26" w:rsidRDefault="0088426E">
      <w:pPr>
        <w:tabs>
          <w:tab w:val="clear" w:pos="709"/>
          <w:tab w:val="left" w:pos="567"/>
        </w:tabs>
        <w:spacing w:after="120"/>
        <w:ind w:left="567" w:hanging="567"/>
        <w:rPr>
          <w:szCs w:val="20"/>
        </w:rPr>
      </w:pPr>
      <w:r w:rsidRPr="0088426E">
        <w:rPr>
          <w:szCs w:val="20"/>
        </w:rPr>
        <w:t xml:space="preserve">Kildal, N. and S. Kuhnle. 2002. </w:t>
      </w:r>
      <w:r w:rsidR="008A56CF" w:rsidRPr="0007340F">
        <w:rPr>
          <w:i/>
          <w:szCs w:val="20"/>
        </w:rPr>
        <w:t>‘</w:t>
      </w:r>
      <w:r w:rsidRPr="0088426E">
        <w:rPr>
          <w:i/>
          <w:szCs w:val="20"/>
        </w:rPr>
        <w:t xml:space="preserve">The </w:t>
      </w:r>
      <w:r w:rsidR="008E2104" w:rsidRPr="0007340F">
        <w:rPr>
          <w:i/>
          <w:szCs w:val="20"/>
        </w:rPr>
        <w:t>P</w:t>
      </w:r>
      <w:r w:rsidRPr="0088426E">
        <w:rPr>
          <w:i/>
          <w:szCs w:val="20"/>
        </w:rPr>
        <w:t>rinciple of Universalism: Tracing a Key Idea in the Scandinavian Welfare Model</w:t>
      </w:r>
      <w:r w:rsidR="008A56CF" w:rsidRPr="0007340F">
        <w:rPr>
          <w:i/>
          <w:szCs w:val="20"/>
        </w:rPr>
        <w:t>’</w:t>
      </w:r>
      <w:r w:rsidRPr="0088426E">
        <w:rPr>
          <w:szCs w:val="20"/>
        </w:rPr>
        <w:t>. Paper presented at the First Conference of the European Social policy Research Network, Social Values, Social Policies. Tilburg University, Tilburg, The Netherlands, 29-31 August 2002.</w:t>
      </w:r>
    </w:p>
    <w:p w:rsidR="0085676D" w:rsidRPr="0007340F" w:rsidRDefault="0088426E" w:rsidP="00464554">
      <w:pPr>
        <w:tabs>
          <w:tab w:val="clear" w:pos="709"/>
          <w:tab w:val="left" w:pos="567"/>
        </w:tabs>
        <w:spacing w:before="120" w:after="120"/>
        <w:ind w:left="567" w:hanging="567"/>
        <w:rPr>
          <w:szCs w:val="20"/>
        </w:rPr>
      </w:pPr>
      <w:r w:rsidRPr="0088426E">
        <w:rPr>
          <w:szCs w:val="20"/>
        </w:rPr>
        <w:t xml:space="preserve">Meessen, B, </w:t>
      </w:r>
      <w:r w:rsidRPr="0088426E">
        <w:rPr>
          <w:i/>
          <w:szCs w:val="20"/>
        </w:rPr>
        <w:t xml:space="preserve">et </w:t>
      </w:r>
      <w:r w:rsidR="005E551A">
        <w:rPr>
          <w:i/>
          <w:szCs w:val="20"/>
        </w:rPr>
        <w:t>coll</w:t>
      </w:r>
      <w:r w:rsidRPr="0088426E">
        <w:rPr>
          <w:i/>
          <w:szCs w:val="20"/>
        </w:rPr>
        <w:t>. 2</w:t>
      </w:r>
      <w:r w:rsidRPr="0088426E">
        <w:rPr>
          <w:szCs w:val="20"/>
        </w:rPr>
        <w:t xml:space="preserve">009. </w:t>
      </w:r>
      <w:r w:rsidR="008A56CF" w:rsidRPr="0007340F">
        <w:rPr>
          <w:i/>
          <w:szCs w:val="20"/>
        </w:rPr>
        <w:t>‘</w:t>
      </w:r>
      <w:r w:rsidRPr="0088426E">
        <w:rPr>
          <w:i/>
          <w:szCs w:val="20"/>
        </w:rPr>
        <w:t xml:space="preserve">Removing User Fees in the Health </w:t>
      </w:r>
      <w:r w:rsidR="0085676D" w:rsidRPr="0007340F">
        <w:rPr>
          <w:i/>
          <w:szCs w:val="20"/>
        </w:rPr>
        <w:t xml:space="preserve">Sector in </w:t>
      </w:r>
      <w:r w:rsidR="00BE138B" w:rsidRPr="0007340F">
        <w:rPr>
          <w:i/>
          <w:szCs w:val="20"/>
        </w:rPr>
        <w:t xml:space="preserve">Low </w:t>
      </w:r>
      <w:r w:rsidR="008E2104" w:rsidRPr="0007340F">
        <w:rPr>
          <w:i/>
          <w:szCs w:val="20"/>
        </w:rPr>
        <w:t>I</w:t>
      </w:r>
      <w:r w:rsidR="00BE138B" w:rsidRPr="0007340F">
        <w:rPr>
          <w:i/>
          <w:szCs w:val="20"/>
        </w:rPr>
        <w:t>ncome</w:t>
      </w:r>
      <w:r w:rsidR="0085676D" w:rsidRPr="0007340F">
        <w:rPr>
          <w:i/>
          <w:szCs w:val="20"/>
        </w:rPr>
        <w:t xml:space="preserve"> </w:t>
      </w:r>
      <w:r w:rsidRPr="0088426E">
        <w:rPr>
          <w:i/>
          <w:szCs w:val="20"/>
        </w:rPr>
        <w:t>Countries. A Multi-Country Review</w:t>
      </w:r>
      <w:r w:rsidR="008A56CF" w:rsidRPr="0007340F">
        <w:rPr>
          <w:i/>
          <w:szCs w:val="20"/>
        </w:rPr>
        <w:t>’</w:t>
      </w:r>
      <w:r w:rsidRPr="0088426E">
        <w:rPr>
          <w:szCs w:val="20"/>
        </w:rPr>
        <w:t>. September. Working Paper prepared for UNICEF.</w:t>
      </w:r>
    </w:p>
    <w:p w:rsidR="00A23A26" w:rsidRDefault="0088426E">
      <w:pPr>
        <w:widowControl w:val="0"/>
        <w:autoSpaceDE w:val="0"/>
        <w:autoSpaceDN w:val="0"/>
        <w:adjustRightInd w:val="0"/>
        <w:spacing w:after="120"/>
        <w:ind w:left="360" w:hanging="360"/>
        <w:rPr>
          <w:szCs w:val="20"/>
          <w:lang w:val="fr-FR"/>
        </w:rPr>
      </w:pPr>
      <w:r w:rsidRPr="0088426E">
        <w:rPr>
          <w:szCs w:val="20"/>
          <w:lang w:val="fr-FR"/>
        </w:rPr>
        <w:t>Ministère de l</w:t>
      </w:r>
      <w:r w:rsidR="008A56CF" w:rsidRPr="00577EB1">
        <w:rPr>
          <w:szCs w:val="20"/>
          <w:lang w:val="fr-FR"/>
        </w:rPr>
        <w:t>’</w:t>
      </w:r>
      <w:r w:rsidRPr="0088426E">
        <w:rPr>
          <w:szCs w:val="20"/>
          <w:lang w:val="fr-FR"/>
        </w:rPr>
        <w:t xml:space="preserve">Action Sociale et de la Solidarité Nationale (MASSN) [Burkina Faso]. 2007. </w:t>
      </w:r>
      <w:r w:rsidR="008A56CF" w:rsidRPr="00577EB1">
        <w:rPr>
          <w:i/>
          <w:szCs w:val="20"/>
          <w:lang w:val="fr-FR"/>
        </w:rPr>
        <w:t>‘</w:t>
      </w:r>
      <w:r w:rsidRPr="0088426E">
        <w:rPr>
          <w:i/>
          <w:szCs w:val="20"/>
          <w:lang w:val="fr-FR"/>
        </w:rPr>
        <w:t xml:space="preserve">Politique </w:t>
      </w:r>
      <w:r w:rsidR="0070324D" w:rsidRPr="00577EB1">
        <w:rPr>
          <w:i/>
          <w:szCs w:val="20"/>
          <w:lang w:val="fr-FR"/>
        </w:rPr>
        <w:t>nationale d</w:t>
      </w:r>
      <w:r w:rsidR="008A56CF" w:rsidRPr="00577EB1">
        <w:rPr>
          <w:i/>
          <w:szCs w:val="20"/>
          <w:lang w:val="fr-FR"/>
        </w:rPr>
        <w:t>’</w:t>
      </w:r>
      <w:r w:rsidR="0070324D" w:rsidRPr="00577EB1">
        <w:rPr>
          <w:i/>
          <w:szCs w:val="20"/>
          <w:lang w:val="fr-FR"/>
        </w:rPr>
        <w:t>action sociale</w:t>
      </w:r>
      <w:r w:rsidR="008A56CF" w:rsidRPr="00577EB1">
        <w:rPr>
          <w:i/>
          <w:szCs w:val="20"/>
          <w:lang w:val="fr-FR"/>
        </w:rPr>
        <w:t>’</w:t>
      </w:r>
      <w:r w:rsidRPr="0088426E">
        <w:rPr>
          <w:szCs w:val="20"/>
          <w:lang w:val="fr-FR"/>
        </w:rPr>
        <w:t>. April. Ouagadougou, Burkina Faso.</w:t>
      </w:r>
    </w:p>
    <w:p w:rsidR="00A23A26" w:rsidRDefault="0088426E">
      <w:pPr>
        <w:widowControl w:val="0"/>
        <w:autoSpaceDE w:val="0"/>
        <w:autoSpaceDN w:val="0"/>
        <w:adjustRightInd w:val="0"/>
        <w:spacing w:after="120"/>
        <w:ind w:left="360" w:hanging="360"/>
        <w:rPr>
          <w:szCs w:val="20"/>
          <w:lang w:val="fr-FR"/>
        </w:rPr>
      </w:pPr>
      <w:r w:rsidRPr="0088426E">
        <w:rPr>
          <w:szCs w:val="20"/>
          <w:lang w:val="fr-FR"/>
        </w:rPr>
        <w:t>______. 2008.</w:t>
      </w:r>
      <w:r w:rsidRPr="0088426E">
        <w:rPr>
          <w:i/>
          <w:szCs w:val="20"/>
          <w:lang w:val="fr-FR"/>
        </w:rPr>
        <w:t xml:space="preserve"> </w:t>
      </w:r>
      <w:r w:rsidR="008A56CF" w:rsidRPr="00577EB1">
        <w:rPr>
          <w:i/>
          <w:szCs w:val="20"/>
          <w:lang w:val="fr-FR"/>
        </w:rPr>
        <w:t>‘</w:t>
      </w:r>
      <w:r w:rsidRPr="0088426E">
        <w:rPr>
          <w:i/>
          <w:szCs w:val="20"/>
          <w:lang w:val="fr-FR"/>
        </w:rPr>
        <w:t xml:space="preserve">Charte </w:t>
      </w:r>
      <w:r w:rsidR="0070324D" w:rsidRPr="00577EB1">
        <w:rPr>
          <w:i/>
          <w:szCs w:val="20"/>
          <w:lang w:val="fr-FR"/>
        </w:rPr>
        <w:t>nationale de solidarité</w:t>
      </w:r>
      <w:r w:rsidR="008A56CF" w:rsidRPr="00577EB1">
        <w:rPr>
          <w:i/>
          <w:szCs w:val="20"/>
          <w:lang w:val="fr-FR"/>
        </w:rPr>
        <w:t>’</w:t>
      </w:r>
      <w:r w:rsidRPr="0088426E">
        <w:rPr>
          <w:szCs w:val="20"/>
          <w:lang w:val="fr-FR"/>
        </w:rPr>
        <w:t>. Ouagadougou, Burkina Faso.</w:t>
      </w:r>
    </w:p>
    <w:p w:rsidR="00A23A26" w:rsidRDefault="0088426E">
      <w:pPr>
        <w:widowControl w:val="0"/>
        <w:autoSpaceDE w:val="0"/>
        <w:autoSpaceDN w:val="0"/>
        <w:adjustRightInd w:val="0"/>
        <w:spacing w:after="120"/>
        <w:ind w:left="360" w:hanging="360"/>
        <w:rPr>
          <w:szCs w:val="20"/>
          <w:lang w:val="fr-FR"/>
        </w:rPr>
      </w:pPr>
      <w:r w:rsidRPr="0088426E">
        <w:rPr>
          <w:szCs w:val="20"/>
          <w:lang w:val="fr-FR"/>
        </w:rPr>
        <w:t>______. 2009a.</w:t>
      </w:r>
      <w:r w:rsidRPr="0088426E">
        <w:rPr>
          <w:i/>
          <w:szCs w:val="20"/>
          <w:lang w:val="fr-FR"/>
        </w:rPr>
        <w:t xml:space="preserve"> </w:t>
      </w:r>
      <w:r w:rsidR="008A56CF" w:rsidRPr="00577EB1">
        <w:rPr>
          <w:i/>
          <w:szCs w:val="20"/>
          <w:lang w:val="fr-FR"/>
        </w:rPr>
        <w:t>‘</w:t>
      </w:r>
      <w:r w:rsidRPr="0088426E">
        <w:rPr>
          <w:i/>
          <w:szCs w:val="20"/>
          <w:lang w:val="fr-FR"/>
        </w:rPr>
        <w:t xml:space="preserve">Program </w:t>
      </w:r>
      <w:r w:rsidR="0070324D" w:rsidRPr="00577EB1">
        <w:rPr>
          <w:i/>
          <w:szCs w:val="20"/>
          <w:lang w:val="fr-FR"/>
        </w:rPr>
        <w:t>d</w:t>
      </w:r>
      <w:r w:rsidR="008A56CF" w:rsidRPr="00577EB1">
        <w:rPr>
          <w:i/>
          <w:szCs w:val="20"/>
          <w:lang w:val="fr-FR"/>
        </w:rPr>
        <w:t>’</w:t>
      </w:r>
      <w:r w:rsidR="0070324D" w:rsidRPr="00577EB1">
        <w:rPr>
          <w:i/>
          <w:szCs w:val="20"/>
          <w:lang w:val="fr-FR"/>
        </w:rPr>
        <w:t>introduction d</w:t>
      </w:r>
      <w:r w:rsidR="008A56CF" w:rsidRPr="00577EB1">
        <w:rPr>
          <w:i/>
          <w:szCs w:val="20"/>
          <w:lang w:val="fr-FR"/>
        </w:rPr>
        <w:t>’</w:t>
      </w:r>
      <w:r w:rsidR="0070324D" w:rsidRPr="00577EB1">
        <w:rPr>
          <w:i/>
          <w:szCs w:val="20"/>
          <w:lang w:val="fr-FR"/>
        </w:rPr>
        <w:t>un filet social de sécurité pour la protection et la promotion des enfants des ménages démunis au</w:t>
      </w:r>
      <w:r w:rsidRPr="0088426E">
        <w:rPr>
          <w:i/>
          <w:szCs w:val="20"/>
          <w:lang w:val="fr-FR"/>
        </w:rPr>
        <w:t xml:space="preserve"> Burkina Faso</w:t>
      </w:r>
      <w:r w:rsidR="008A56CF" w:rsidRPr="00577EB1">
        <w:rPr>
          <w:i/>
          <w:szCs w:val="20"/>
          <w:lang w:val="fr-FR"/>
        </w:rPr>
        <w:t>’</w:t>
      </w:r>
      <w:r w:rsidRPr="0088426E">
        <w:rPr>
          <w:szCs w:val="20"/>
          <w:lang w:val="fr-FR"/>
        </w:rPr>
        <w:t>. First Draft. June. Ouagadougou, Burkina Faso.</w:t>
      </w:r>
    </w:p>
    <w:p w:rsidR="00A23A26" w:rsidRDefault="0088426E">
      <w:pPr>
        <w:widowControl w:val="0"/>
        <w:autoSpaceDE w:val="0"/>
        <w:autoSpaceDN w:val="0"/>
        <w:adjustRightInd w:val="0"/>
        <w:spacing w:after="120"/>
        <w:ind w:left="360" w:hanging="360"/>
        <w:rPr>
          <w:szCs w:val="20"/>
          <w:lang w:val="fr-FR"/>
        </w:rPr>
      </w:pPr>
      <w:r w:rsidRPr="0088426E">
        <w:rPr>
          <w:szCs w:val="20"/>
          <w:lang w:val="fr-FR"/>
        </w:rPr>
        <w:t>______. 2009b.</w:t>
      </w:r>
      <w:r w:rsidRPr="0088426E">
        <w:rPr>
          <w:i/>
          <w:szCs w:val="20"/>
          <w:lang w:val="fr-FR"/>
        </w:rPr>
        <w:t xml:space="preserve"> </w:t>
      </w:r>
      <w:r w:rsidR="008A56CF" w:rsidRPr="00577EB1">
        <w:rPr>
          <w:i/>
          <w:szCs w:val="20"/>
          <w:lang w:val="fr-FR"/>
        </w:rPr>
        <w:t>‘</w:t>
      </w:r>
      <w:r w:rsidRPr="0088426E">
        <w:rPr>
          <w:i/>
          <w:szCs w:val="20"/>
          <w:lang w:val="fr-FR"/>
        </w:rPr>
        <w:t>Projet de protection et de promotion sociale des personnes défavorisées au Burkina Faso 2009</w:t>
      </w:r>
      <w:r w:rsidR="008A56CF" w:rsidRPr="00577EB1">
        <w:rPr>
          <w:i/>
          <w:szCs w:val="20"/>
          <w:lang w:val="fr-FR"/>
        </w:rPr>
        <w:t>’</w:t>
      </w:r>
      <w:r w:rsidRPr="0088426E">
        <w:rPr>
          <w:szCs w:val="20"/>
          <w:lang w:val="fr-FR"/>
        </w:rPr>
        <w:t xml:space="preserve">. </w:t>
      </w:r>
      <w:r>
        <w:rPr>
          <w:szCs w:val="20"/>
          <w:lang w:val="fr-FR"/>
        </w:rPr>
        <w:t>Octobre</w:t>
      </w:r>
      <w:r w:rsidRPr="0088426E">
        <w:rPr>
          <w:szCs w:val="20"/>
          <w:lang w:val="fr-FR"/>
        </w:rPr>
        <w:t>. Ouagadougou, Burkina Faso.</w:t>
      </w:r>
    </w:p>
    <w:p w:rsidR="00A23A26" w:rsidRDefault="0088426E">
      <w:pPr>
        <w:widowControl w:val="0"/>
        <w:autoSpaceDE w:val="0"/>
        <w:autoSpaceDN w:val="0"/>
        <w:adjustRightInd w:val="0"/>
        <w:spacing w:after="120"/>
        <w:ind w:left="360" w:hanging="360"/>
        <w:rPr>
          <w:szCs w:val="20"/>
        </w:rPr>
      </w:pPr>
      <w:r w:rsidRPr="0088426E">
        <w:rPr>
          <w:szCs w:val="20"/>
          <w:lang w:val="fr-FR"/>
        </w:rPr>
        <w:t>______. 2009c.</w:t>
      </w:r>
      <w:r w:rsidRPr="0088426E">
        <w:rPr>
          <w:i/>
          <w:szCs w:val="20"/>
          <w:lang w:val="fr-FR"/>
        </w:rPr>
        <w:t xml:space="preserve"> </w:t>
      </w:r>
      <w:r w:rsidR="008A56CF" w:rsidRPr="00577EB1">
        <w:rPr>
          <w:i/>
          <w:szCs w:val="20"/>
          <w:lang w:val="fr-FR"/>
        </w:rPr>
        <w:t>‘</w:t>
      </w:r>
      <w:r w:rsidRPr="0088426E">
        <w:rPr>
          <w:i/>
          <w:szCs w:val="20"/>
          <w:lang w:val="fr-FR"/>
        </w:rPr>
        <w:t>Projet de protection et de promotion sociale des personnes défavorisées au Burkina Faso 2010</w:t>
      </w:r>
      <w:r w:rsidR="008A56CF" w:rsidRPr="00577EB1">
        <w:rPr>
          <w:i/>
          <w:szCs w:val="20"/>
          <w:lang w:val="fr-FR"/>
        </w:rPr>
        <w:t>’</w:t>
      </w:r>
      <w:r w:rsidRPr="0088426E">
        <w:rPr>
          <w:szCs w:val="20"/>
          <w:lang w:val="fr-FR"/>
        </w:rPr>
        <w:t xml:space="preserve">. </w:t>
      </w:r>
      <w:r w:rsidR="00EB214A" w:rsidRPr="008E7B13">
        <w:rPr>
          <w:szCs w:val="20"/>
          <w:lang w:val="fr-FR"/>
        </w:rPr>
        <w:t xml:space="preserve">November. </w:t>
      </w:r>
      <w:r w:rsidRPr="0088426E">
        <w:rPr>
          <w:szCs w:val="20"/>
        </w:rPr>
        <w:t>Ouagadougou, Burkina Faso.</w:t>
      </w:r>
    </w:p>
    <w:p w:rsidR="00A23A26" w:rsidRPr="00506921" w:rsidRDefault="0088426E">
      <w:pPr>
        <w:widowControl w:val="0"/>
        <w:autoSpaceDE w:val="0"/>
        <w:autoSpaceDN w:val="0"/>
        <w:adjustRightInd w:val="0"/>
        <w:spacing w:after="120"/>
        <w:ind w:left="360" w:hanging="360"/>
        <w:rPr>
          <w:szCs w:val="20"/>
        </w:rPr>
      </w:pPr>
      <w:r w:rsidRPr="0088426E">
        <w:rPr>
          <w:szCs w:val="20"/>
        </w:rPr>
        <w:t xml:space="preserve">Ministry of Health (MoH) [Burkina Faso]. </w:t>
      </w:r>
      <w:r w:rsidR="00EB214A" w:rsidRPr="00C5627F">
        <w:rPr>
          <w:szCs w:val="20"/>
          <w:lang w:val="fr-FR"/>
        </w:rPr>
        <w:t xml:space="preserve">2000. </w:t>
      </w:r>
      <w:r w:rsidR="00EB214A" w:rsidRPr="00C5627F">
        <w:rPr>
          <w:i/>
          <w:szCs w:val="20"/>
          <w:lang w:val="fr-FR"/>
        </w:rPr>
        <w:t xml:space="preserve">‘Plan National de Développement </w:t>
      </w:r>
      <w:r w:rsidR="00EB214A" w:rsidRPr="00C5627F">
        <w:rPr>
          <w:i/>
          <w:szCs w:val="20"/>
          <w:lang w:val="fr-FR"/>
        </w:rPr>
        <w:lastRenderedPageBreak/>
        <w:t>Sanitaire 2001-2010’</w:t>
      </w:r>
      <w:r w:rsidR="00EB214A" w:rsidRPr="00C5627F">
        <w:rPr>
          <w:szCs w:val="20"/>
          <w:lang w:val="fr-FR"/>
        </w:rPr>
        <w:t xml:space="preserve">. </w:t>
      </w:r>
      <w:r w:rsidR="00EB214A" w:rsidRPr="00506921">
        <w:rPr>
          <w:szCs w:val="20"/>
        </w:rPr>
        <w:t>Ouagadougou, Burkina Faso.</w:t>
      </w:r>
    </w:p>
    <w:p w:rsidR="00A23A26" w:rsidRDefault="00EB214A">
      <w:pPr>
        <w:widowControl w:val="0"/>
        <w:autoSpaceDE w:val="0"/>
        <w:autoSpaceDN w:val="0"/>
        <w:adjustRightInd w:val="0"/>
        <w:spacing w:after="120"/>
        <w:ind w:left="360" w:hanging="360"/>
        <w:rPr>
          <w:szCs w:val="20"/>
        </w:rPr>
      </w:pPr>
      <w:r w:rsidRPr="00506921">
        <w:rPr>
          <w:szCs w:val="20"/>
        </w:rPr>
        <w:t xml:space="preserve">______. 2009. </w:t>
      </w:r>
      <w:r w:rsidR="008A56CF" w:rsidRPr="0007340F">
        <w:rPr>
          <w:i/>
          <w:szCs w:val="20"/>
        </w:rPr>
        <w:t>‘</w:t>
      </w:r>
      <w:r w:rsidR="0088426E" w:rsidRPr="0088426E">
        <w:rPr>
          <w:i/>
          <w:szCs w:val="20"/>
        </w:rPr>
        <w:t xml:space="preserve">Planning for </w:t>
      </w:r>
      <w:r w:rsidR="0070324D" w:rsidRPr="0007340F">
        <w:rPr>
          <w:i/>
          <w:szCs w:val="20"/>
        </w:rPr>
        <w:t xml:space="preserve">Going </w:t>
      </w:r>
      <w:r w:rsidR="0088426E" w:rsidRPr="0088426E">
        <w:rPr>
          <w:i/>
          <w:szCs w:val="20"/>
        </w:rPr>
        <w:t xml:space="preserve">to </w:t>
      </w:r>
      <w:r w:rsidR="0070324D" w:rsidRPr="0007340F">
        <w:rPr>
          <w:i/>
          <w:szCs w:val="20"/>
        </w:rPr>
        <w:t xml:space="preserve">Scale </w:t>
      </w:r>
      <w:r w:rsidR="0088426E" w:rsidRPr="0088426E">
        <w:rPr>
          <w:i/>
          <w:szCs w:val="20"/>
        </w:rPr>
        <w:t xml:space="preserve">with </w:t>
      </w:r>
      <w:r w:rsidR="0070324D" w:rsidRPr="0007340F">
        <w:rPr>
          <w:i/>
          <w:szCs w:val="20"/>
        </w:rPr>
        <w:t>Nutrition Interventions</w:t>
      </w:r>
      <w:r w:rsidR="0088426E" w:rsidRPr="0088426E">
        <w:rPr>
          <w:i/>
          <w:szCs w:val="20"/>
        </w:rPr>
        <w:t xml:space="preserve">. An </w:t>
      </w:r>
      <w:r w:rsidR="0070324D" w:rsidRPr="0007340F">
        <w:rPr>
          <w:i/>
          <w:szCs w:val="20"/>
        </w:rPr>
        <w:t>Experience Worth Sharin</w:t>
      </w:r>
      <w:r w:rsidR="0088426E" w:rsidRPr="0088426E">
        <w:rPr>
          <w:i/>
          <w:szCs w:val="20"/>
        </w:rPr>
        <w:t>g</w:t>
      </w:r>
      <w:r w:rsidR="008A56CF" w:rsidRPr="0007340F">
        <w:rPr>
          <w:i/>
          <w:szCs w:val="20"/>
        </w:rPr>
        <w:t>’</w:t>
      </w:r>
      <w:r w:rsidR="0088426E" w:rsidRPr="0088426E">
        <w:rPr>
          <w:szCs w:val="20"/>
        </w:rPr>
        <w:t>. Presentation made at the World Bank in Washington on November 11, 2009.</w:t>
      </w:r>
    </w:p>
    <w:p w:rsidR="00DB63BC" w:rsidRPr="00577EB1" w:rsidRDefault="0088426E" w:rsidP="00464554">
      <w:pPr>
        <w:widowControl w:val="0"/>
        <w:autoSpaceDE w:val="0"/>
        <w:autoSpaceDN w:val="0"/>
        <w:adjustRightInd w:val="0"/>
        <w:spacing w:after="120"/>
        <w:ind w:left="360" w:hanging="360"/>
        <w:rPr>
          <w:szCs w:val="20"/>
          <w:lang w:val="fr-FR"/>
        </w:rPr>
      </w:pPr>
      <w:r w:rsidRPr="0088426E">
        <w:rPr>
          <w:szCs w:val="20"/>
          <w:lang w:val="fr-FR"/>
        </w:rPr>
        <w:t>Ministère de l</w:t>
      </w:r>
      <w:r w:rsidR="008A56CF" w:rsidRPr="00577EB1">
        <w:rPr>
          <w:szCs w:val="20"/>
          <w:lang w:val="fr-FR"/>
        </w:rPr>
        <w:t>’</w:t>
      </w:r>
      <w:r w:rsidRPr="0088426E">
        <w:rPr>
          <w:szCs w:val="20"/>
          <w:lang w:val="fr-FR"/>
        </w:rPr>
        <w:t xml:space="preserve">Economie et des Finances (MEF) [Burkina Faso]. 2009a. </w:t>
      </w:r>
      <w:r w:rsidR="008A56CF" w:rsidRPr="00577EB1">
        <w:rPr>
          <w:i/>
          <w:szCs w:val="20"/>
          <w:lang w:val="fr-FR"/>
        </w:rPr>
        <w:t>‘</w:t>
      </w:r>
      <w:r w:rsidRPr="0088426E">
        <w:rPr>
          <w:i/>
          <w:szCs w:val="20"/>
          <w:lang w:val="fr-FR"/>
        </w:rPr>
        <w:t xml:space="preserve">Document de </w:t>
      </w:r>
      <w:r w:rsidR="0052053A" w:rsidRPr="00577EB1">
        <w:rPr>
          <w:i/>
          <w:szCs w:val="20"/>
          <w:lang w:val="fr-FR"/>
        </w:rPr>
        <w:t>stratégie de croissance accélérée et de développement durable</w:t>
      </w:r>
      <w:r w:rsidR="0007340F">
        <w:rPr>
          <w:i/>
          <w:szCs w:val="20"/>
          <w:lang w:val="fr-FR"/>
        </w:rPr>
        <w:t xml:space="preserve"> </w:t>
      </w:r>
      <w:r w:rsidRPr="0088426E">
        <w:rPr>
          <w:i/>
          <w:szCs w:val="20"/>
          <w:lang w:val="fr-FR"/>
        </w:rPr>
        <w:t>2010-2015. Note Conceptuelle</w:t>
      </w:r>
      <w:r w:rsidR="008A56CF" w:rsidRPr="00577EB1">
        <w:rPr>
          <w:i/>
          <w:szCs w:val="20"/>
          <w:lang w:val="fr-FR"/>
        </w:rPr>
        <w:t>’</w:t>
      </w:r>
      <w:r w:rsidR="00DB63BC" w:rsidRPr="00577EB1">
        <w:rPr>
          <w:szCs w:val="20"/>
          <w:lang w:val="fr-FR"/>
        </w:rPr>
        <w:t xml:space="preserve">. </w:t>
      </w:r>
      <w:r w:rsidR="0052053A" w:rsidRPr="00577EB1">
        <w:rPr>
          <w:szCs w:val="20"/>
          <w:lang w:val="fr-FR"/>
        </w:rPr>
        <w:t>Février</w:t>
      </w:r>
      <w:r w:rsidR="00DB63BC" w:rsidRPr="00577EB1">
        <w:rPr>
          <w:szCs w:val="20"/>
          <w:lang w:val="fr-FR"/>
        </w:rPr>
        <w:t>. Ouagadougou</w:t>
      </w:r>
      <w:r w:rsidRPr="0088426E">
        <w:rPr>
          <w:szCs w:val="20"/>
          <w:lang w:val="fr-FR"/>
        </w:rPr>
        <w:t>, Burkina Faso.</w:t>
      </w:r>
    </w:p>
    <w:p w:rsidR="00A23A26" w:rsidRDefault="0088426E">
      <w:pPr>
        <w:widowControl w:val="0"/>
        <w:autoSpaceDE w:val="0"/>
        <w:autoSpaceDN w:val="0"/>
        <w:adjustRightInd w:val="0"/>
        <w:spacing w:after="120"/>
        <w:ind w:left="360" w:hanging="360"/>
        <w:rPr>
          <w:szCs w:val="20"/>
          <w:lang w:val="fr-FR"/>
        </w:rPr>
      </w:pPr>
      <w:r w:rsidRPr="0088426E">
        <w:rPr>
          <w:szCs w:val="20"/>
          <w:lang w:val="fr-FR"/>
        </w:rPr>
        <w:t xml:space="preserve">______. 2009b. </w:t>
      </w:r>
      <w:r w:rsidR="008A56CF" w:rsidRPr="00577EB1">
        <w:rPr>
          <w:i/>
          <w:szCs w:val="20"/>
          <w:lang w:val="fr-FR"/>
        </w:rPr>
        <w:t>‘</w:t>
      </w:r>
      <w:r w:rsidRPr="0088426E">
        <w:rPr>
          <w:i/>
          <w:szCs w:val="20"/>
          <w:lang w:val="fr-FR"/>
        </w:rPr>
        <w:t xml:space="preserve">Plan </w:t>
      </w:r>
      <w:r w:rsidR="0070324D" w:rsidRPr="00577EB1">
        <w:rPr>
          <w:i/>
          <w:szCs w:val="20"/>
          <w:lang w:val="fr-FR"/>
        </w:rPr>
        <w:t>d</w:t>
      </w:r>
      <w:r w:rsidR="008A56CF" w:rsidRPr="00577EB1">
        <w:rPr>
          <w:i/>
          <w:szCs w:val="20"/>
          <w:lang w:val="fr-FR"/>
        </w:rPr>
        <w:t>’</w:t>
      </w:r>
      <w:r w:rsidR="0070324D" w:rsidRPr="00577EB1">
        <w:rPr>
          <w:i/>
          <w:szCs w:val="20"/>
          <w:lang w:val="fr-FR"/>
        </w:rPr>
        <w:t xml:space="preserve">actions </w:t>
      </w:r>
      <w:r w:rsidRPr="0088426E">
        <w:rPr>
          <w:i/>
          <w:szCs w:val="20"/>
          <w:lang w:val="fr-FR"/>
        </w:rPr>
        <w:t xml:space="preserve">2009-2010 </w:t>
      </w:r>
      <w:r w:rsidR="0070324D" w:rsidRPr="00577EB1">
        <w:rPr>
          <w:i/>
          <w:szCs w:val="20"/>
          <w:lang w:val="fr-FR"/>
        </w:rPr>
        <w:t>du g</w:t>
      </w:r>
      <w:r w:rsidRPr="0088426E">
        <w:rPr>
          <w:i/>
          <w:szCs w:val="20"/>
          <w:lang w:val="fr-FR"/>
        </w:rPr>
        <w:t>ouvernement pour faire face aux effets de la crise financière et économique sur l</w:t>
      </w:r>
      <w:r w:rsidR="008A56CF" w:rsidRPr="00577EB1">
        <w:rPr>
          <w:i/>
          <w:szCs w:val="20"/>
          <w:lang w:val="fr-FR"/>
        </w:rPr>
        <w:t>’</w:t>
      </w:r>
      <w:r w:rsidRPr="0088426E">
        <w:rPr>
          <w:i/>
          <w:szCs w:val="20"/>
          <w:lang w:val="fr-FR"/>
        </w:rPr>
        <w:t>économie Burkinabé</w:t>
      </w:r>
      <w:r w:rsidR="008A56CF" w:rsidRPr="00577EB1">
        <w:rPr>
          <w:i/>
          <w:szCs w:val="20"/>
          <w:lang w:val="fr-FR"/>
        </w:rPr>
        <w:t>’</w:t>
      </w:r>
      <w:r w:rsidRPr="0088426E">
        <w:rPr>
          <w:szCs w:val="20"/>
          <w:lang w:val="fr-FR"/>
        </w:rPr>
        <w:t xml:space="preserve">. </w:t>
      </w:r>
      <w:r>
        <w:rPr>
          <w:szCs w:val="20"/>
          <w:lang w:val="fr-FR"/>
        </w:rPr>
        <w:t>Décembre</w:t>
      </w:r>
      <w:r w:rsidRPr="0088426E">
        <w:rPr>
          <w:szCs w:val="20"/>
          <w:lang w:val="fr-FR"/>
        </w:rPr>
        <w:t>. Ouagadougou, Burkina Faso.</w:t>
      </w:r>
    </w:p>
    <w:p w:rsidR="00A23A26" w:rsidRDefault="0088426E">
      <w:pPr>
        <w:widowControl w:val="0"/>
        <w:autoSpaceDE w:val="0"/>
        <w:autoSpaceDN w:val="0"/>
        <w:adjustRightInd w:val="0"/>
        <w:spacing w:after="120"/>
        <w:ind w:left="360" w:hanging="360"/>
        <w:rPr>
          <w:szCs w:val="20"/>
        </w:rPr>
      </w:pPr>
      <w:r w:rsidRPr="0088426E">
        <w:rPr>
          <w:szCs w:val="20"/>
          <w:lang w:val="fr-FR"/>
        </w:rPr>
        <w:t>Ministère de l</w:t>
      </w:r>
      <w:r w:rsidR="008A56CF" w:rsidRPr="00577EB1">
        <w:rPr>
          <w:szCs w:val="20"/>
          <w:lang w:val="fr-FR"/>
        </w:rPr>
        <w:t>’</w:t>
      </w:r>
      <w:r w:rsidRPr="0088426E">
        <w:rPr>
          <w:szCs w:val="20"/>
          <w:lang w:val="fr-FR"/>
        </w:rPr>
        <w:t xml:space="preserve">Economie et du Développement (MEDEV) [Burkina Faso]. </w:t>
      </w:r>
      <w:r w:rsidRPr="0088426E">
        <w:rPr>
          <w:szCs w:val="20"/>
        </w:rPr>
        <w:t xml:space="preserve">2004. </w:t>
      </w:r>
      <w:r w:rsidR="008A56CF" w:rsidRPr="0007340F">
        <w:rPr>
          <w:i/>
          <w:szCs w:val="20"/>
        </w:rPr>
        <w:t>‘</w:t>
      </w:r>
      <w:r w:rsidRPr="0088426E">
        <w:rPr>
          <w:i/>
          <w:szCs w:val="20"/>
        </w:rPr>
        <w:t>Poverty Reduction Strategy Paper</w:t>
      </w:r>
      <w:r w:rsidR="008A56CF" w:rsidRPr="0007340F">
        <w:rPr>
          <w:i/>
          <w:szCs w:val="20"/>
        </w:rPr>
        <w:t>’</w:t>
      </w:r>
      <w:r w:rsidRPr="0088426E">
        <w:rPr>
          <w:szCs w:val="20"/>
        </w:rPr>
        <w:t>. July. Ouagadougou, Burkina Faso.</w:t>
      </w:r>
    </w:p>
    <w:p w:rsidR="00A23A26" w:rsidRDefault="0088426E">
      <w:pPr>
        <w:widowControl w:val="0"/>
        <w:autoSpaceDE w:val="0"/>
        <w:autoSpaceDN w:val="0"/>
        <w:adjustRightInd w:val="0"/>
        <w:spacing w:after="120"/>
        <w:ind w:left="360" w:hanging="360"/>
        <w:rPr>
          <w:szCs w:val="20"/>
          <w:lang w:val="fr-FR"/>
        </w:rPr>
      </w:pPr>
      <w:r w:rsidRPr="0088426E">
        <w:rPr>
          <w:szCs w:val="20"/>
        </w:rPr>
        <w:t xml:space="preserve">______. 2005. </w:t>
      </w:r>
      <w:r w:rsidR="008A56CF" w:rsidRPr="0007340F">
        <w:rPr>
          <w:i/>
          <w:szCs w:val="20"/>
        </w:rPr>
        <w:t>‘</w:t>
      </w:r>
      <w:r w:rsidRPr="0088426E">
        <w:rPr>
          <w:i/>
          <w:szCs w:val="20"/>
        </w:rPr>
        <w:t xml:space="preserve">Etude Nationale Prospective « Burkina 2025 ». </w:t>
      </w:r>
      <w:r w:rsidRPr="0088426E">
        <w:rPr>
          <w:i/>
          <w:szCs w:val="20"/>
          <w:lang w:val="fr-FR"/>
        </w:rPr>
        <w:t>Rapport sur la Vision Prospective et les Stratégies</w:t>
      </w:r>
      <w:r w:rsidR="008A56CF" w:rsidRPr="00577EB1">
        <w:rPr>
          <w:i/>
          <w:szCs w:val="20"/>
          <w:lang w:val="fr-FR"/>
        </w:rPr>
        <w:t>’</w:t>
      </w:r>
      <w:r w:rsidRPr="0088426E">
        <w:rPr>
          <w:szCs w:val="20"/>
          <w:lang w:val="fr-FR"/>
        </w:rPr>
        <w:t xml:space="preserve">. </w:t>
      </w:r>
      <w:r w:rsidR="001E448E" w:rsidRPr="00577EB1">
        <w:rPr>
          <w:szCs w:val="20"/>
          <w:lang w:val="fr-FR"/>
        </w:rPr>
        <w:t>Avril</w:t>
      </w:r>
      <w:r w:rsidRPr="0088426E">
        <w:rPr>
          <w:szCs w:val="20"/>
          <w:lang w:val="fr-FR"/>
        </w:rPr>
        <w:t>. Ouagadougou, Burkina Faso.</w:t>
      </w:r>
    </w:p>
    <w:p w:rsidR="00A23A26" w:rsidRDefault="0088426E">
      <w:pPr>
        <w:widowControl w:val="0"/>
        <w:autoSpaceDE w:val="0"/>
        <w:autoSpaceDN w:val="0"/>
        <w:adjustRightInd w:val="0"/>
        <w:spacing w:after="120"/>
        <w:ind w:left="360" w:hanging="360"/>
        <w:rPr>
          <w:szCs w:val="20"/>
          <w:lang w:val="fr-FR"/>
        </w:rPr>
      </w:pPr>
      <w:r w:rsidRPr="0088426E">
        <w:rPr>
          <w:szCs w:val="20"/>
          <w:lang w:val="fr-FR"/>
        </w:rPr>
        <w:t>Ministère de l</w:t>
      </w:r>
      <w:r w:rsidR="008A56CF" w:rsidRPr="00577EB1">
        <w:rPr>
          <w:szCs w:val="20"/>
          <w:lang w:val="fr-FR"/>
        </w:rPr>
        <w:t>’</w:t>
      </w:r>
      <w:r w:rsidRPr="0088426E">
        <w:rPr>
          <w:szCs w:val="20"/>
          <w:lang w:val="fr-FR"/>
        </w:rPr>
        <w:t>Enseignement de Base et de l</w:t>
      </w:r>
      <w:r w:rsidR="008A56CF" w:rsidRPr="00577EB1">
        <w:rPr>
          <w:szCs w:val="20"/>
          <w:lang w:val="fr-FR"/>
        </w:rPr>
        <w:t>’</w:t>
      </w:r>
      <w:r w:rsidRPr="0088426E">
        <w:rPr>
          <w:szCs w:val="20"/>
          <w:lang w:val="fr-FR"/>
        </w:rPr>
        <w:t xml:space="preserve">Alphabétisation (MEBA) [Burkina Faso]. 2000. </w:t>
      </w:r>
      <w:r w:rsidR="008A56CF" w:rsidRPr="00577EB1">
        <w:rPr>
          <w:i/>
          <w:szCs w:val="20"/>
          <w:lang w:val="fr-FR"/>
        </w:rPr>
        <w:t>‘</w:t>
      </w:r>
      <w:r w:rsidRPr="0088426E">
        <w:rPr>
          <w:i/>
          <w:szCs w:val="20"/>
          <w:lang w:val="fr-FR"/>
        </w:rPr>
        <w:t>Plan Décennal de Développement de l</w:t>
      </w:r>
      <w:r w:rsidR="008A56CF" w:rsidRPr="00577EB1">
        <w:rPr>
          <w:i/>
          <w:szCs w:val="20"/>
          <w:lang w:val="fr-FR"/>
        </w:rPr>
        <w:t>’</w:t>
      </w:r>
      <w:r w:rsidRPr="0088426E">
        <w:rPr>
          <w:i/>
          <w:szCs w:val="20"/>
          <w:lang w:val="fr-FR"/>
        </w:rPr>
        <w:t>Education de Base</w:t>
      </w:r>
      <w:r w:rsidR="008A56CF" w:rsidRPr="00577EB1">
        <w:rPr>
          <w:i/>
          <w:szCs w:val="20"/>
          <w:lang w:val="fr-FR"/>
        </w:rPr>
        <w:t>’</w:t>
      </w:r>
      <w:r w:rsidRPr="0088426E">
        <w:rPr>
          <w:szCs w:val="20"/>
          <w:lang w:val="fr-FR"/>
        </w:rPr>
        <w:t>. Ouagadougou, Burkina Faso.</w:t>
      </w:r>
    </w:p>
    <w:p w:rsidR="00A23A26" w:rsidRDefault="0088426E">
      <w:pPr>
        <w:tabs>
          <w:tab w:val="clear" w:pos="709"/>
          <w:tab w:val="left" w:pos="567"/>
        </w:tabs>
        <w:spacing w:after="120"/>
        <w:ind w:left="567" w:hanging="567"/>
        <w:rPr>
          <w:szCs w:val="20"/>
          <w:lang w:val="fr-FR"/>
        </w:rPr>
      </w:pPr>
      <w:r w:rsidRPr="0088426E">
        <w:rPr>
          <w:szCs w:val="20"/>
          <w:lang w:val="fr-FR"/>
        </w:rPr>
        <w:t xml:space="preserve">Ministère des Enseignements Secondaire, Supérieur et de la Recherche Scientifique (MESSRS) [Burkina Faso]. 2009. </w:t>
      </w:r>
      <w:r w:rsidR="008A56CF" w:rsidRPr="00577EB1">
        <w:rPr>
          <w:i/>
          <w:szCs w:val="20"/>
          <w:lang w:val="fr-FR"/>
        </w:rPr>
        <w:t>‘</w:t>
      </w:r>
      <w:r w:rsidRPr="0088426E">
        <w:rPr>
          <w:i/>
          <w:szCs w:val="20"/>
          <w:lang w:val="fr-FR"/>
        </w:rPr>
        <w:t>Les cantines scolaires du secondaire</w:t>
      </w:r>
      <w:r w:rsidR="008A56CF" w:rsidRPr="00577EB1">
        <w:rPr>
          <w:i/>
          <w:szCs w:val="20"/>
          <w:lang w:val="fr-FR"/>
        </w:rPr>
        <w:t>’</w:t>
      </w:r>
      <w:r w:rsidRPr="0088426E">
        <w:rPr>
          <w:szCs w:val="20"/>
          <w:lang w:val="fr-FR"/>
        </w:rPr>
        <w:t>. April. Ouagadougou, Burkina Faso.</w:t>
      </w:r>
    </w:p>
    <w:p w:rsidR="00A23A26" w:rsidRPr="00E31F15" w:rsidRDefault="0088426E">
      <w:pPr>
        <w:tabs>
          <w:tab w:val="clear" w:pos="709"/>
          <w:tab w:val="left" w:pos="567"/>
        </w:tabs>
        <w:spacing w:after="120"/>
        <w:ind w:left="567" w:hanging="567"/>
        <w:rPr>
          <w:szCs w:val="20"/>
          <w:lang w:val="fr-FR"/>
        </w:rPr>
      </w:pPr>
      <w:r w:rsidRPr="0088426E">
        <w:rPr>
          <w:szCs w:val="20"/>
          <w:lang w:val="fr-FR"/>
        </w:rPr>
        <w:t xml:space="preserve">Ministère du Travail et de la Sécurité Sociale (MTSS) [Burkina Faso]. 2007. </w:t>
      </w:r>
      <w:r w:rsidR="008A56CF" w:rsidRPr="00577EB1">
        <w:rPr>
          <w:i/>
          <w:szCs w:val="20"/>
          <w:lang w:val="fr-FR"/>
        </w:rPr>
        <w:t>‘</w:t>
      </w:r>
      <w:r w:rsidRPr="0088426E">
        <w:rPr>
          <w:i/>
          <w:szCs w:val="20"/>
          <w:lang w:val="fr-FR"/>
        </w:rPr>
        <w:t xml:space="preserve">Politique </w:t>
      </w:r>
      <w:r w:rsidR="0070324D" w:rsidRPr="00577EB1">
        <w:rPr>
          <w:i/>
          <w:szCs w:val="20"/>
          <w:lang w:val="fr-FR"/>
        </w:rPr>
        <w:t>nationale de protection sociale</w:t>
      </w:r>
      <w:r w:rsidR="008A56CF" w:rsidRPr="00577EB1">
        <w:rPr>
          <w:i/>
          <w:szCs w:val="20"/>
          <w:lang w:val="fr-FR"/>
        </w:rPr>
        <w:t>’</w:t>
      </w:r>
      <w:r w:rsidRPr="0088426E">
        <w:rPr>
          <w:szCs w:val="20"/>
          <w:lang w:val="fr-FR"/>
        </w:rPr>
        <w:t xml:space="preserve">. </w:t>
      </w:r>
      <w:r w:rsidR="00EB214A" w:rsidRPr="00EB214A">
        <w:rPr>
          <w:szCs w:val="20"/>
          <w:lang w:val="fr-FR"/>
        </w:rPr>
        <w:t>Janvier. Ouagadougou, Burkina Faso.</w:t>
      </w:r>
    </w:p>
    <w:p w:rsidR="000D1743" w:rsidRPr="00D52FC2" w:rsidRDefault="00EB214A" w:rsidP="000D1743">
      <w:pPr>
        <w:tabs>
          <w:tab w:val="clear" w:pos="709"/>
          <w:tab w:val="left" w:pos="567"/>
        </w:tabs>
        <w:spacing w:after="120"/>
        <w:ind w:left="567" w:hanging="567"/>
        <w:rPr>
          <w:szCs w:val="20"/>
        </w:rPr>
      </w:pPr>
      <w:r w:rsidRPr="00EB214A">
        <w:rPr>
          <w:szCs w:val="20"/>
          <w:lang w:val="fr-FR"/>
        </w:rPr>
        <w:t xml:space="preserve">Nouvé, K., J. Kafando, A. Savadogo, D. Sebre, C. Tsimpo, et Q. Wodon. </w:t>
      </w:r>
      <w:r w:rsidR="000D1743">
        <w:rPr>
          <w:szCs w:val="20"/>
          <w:lang w:val="fr-FR"/>
        </w:rPr>
        <w:t xml:space="preserve">2009 (non publié). </w:t>
      </w:r>
      <w:r w:rsidR="000D1743" w:rsidRPr="000D6F7C">
        <w:rPr>
          <w:i/>
          <w:szCs w:val="20"/>
          <w:lang w:val="fr-FR"/>
        </w:rPr>
        <w:t>‘Dynamique de la pauvreté et de la précarité au Burkina Faso (2003-2007)</w:t>
      </w:r>
      <w:r w:rsidR="000D1743" w:rsidRPr="000D6F7C">
        <w:rPr>
          <w:szCs w:val="20"/>
          <w:lang w:val="fr-FR"/>
        </w:rPr>
        <w:t xml:space="preserve">’. </w:t>
      </w:r>
      <w:r w:rsidR="000D1743">
        <w:rPr>
          <w:szCs w:val="20"/>
          <w:lang w:val="fr-FR"/>
        </w:rPr>
        <w:t>Draft World Bank Working Paper ‘</w:t>
      </w:r>
      <w:r w:rsidR="000D1743" w:rsidRPr="000D6F7C">
        <w:rPr>
          <w:i/>
          <w:szCs w:val="20"/>
          <w:lang w:val="fr-FR"/>
        </w:rPr>
        <w:t>Croissance, pauvreté et secteurs sociaux au Burkina Faso: les dynamiques à moyen terme’.</w:t>
      </w:r>
      <w:r w:rsidR="000D1743">
        <w:rPr>
          <w:i/>
          <w:szCs w:val="20"/>
          <w:lang w:val="fr-FR"/>
        </w:rPr>
        <w:t xml:space="preserve"> </w:t>
      </w:r>
      <w:r w:rsidRPr="00EB214A">
        <w:rPr>
          <w:szCs w:val="20"/>
        </w:rPr>
        <w:t>Chapitre 1.</w:t>
      </w:r>
    </w:p>
    <w:p w:rsidR="00A23A26" w:rsidRPr="00D52FC2" w:rsidRDefault="0088426E">
      <w:pPr>
        <w:tabs>
          <w:tab w:val="clear" w:pos="709"/>
          <w:tab w:val="left" w:pos="567"/>
        </w:tabs>
        <w:spacing w:after="120"/>
        <w:ind w:left="567" w:hanging="567"/>
        <w:rPr>
          <w:i/>
          <w:szCs w:val="20"/>
        </w:rPr>
      </w:pPr>
      <w:r w:rsidRPr="00A764C7">
        <w:rPr>
          <w:szCs w:val="20"/>
        </w:rPr>
        <w:t xml:space="preserve">Organisation for Economic Co-operation and Development (OECD). </w:t>
      </w:r>
      <w:r w:rsidR="00EB214A" w:rsidRPr="00EB214A">
        <w:rPr>
          <w:szCs w:val="20"/>
        </w:rPr>
        <w:t xml:space="preserve">2006. </w:t>
      </w:r>
      <w:r w:rsidR="00EB214A" w:rsidRPr="00EB214A">
        <w:rPr>
          <w:i/>
          <w:szCs w:val="20"/>
        </w:rPr>
        <w:t>‘Paris Declaration Monitoring Survey’.</w:t>
      </w:r>
    </w:p>
    <w:p w:rsidR="00A23A26" w:rsidRDefault="0088426E">
      <w:pPr>
        <w:tabs>
          <w:tab w:val="clear" w:pos="709"/>
          <w:tab w:val="left" w:pos="567"/>
        </w:tabs>
        <w:spacing w:after="120"/>
        <w:ind w:left="567" w:hanging="567"/>
        <w:rPr>
          <w:szCs w:val="20"/>
        </w:rPr>
      </w:pPr>
      <w:r w:rsidRPr="0088426E">
        <w:rPr>
          <w:szCs w:val="20"/>
          <w:lang w:val="fr-FR"/>
        </w:rPr>
        <w:t>Réseau de Veille sur la Commercialisation des Céréales (RVCC) [Burkina Faso]. 2008.</w:t>
      </w:r>
      <w:r w:rsidR="0007340F">
        <w:rPr>
          <w:szCs w:val="20"/>
          <w:lang w:val="fr-FR"/>
        </w:rPr>
        <w:t xml:space="preserve"> </w:t>
      </w:r>
      <w:r w:rsidR="008A56CF" w:rsidRPr="00577EB1">
        <w:rPr>
          <w:i/>
          <w:szCs w:val="20"/>
          <w:lang w:val="fr-FR"/>
        </w:rPr>
        <w:t>‘</w:t>
      </w:r>
      <w:r w:rsidRPr="0088426E">
        <w:rPr>
          <w:i/>
          <w:szCs w:val="20"/>
          <w:lang w:val="fr-FR"/>
        </w:rPr>
        <w:t>Evaluation de l</w:t>
      </w:r>
      <w:r w:rsidR="008A56CF" w:rsidRPr="00577EB1">
        <w:rPr>
          <w:i/>
          <w:szCs w:val="20"/>
          <w:lang w:val="fr-FR"/>
        </w:rPr>
        <w:t>’</w:t>
      </w:r>
      <w:r w:rsidRPr="0088426E">
        <w:rPr>
          <w:i/>
          <w:szCs w:val="20"/>
          <w:lang w:val="fr-FR"/>
        </w:rPr>
        <w:t>opération de vente de céréales à prix social dans les provinces déficitaires</w:t>
      </w:r>
      <w:r w:rsidR="0007340F">
        <w:rPr>
          <w:i/>
          <w:szCs w:val="20"/>
          <w:lang w:val="fr-FR"/>
        </w:rPr>
        <w:t xml:space="preserve"> </w:t>
      </w:r>
      <w:r w:rsidRPr="0088426E">
        <w:rPr>
          <w:i/>
          <w:szCs w:val="20"/>
          <w:lang w:val="fr-FR"/>
        </w:rPr>
        <w:t>cas de la province de l</w:t>
      </w:r>
      <w:r w:rsidR="008A56CF" w:rsidRPr="00577EB1">
        <w:rPr>
          <w:i/>
          <w:szCs w:val="20"/>
          <w:lang w:val="fr-FR"/>
        </w:rPr>
        <w:t>’</w:t>
      </w:r>
      <w:r w:rsidRPr="0088426E">
        <w:rPr>
          <w:i/>
          <w:szCs w:val="20"/>
          <w:lang w:val="fr-FR"/>
        </w:rPr>
        <w:t>Oudalan</w:t>
      </w:r>
      <w:r w:rsidR="008A56CF" w:rsidRPr="00577EB1">
        <w:rPr>
          <w:i/>
          <w:szCs w:val="20"/>
          <w:lang w:val="fr-FR"/>
        </w:rPr>
        <w:t>’</w:t>
      </w:r>
      <w:r w:rsidRPr="0088426E">
        <w:rPr>
          <w:szCs w:val="20"/>
          <w:lang w:val="fr-FR"/>
        </w:rPr>
        <w:t xml:space="preserve">. </w:t>
      </w:r>
      <w:r w:rsidRPr="0088426E">
        <w:rPr>
          <w:szCs w:val="20"/>
        </w:rPr>
        <w:t>Ouagadougou, Burkina Faso.</w:t>
      </w:r>
    </w:p>
    <w:p w:rsidR="00A23A26" w:rsidRDefault="0088426E">
      <w:pPr>
        <w:tabs>
          <w:tab w:val="clear" w:pos="709"/>
          <w:tab w:val="left" w:pos="567"/>
        </w:tabs>
        <w:spacing w:after="120"/>
        <w:ind w:left="567" w:hanging="567"/>
        <w:rPr>
          <w:szCs w:val="20"/>
        </w:rPr>
      </w:pPr>
      <w:r w:rsidRPr="0088426E">
        <w:rPr>
          <w:szCs w:val="20"/>
        </w:rPr>
        <w:t xml:space="preserve">Ridde, V. 2003. </w:t>
      </w:r>
      <w:r w:rsidR="008A56CF" w:rsidRPr="0007340F">
        <w:rPr>
          <w:i/>
          <w:szCs w:val="20"/>
        </w:rPr>
        <w:t>‘</w:t>
      </w:r>
      <w:r w:rsidRPr="0088426E">
        <w:rPr>
          <w:i/>
          <w:szCs w:val="20"/>
        </w:rPr>
        <w:t>Fees-for-</w:t>
      </w:r>
      <w:r w:rsidR="0070324D" w:rsidRPr="0007340F">
        <w:rPr>
          <w:i/>
          <w:szCs w:val="20"/>
        </w:rPr>
        <w:t>Services</w:t>
      </w:r>
      <w:r w:rsidRPr="0088426E">
        <w:rPr>
          <w:i/>
          <w:szCs w:val="20"/>
        </w:rPr>
        <w:t xml:space="preserve">, </w:t>
      </w:r>
      <w:r w:rsidR="0070324D" w:rsidRPr="0007340F">
        <w:rPr>
          <w:i/>
          <w:szCs w:val="20"/>
        </w:rPr>
        <w:t>Cost Recovery</w:t>
      </w:r>
      <w:r w:rsidRPr="0088426E">
        <w:rPr>
          <w:i/>
          <w:szCs w:val="20"/>
        </w:rPr>
        <w:t xml:space="preserve">, and </w:t>
      </w:r>
      <w:r w:rsidR="0070324D" w:rsidRPr="0007340F">
        <w:rPr>
          <w:i/>
          <w:szCs w:val="20"/>
        </w:rPr>
        <w:t xml:space="preserve">Equity </w:t>
      </w:r>
      <w:r w:rsidRPr="0088426E">
        <w:rPr>
          <w:i/>
          <w:szCs w:val="20"/>
        </w:rPr>
        <w:t xml:space="preserve">in a </w:t>
      </w:r>
      <w:r w:rsidR="0070324D" w:rsidRPr="0007340F">
        <w:rPr>
          <w:i/>
          <w:szCs w:val="20"/>
        </w:rPr>
        <w:t xml:space="preserve">District </w:t>
      </w:r>
      <w:r w:rsidRPr="0088426E">
        <w:rPr>
          <w:i/>
          <w:szCs w:val="20"/>
        </w:rPr>
        <w:t xml:space="preserve">of Burkina Faso </w:t>
      </w:r>
      <w:r w:rsidR="0070324D" w:rsidRPr="0007340F">
        <w:rPr>
          <w:i/>
          <w:szCs w:val="20"/>
        </w:rPr>
        <w:t xml:space="preserve">Operating </w:t>
      </w:r>
      <w:r w:rsidRPr="0088426E">
        <w:rPr>
          <w:i/>
          <w:szCs w:val="20"/>
        </w:rPr>
        <w:t>the Bamako</w:t>
      </w:r>
      <w:r w:rsidRPr="0088426E">
        <w:rPr>
          <w:i/>
          <w:szCs w:val="20"/>
          <w:lang w:eastAsia="fr-FR"/>
        </w:rPr>
        <w:t xml:space="preserve"> </w:t>
      </w:r>
      <w:r w:rsidRPr="0088426E">
        <w:rPr>
          <w:i/>
          <w:szCs w:val="20"/>
        </w:rPr>
        <w:t>Initiative</w:t>
      </w:r>
      <w:r w:rsidR="008A56CF" w:rsidRPr="0007340F">
        <w:rPr>
          <w:i/>
          <w:szCs w:val="20"/>
        </w:rPr>
        <w:t>’</w:t>
      </w:r>
      <w:r w:rsidRPr="0088426E">
        <w:rPr>
          <w:szCs w:val="20"/>
        </w:rPr>
        <w:t>. Bulletin of the World Health Organization 2003, 81 (7): p. 532-8.</w:t>
      </w:r>
    </w:p>
    <w:p w:rsidR="00A23A26" w:rsidRDefault="0088426E">
      <w:pPr>
        <w:tabs>
          <w:tab w:val="clear" w:pos="709"/>
          <w:tab w:val="left" w:pos="567"/>
        </w:tabs>
        <w:spacing w:after="120"/>
        <w:ind w:left="567" w:hanging="567"/>
        <w:rPr>
          <w:szCs w:val="20"/>
        </w:rPr>
      </w:pPr>
      <w:r w:rsidRPr="0088426E">
        <w:rPr>
          <w:szCs w:val="20"/>
        </w:rPr>
        <w:t xml:space="preserve">Ridde, V. and S. Haddad. 2009. </w:t>
      </w:r>
      <w:r w:rsidR="008A56CF" w:rsidRPr="0007340F">
        <w:rPr>
          <w:i/>
          <w:szCs w:val="20"/>
        </w:rPr>
        <w:t>‘</w:t>
      </w:r>
      <w:r w:rsidRPr="0088426E">
        <w:rPr>
          <w:i/>
          <w:szCs w:val="20"/>
        </w:rPr>
        <w:t xml:space="preserve">Abolishing </w:t>
      </w:r>
      <w:r w:rsidR="0070324D" w:rsidRPr="0007340F">
        <w:rPr>
          <w:i/>
          <w:szCs w:val="20"/>
        </w:rPr>
        <w:t xml:space="preserve">User Fees </w:t>
      </w:r>
      <w:r w:rsidRPr="0088426E">
        <w:rPr>
          <w:i/>
          <w:szCs w:val="20"/>
        </w:rPr>
        <w:t>in Africa</w:t>
      </w:r>
      <w:r w:rsidR="008A56CF" w:rsidRPr="0007340F">
        <w:rPr>
          <w:i/>
          <w:szCs w:val="20"/>
        </w:rPr>
        <w:t>’</w:t>
      </w:r>
      <w:r w:rsidRPr="0088426E">
        <w:rPr>
          <w:szCs w:val="20"/>
        </w:rPr>
        <w:t>. PLoS Med 6(1): e1000008. doi:10.1371/journal.pmed.1000008. January</w:t>
      </w:r>
    </w:p>
    <w:p w:rsidR="00A23A26" w:rsidRDefault="0088426E">
      <w:pPr>
        <w:tabs>
          <w:tab w:val="clear" w:pos="709"/>
          <w:tab w:val="left" w:pos="567"/>
        </w:tabs>
        <w:spacing w:after="120"/>
        <w:ind w:left="567" w:hanging="567"/>
        <w:rPr>
          <w:szCs w:val="20"/>
          <w:lang w:val="fr-FR"/>
        </w:rPr>
      </w:pPr>
      <w:r w:rsidRPr="0088426E">
        <w:rPr>
          <w:szCs w:val="20"/>
        </w:rPr>
        <w:t xml:space="preserve">Ridde, V. and F. Morestin. </w:t>
      </w:r>
      <w:r w:rsidRPr="0088426E">
        <w:rPr>
          <w:szCs w:val="20"/>
          <w:lang w:val="fr-FR"/>
        </w:rPr>
        <w:t xml:space="preserve">2009. </w:t>
      </w:r>
      <w:r w:rsidR="008A56CF" w:rsidRPr="00577EB1">
        <w:rPr>
          <w:i/>
          <w:szCs w:val="20"/>
          <w:lang w:val="fr-FR"/>
        </w:rPr>
        <w:t>‘</w:t>
      </w:r>
      <w:r w:rsidRPr="0088426E">
        <w:rPr>
          <w:i/>
          <w:szCs w:val="20"/>
          <w:lang w:val="fr-FR"/>
        </w:rPr>
        <w:t>Une recension des écrits scientifiques sur l</w:t>
      </w:r>
      <w:r w:rsidR="008A56CF" w:rsidRPr="00577EB1">
        <w:rPr>
          <w:i/>
          <w:szCs w:val="20"/>
          <w:lang w:val="fr-FR"/>
        </w:rPr>
        <w:t>’</w:t>
      </w:r>
      <w:r w:rsidRPr="0088426E">
        <w:rPr>
          <w:i/>
          <w:szCs w:val="20"/>
          <w:lang w:val="fr-FR"/>
        </w:rPr>
        <w:t>abolition des frais aux usagers dans les services de santé en Afrique</w:t>
      </w:r>
      <w:r w:rsidR="008A56CF" w:rsidRPr="00577EB1">
        <w:rPr>
          <w:i/>
          <w:szCs w:val="20"/>
          <w:lang w:val="fr-FR"/>
        </w:rPr>
        <w:t>’</w:t>
      </w:r>
      <w:r w:rsidRPr="0088426E">
        <w:rPr>
          <w:i/>
          <w:szCs w:val="20"/>
          <w:lang w:val="fr-FR"/>
        </w:rPr>
        <w:t xml:space="preserve">. </w:t>
      </w:r>
      <w:r w:rsidR="001E448E" w:rsidRPr="00577EB1">
        <w:rPr>
          <w:szCs w:val="20"/>
          <w:lang w:val="fr-FR"/>
        </w:rPr>
        <w:t>Janvier</w:t>
      </w:r>
      <w:r w:rsidRPr="0088426E">
        <w:rPr>
          <w:szCs w:val="20"/>
          <w:lang w:val="fr-FR"/>
        </w:rPr>
        <w:t>.</w:t>
      </w:r>
    </w:p>
    <w:p w:rsidR="00A23A26" w:rsidRPr="008E7B13" w:rsidRDefault="0088426E">
      <w:pPr>
        <w:tabs>
          <w:tab w:val="clear" w:pos="709"/>
          <w:tab w:val="left" w:pos="567"/>
        </w:tabs>
        <w:spacing w:before="120" w:after="120"/>
        <w:ind w:left="567" w:hanging="567"/>
        <w:rPr>
          <w:szCs w:val="20"/>
          <w:lang w:val="fr-FR"/>
        </w:rPr>
      </w:pPr>
      <w:r w:rsidRPr="007F20CC">
        <w:rPr>
          <w:szCs w:val="20"/>
        </w:rPr>
        <w:t xml:space="preserve">Ridde, V. and A. Bicaba. </w:t>
      </w:r>
      <w:r w:rsidRPr="0088426E">
        <w:rPr>
          <w:szCs w:val="20"/>
          <w:lang w:val="fr-FR"/>
        </w:rPr>
        <w:t xml:space="preserve">2009a. </w:t>
      </w:r>
      <w:r w:rsidR="008A56CF" w:rsidRPr="00577EB1">
        <w:rPr>
          <w:i/>
          <w:szCs w:val="20"/>
          <w:lang w:val="fr-FR"/>
        </w:rPr>
        <w:t>‘</w:t>
      </w:r>
      <w:r w:rsidRPr="0088426E">
        <w:rPr>
          <w:i/>
          <w:szCs w:val="20"/>
          <w:lang w:val="fr-FR"/>
        </w:rPr>
        <w:t>Revue des politiques d</w:t>
      </w:r>
      <w:r w:rsidR="008A56CF" w:rsidRPr="00577EB1">
        <w:rPr>
          <w:i/>
          <w:szCs w:val="20"/>
          <w:lang w:val="fr-FR"/>
        </w:rPr>
        <w:t>’</w:t>
      </w:r>
      <w:r w:rsidRPr="0088426E">
        <w:rPr>
          <w:i/>
          <w:szCs w:val="20"/>
          <w:lang w:val="fr-FR"/>
        </w:rPr>
        <w:t>exemption/subvention du paiement au Burkina Faso</w:t>
      </w:r>
      <w:r w:rsidR="0007340F">
        <w:rPr>
          <w:i/>
          <w:szCs w:val="20"/>
          <w:lang w:val="fr-FR"/>
        </w:rPr>
        <w:t xml:space="preserve"> </w:t>
      </w:r>
      <w:r w:rsidRPr="0088426E">
        <w:rPr>
          <w:i/>
          <w:szCs w:val="20"/>
          <w:lang w:val="fr-FR"/>
        </w:rPr>
        <w:t>La stratégie de subvention des soins obstétricaux et néonataux d</w:t>
      </w:r>
      <w:r w:rsidR="008A56CF" w:rsidRPr="00577EB1">
        <w:rPr>
          <w:i/>
          <w:szCs w:val="20"/>
          <w:lang w:val="fr-FR"/>
        </w:rPr>
        <w:t>’</w:t>
      </w:r>
      <w:r w:rsidRPr="0088426E">
        <w:rPr>
          <w:i/>
          <w:szCs w:val="20"/>
          <w:lang w:val="fr-FR"/>
        </w:rPr>
        <w:t>urgence</w:t>
      </w:r>
      <w:r w:rsidR="008A56CF" w:rsidRPr="00577EB1">
        <w:rPr>
          <w:i/>
          <w:szCs w:val="20"/>
          <w:lang w:val="fr-FR"/>
        </w:rPr>
        <w:t>’</w:t>
      </w:r>
      <w:r w:rsidRPr="0088426E">
        <w:rPr>
          <w:szCs w:val="20"/>
          <w:lang w:val="fr-FR"/>
        </w:rPr>
        <w:t xml:space="preserve">. </w:t>
      </w:r>
      <w:r w:rsidR="00EB214A" w:rsidRPr="008E7B13">
        <w:rPr>
          <w:szCs w:val="20"/>
          <w:lang w:val="fr-FR"/>
        </w:rPr>
        <w:t>University of Montreal. January.</w:t>
      </w:r>
    </w:p>
    <w:p w:rsidR="00A23A26" w:rsidRDefault="00EB214A">
      <w:pPr>
        <w:tabs>
          <w:tab w:val="clear" w:pos="709"/>
          <w:tab w:val="left" w:pos="567"/>
        </w:tabs>
        <w:spacing w:before="120" w:after="120"/>
        <w:ind w:left="567" w:hanging="567"/>
        <w:rPr>
          <w:szCs w:val="20"/>
        </w:rPr>
      </w:pPr>
      <w:r w:rsidRPr="008E7B13">
        <w:rPr>
          <w:szCs w:val="20"/>
          <w:lang w:val="fr-FR"/>
        </w:rPr>
        <w:lastRenderedPageBreak/>
        <w:t xml:space="preserve">______. 2009b. </w:t>
      </w:r>
      <w:r w:rsidR="008A56CF" w:rsidRPr="0007340F">
        <w:rPr>
          <w:i/>
          <w:szCs w:val="20"/>
        </w:rPr>
        <w:t>‘</w:t>
      </w:r>
      <w:r w:rsidR="0088426E" w:rsidRPr="0088426E">
        <w:rPr>
          <w:i/>
          <w:szCs w:val="20"/>
        </w:rPr>
        <w:t>The National Subsidy for Deliveries and Emergency Obstetric Care in Burkina Faso</w:t>
      </w:r>
      <w:r w:rsidR="008A56CF" w:rsidRPr="0007340F">
        <w:rPr>
          <w:i/>
          <w:szCs w:val="20"/>
        </w:rPr>
        <w:t>’</w:t>
      </w:r>
      <w:r w:rsidR="0088426E" w:rsidRPr="0088426E">
        <w:rPr>
          <w:szCs w:val="20"/>
        </w:rPr>
        <w:t>. Presentation made on 4 November 2009 at the UNICEF Social Policy Network Meeting in Dakar.</w:t>
      </w:r>
    </w:p>
    <w:p w:rsidR="00A23A26" w:rsidRDefault="0088426E">
      <w:pPr>
        <w:tabs>
          <w:tab w:val="clear" w:pos="709"/>
          <w:tab w:val="left" w:pos="567"/>
        </w:tabs>
        <w:spacing w:before="120" w:after="120"/>
        <w:ind w:left="567" w:hanging="567"/>
        <w:rPr>
          <w:szCs w:val="20"/>
        </w:rPr>
      </w:pPr>
      <w:r w:rsidRPr="0088426E">
        <w:rPr>
          <w:szCs w:val="20"/>
        </w:rPr>
        <w:t xml:space="preserve">Ridde, V. et </w:t>
      </w:r>
      <w:r w:rsidR="005E551A">
        <w:rPr>
          <w:szCs w:val="20"/>
        </w:rPr>
        <w:t>coll</w:t>
      </w:r>
      <w:r w:rsidRPr="0088426E">
        <w:rPr>
          <w:szCs w:val="20"/>
        </w:rPr>
        <w:t xml:space="preserve">. 2009. </w:t>
      </w:r>
      <w:r w:rsidR="008A56CF" w:rsidRPr="0007340F">
        <w:rPr>
          <w:i/>
          <w:szCs w:val="20"/>
        </w:rPr>
        <w:t>‘</w:t>
      </w:r>
      <w:r w:rsidRPr="0088426E">
        <w:rPr>
          <w:i/>
          <w:szCs w:val="20"/>
        </w:rPr>
        <w:t xml:space="preserve">A </w:t>
      </w:r>
      <w:r w:rsidR="0070324D" w:rsidRPr="0007340F">
        <w:rPr>
          <w:i/>
          <w:szCs w:val="20"/>
        </w:rPr>
        <w:t xml:space="preserve">Community-Based Targeting Approach </w:t>
      </w:r>
      <w:r w:rsidRPr="0088426E">
        <w:rPr>
          <w:i/>
          <w:szCs w:val="20"/>
        </w:rPr>
        <w:t xml:space="preserve">to </w:t>
      </w:r>
      <w:r w:rsidR="0070324D" w:rsidRPr="0007340F">
        <w:rPr>
          <w:i/>
          <w:szCs w:val="20"/>
        </w:rPr>
        <w:t xml:space="preserve">Exempt </w:t>
      </w:r>
      <w:r w:rsidRPr="0088426E">
        <w:rPr>
          <w:i/>
          <w:szCs w:val="20"/>
        </w:rPr>
        <w:t xml:space="preserve">the </w:t>
      </w:r>
      <w:r w:rsidR="0070324D" w:rsidRPr="0007340F">
        <w:rPr>
          <w:i/>
          <w:szCs w:val="20"/>
        </w:rPr>
        <w:t xml:space="preserve">Worst-Off </w:t>
      </w:r>
      <w:r w:rsidRPr="0088426E">
        <w:rPr>
          <w:i/>
          <w:szCs w:val="20"/>
        </w:rPr>
        <w:t xml:space="preserve">from </w:t>
      </w:r>
      <w:r w:rsidR="0070324D" w:rsidRPr="0007340F">
        <w:rPr>
          <w:i/>
          <w:szCs w:val="20"/>
        </w:rPr>
        <w:t xml:space="preserve">User Fees </w:t>
      </w:r>
      <w:r w:rsidRPr="0088426E">
        <w:rPr>
          <w:i/>
          <w:szCs w:val="20"/>
        </w:rPr>
        <w:t>in Burkina Faso</w:t>
      </w:r>
      <w:r w:rsidR="008A56CF" w:rsidRPr="0007340F">
        <w:rPr>
          <w:i/>
          <w:szCs w:val="20"/>
        </w:rPr>
        <w:t>’</w:t>
      </w:r>
      <w:r w:rsidRPr="0088426E">
        <w:rPr>
          <w:szCs w:val="20"/>
        </w:rPr>
        <w:t>. Journal of Epidemiology and Community Health. January 2010. Volume 64. Issue 1:10–15.</w:t>
      </w:r>
    </w:p>
    <w:p w:rsidR="00A23A26" w:rsidRDefault="0088426E">
      <w:pPr>
        <w:tabs>
          <w:tab w:val="clear" w:pos="709"/>
          <w:tab w:val="left" w:pos="567"/>
        </w:tabs>
        <w:spacing w:after="120"/>
        <w:ind w:left="567" w:hanging="567"/>
        <w:rPr>
          <w:szCs w:val="20"/>
        </w:rPr>
      </w:pPr>
      <w:r w:rsidRPr="0088426E">
        <w:rPr>
          <w:szCs w:val="20"/>
        </w:rPr>
        <w:t xml:space="preserve">Samson, M., van Niekerk, I., Mac Quene, K. 2006. </w:t>
      </w:r>
      <w:r w:rsidR="008A56CF" w:rsidRPr="0007340F">
        <w:rPr>
          <w:i/>
          <w:szCs w:val="20"/>
        </w:rPr>
        <w:t>‘</w:t>
      </w:r>
      <w:r w:rsidRPr="0088426E">
        <w:rPr>
          <w:i/>
          <w:szCs w:val="20"/>
        </w:rPr>
        <w:t>Designing and Implementing Social Transfer Programs</w:t>
      </w:r>
      <w:r w:rsidR="008A56CF" w:rsidRPr="0007340F">
        <w:rPr>
          <w:i/>
          <w:szCs w:val="20"/>
        </w:rPr>
        <w:t>’</w:t>
      </w:r>
      <w:r w:rsidRPr="0088426E">
        <w:rPr>
          <w:szCs w:val="20"/>
        </w:rPr>
        <w:t>. EPRI: Cape Town, South Africa.</w:t>
      </w:r>
    </w:p>
    <w:p w:rsidR="00A23A26" w:rsidRDefault="0088426E">
      <w:pPr>
        <w:tabs>
          <w:tab w:val="clear" w:pos="709"/>
          <w:tab w:val="left" w:pos="567"/>
        </w:tabs>
        <w:spacing w:after="120"/>
        <w:ind w:left="567" w:hanging="567"/>
        <w:rPr>
          <w:szCs w:val="20"/>
        </w:rPr>
      </w:pPr>
      <w:r w:rsidRPr="0088426E">
        <w:rPr>
          <w:szCs w:val="20"/>
        </w:rPr>
        <w:t xml:space="preserve">Save the Children UK (SCUK), HelpAge International (HAI), and Institute of Development Studies (IDS). 2005. </w:t>
      </w:r>
      <w:r w:rsidR="008A56CF" w:rsidRPr="0007340F">
        <w:rPr>
          <w:i/>
          <w:szCs w:val="20"/>
        </w:rPr>
        <w:t>‘</w:t>
      </w:r>
      <w:r w:rsidRPr="0088426E">
        <w:rPr>
          <w:i/>
          <w:szCs w:val="20"/>
        </w:rPr>
        <w:t xml:space="preserve">Making Cash Count. Lessons from </w:t>
      </w:r>
      <w:r w:rsidR="0070324D" w:rsidRPr="0007340F">
        <w:rPr>
          <w:i/>
          <w:szCs w:val="20"/>
        </w:rPr>
        <w:t>Cash Transfer Schemes</w:t>
      </w:r>
      <w:r w:rsidRPr="0088426E">
        <w:rPr>
          <w:i/>
          <w:szCs w:val="20"/>
        </w:rPr>
        <w:t xml:space="preserve"> in </w:t>
      </w:r>
      <w:r w:rsidR="0070324D" w:rsidRPr="0007340F">
        <w:rPr>
          <w:i/>
          <w:szCs w:val="20"/>
        </w:rPr>
        <w:t xml:space="preserve">East </w:t>
      </w:r>
      <w:r w:rsidRPr="0088426E">
        <w:rPr>
          <w:i/>
          <w:szCs w:val="20"/>
        </w:rPr>
        <w:t xml:space="preserve">and </w:t>
      </w:r>
      <w:r w:rsidR="0070324D" w:rsidRPr="0007340F">
        <w:rPr>
          <w:i/>
          <w:szCs w:val="20"/>
        </w:rPr>
        <w:t xml:space="preserve">Southern </w:t>
      </w:r>
      <w:r w:rsidRPr="0088426E">
        <w:rPr>
          <w:i/>
          <w:szCs w:val="20"/>
        </w:rPr>
        <w:t xml:space="preserve">Africa for </w:t>
      </w:r>
      <w:r w:rsidR="0070324D" w:rsidRPr="0007340F">
        <w:rPr>
          <w:i/>
          <w:szCs w:val="20"/>
        </w:rPr>
        <w:t xml:space="preserve">Supporting </w:t>
      </w:r>
      <w:r w:rsidRPr="0088426E">
        <w:rPr>
          <w:i/>
          <w:szCs w:val="20"/>
        </w:rPr>
        <w:t xml:space="preserve">the </w:t>
      </w:r>
      <w:r w:rsidR="0070324D" w:rsidRPr="0007340F">
        <w:rPr>
          <w:i/>
          <w:szCs w:val="20"/>
        </w:rPr>
        <w:t xml:space="preserve">Most Vulnerable Children </w:t>
      </w:r>
      <w:r w:rsidRPr="0088426E">
        <w:rPr>
          <w:i/>
          <w:szCs w:val="20"/>
        </w:rPr>
        <w:t xml:space="preserve">and </w:t>
      </w:r>
      <w:r w:rsidR="0070324D" w:rsidRPr="0007340F">
        <w:rPr>
          <w:i/>
          <w:szCs w:val="20"/>
        </w:rPr>
        <w:t>Households</w:t>
      </w:r>
      <w:r w:rsidR="008A56CF" w:rsidRPr="0007340F">
        <w:rPr>
          <w:i/>
          <w:szCs w:val="20"/>
        </w:rPr>
        <w:t>’</w:t>
      </w:r>
      <w:r w:rsidRPr="0088426E">
        <w:rPr>
          <w:szCs w:val="20"/>
        </w:rPr>
        <w:t>. London, UK.</w:t>
      </w:r>
    </w:p>
    <w:p w:rsidR="00A23A26" w:rsidRPr="008E7B13" w:rsidRDefault="0088426E">
      <w:pPr>
        <w:tabs>
          <w:tab w:val="clear" w:pos="709"/>
          <w:tab w:val="left" w:pos="567"/>
        </w:tabs>
        <w:spacing w:before="120" w:after="120"/>
        <w:ind w:left="567" w:hanging="567"/>
        <w:rPr>
          <w:szCs w:val="20"/>
          <w:lang w:val="fr-FR"/>
        </w:rPr>
      </w:pPr>
      <w:r w:rsidRPr="0088426E">
        <w:rPr>
          <w:szCs w:val="20"/>
        </w:rPr>
        <w:t xml:space="preserve">Save the Children UK and FEG Consulting. 2008. </w:t>
      </w:r>
      <w:r w:rsidR="008A56CF" w:rsidRPr="0007340F">
        <w:rPr>
          <w:i/>
          <w:szCs w:val="20"/>
        </w:rPr>
        <w:t>‘</w:t>
      </w:r>
      <w:r w:rsidRPr="0088426E">
        <w:rPr>
          <w:i/>
          <w:szCs w:val="20"/>
        </w:rPr>
        <w:t xml:space="preserve">The Household Economy Approach. A </w:t>
      </w:r>
      <w:r w:rsidR="0070324D" w:rsidRPr="0007340F">
        <w:rPr>
          <w:i/>
          <w:szCs w:val="20"/>
        </w:rPr>
        <w:t xml:space="preserve">Guide </w:t>
      </w:r>
      <w:r w:rsidRPr="0088426E">
        <w:rPr>
          <w:i/>
          <w:szCs w:val="20"/>
        </w:rPr>
        <w:t xml:space="preserve">for </w:t>
      </w:r>
      <w:r w:rsidR="0070324D" w:rsidRPr="0007340F">
        <w:rPr>
          <w:i/>
          <w:szCs w:val="20"/>
        </w:rPr>
        <w:t xml:space="preserve">Program Planners </w:t>
      </w:r>
      <w:r w:rsidRPr="0088426E">
        <w:rPr>
          <w:i/>
          <w:szCs w:val="20"/>
        </w:rPr>
        <w:t xml:space="preserve">and </w:t>
      </w:r>
      <w:r w:rsidR="0070324D" w:rsidRPr="0007340F">
        <w:rPr>
          <w:i/>
          <w:szCs w:val="20"/>
        </w:rPr>
        <w:t>Policy-Makers</w:t>
      </w:r>
      <w:r w:rsidR="008A56CF" w:rsidRPr="0007340F">
        <w:rPr>
          <w:i/>
          <w:szCs w:val="20"/>
        </w:rPr>
        <w:t>’</w:t>
      </w:r>
      <w:r w:rsidRPr="0088426E">
        <w:rPr>
          <w:szCs w:val="20"/>
        </w:rPr>
        <w:t xml:space="preserve">. March. </w:t>
      </w:r>
      <w:r w:rsidRPr="008E7B13">
        <w:rPr>
          <w:szCs w:val="20"/>
          <w:lang w:val="fr-FR"/>
        </w:rPr>
        <w:t>London, UK.</w:t>
      </w:r>
    </w:p>
    <w:p w:rsidR="00A23A26" w:rsidRDefault="0088426E">
      <w:pPr>
        <w:widowControl w:val="0"/>
        <w:autoSpaceDE w:val="0"/>
        <w:autoSpaceDN w:val="0"/>
        <w:adjustRightInd w:val="0"/>
        <w:spacing w:after="120"/>
        <w:ind w:left="360" w:hanging="360"/>
        <w:rPr>
          <w:szCs w:val="20"/>
          <w:lang w:val="fr-FR"/>
        </w:rPr>
      </w:pPr>
      <w:r w:rsidRPr="0088426E">
        <w:rPr>
          <w:szCs w:val="20"/>
          <w:lang w:val="fr-FR"/>
        </w:rPr>
        <w:t xml:space="preserve">Secrétariat Exécutif du Conseil National de Sécurité Alimentaire (SE-CNSA) [Burkina Faso]. 2009. </w:t>
      </w:r>
      <w:r w:rsidR="008A56CF" w:rsidRPr="00577EB1">
        <w:rPr>
          <w:i/>
          <w:szCs w:val="20"/>
          <w:lang w:val="fr-FR"/>
        </w:rPr>
        <w:t>‘</w:t>
      </w:r>
      <w:r w:rsidRPr="0088426E">
        <w:rPr>
          <w:i/>
          <w:szCs w:val="20"/>
          <w:lang w:val="fr-FR"/>
        </w:rPr>
        <w:t xml:space="preserve">Informations sur la </w:t>
      </w:r>
      <w:r w:rsidR="0070324D" w:rsidRPr="00577EB1">
        <w:rPr>
          <w:i/>
          <w:szCs w:val="20"/>
          <w:lang w:val="fr-FR"/>
        </w:rPr>
        <w:t>sécurité alimentaire</w:t>
      </w:r>
      <w:r w:rsidRPr="0088426E">
        <w:rPr>
          <w:i/>
          <w:szCs w:val="20"/>
          <w:lang w:val="fr-FR"/>
        </w:rPr>
        <w:t xml:space="preserve"> au Burkina Faso</w:t>
      </w:r>
      <w:r w:rsidR="0007340F">
        <w:rPr>
          <w:i/>
          <w:szCs w:val="20"/>
          <w:lang w:val="fr-FR"/>
        </w:rPr>
        <w:t xml:space="preserve"> </w:t>
      </w:r>
      <w:r w:rsidRPr="0088426E">
        <w:rPr>
          <w:i/>
          <w:szCs w:val="20"/>
          <w:lang w:val="fr-FR"/>
        </w:rPr>
        <w:t xml:space="preserve">Etat des </w:t>
      </w:r>
      <w:r w:rsidR="0070324D" w:rsidRPr="00577EB1">
        <w:rPr>
          <w:i/>
          <w:szCs w:val="20"/>
          <w:lang w:val="fr-FR"/>
        </w:rPr>
        <w:t>lieux</w:t>
      </w:r>
      <w:r w:rsidR="0007340F">
        <w:rPr>
          <w:i/>
          <w:szCs w:val="20"/>
          <w:lang w:val="fr-FR"/>
        </w:rPr>
        <w:t xml:space="preserve"> </w:t>
      </w:r>
      <w:r w:rsidR="0070324D" w:rsidRPr="00577EB1">
        <w:rPr>
          <w:i/>
          <w:szCs w:val="20"/>
          <w:lang w:val="fr-FR"/>
        </w:rPr>
        <w:t>perspectives</w:t>
      </w:r>
      <w:r w:rsidRPr="0088426E">
        <w:rPr>
          <w:i/>
          <w:szCs w:val="20"/>
          <w:lang w:val="fr-FR"/>
        </w:rPr>
        <w:t xml:space="preserve">. Session </w:t>
      </w:r>
      <w:r w:rsidR="0070324D" w:rsidRPr="00577EB1">
        <w:rPr>
          <w:i/>
          <w:szCs w:val="20"/>
          <w:lang w:val="fr-FR"/>
        </w:rPr>
        <w:t>interparlementaire sur la sécurité alimentaire mondiale</w:t>
      </w:r>
      <w:r w:rsidR="008A56CF" w:rsidRPr="00577EB1">
        <w:rPr>
          <w:i/>
          <w:szCs w:val="20"/>
          <w:lang w:val="fr-FR"/>
        </w:rPr>
        <w:t>’</w:t>
      </w:r>
      <w:r w:rsidRPr="0088426E">
        <w:rPr>
          <w:szCs w:val="20"/>
          <w:lang w:val="fr-FR"/>
        </w:rPr>
        <w:t>. Document prepared for the World Summit on Food Security. September. Ministère de l</w:t>
      </w:r>
      <w:r w:rsidR="008A56CF" w:rsidRPr="00577EB1">
        <w:rPr>
          <w:szCs w:val="20"/>
          <w:lang w:val="fr-FR"/>
        </w:rPr>
        <w:t>’</w:t>
      </w:r>
      <w:r w:rsidRPr="0088426E">
        <w:rPr>
          <w:szCs w:val="20"/>
          <w:lang w:val="fr-FR"/>
        </w:rPr>
        <w:t>Agriculture, de l</w:t>
      </w:r>
      <w:r w:rsidR="008A56CF" w:rsidRPr="00577EB1">
        <w:rPr>
          <w:szCs w:val="20"/>
          <w:lang w:val="fr-FR"/>
        </w:rPr>
        <w:t>’</w:t>
      </w:r>
      <w:r w:rsidRPr="0088426E">
        <w:rPr>
          <w:szCs w:val="20"/>
          <w:lang w:val="fr-FR"/>
        </w:rPr>
        <w:t>Hydraulique et des Ressources Halieutiques. Ouagadougou, Burkina Faso.</w:t>
      </w:r>
    </w:p>
    <w:p w:rsidR="00244394" w:rsidRPr="00577EB1" w:rsidRDefault="0088426E" w:rsidP="00464554">
      <w:pPr>
        <w:tabs>
          <w:tab w:val="clear" w:pos="709"/>
          <w:tab w:val="left" w:pos="567"/>
        </w:tabs>
        <w:spacing w:before="120" w:after="120"/>
        <w:ind w:left="567" w:hanging="567"/>
        <w:rPr>
          <w:szCs w:val="20"/>
          <w:lang w:val="fr-FR"/>
        </w:rPr>
      </w:pPr>
      <w:r w:rsidRPr="0088426E">
        <w:rPr>
          <w:szCs w:val="20"/>
          <w:lang w:val="fr-FR"/>
        </w:rPr>
        <w:t xml:space="preserve">Secrétariat Permanent du Conseil National de Lutte contre le Sida et les Infections Sexuellement Transmissibles (SP/CNLS-IST) [Burkina Faso]. 2008. </w:t>
      </w:r>
      <w:r w:rsidR="008A56CF" w:rsidRPr="00577EB1">
        <w:rPr>
          <w:i/>
          <w:szCs w:val="20"/>
          <w:lang w:val="fr-FR"/>
        </w:rPr>
        <w:t>‘</w:t>
      </w:r>
      <w:r w:rsidRPr="0088426E">
        <w:rPr>
          <w:i/>
          <w:szCs w:val="20"/>
          <w:lang w:val="fr-FR"/>
        </w:rPr>
        <w:t xml:space="preserve">Recherche </w:t>
      </w:r>
      <w:r w:rsidR="0070324D" w:rsidRPr="00577EB1">
        <w:rPr>
          <w:i/>
          <w:szCs w:val="20"/>
          <w:lang w:val="fr-FR"/>
        </w:rPr>
        <w:t>action sur la prise en charge communautaire des orphelins et enfants vulnérables du</w:t>
      </w:r>
      <w:r w:rsidRPr="0088426E">
        <w:rPr>
          <w:i/>
          <w:szCs w:val="20"/>
          <w:lang w:val="fr-FR"/>
        </w:rPr>
        <w:t xml:space="preserve"> VIH/SIDA dans les Provinces du Nahouri et du Sanmatenga</w:t>
      </w:r>
      <w:r w:rsidR="008A56CF" w:rsidRPr="00577EB1">
        <w:rPr>
          <w:i/>
          <w:szCs w:val="20"/>
          <w:lang w:val="fr-FR"/>
        </w:rPr>
        <w:t>’</w:t>
      </w:r>
      <w:r w:rsidRPr="0088426E">
        <w:rPr>
          <w:szCs w:val="20"/>
          <w:lang w:val="fr-FR"/>
        </w:rPr>
        <w:t xml:space="preserve">. </w:t>
      </w:r>
      <w:r w:rsidR="00244394" w:rsidRPr="00577EB1">
        <w:rPr>
          <w:szCs w:val="20"/>
          <w:lang w:val="fr-FR"/>
        </w:rPr>
        <w:t>Septemb</w:t>
      </w:r>
      <w:r w:rsidR="000E3D3A" w:rsidRPr="00577EB1">
        <w:rPr>
          <w:szCs w:val="20"/>
          <w:lang w:val="fr-FR"/>
        </w:rPr>
        <w:t>re</w:t>
      </w:r>
      <w:r w:rsidR="00244394" w:rsidRPr="00577EB1">
        <w:rPr>
          <w:szCs w:val="20"/>
          <w:lang w:val="fr-FR"/>
        </w:rPr>
        <w:t>.</w:t>
      </w:r>
      <w:r w:rsidR="006A7F81" w:rsidRPr="00577EB1">
        <w:rPr>
          <w:szCs w:val="20"/>
          <w:lang w:val="fr-FR"/>
        </w:rPr>
        <w:t xml:space="preserve"> </w:t>
      </w:r>
      <w:r w:rsidRPr="0088426E">
        <w:rPr>
          <w:szCs w:val="20"/>
          <w:lang w:val="fr-FR"/>
        </w:rPr>
        <w:t>Ouagadougou, Burkina Faso.</w:t>
      </w:r>
    </w:p>
    <w:p w:rsidR="006B2340" w:rsidRPr="00577EB1" w:rsidRDefault="0088426E" w:rsidP="00464554">
      <w:pPr>
        <w:tabs>
          <w:tab w:val="clear" w:pos="709"/>
          <w:tab w:val="left" w:pos="567"/>
        </w:tabs>
        <w:spacing w:before="120" w:after="120"/>
        <w:ind w:left="567" w:hanging="567"/>
        <w:rPr>
          <w:szCs w:val="20"/>
          <w:lang w:val="fr-FR"/>
        </w:rPr>
      </w:pPr>
      <w:r w:rsidRPr="0088426E">
        <w:rPr>
          <w:szCs w:val="20"/>
          <w:lang w:val="fr-FR"/>
        </w:rPr>
        <w:t>Secrétariat Permanent du Conseil National de Secours d</w:t>
      </w:r>
      <w:r w:rsidR="008A56CF" w:rsidRPr="00577EB1">
        <w:rPr>
          <w:szCs w:val="20"/>
          <w:lang w:val="fr-FR"/>
        </w:rPr>
        <w:t>’</w:t>
      </w:r>
      <w:r w:rsidRPr="0088426E">
        <w:rPr>
          <w:szCs w:val="20"/>
          <w:lang w:val="fr-FR"/>
        </w:rPr>
        <w:t xml:space="preserve">Urgence et de Réhabilitation (SP/CONASUR) [Burkina Faso]. 2008a. </w:t>
      </w:r>
      <w:r w:rsidR="008A56CF" w:rsidRPr="00577EB1">
        <w:rPr>
          <w:i/>
          <w:szCs w:val="20"/>
          <w:lang w:val="fr-FR"/>
        </w:rPr>
        <w:t>‘</w:t>
      </w:r>
      <w:r w:rsidRPr="0088426E">
        <w:rPr>
          <w:i/>
          <w:szCs w:val="20"/>
          <w:lang w:val="fr-FR"/>
        </w:rPr>
        <w:t>Première session ordinaire du CONASUR. Rapport d</w:t>
      </w:r>
      <w:r w:rsidR="008A56CF" w:rsidRPr="00577EB1">
        <w:rPr>
          <w:i/>
          <w:szCs w:val="20"/>
          <w:lang w:val="fr-FR"/>
        </w:rPr>
        <w:t>’</w:t>
      </w:r>
      <w:r w:rsidRPr="0088426E">
        <w:rPr>
          <w:i/>
          <w:szCs w:val="20"/>
          <w:lang w:val="fr-FR"/>
        </w:rPr>
        <w:t>activités 2005-2007 du SP/CONASUR</w:t>
      </w:r>
      <w:r w:rsidR="008A56CF" w:rsidRPr="00577EB1">
        <w:rPr>
          <w:i/>
          <w:szCs w:val="20"/>
          <w:lang w:val="fr-FR"/>
        </w:rPr>
        <w:t>’</w:t>
      </w:r>
      <w:r w:rsidRPr="0088426E">
        <w:rPr>
          <w:szCs w:val="20"/>
          <w:lang w:val="fr-FR"/>
        </w:rPr>
        <w:t xml:space="preserve">. </w:t>
      </w:r>
      <w:r w:rsidR="001E448E" w:rsidRPr="00577EB1">
        <w:rPr>
          <w:szCs w:val="20"/>
          <w:lang w:val="fr-FR"/>
        </w:rPr>
        <w:t>Décembre</w:t>
      </w:r>
      <w:r w:rsidR="006B2340" w:rsidRPr="00577EB1">
        <w:rPr>
          <w:szCs w:val="20"/>
          <w:lang w:val="fr-FR"/>
        </w:rPr>
        <w:t>.</w:t>
      </w:r>
      <w:r w:rsidRPr="0088426E">
        <w:rPr>
          <w:szCs w:val="20"/>
          <w:lang w:val="fr-FR"/>
        </w:rPr>
        <w:t xml:space="preserve"> Ouagadougou, Burkina Faso.</w:t>
      </w:r>
    </w:p>
    <w:p w:rsidR="00A23A26" w:rsidRDefault="0088426E">
      <w:pPr>
        <w:tabs>
          <w:tab w:val="clear" w:pos="709"/>
          <w:tab w:val="left" w:pos="567"/>
        </w:tabs>
        <w:spacing w:before="120" w:after="120"/>
        <w:ind w:left="567" w:hanging="567"/>
        <w:rPr>
          <w:szCs w:val="20"/>
        </w:rPr>
      </w:pPr>
      <w:r w:rsidRPr="0088426E">
        <w:rPr>
          <w:szCs w:val="20"/>
          <w:lang w:val="fr-FR"/>
        </w:rPr>
        <w:t xml:space="preserve">______. 2008b. </w:t>
      </w:r>
      <w:r w:rsidR="008A56CF" w:rsidRPr="00577EB1">
        <w:rPr>
          <w:i/>
          <w:szCs w:val="20"/>
          <w:lang w:val="fr-FR"/>
        </w:rPr>
        <w:t>‘</w:t>
      </w:r>
      <w:r w:rsidRPr="0088426E">
        <w:rPr>
          <w:i/>
          <w:szCs w:val="20"/>
          <w:lang w:val="fr-FR"/>
        </w:rPr>
        <w:t>Deuxième session ordinaire du CONASUR. Rapport d</w:t>
      </w:r>
      <w:r w:rsidR="008A56CF" w:rsidRPr="00577EB1">
        <w:rPr>
          <w:i/>
          <w:szCs w:val="20"/>
          <w:lang w:val="fr-FR"/>
        </w:rPr>
        <w:t>’</w:t>
      </w:r>
      <w:r w:rsidRPr="0088426E">
        <w:rPr>
          <w:i/>
          <w:szCs w:val="20"/>
          <w:lang w:val="fr-FR"/>
        </w:rPr>
        <w:t>activités 2008 du SP/CONASUR</w:t>
      </w:r>
      <w:r w:rsidR="008A56CF" w:rsidRPr="00577EB1">
        <w:rPr>
          <w:i/>
          <w:szCs w:val="20"/>
          <w:lang w:val="fr-FR"/>
        </w:rPr>
        <w:t>’</w:t>
      </w:r>
      <w:r w:rsidRPr="0088426E">
        <w:rPr>
          <w:szCs w:val="20"/>
          <w:lang w:val="fr-FR"/>
        </w:rPr>
        <w:t xml:space="preserve">. </w:t>
      </w:r>
      <w:r w:rsidRPr="0088426E">
        <w:rPr>
          <w:szCs w:val="20"/>
        </w:rPr>
        <w:t>February. Ouagadougou, Burkina Faso.</w:t>
      </w:r>
    </w:p>
    <w:p w:rsidR="00A23A26" w:rsidRDefault="0088426E">
      <w:pPr>
        <w:tabs>
          <w:tab w:val="clear" w:pos="709"/>
          <w:tab w:val="left" w:pos="567"/>
        </w:tabs>
        <w:spacing w:before="120" w:after="120"/>
        <w:ind w:left="567" w:hanging="567"/>
        <w:rPr>
          <w:szCs w:val="20"/>
        </w:rPr>
      </w:pPr>
      <w:r w:rsidRPr="0088426E">
        <w:rPr>
          <w:szCs w:val="20"/>
        </w:rPr>
        <w:t xml:space="preserve">Smith, W. and K. Subbarao. 2003. </w:t>
      </w:r>
      <w:r w:rsidR="008A56CF" w:rsidRPr="0007340F">
        <w:rPr>
          <w:i/>
          <w:szCs w:val="20"/>
        </w:rPr>
        <w:t>‘</w:t>
      </w:r>
      <w:r w:rsidRPr="0088426E">
        <w:rPr>
          <w:i/>
          <w:szCs w:val="20"/>
        </w:rPr>
        <w:t>What Role for Safety Net Transfers in Low Income Countries</w:t>
      </w:r>
      <w:r w:rsidR="008A56CF" w:rsidRPr="0007340F">
        <w:rPr>
          <w:i/>
          <w:szCs w:val="20"/>
        </w:rPr>
        <w:t>’</w:t>
      </w:r>
      <w:r w:rsidRPr="0088426E">
        <w:rPr>
          <w:szCs w:val="20"/>
        </w:rPr>
        <w:t>. Social Protection Discussion Paper No. 0301. January. World Bank: Washington, D.C.</w:t>
      </w:r>
    </w:p>
    <w:p w:rsidR="00A23A26" w:rsidRDefault="0088426E">
      <w:pPr>
        <w:tabs>
          <w:tab w:val="clear" w:pos="709"/>
          <w:tab w:val="left" w:pos="567"/>
        </w:tabs>
        <w:spacing w:before="120" w:after="120"/>
        <w:ind w:left="567" w:hanging="567"/>
        <w:rPr>
          <w:szCs w:val="20"/>
        </w:rPr>
      </w:pPr>
      <w:r w:rsidRPr="0088426E">
        <w:rPr>
          <w:szCs w:val="20"/>
        </w:rPr>
        <w:t>van de Walle, Dominique. 2010. “Widows and Social Protection in Mali and Burkina Faso.” Mimeo, PRMGE, World Bank, Washington, DC.</w:t>
      </w:r>
    </w:p>
    <w:p w:rsidR="00A23A26" w:rsidRDefault="0088426E">
      <w:pPr>
        <w:tabs>
          <w:tab w:val="clear" w:pos="709"/>
          <w:tab w:val="left" w:pos="567"/>
        </w:tabs>
        <w:spacing w:before="120" w:after="120"/>
        <w:ind w:left="567" w:hanging="567"/>
        <w:rPr>
          <w:szCs w:val="20"/>
        </w:rPr>
      </w:pPr>
      <w:r w:rsidRPr="0088426E">
        <w:rPr>
          <w:szCs w:val="20"/>
        </w:rPr>
        <w:t xml:space="preserve">World Bank. 2004. </w:t>
      </w:r>
      <w:r w:rsidR="008A56CF" w:rsidRPr="0007340F">
        <w:rPr>
          <w:i/>
          <w:szCs w:val="20"/>
        </w:rPr>
        <w:t>‘</w:t>
      </w:r>
      <w:r w:rsidRPr="0088426E">
        <w:rPr>
          <w:i/>
          <w:szCs w:val="20"/>
        </w:rPr>
        <w:t>Burkina Faso Risk and Vulnerability Assessment</w:t>
      </w:r>
      <w:r w:rsidR="008A56CF" w:rsidRPr="0007340F">
        <w:rPr>
          <w:i/>
          <w:szCs w:val="20"/>
        </w:rPr>
        <w:t>’</w:t>
      </w:r>
      <w:r w:rsidRPr="0088426E">
        <w:rPr>
          <w:szCs w:val="20"/>
        </w:rPr>
        <w:t>. Report No. 28144-BUR. January. Washington, D.C.</w:t>
      </w:r>
    </w:p>
    <w:p w:rsidR="00A23A26" w:rsidRPr="00506921" w:rsidRDefault="0088426E">
      <w:pPr>
        <w:tabs>
          <w:tab w:val="clear" w:pos="709"/>
          <w:tab w:val="left" w:pos="567"/>
        </w:tabs>
        <w:spacing w:before="120" w:after="120"/>
        <w:ind w:left="567" w:hanging="567"/>
        <w:rPr>
          <w:szCs w:val="20"/>
          <w:lang w:val="fr-FR"/>
        </w:rPr>
      </w:pPr>
      <w:r w:rsidRPr="0088426E">
        <w:rPr>
          <w:szCs w:val="20"/>
        </w:rPr>
        <w:t xml:space="preserve">______. 2005. </w:t>
      </w:r>
      <w:r w:rsidR="008A56CF" w:rsidRPr="0007340F">
        <w:rPr>
          <w:i/>
          <w:szCs w:val="20"/>
        </w:rPr>
        <w:t>‘</w:t>
      </w:r>
      <w:r w:rsidRPr="0088426E">
        <w:rPr>
          <w:i/>
          <w:szCs w:val="20"/>
        </w:rPr>
        <w:t xml:space="preserve">Burkina Faso: Reducing Poverty </w:t>
      </w:r>
      <w:r w:rsidR="000B4551" w:rsidRPr="0007340F">
        <w:rPr>
          <w:i/>
          <w:szCs w:val="20"/>
        </w:rPr>
        <w:t>t</w:t>
      </w:r>
      <w:r w:rsidRPr="0088426E">
        <w:rPr>
          <w:i/>
          <w:szCs w:val="20"/>
        </w:rPr>
        <w:t xml:space="preserve">hrough Sustained Equitable Growth. </w:t>
      </w:r>
      <w:r w:rsidR="00EB214A" w:rsidRPr="00506921">
        <w:rPr>
          <w:i/>
          <w:szCs w:val="20"/>
          <w:lang w:val="fr-FR"/>
        </w:rPr>
        <w:t>Poverty Assessment’</w:t>
      </w:r>
      <w:r w:rsidR="00EB214A" w:rsidRPr="00506921">
        <w:rPr>
          <w:szCs w:val="20"/>
          <w:lang w:val="fr-FR"/>
        </w:rPr>
        <w:t>. Report No. 29743-BUR. June.</w:t>
      </w:r>
    </w:p>
    <w:p w:rsidR="00A23A26" w:rsidRDefault="00EB214A">
      <w:pPr>
        <w:tabs>
          <w:tab w:val="clear" w:pos="709"/>
          <w:tab w:val="left" w:pos="567"/>
        </w:tabs>
        <w:spacing w:before="120" w:after="120"/>
        <w:ind w:left="567" w:hanging="567"/>
        <w:rPr>
          <w:szCs w:val="20"/>
        </w:rPr>
      </w:pPr>
      <w:r w:rsidRPr="00506921">
        <w:rPr>
          <w:szCs w:val="20"/>
          <w:lang w:val="fr-FR"/>
        </w:rPr>
        <w:t xml:space="preserve">______. 2009a. </w:t>
      </w:r>
      <w:r w:rsidR="008A56CF" w:rsidRPr="00577EB1">
        <w:rPr>
          <w:i/>
          <w:szCs w:val="20"/>
          <w:lang w:val="fr-FR"/>
        </w:rPr>
        <w:t>‘</w:t>
      </w:r>
      <w:r w:rsidR="0088426E" w:rsidRPr="0088426E">
        <w:rPr>
          <w:i/>
          <w:szCs w:val="20"/>
          <w:lang w:val="fr-FR"/>
        </w:rPr>
        <w:t xml:space="preserve">Au-delà du Paradoxe Burkinabé: Feuille </w:t>
      </w:r>
      <w:r w:rsidR="0070324D" w:rsidRPr="00577EB1">
        <w:rPr>
          <w:i/>
          <w:szCs w:val="20"/>
          <w:lang w:val="fr-FR"/>
        </w:rPr>
        <w:t xml:space="preserve">de route pour une dépense publique plus efficace, </w:t>
      </w:r>
      <w:r w:rsidR="001E448E" w:rsidRPr="00577EB1">
        <w:rPr>
          <w:i/>
          <w:szCs w:val="20"/>
          <w:lang w:val="fr-FR"/>
        </w:rPr>
        <w:t>équitable</w:t>
      </w:r>
      <w:r w:rsidR="0070324D" w:rsidRPr="00577EB1">
        <w:rPr>
          <w:i/>
          <w:szCs w:val="20"/>
          <w:lang w:val="fr-FR"/>
        </w:rPr>
        <w:t xml:space="preserve"> et de meilleure qualité</w:t>
      </w:r>
      <w:r w:rsidR="008A56CF" w:rsidRPr="00577EB1">
        <w:rPr>
          <w:i/>
          <w:szCs w:val="20"/>
          <w:lang w:val="fr-FR"/>
        </w:rPr>
        <w:t>’</w:t>
      </w:r>
      <w:r w:rsidR="0088426E" w:rsidRPr="0088426E">
        <w:rPr>
          <w:szCs w:val="20"/>
          <w:lang w:val="fr-FR"/>
        </w:rPr>
        <w:t xml:space="preserve">. </w:t>
      </w:r>
      <w:r w:rsidR="0088426E" w:rsidRPr="0088426E">
        <w:rPr>
          <w:szCs w:val="20"/>
        </w:rPr>
        <w:t>Burkina Faso Public Expenditure Review. Report No. 50354-BF. Septemb</w:t>
      </w:r>
      <w:r w:rsidR="001E448E" w:rsidRPr="0007340F">
        <w:rPr>
          <w:szCs w:val="20"/>
        </w:rPr>
        <w:t>re</w:t>
      </w:r>
      <w:r w:rsidR="0088426E" w:rsidRPr="0088426E">
        <w:rPr>
          <w:szCs w:val="20"/>
        </w:rPr>
        <w:t>.</w:t>
      </w:r>
    </w:p>
    <w:p w:rsidR="00A23A26" w:rsidRDefault="0088426E">
      <w:pPr>
        <w:tabs>
          <w:tab w:val="clear" w:pos="709"/>
          <w:tab w:val="left" w:pos="567"/>
        </w:tabs>
        <w:spacing w:before="120" w:after="120"/>
        <w:ind w:left="567" w:hanging="567"/>
        <w:rPr>
          <w:bCs/>
          <w:szCs w:val="20"/>
          <w:lang w:val="fr-FR"/>
        </w:rPr>
      </w:pPr>
      <w:r w:rsidRPr="0088426E">
        <w:rPr>
          <w:szCs w:val="20"/>
        </w:rPr>
        <w:lastRenderedPageBreak/>
        <w:t xml:space="preserve">______. </w:t>
      </w:r>
      <w:r w:rsidRPr="0088426E">
        <w:rPr>
          <w:bCs/>
          <w:szCs w:val="20"/>
        </w:rPr>
        <w:t xml:space="preserve">2009b. </w:t>
      </w:r>
      <w:r w:rsidR="008A56CF" w:rsidRPr="0007340F">
        <w:rPr>
          <w:bCs/>
          <w:i/>
          <w:szCs w:val="20"/>
        </w:rPr>
        <w:t>‘</w:t>
      </w:r>
      <w:r w:rsidRPr="0088426E">
        <w:rPr>
          <w:bCs/>
          <w:i/>
          <w:szCs w:val="20"/>
        </w:rPr>
        <w:t>Burkina Faso: Promoting Growth, Competitiveness and Diversification</w:t>
      </w:r>
      <w:r w:rsidR="008A56CF" w:rsidRPr="0007340F">
        <w:rPr>
          <w:bCs/>
          <w:i/>
          <w:szCs w:val="20"/>
        </w:rPr>
        <w:t>’</w:t>
      </w:r>
      <w:r w:rsidRPr="0088426E">
        <w:rPr>
          <w:bCs/>
          <w:szCs w:val="20"/>
        </w:rPr>
        <w:t xml:space="preserve">. Country Economic Memorandum. Volume III: Enhancing Growth Factors. Rapport No. 51815-BK. </w:t>
      </w:r>
      <w:r>
        <w:rPr>
          <w:bCs/>
          <w:szCs w:val="20"/>
          <w:lang w:val="fr-FR"/>
        </w:rPr>
        <w:t>Novembre</w:t>
      </w:r>
      <w:r w:rsidRPr="0088426E">
        <w:rPr>
          <w:bCs/>
          <w:szCs w:val="20"/>
          <w:lang w:val="fr-FR"/>
        </w:rPr>
        <w:t>.</w:t>
      </w:r>
    </w:p>
    <w:p w:rsidR="00A23A26" w:rsidRDefault="00EB214A">
      <w:pPr>
        <w:tabs>
          <w:tab w:val="clear" w:pos="709"/>
          <w:tab w:val="left" w:pos="567"/>
        </w:tabs>
        <w:spacing w:before="120" w:after="120"/>
        <w:ind w:left="567" w:hanging="567"/>
        <w:rPr>
          <w:szCs w:val="20"/>
          <w:lang w:val="fr-FR"/>
        </w:rPr>
      </w:pPr>
      <w:r w:rsidRPr="00D77891">
        <w:rPr>
          <w:szCs w:val="20"/>
        </w:rPr>
        <w:t xml:space="preserve">World Food Program (WFP). 2008a. </w:t>
      </w:r>
      <w:r w:rsidR="008A56CF" w:rsidRPr="00577EB1">
        <w:rPr>
          <w:i/>
          <w:szCs w:val="20"/>
          <w:lang w:val="fr-FR"/>
        </w:rPr>
        <w:t>‘</w:t>
      </w:r>
      <w:r w:rsidR="0088426E" w:rsidRPr="0088426E">
        <w:rPr>
          <w:i/>
          <w:szCs w:val="20"/>
          <w:lang w:val="fr-FR"/>
        </w:rPr>
        <w:t>Transferts monétaires en zones urbaines</w:t>
      </w:r>
      <w:r w:rsidR="0007340F">
        <w:rPr>
          <w:i/>
          <w:szCs w:val="20"/>
          <w:lang w:val="fr-FR"/>
        </w:rPr>
        <w:t xml:space="preserve"> </w:t>
      </w:r>
      <w:r w:rsidR="0088426E" w:rsidRPr="0088426E">
        <w:rPr>
          <w:i/>
          <w:szCs w:val="20"/>
          <w:lang w:val="fr-FR"/>
        </w:rPr>
        <w:t>villes de Ouagadougou et Bobo-Dioulasso. Analyse de marché opérationnelle</w:t>
      </w:r>
      <w:r w:rsidR="008A56CF" w:rsidRPr="00577EB1">
        <w:rPr>
          <w:i/>
          <w:szCs w:val="20"/>
          <w:lang w:val="fr-FR"/>
        </w:rPr>
        <w:t>’</w:t>
      </w:r>
      <w:r w:rsidR="0088426E" w:rsidRPr="0088426E">
        <w:rPr>
          <w:szCs w:val="20"/>
          <w:lang w:val="fr-FR"/>
        </w:rPr>
        <w:t xml:space="preserve">. </w:t>
      </w:r>
      <w:r w:rsidR="0088426E">
        <w:rPr>
          <w:szCs w:val="20"/>
          <w:lang w:val="fr-FR"/>
        </w:rPr>
        <w:t>Septembre</w:t>
      </w:r>
      <w:r w:rsidR="0088426E" w:rsidRPr="0088426E">
        <w:rPr>
          <w:szCs w:val="20"/>
          <w:lang w:val="fr-FR"/>
        </w:rPr>
        <w:t>. Ouagadougou, Burkina Faso.</w:t>
      </w:r>
    </w:p>
    <w:p w:rsidR="00A23A26" w:rsidRPr="00506921" w:rsidRDefault="0088426E">
      <w:pPr>
        <w:tabs>
          <w:tab w:val="clear" w:pos="709"/>
          <w:tab w:val="left" w:pos="567"/>
        </w:tabs>
        <w:spacing w:before="120" w:after="120"/>
        <w:ind w:left="567" w:hanging="567"/>
        <w:rPr>
          <w:szCs w:val="20"/>
          <w:lang w:val="fr-FR"/>
        </w:rPr>
      </w:pPr>
      <w:r w:rsidRPr="0088426E">
        <w:rPr>
          <w:szCs w:val="20"/>
          <w:lang w:val="fr-FR"/>
        </w:rPr>
        <w:t xml:space="preserve">______. 2008b. </w:t>
      </w:r>
      <w:r w:rsidR="00EB214A" w:rsidRPr="00506921">
        <w:rPr>
          <w:i/>
          <w:szCs w:val="20"/>
          <w:lang w:val="fr-FR"/>
        </w:rPr>
        <w:t>‘Emergency Response to High Food Prices in Burkina Faso Cain Cities’</w:t>
      </w:r>
      <w:r w:rsidR="00EB214A" w:rsidRPr="00506921">
        <w:rPr>
          <w:szCs w:val="20"/>
          <w:lang w:val="fr-FR"/>
        </w:rPr>
        <w:t>. EMOP 10773.0.</w:t>
      </w:r>
    </w:p>
    <w:p w:rsidR="00A23A26" w:rsidRDefault="00EB214A">
      <w:pPr>
        <w:tabs>
          <w:tab w:val="clear" w:pos="709"/>
          <w:tab w:val="left" w:pos="567"/>
        </w:tabs>
        <w:spacing w:before="120" w:after="120"/>
        <w:ind w:left="567" w:hanging="567"/>
        <w:rPr>
          <w:szCs w:val="20"/>
          <w:lang w:val="fr-FR"/>
        </w:rPr>
      </w:pPr>
      <w:r w:rsidRPr="00506921">
        <w:rPr>
          <w:szCs w:val="20"/>
          <w:lang w:val="fr-FR"/>
        </w:rPr>
        <w:t xml:space="preserve">______. 2009a. </w:t>
      </w:r>
      <w:r w:rsidR="008A56CF" w:rsidRPr="00577EB1">
        <w:rPr>
          <w:i/>
          <w:szCs w:val="20"/>
          <w:lang w:val="fr-FR"/>
        </w:rPr>
        <w:t>‘</w:t>
      </w:r>
      <w:r w:rsidR="0088426E" w:rsidRPr="0088426E">
        <w:rPr>
          <w:i/>
          <w:szCs w:val="20"/>
          <w:lang w:val="fr-FR"/>
        </w:rPr>
        <w:t xml:space="preserve">Résultats </w:t>
      </w:r>
      <w:r w:rsidR="0070324D" w:rsidRPr="00577EB1">
        <w:rPr>
          <w:i/>
          <w:szCs w:val="20"/>
          <w:lang w:val="fr-FR"/>
        </w:rPr>
        <w:t xml:space="preserve">du post distribution monitoring </w:t>
      </w:r>
      <w:r w:rsidR="0088426E" w:rsidRPr="0088426E">
        <w:rPr>
          <w:i/>
          <w:szCs w:val="20"/>
          <w:lang w:val="fr-FR"/>
        </w:rPr>
        <w:t>(PDM) de l</w:t>
      </w:r>
      <w:r w:rsidR="008A56CF" w:rsidRPr="00577EB1">
        <w:rPr>
          <w:i/>
          <w:szCs w:val="20"/>
          <w:lang w:val="fr-FR"/>
        </w:rPr>
        <w:t>’</w:t>
      </w:r>
      <w:r w:rsidR="0088426E" w:rsidRPr="0088426E">
        <w:rPr>
          <w:i/>
          <w:szCs w:val="20"/>
          <w:lang w:val="fr-FR"/>
        </w:rPr>
        <w:t>EMOP 10773.0</w:t>
      </w:r>
      <w:r w:rsidR="008A56CF" w:rsidRPr="00577EB1">
        <w:rPr>
          <w:i/>
          <w:szCs w:val="20"/>
          <w:lang w:val="fr-FR"/>
        </w:rPr>
        <w:t>’</w:t>
      </w:r>
      <w:r w:rsidR="0088426E" w:rsidRPr="0088426E">
        <w:rPr>
          <w:szCs w:val="20"/>
          <w:lang w:val="fr-FR"/>
        </w:rPr>
        <w:t>. April. Ouagadougou, Burkina Faso.</w:t>
      </w:r>
    </w:p>
    <w:p w:rsidR="00A23A26" w:rsidRDefault="0088426E">
      <w:pPr>
        <w:tabs>
          <w:tab w:val="clear" w:pos="709"/>
          <w:tab w:val="left" w:pos="567"/>
        </w:tabs>
        <w:spacing w:before="120" w:after="120"/>
        <w:ind w:left="567" w:hanging="567"/>
        <w:rPr>
          <w:szCs w:val="20"/>
        </w:rPr>
      </w:pPr>
      <w:r w:rsidRPr="0088426E">
        <w:rPr>
          <w:szCs w:val="20"/>
          <w:lang w:val="fr-FR"/>
        </w:rPr>
        <w:t xml:space="preserve">______. 2009b. </w:t>
      </w:r>
      <w:r w:rsidR="008A56CF" w:rsidRPr="00577EB1">
        <w:rPr>
          <w:i/>
          <w:szCs w:val="20"/>
          <w:lang w:val="fr-FR"/>
        </w:rPr>
        <w:t>‘</w:t>
      </w:r>
      <w:r w:rsidRPr="0088426E">
        <w:rPr>
          <w:i/>
          <w:szCs w:val="20"/>
          <w:lang w:val="fr-FR"/>
        </w:rPr>
        <w:t>Evaluation à mi-parcours des interventions de l</w:t>
      </w:r>
      <w:r w:rsidR="008A56CF" w:rsidRPr="00577EB1">
        <w:rPr>
          <w:i/>
          <w:szCs w:val="20"/>
          <w:lang w:val="fr-FR"/>
        </w:rPr>
        <w:t>’</w:t>
      </w:r>
      <w:r w:rsidRPr="0088426E">
        <w:rPr>
          <w:i/>
          <w:szCs w:val="20"/>
          <w:lang w:val="fr-FR"/>
        </w:rPr>
        <w:t>opération d</w:t>
      </w:r>
      <w:r w:rsidR="008A56CF" w:rsidRPr="00577EB1">
        <w:rPr>
          <w:i/>
          <w:szCs w:val="20"/>
          <w:lang w:val="fr-FR"/>
        </w:rPr>
        <w:t>’</w:t>
      </w:r>
      <w:r w:rsidRPr="0088426E">
        <w:rPr>
          <w:i/>
          <w:szCs w:val="20"/>
          <w:lang w:val="fr-FR"/>
        </w:rPr>
        <w:t>urgence d</w:t>
      </w:r>
      <w:r w:rsidR="008A56CF" w:rsidRPr="00577EB1">
        <w:rPr>
          <w:i/>
          <w:szCs w:val="20"/>
          <w:lang w:val="fr-FR"/>
        </w:rPr>
        <w:t>’</w:t>
      </w:r>
      <w:r w:rsidRPr="0088426E">
        <w:rPr>
          <w:i/>
          <w:szCs w:val="20"/>
          <w:lang w:val="fr-FR"/>
        </w:rPr>
        <w:t>assistance aux ménages très pauvres et pauvres des villes de Ouagadougou et Bobo-Dioulasso</w:t>
      </w:r>
      <w:r w:rsidR="008A56CF" w:rsidRPr="00577EB1">
        <w:rPr>
          <w:i/>
          <w:szCs w:val="20"/>
          <w:lang w:val="fr-FR"/>
        </w:rPr>
        <w:t>’</w:t>
      </w:r>
      <w:r w:rsidRPr="0088426E">
        <w:rPr>
          <w:szCs w:val="20"/>
          <w:lang w:val="fr-FR"/>
        </w:rPr>
        <w:t>. Mission conjointe Gouvernement/CONASUR</w:t>
      </w:r>
      <w:r w:rsidR="0007340F">
        <w:rPr>
          <w:szCs w:val="20"/>
          <w:lang w:val="fr-FR"/>
        </w:rPr>
        <w:t xml:space="preserve"> </w:t>
      </w:r>
      <w:r w:rsidRPr="0088426E">
        <w:rPr>
          <w:szCs w:val="20"/>
          <w:lang w:val="fr-FR"/>
        </w:rPr>
        <w:t>Program Alimentaire</w:t>
      </w:r>
      <w:r w:rsidR="0052053A" w:rsidRPr="00577EB1">
        <w:rPr>
          <w:szCs w:val="20"/>
          <w:lang w:val="fr-FR"/>
        </w:rPr>
        <w:t xml:space="preserve"> Mondial</w:t>
      </w:r>
      <w:r w:rsidR="0007340F">
        <w:rPr>
          <w:szCs w:val="20"/>
          <w:lang w:val="fr-FR"/>
        </w:rPr>
        <w:t xml:space="preserve"> </w:t>
      </w:r>
      <w:r w:rsidR="0052053A" w:rsidRPr="00577EB1">
        <w:rPr>
          <w:szCs w:val="20"/>
          <w:lang w:val="fr-FR"/>
        </w:rPr>
        <w:t>Catholic Relief Servi</w:t>
      </w:r>
      <w:r w:rsidRPr="0088426E">
        <w:rPr>
          <w:szCs w:val="20"/>
          <w:lang w:val="fr-FR"/>
        </w:rPr>
        <w:t>ces</w:t>
      </w:r>
      <w:r w:rsidR="0007340F">
        <w:rPr>
          <w:szCs w:val="20"/>
          <w:lang w:val="fr-FR"/>
        </w:rPr>
        <w:t xml:space="preserve"> </w:t>
      </w:r>
      <w:r w:rsidRPr="0088426E">
        <w:rPr>
          <w:szCs w:val="20"/>
          <w:lang w:val="fr-FR"/>
        </w:rPr>
        <w:t xml:space="preserve">Croix Rouge Burkinabè. </w:t>
      </w:r>
      <w:r w:rsidRPr="0088426E">
        <w:rPr>
          <w:szCs w:val="20"/>
        </w:rPr>
        <w:t>Preliminary Report. July</w:t>
      </w:r>
    </w:p>
    <w:p w:rsidR="00A23A26" w:rsidRPr="00F26366" w:rsidRDefault="0088426E">
      <w:pPr>
        <w:tabs>
          <w:tab w:val="clear" w:pos="709"/>
          <w:tab w:val="left" w:pos="567"/>
        </w:tabs>
        <w:spacing w:after="120"/>
        <w:ind w:left="567" w:hanging="567"/>
        <w:rPr>
          <w:szCs w:val="20"/>
          <w:lang w:val="fr-FR"/>
        </w:rPr>
      </w:pPr>
      <w:r w:rsidRPr="0088426E">
        <w:rPr>
          <w:szCs w:val="20"/>
        </w:rPr>
        <w:t xml:space="preserve">World Health Organization (WHO). 2008. </w:t>
      </w:r>
      <w:r w:rsidR="008A56CF" w:rsidRPr="0007340F">
        <w:rPr>
          <w:i/>
          <w:szCs w:val="20"/>
        </w:rPr>
        <w:t>‘</w:t>
      </w:r>
      <w:r w:rsidRPr="0088426E">
        <w:rPr>
          <w:i/>
          <w:szCs w:val="20"/>
        </w:rPr>
        <w:t>Primary Health Care. Now More Than Ever</w:t>
      </w:r>
      <w:r w:rsidR="008A56CF" w:rsidRPr="0007340F">
        <w:rPr>
          <w:i/>
          <w:szCs w:val="20"/>
        </w:rPr>
        <w:t>’</w:t>
      </w:r>
      <w:r w:rsidRPr="0088426E">
        <w:rPr>
          <w:szCs w:val="20"/>
        </w:rPr>
        <w:t xml:space="preserve">. The World Health Report 2008. </w:t>
      </w:r>
      <w:r w:rsidRPr="00F26366">
        <w:rPr>
          <w:szCs w:val="20"/>
          <w:lang w:val="fr-FR"/>
        </w:rPr>
        <w:t>Geneva, Switzerland.</w:t>
      </w:r>
    </w:p>
    <w:p w:rsidR="004E3139" w:rsidRPr="009E2A1E" w:rsidRDefault="00D13450" w:rsidP="009E2A1E">
      <w:pPr>
        <w:pStyle w:val="Heading6"/>
      </w:pPr>
      <w:r w:rsidRPr="0007340F">
        <w:rPr>
          <w:highlight w:val="yellow"/>
        </w:rPr>
        <w:br w:type="page"/>
      </w:r>
      <w:bookmarkStart w:id="291" w:name="_Toc262169991"/>
      <w:bookmarkStart w:id="292" w:name="_Toc264837163"/>
      <w:r w:rsidR="004E3139" w:rsidRPr="009E2A1E">
        <w:lastRenderedPageBreak/>
        <w:t xml:space="preserve">Annexe </w:t>
      </w:r>
      <w:bookmarkEnd w:id="291"/>
      <w:r w:rsidR="009E2A1E" w:rsidRPr="009E2A1E">
        <w:t>1</w:t>
      </w:r>
      <w:r w:rsidR="004E3139" w:rsidRPr="009E2A1E">
        <w:t> : Glossaire</w:t>
      </w:r>
      <w:bookmarkEnd w:id="292"/>
    </w:p>
    <w:p w:rsidR="004E3139" w:rsidRPr="001C13D2" w:rsidRDefault="004E3139" w:rsidP="004E3139">
      <w:pPr>
        <w:spacing w:after="120"/>
        <w:rPr>
          <w:lang w:val="fr-FR"/>
        </w:rPr>
      </w:pPr>
      <w:r w:rsidRPr="001C13D2">
        <w:rPr>
          <w:lang w:val="fr-FR"/>
        </w:rPr>
        <w:t xml:space="preserve">Pour beaucoup des termes spécifiques utilisés dans ce rapport, il n’existe pas de consensus général sur une définition universelle. Afin d’éviter tout malentendu, les définitions utilisées dans ce rapport sont présentées ci-dessous. </w:t>
      </w:r>
    </w:p>
    <w:p w:rsidR="004E3139" w:rsidRPr="001C13D2" w:rsidRDefault="004E3139" w:rsidP="004E3139">
      <w:pPr>
        <w:spacing w:after="120"/>
        <w:rPr>
          <w:b/>
          <w:lang w:val="fr-FR"/>
        </w:rPr>
      </w:pPr>
      <w:r w:rsidRPr="001C13D2">
        <w:rPr>
          <w:b/>
          <w:lang w:val="fr-FR"/>
        </w:rPr>
        <w:t>Pauvreté et vulnérabilité</w:t>
      </w:r>
    </w:p>
    <w:p w:rsidR="004E3139" w:rsidRPr="001C13D2" w:rsidRDefault="004E3139" w:rsidP="004E3139">
      <w:pPr>
        <w:spacing w:after="120"/>
        <w:rPr>
          <w:i/>
          <w:lang w:val="fr-FR"/>
        </w:rPr>
      </w:pPr>
      <w:r w:rsidRPr="001C13D2">
        <w:rPr>
          <w:i/>
          <w:lang w:val="fr-FR"/>
        </w:rPr>
        <w:t>Pauvreté chronique</w:t>
      </w:r>
    </w:p>
    <w:p w:rsidR="004E3139" w:rsidRPr="001C13D2" w:rsidRDefault="004E3139" w:rsidP="004E3139">
      <w:pPr>
        <w:spacing w:after="120"/>
        <w:ind w:left="349"/>
        <w:rPr>
          <w:lang w:val="fr-FR"/>
        </w:rPr>
      </w:pPr>
      <w:r w:rsidRPr="001C13D2">
        <w:rPr>
          <w:lang w:val="fr-FR"/>
        </w:rPr>
        <w:t>Pauvreté qui perdure d’année en année, en général à cause de facteurs structurels de longue durée affectant les ménages, tels que de maigres avoirs ou le fait d’habiter dans une localité pauvre, éloignée des marchés et des services.</w:t>
      </w:r>
    </w:p>
    <w:p w:rsidR="004E3139" w:rsidRPr="001C13D2" w:rsidRDefault="004E3139" w:rsidP="004E3139">
      <w:pPr>
        <w:spacing w:after="120"/>
        <w:rPr>
          <w:i/>
          <w:lang w:val="fr-FR"/>
        </w:rPr>
      </w:pPr>
      <w:r w:rsidRPr="001C13D2">
        <w:rPr>
          <w:i/>
          <w:lang w:val="fr-FR"/>
        </w:rPr>
        <w:t>Pauvreté transitoire</w:t>
      </w:r>
    </w:p>
    <w:p w:rsidR="004E3139" w:rsidRPr="001C13D2" w:rsidRDefault="004E3139" w:rsidP="004E3139">
      <w:pPr>
        <w:spacing w:after="120"/>
        <w:ind w:left="349"/>
        <w:rPr>
          <w:lang w:val="fr-FR"/>
        </w:rPr>
      </w:pPr>
      <w:r w:rsidRPr="001C13D2">
        <w:rPr>
          <w:lang w:val="fr-FR"/>
        </w:rPr>
        <w:t>Pauvreté que connaissent les ménages pendant certaines années mais pas toutes. Ils peuvent être temporairement pauvres à cause de chocs temporaires idiosyncratiques ou covariants, allant d’une maladie au sein du ménage, jusqu’à la perte d’un travail, en passant par la sécheresse ou une crise macroéconomique.</w:t>
      </w:r>
    </w:p>
    <w:p w:rsidR="004E3139" w:rsidRPr="001C13D2" w:rsidRDefault="004E3139" w:rsidP="004E3139">
      <w:pPr>
        <w:spacing w:after="120"/>
        <w:rPr>
          <w:i/>
          <w:lang w:val="fr-FR"/>
        </w:rPr>
      </w:pPr>
      <w:r w:rsidRPr="001C13D2">
        <w:rPr>
          <w:i/>
          <w:lang w:val="fr-FR"/>
        </w:rPr>
        <w:t>Vulnérabilité</w:t>
      </w:r>
    </w:p>
    <w:p w:rsidR="004E3139" w:rsidRPr="001C13D2" w:rsidRDefault="004E3139" w:rsidP="004E3139">
      <w:pPr>
        <w:spacing w:after="120"/>
        <w:ind w:left="349"/>
        <w:rPr>
          <w:lang w:val="fr-FR"/>
        </w:rPr>
      </w:pPr>
      <w:r w:rsidRPr="001C13D2">
        <w:rPr>
          <w:lang w:val="fr-FR"/>
        </w:rPr>
        <w:t>Vraisemblance ou probabilité qu’un ménage passe au dessous du seuil acceptable défini pour un indicateur donné et tombe dans la pauvreté.</w:t>
      </w:r>
    </w:p>
    <w:p w:rsidR="004E3139" w:rsidRPr="001C13D2" w:rsidRDefault="004E3139" w:rsidP="004E3139">
      <w:pPr>
        <w:spacing w:after="120"/>
        <w:rPr>
          <w:b/>
          <w:lang w:val="fr-FR"/>
        </w:rPr>
      </w:pPr>
      <w:r w:rsidRPr="001C13D2">
        <w:rPr>
          <w:b/>
          <w:lang w:val="fr-FR"/>
        </w:rPr>
        <w:t>Protection sociale</w:t>
      </w:r>
    </w:p>
    <w:p w:rsidR="004E3139" w:rsidRPr="001C13D2" w:rsidRDefault="004E3139" w:rsidP="004E3139">
      <w:pPr>
        <w:spacing w:after="120"/>
        <w:rPr>
          <w:i/>
          <w:lang w:val="fr-FR"/>
        </w:rPr>
      </w:pPr>
      <w:r w:rsidRPr="001C13D2">
        <w:rPr>
          <w:i/>
          <w:lang w:val="fr-FR"/>
        </w:rPr>
        <w:t>Protection sociale</w:t>
      </w:r>
    </w:p>
    <w:p w:rsidR="004E3139" w:rsidRPr="001C13D2" w:rsidRDefault="004E3139" w:rsidP="004E3139">
      <w:pPr>
        <w:spacing w:after="120"/>
        <w:ind w:left="349"/>
        <w:rPr>
          <w:lang w:val="fr-FR"/>
        </w:rPr>
      </w:pPr>
      <w:r w:rsidRPr="001C13D2">
        <w:rPr>
          <w:lang w:val="fr-FR"/>
        </w:rPr>
        <w:t xml:space="preserve">Ensemble d’interventions publiques visant à soutenir les membres de la société plus pauvres et plus vulnérables, ainsi qu’à aider les individus, les familles et les communautés à gérer les risques. La protection sociale englobe les filets sociaux (assistance sociale), l’assurance sociale, les politiques du marché du travail, les fonds sociaux et les services sociaux. </w:t>
      </w:r>
    </w:p>
    <w:p w:rsidR="004E3139" w:rsidRPr="001C13D2" w:rsidRDefault="004E3139" w:rsidP="004E3139">
      <w:pPr>
        <w:spacing w:after="120"/>
        <w:rPr>
          <w:i/>
          <w:lang w:val="fr-FR"/>
        </w:rPr>
      </w:pPr>
      <w:r w:rsidRPr="001C13D2">
        <w:rPr>
          <w:i/>
          <w:lang w:val="fr-FR"/>
        </w:rPr>
        <w:t>Assistance sociale</w:t>
      </w:r>
    </w:p>
    <w:p w:rsidR="004E3139" w:rsidRPr="001C13D2" w:rsidRDefault="004E3139" w:rsidP="004E3139">
      <w:pPr>
        <w:spacing w:after="120"/>
        <w:ind w:left="349"/>
        <w:rPr>
          <w:b/>
          <w:szCs w:val="24"/>
          <w:lang w:val="fr-FR"/>
        </w:rPr>
      </w:pPr>
      <w:r w:rsidRPr="001C13D2">
        <w:rPr>
          <w:lang w:val="fr-FR"/>
        </w:rPr>
        <w:t>Synonyme de « filet social ».</w:t>
      </w:r>
    </w:p>
    <w:p w:rsidR="004E3139" w:rsidRPr="001C13D2" w:rsidRDefault="004E3139" w:rsidP="004E3139">
      <w:pPr>
        <w:keepNext/>
        <w:keepLines/>
        <w:spacing w:after="120"/>
        <w:rPr>
          <w:i/>
          <w:lang w:val="fr-FR"/>
        </w:rPr>
      </w:pPr>
      <w:r w:rsidRPr="001C13D2">
        <w:rPr>
          <w:i/>
          <w:lang w:val="fr-FR"/>
        </w:rPr>
        <w:t xml:space="preserve">Filet social </w:t>
      </w:r>
    </w:p>
    <w:p w:rsidR="004E3139" w:rsidRPr="001C13D2" w:rsidRDefault="004E3139" w:rsidP="004E3139">
      <w:pPr>
        <w:keepNext/>
        <w:keepLines/>
        <w:spacing w:after="120"/>
        <w:ind w:left="349"/>
        <w:rPr>
          <w:lang w:val="fr-FR"/>
        </w:rPr>
      </w:pPr>
      <w:r w:rsidRPr="001C13D2">
        <w:rPr>
          <w:lang w:val="fr-FR"/>
        </w:rPr>
        <w:t>Programme de transferts non contributifs ciblant de l’une ou l’autre manière les pauvres et les personnes vulnérables à la pauvreté et aux chocs.</w:t>
      </w:r>
    </w:p>
    <w:p w:rsidR="004E3139" w:rsidRPr="001C13D2" w:rsidRDefault="004E3139" w:rsidP="004E3139">
      <w:pPr>
        <w:spacing w:after="120"/>
        <w:rPr>
          <w:i/>
          <w:lang w:val="fr-FR"/>
        </w:rPr>
      </w:pPr>
      <w:r w:rsidRPr="001C13D2">
        <w:rPr>
          <w:i/>
          <w:lang w:val="fr-FR"/>
        </w:rPr>
        <w:t>Assurance sociale</w:t>
      </w:r>
    </w:p>
    <w:p w:rsidR="004E3139" w:rsidRPr="001C13D2" w:rsidRDefault="004E3139" w:rsidP="004E3139">
      <w:pPr>
        <w:spacing w:after="120"/>
        <w:ind w:left="349"/>
        <w:rPr>
          <w:lang w:val="fr-FR"/>
        </w:rPr>
      </w:pPr>
      <w:r w:rsidRPr="001C13D2">
        <w:rPr>
          <w:lang w:val="fr-FR"/>
        </w:rPr>
        <w:t>Programmes contributifs conçus pour aider les ménages à s’assurer eux-mêmes contre les baisses soudaines de revenus. Les types d’assurance sociale comprennent l’assurance publiquement fournie ou mandatée contre le chômage, la vieillesse (pensions), le handicap, le décès du soutien principal et la maladie.</w:t>
      </w:r>
    </w:p>
    <w:p w:rsidR="004E3139" w:rsidRPr="001C13D2" w:rsidRDefault="004E3139" w:rsidP="004E3139">
      <w:pPr>
        <w:keepNext/>
        <w:spacing w:after="120"/>
        <w:rPr>
          <w:b/>
          <w:lang w:val="fr-FR"/>
        </w:rPr>
      </w:pPr>
      <w:r w:rsidRPr="001C13D2">
        <w:rPr>
          <w:b/>
          <w:lang w:val="fr-FR"/>
        </w:rPr>
        <w:t>Evaluation des programmes</w:t>
      </w:r>
    </w:p>
    <w:p w:rsidR="004E3139" w:rsidRPr="001C13D2" w:rsidRDefault="004E3139" w:rsidP="004E3139">
      <w:pPr>
        <w:keepNext/>
        <w:spacing w:after="120"/>
        <w:rPr>
          <w:i/>
          <w:lang w:val="fr-FR"/>
        </w:rPr>
      </w:pPr>
      <w:r w:rsidRPr="001C13D2">
        <w:rPr>
          <w:i/>
          <w:lang w:val="fr-FR"/>
        </w:rPr>
        <w:t>Efficacité</w:t>
      </w:r>
    </w:p>
    <w:p w:rsidR="004E3139" w:rsidRPr="001C13D2" w:rsidRDefault="004E3139" w:rsidP="004E3139">
      <w:pPr>
        <w:spacing w:after="120"/>
        <w:ind w:left="349"/>
        <w:rPr>
          <w:lang w:val="fr-FR"/>
        </w:rPr>
      </w:pPr>
      <w:r w:rsidRPr="001C13D2">
        <w:rPr>
          <w:lang w:val="fr-FR"/>
        </w:rPr>
        <w:t>Rapport entre les objectifs fixés et les résultats obtenus ou espérés du programme, en prenant en compte leur importance relative.</w:t>
      </w:r>
    </w:p>
    <w:p w:rsidR="004E3139" w:rsidRPr="001C13D2" w:rsidRDefault="004E3139" w:rsidP="004E3139">
      <w:pPr>
        <w:spacing w:after="120"/>
        <w:rPr>
          <w:i/>
          <w:lang w:val="fr-FR"/>
        </w:rPr>
      </w:pPr>
      <w:r w:rsidRPr="001C13D2">
        <w:rPr>
          <w:i/>
          <w:lang w:val="fr-FR"/>
        </w:rPr>
        <w:t>Efficience</w:t>
      </w:r>
    </w:p>
    <w:p w:rsidR="004E3139" w:rsidRPr="001C13D2" w:rsidRDefault="004E3139" w:rsidP="004E3139">
      <w:pPr>
        <w:spacing w:after="120"/>
        <w:ind w:left="349"/>
        <w:rPr>
          <w:lang w:val="fr-FR"/>
        </w:rPr>
      </w:pPr>
      <w:r w:rsidRPr="001C13D2">
        <w:rPr>
          <w:lang w:val="fr-FR"/>
        </w:rPr>
        <w:lastRenderedPageBreak/>
        <w:t>Rapport entre les résultats obtenus et les ressources utilisées pour les atteindre. Une intervention efficiente utilise les ressources les moins coûteuses possibles pour produire les résultats souhaités. L’efficience mesure les produits qualitatifs et quantitatifs en relation avec les résultats.</w:t>
      </w:r>
    </w:p>
    <w:p w:rsidR="004E3139" w:rsidRPr="001C13D2" w:rsidRDefault="004E3139" w:rsidP="004E3139">
      <w:pPr>
        <w:spacing w:after="120"/>
        <w:rPr>
          <w:i/>
          <w:lang w:val="fr-FR"/>
        </w:rPr>
      </w:pPr>
      <w:r w:rsidRPr="001C13D2">
        <w:rPr>
          <w:i/>
          <w:lang w:val="fr-FR"/>
        </w:rPr>
        <w:t>Impact</w:t>
      </w:r>
    </w:p>
    <w:p w:rsidR="004E3139" w:rsidRPr="001C13D2" w:rsidRDefault="004E3139" w:rsidP="004E3139">
      <w:pPr>
        <w:spacing w:after="120"/>
        <w:ind w:left="349"/>
        <w:rPr>
          <w:lang w:val="fr-FR"/>
        </w:rPr>
      </w:pPr>
      <w:r w:rsidRPr="001C13D2">
        <w:rPr>
          <w:lang w:val="fr-FR"/>
        </w:rPr>
        <w:t>Effets à long terme, positifs ou négatifs.</w:t>
      </w:r>
    </w:p>
    <w:p w:rsidR="004E3139" w:rsidRPr="001C13D2" w:rsidRDefault="00BD550B" w:rsidP="004E3139">
      <w:pPr>
        <w:spacing w:after="120"/>
        <w:rPr>
          <w:i/>
          <w:lang w:val="fr-FR"/>
        </w:rPr>
      </w:pPr>
      <w:r>
        <w:rPr>
          <w:i/>
          <w:lang w:val="fr-FR"/>
        </w:rPr>
        <w:t>Viabilité</w:t>
      </w:r>
    </w:p>
    <w:p w:rsidR="004E3139" w:rsidRPr="001C13D2" w:rsidRDefault="004E3139" w:rsidP="004E3139">
      <w:pPr>
        <w:spacing w:after="120"/>
        <w:ind w:left="349"/>
        <w:rPr>
          <w:lang w:val="fr-FR"/>
        </w:rPr>
      </w:pPr>
      <w:r w:rsidRPr="001C13D2">
        <w:rPr>
          <w:lang w:val="fr-FR"/>
        </w:rPr>
        <w:t>Poursuite des avantages après la fin de l’intervention. Probabilité d’obtention des avantages sur le long terme.</w:t>
      </w:r>
    </w:p>
    <w:p w:rsidR="004E3139" w:rsidRPr="001C13D2" w:rsidRDefault="004E3139" w:rsidP="004E3139">
      <w:pPr>
        <w:tabs>
          <w:tab w:val="clear" w:pos="709"/>
        </w:tabs>
        <w:spacing w:after="120"/>
        <w:jc w:val="left"/>
        <w:rPr>
          <w:szCs w:val="24"/>
          <w:lang w:val="fr-FR"/>
        </w:rPr>
      </w:pPr>
    </w:p>
    <w:p w:rsidR="004E3139" w:rsidRPr="001C13D2" w:rsidRDefault="004E3139" w:rsidP="004E3139">
      <w:pPr>
        <w:ind w:left="349"/>
        <w:jc w:val="left"/>
        <w:rPr>
          <w:szCs w:val="24"/>
          <w:lang w:val="fr-FR"/>
        </w:rPr>
      </w:pPr>
    </w:p>
    <w:p w:rsidR="004E3139" w:rsidRPr="001C13D2" w:rsidRDefault="004E3139" w:rsidP="004E3139">
      <w:pPr>
        <w:pStyle w:val="Caption"/>
        <w:keepNext/>
        <w:jc w:val="left"/>
        <w:rPr>
          <w:szCs w:val="24"/>
          <w:lang w:val="fr-FR"/>
        </w:rPr>
      </w:pPr>
      <w:r w:rsidRPr="001C13D2">
        <w:rPr>
          <w:sz w:val="24"/>
          <w:szCs w:val="24"/>
          <w:lang w:val="fr-FR"/>
        </w:rPr>
        <w:br w:type="page"/>
      </w:r>
    </w:p>
    <w:p w:rsidR="004E3139" w:rsidRPr="001C13D2" w:rsidRDefault="004E3139" w:rsidP="009E2A1E">
      <w:pPr>
        <w:pStyle w:val="Heading6"/>
      </w:pPr>
      <w:bookmarkStart w:id="293" w:name="_Toc264837164"/>
      <w:r w:rsidRPr="001C13D2">
        <w:lastRenderedPageBreak/>
        <w:t xml:space="preserve">Annexe 2 : </w:t>
      </w:r>
      <w:r w:rsidR="009E2A1E" w:rsidRPr="009E2A1E">
        <w:rPr>
          <w:bCs/>
        </w:rPr>
        <w:t>Principe</w:t>
      </w:r>
      <w:r w:rsidRPr="001C13D2">
        <w:t xml:space="preserve"> de conception des bonnes pratiques </w:t>
      </w:r>
      <w:r w:rsidRPr="009E2A1E">
        <w:rPr>
          <w:bCs/>
        </w:rPr>
        <w:t>de</w:t>
      </w:r>
      <w:r>
        <w:rPr>
          <w:bCs/>
          <w:smallCaps/>
        </w:rPr>
        <w:t xml:space="preserve"> </w:t>
      </w:r>
      <w:r w:rsidRPr="009E2A1E">
        <w:rPr>
          <w:bCs/>
        </w:rPr>
        <w:t>soutien</w:t>
      </w:r>
      <w:r w:rsidRPr="001C13D2">
        <w:t xml:space="preserve"> direct tirés de l’expérience internationale</w:t>
      </w:r>
      <w:bookmarkEnd w:id="293"/>
    </w:p>
    <w:p w:rsidR="004E3139" w:rsidRPr="001C13D2" w:rsidRDefault="004E3139" w:rsidP="004E3139">
      <w:pPr>
        <w:rPr>
          <w:b/>
          <w:bCs/>
          <w:lang w:val="fr-FR"/>
        </w:rPr>
      </w:pPr>
      <w:r>
        <w:rPr>
          <w:lang w:val="fr-FR"/>
        </w:rPr>
        <w:t>D</w:t>
      </w:r>
      <w:r w:rsidRPr="001C13D2">
        <w:rPr>
          <w:lang w:val="fr-FR"/>
        </w:rPr>
        <w:t>es bonnes pratiques de conception d</w:t>
      </w:r>
      <w:r>
        <w:rPr>
          <w:lang w:val="fr-FR"/>
        </w:rPr>
        <w:t>e l</w:t>
      </w:r>
      <w:r w:rsidRPr="001C13D2">
        <w:rPr>
          <w:lang w:val="fr-FR"/>
        </w:rPr>
        <w:t>’assistance sociale (</w:t>
      </w:r>
      <w:r>
        <w:rPr>
          <w:lang w:val="fr-FR"/>
        </w:rPr>
        <w:t>soutien</w:t>
      </w:r>
      <w:r w:rsidRPr="001C13D2">
        <w:rPr>
          <w:lang w:val="fr-FR"/>
        </w:rPr>
        <w:t xml:space="preserve"> direct) </w:t>
      </w:r>
      <w:r>
        <w:rPr>
          <w:lang w:val="fr-FR"/>
        </w:rPr>
        <w:t xml:space="preserve">se dégagent </w:t>
      </w:r>
      <w:r w:rsidRPr="001C13D2">
        <w:rPr>
          <w:lang w:val="fr-FR"/>
        </w:rPr>
        <w:t xml:space="preserve">quatre </w:t>
      </w:r>
      <w:r>
        <w:rPr>
          <w:lang w:val="fr-FR"/>
        </w:rPr>
        <w:t>principes fondamentaux</w:t>
      </w:r>
      <w:r w:rsidRPr="001C13D2">
        <w:rPr>
          <w:lang w:val="fr-FR"/>
        </w:rPr>
        <w:t xml:space="preserve"> de conception :</w:t>
      </w:r>
    </w:p>
    <w:p w:rsidR="004E3139" w:rsidRPr="001C13D2" w:rsidRDefault="004E3139" w:rsidP="004E3139">
      <w:pPr>
        <w:rPr>
          <w:b/>
          <w:bCs/>
          <w:lang w:val="fr-FR"/>
        </w:rPr>
      </w:pPr>
      <w:r w:rsidRPr="001C13D2">
        <w:rPr>
          <w:b/>
          <w:bCs/>
          <w:lang w:val="fr-FR"/>
        </w:rPr>
        <w:t xml:space="preserve">Sélection des ménages </w:t>
      </w:r>
      <w:r>
        <w:rPr>
          <w:b/>
          <w:bCs/>
          <w:lang w:val="fr-FR"/>
        </w:rPr>
        <w:t>bénéficiaires du soutien</w:t>
      </w:r>
      <w:r w:rsidRPr="001C13D2">
        <w:rPr>
          <w:b/>
          <w:bCs/>
          <w:lang w:val="fr-FR"/>
        </w:rPr>
        <w:t xml:space="preserve"> direct</w:t>
      </w:r>
    </w:p>
    <w:p w:rsidR="004E3139" w:rsidRPr="001C13D2" w:rsidRDefault="004E3139" w:rsidP="004E3139">
      <w:pPr>
        <w:rPr>
          <w:lang w:val="fr-FR"/>
        </w:rPr>
      </w:pPr>
      <w:r w:rsidRPr="001C13D2">
        <w:rPr>
          <w:szCs w:val="24"/>
          <w:lang w:val="fr-FR"/>
        </w:rPr>
        <w:t xml:space="preserve">Il est </w:t>
      </w:r>
      <w:r>
        <w:rPr>
          <w:szCs w:val="24"/>
          <w:lang w:val="fr-FR"/>
        </w:rPr>
        <w:t>bien connu</w:t>
      </w:r>
      <w:r w:rsidRPr="001C13D2">
        <w:rPr>
          <w:szCs w:val="24"/>
          <w:lang w:val="fr-FR"/>
        </w:rPr>
        <w:t xml:space="preserve"> que plus les critères d’éligibilité sont généreux</w:t>
      </w:r>
      <w:r>
        <w:rPr>
          <w:szCs w:val="24"/>
          <w:lang w:val="fr-FR"/>
        </w:rPr>
        <w:t>,</w:t>
      </w:r>
      <w:r w:rsidRPr="001C13D2">
        <w:rPr>
          <w:szCs w:val="24"/>
          <w:lang w:val="fr-FR"/>
        </w:rPr>
        <w:t xml:space="preserve"> plus grand</w:t>
      </w:r>
      <w:r>
        <w:rPr>
          <w:szCs w:val="24"/>
          <w:lang w:val="fr-FR"/>
        </w:rPr>
        <w:t xml:space="preserve"> est</w:t>
      </w:r>
      <w:r w:rsidRPr="001C13D2">
        <w:rPr>
          <w:szCs w:val="24"/>
          <w:lang w:val="fr-FR"/>
        </w:rPr>
        <w:t xml:space="preserve"> le </w:t>
      </w:r>
      <w:r>
        <w:rPr>
          <w:szCs w:val="24"/>
          <w:lang w:val="fr-FR"/>
        </w:rPr>
        <w:t>réservoir</w:t>
      </w:r>
      <w:r w:rsidRPr="001C13D2">
        <w:rPr>
          <w:szCs w:val="24"/>
          <w:lang w:val="fr-FR"/>
        </w:rPr>
        <w:t xml:space="preserve"> de</w:t>
      </w:r>
      <w:r>
        <w:rPr>
          <w:szCs w:val="24"/>
          <w:lang w:val="fr-FR"/>
        </w:rPr>
        <w:t>s</w:t>
      </w:r>
      <w:r w:rsidRPr="001C13D2">
        <w:rPr>
          <w:szCs w:val="24"/>
          <w:lang w:val="fr-FR"/>
        </w:rPr>
        <w:t xml:space="preserve"> candidats </w:t>
      </w:r>
      <w:r>
        <w:rPr>
          <w:szCs w:val="24"/>
          <w:lang w:val="fr-FR"/>
        </w:rPr>
        <w:t>à l’assistance sociale et plus élevé est</w:t>
      </w:r>
      <w:r w:rsidRPr="001C13D2">
        <w:rPr>
          <w:szCs w:val="24"/>
          <w:lang w:val="fr-FR"/>
        </w:rPr>
        <w:t xml:space="preserve"> le coût du programme. </w:t>
      </w:r>
      <w:r>
        <w:rPr>
          <w:szCs w:val="24"/>
          <w:lang w:val="fr-FR"/>
        </w:rPr>
        <w:t>Celui-ci</w:t>
      </w:r>
      <w:r w:rsidRPr="001C13D2">
        <w:rPr>
          <w:szCs w:val="24"/>
          <w:lang w:val="fr-FR"/>
        </w:rPr>
        <w:t xml:space="preserve"> dépend également du niveau et de la durée des prestations (voir </w:t>
      </w:r>
      <w:r>
        <w:rPr>
          <w:szCs w:val="24"/>
          <w:lang w:val="fr-FR"/>
        </w:rPr>
        <w:t>plus loin</w:t>
      </w:r>
      <w:r w:rsidRPr="001C13D2">
        <w:rPr>
          <w:szCs w:val="24"/>
          <w:lang w:val="fr-FR"/>
        </w:rPr>
        <w:t>). Par exemple, dans le cas du programme de pension de vieillesse d</w:t>
      </w:r>
      <w:r>
        <w:rPr>
          <w:szCs w:val="24"/>
          <w:lang w:val="fr-FR"/>
        </w:rPr>
        <w:t>e l</w:t>
      </w:r>
      <w:r w:rsidRPr="001C13D2">
        <w:rPr>
          <w:szCs w:val="24"/>
          <w:lang w:val="fr-FR"/>
        </w:rPr>
        <w:t>’</w:t>
      </w:r>
      <w:r>
        <w:rPr>
          <w:szCs w:val="24"/>
          <w:lang w:val="fr-FR"/>
        </w:rPr>
        <w:t>assistance sociale</w:t>
      </w:r>
      <w:r w:rsidRPr="001C13D2">
        <w:rPr>
          <w:szCs w:val="24"/>
          <w:lang w:val="fr-FR"/>
        </w:rPr>
        <w:t>, le Népal a fixé à 75 ans</w:t>
      </w:r>
      <w:r>
        <w:rPr>
          <w:szCs w:val="24"/>
          <w:lang w:val="fr-FR"/>
        </w:rPr>
        <w:t xml:space="preserve"> la limite d</w:t>
      </w:r>
      <w:r w:rsidRPr="001C13D2">
        <w:rPr>
          <w:szCs w:val="24"/>
          <w:lang w:val="fr-FR"/>
        </w:rPr>
        <w:t xml:space="preserve">’âge </w:t>
      </w:r>
      <w:r>
        <w:rPr>
          <w:szCs w:val="24"/>
          <w:lang w:val="fr-FR"/>
        </w:rPr>
        <w:t>pour l</w:t>
      </w:r>
      <w:r w:rsidRPr="001C13D2">
        <w:rPr>
          <w:szCs w:val="24"/>
          <w:lang w:val="fr-FR"/>
        </w:rPr>
        <w:t xml:space="preserve">’éligibilité. Cette mesure a </w:t>
      </w:r>
      <w:r>
        <w:rPr>
          <w:szCs w:val="24"/>
          <w:lang w:val="fr-FR"/>
        </w:rPr>
        <w:t>indubitablement</w:t>
      </w:r>
      <w:r w:rsidRPr="001C13D2">
        <w:rPr>
          <w:szCs w:val="24"/>
          <w:lang w:val="fr-FR"/>
        </w:rPr>
        <w:t xml:space="preserve"> restreint </w:t>
      </w:r>
      <w:r>
        <w:rPr>
          <w:szCs w:val="24"/>
          <w:lang w:val="fr-FR"/>
        </w:rPr>
        <w:t>le réservoir</w:t>
      </w:r>
      <w:r w:rsidRPr="001C13D2">
        <w:rPr>
          <w:szCs w:val="24"/>
          <w:lang w:val="fr-FR"/>
        </w:rPr>
        <w:t xml:space="preserve"> de</w:t>
      </w:r>
      <w:r>
        <w:rPr>
          <w:szCs w:val="24"/>
          <w:lang w:val="fr-FR"/>
        </w:rPr>
        <w:t>s</w:t>
      </w:r>
      <w:r w:rsidRPr="001C13D2">
        <w:rPr>
          <w:szCs w:val="24"/>
          <w:lang w:val="fr-FR"/>
        </w:rPr>
        <w:t xml:space="preserve"> bénéficiaires et </w:t>
      </w:r>
      <w:r>
        <w:rPr>
          <w:szCs w:val="24"/>
          <w:lang w:val="fr-FR"/>
        </w:rPr>
        <w:t>maintenu</w:t>
      </w:r>
      <w:r w:rsidRPr="001C13D2">
        <w:rPr>
          <w:szCs w:val="24"/>
          <w:lang w:val="fr-FR"/>
        </w:rPr>
        <w:t xml:space="preserve"> le programme dans les limites établies par le budget disponible, mais le programme n’a pas pu atteindre certains </w:t>
      </w:r>
      <w:r>
        <w:rPr>
          <w:szCs w:val="24"/>
          <w:lang w:val="fr-FR"/>
        </w:rPr>
        <w:t xml:space="preserve">des </w:t>
      </w:r>
      <w:r w:rsidRPr="001C13D2">
        <w:rPr>
          <w:szCs w:val="24"/>
          <w:lang w:val="fr-FR"/>
        </w:rPr>
        <w:t>groupes vulnérables critiques</w:t>
      </w:r>
      <w:r>
        <w:rPr>
          <w:szCs w:val="24"/>
          <w:lang w:val="fr-FR"/>
        </w:rPr>
        <w:t>,</w:t>
      </w:r>
      <w:r w:rsidRPr="001C13D2">
        <w:rPr>
          <w:szCs w:val="24"/>
          <w:lang w:val="fr-FR"/>
        </w:rPr>
        <w:t xml:space="preserve"> même légèrement en-dessous de 75 ans. D’un autre coté, certains pays </w:t>
      </w:r>
      <w:r w:rsidRPr="001C13D2">
        <w:rPr>
          <w:lang w:val="fr-FR"/>
        </w:rPr>
        <w:t>ont établi un seuil d’éligibilité très bas à 60 ans, (et même en-dessous), ce qui a produit le résultat contraire</w:t>
      </w:r>
      <w:r>
        <w:rPr>
          <w:lang w:val="fr-FR"/>
        </w:rPr>
        <w:t> : les</w:t>
      </w:r>
      <w:r w:rsidRPr="001C13D2">
        <w:rPr>
          <w:lang w:val="fr-FR"/>
        </w:rPr>
        <w:t xml:space="preserve"> bénéficiaires</w:t>
      </w:r>
      <w:r>
        <w:rPr>
          <w:lang w:val="fr-FR"/>
        </w:rPr>
        <w:t xml:space="preserve"> étaient trop nombreux</w:t>
      </w:r>
      <w:r w:rsidRPr="001C13D2">
        <w:rPr>
          <w:lang w:val="fr-FR"/>
        </w:rPr>
        <w:t xml:space="preserve"> et </w:t>
      </w:r>
      <w:r>
        <w:rPr>
          <w:lang w:val="fr-FR"/>
        </w:rPr>
        <w:t>le</w:t>
      </w:r>
      <w:r w:rsidRPr="001C13D2">
        <w:rPr>
          <w:lang w:val="fr-FR"/>
        </w:rPr>
        <w:t xml:space="preserve"> budget très élevé. Pour </w:t>
      </w:r>
      <w:r>
        <w:rPr>
          <w:lang w:val="fr-FR"/>
        </w:rPr>
        <w:t>surmonter</w:t>
      </w:r>
      <w:r w:rsidRPr="001C13D2">
        <w:rPr>
          <w:lang w:val="fr-FR"/>
        </w:rPr>
        <w:t xml:space="preserve"> ce genre de difficultés, beaucoup de pays ont maintenant recours à la limitation des transferts sociaux monétaires </w:t>
      </w:r>
      <w:r>
        <w:rPr>
          <w:lang w:val="fr-FR"/>
        </w:rPr>
        <w:t>aux</w:t>
      </w:r>
      <w:r w:rsidRPr="001C13D2">
        <w:rPr>
          <w:lang w:val="fr-FR"/>
        </w:rPr>
        <w:t xml:space="preserve">, </w:t>
      </w:r>
      <w:r>
        <w:rPr>
          <w:lang w:val="fr-FR"/>
        </w:rPr>
        <w:t>disons</w:t>
      </w:r>
      <w:r w:rsidRPr="001C13D2">
        <w:rPr>
          <w:lang w:val="fr-FR"/>
        </w:rPr>
        <w:t>, 10</w:t>
      </w:r>
      <w:r>
        <w:rPr>
          <w:lang w:val="fr-FR"/>
        </w:rPr>
        <w:t> </w:t>
      </w:r>
      <w:r w:rsidRPr="001C13D2">
        <w:rPr>
          <w:lang w:val="fr-FR"/>
        </w:rPr>
        <w:t xml:space="preserve">% les plus pauvres de la population. Le programme pilote de transferts sociaux monétaires du district de Kolomo en Zambie est un exemple </w:t>
      </w:r>
      <w:r>
        <w:rPr>
          <w:lang w:val="fr-FR"/>
        </w:rPr>
        <w:t>de limitation de</w:t>
      </w:r>
      <w:r w:rsidRPr="001C13D2">
        <w:rPr>
          <w:lang w:val="fr-FR"/>
        </w:rPr>
        <w:t xml:space="preserve"> la couverture aux 10% </w:t>
      </w:r>
      <w:r>
        <w:rPr>
          <w:lang w:val="fr-FR"/>
        </w:rPr>
        <w:t>l</w:t>
      </w:r>
      <w:r w:rsidRPr="001C13D2">
        <w:rPr>
          <w:lang w:val="fr-FR"/>
        </w:rPr>
        <w:t>es plus pauvres de la population.</w:t>
      </w:r>
    </w:p>
    <w:p w:rsidR="004E3139" w:rsidRPr="001C13D2" w:rsidRDefault="004E3139" w:rsidP="004E3139">
      <w:pPr>
        <w:rPr>
          <w:lang w:val="fr-FR"/>
        </w:rPr>
      </w:pPr>
      <w:r w:rsidRPr="001C13D2">
        <w:rPr>
          <w:lang w:val="fr-FR"/>
        </w:rPr>
        <w:t xml:space="preserve">La détermination de l’éligibilité et </w:t>
      </w:r>
      <w:r>
        <w:rPr>
          <w:lang w:val="fr-FR"/>
        </w:rPr>
        <w:t xml:space="preserve">de </w:t>
      </w:r>
      <w:r w:rsidRPr="001C13D2">
        <w:rPr>
          <w:lang w:val="fr-FR"/>
        </w:rPr>
        <w:t xml:space="preserve">la sélection des bénéficiaires éligibles varie </w:t>
      </w:r>
      <w:r>
        <w:rPr>
          <w:lang w:val="fr-FR"/>
        </w:rPr>
        <w:t>largement</w:t>
      </w:r>
      <w:r w:rsidRPr="001C13D2">
        <w:rPr>
          <w:lang w:val="fr-FR"/>
        </w:rPr>
        <w:t xml:space="preserve"> d’un pays à l’autre</w:t>
      </w:r>
      <w:r>
        <w:rPr>
          <w:lang w:val="fr-FR"/>
        </w:rPr>
        <w:t xml:space="preserve"> en fonction de :</w:t>
      </w:r>
      <w:r w:rsidRPr="001C13D2">
        <w:rPr>
          <w:lang w:val="fr-FR"/>
        </w:rPr>
        <w:t xml:space="preserve"> i) la faisabilité administrative et ii) l’information disponible. Quand ces deux conditions sont </w:t>
      </w:r>
      <w:r>
        <w:rPr>
          <w:lang w:val="fr-FR"/>
        </w:rPr>
        <w:t>médiocrement satisfaites</w:t>
      </w:r>
      <w:r w:rsidRPr="001C13D2">
        <w:rPr>
          <w:lang w:val="fr-FR"/>
        </w:rPr>
        <w:t>, des pays (comme le Rwanda) ont recours</w:t>
      </w:r>
      <w:r>
        <w:rPr>
          <w:lang w:val="fr-FR"/>
        </w:rPr>
        <w:t xml:space="preserve"> </w:t>
      </w:r>
      <w:r w:rsidRPr="001C13D2">
        <w:rPr>
          <w:lang w:val="fr-FR"/>
        </w:rPr>
        <w:t xml:space="preserve">à des approches de ciblage </w:t>
      </w:r>
      <w:r>
        <w:rPr>
          <w:lang w:val="fr-FR"/>
        </w:rPr>
        <w:t>par les communautés</w:t>
      </w:r>
      <w:r w:rsidRPr="001C13D2">
        <w:rPr>
          <w:lang w:val="fr-FR"/>
        </w:rPr>
        <w:t xml:space="preserve">. La bonne pratique impose cependant la validation </w:t>
      </w:r>
      <w:r>
        <w:rPr>
          <w:lang w:val="fr-FR"/>
        </w:rPr>
        <w:t>de ces sélections</w:t>
      </w:r>
      <w:r w:rsidRPr="001C13D2">
        <w:rPr>
          <w:lang w:val="fr-FR"/>
        </w:rPr>
        <w:t xml:space="preserve"> </w:t>
      </w:r>
      <w:r>
        <w:rPr>
          <w:lang w:val="fr-FR"/>
        </w:rPr>
        <w:t>à travers</w:t>
      </w:r>
      <w:r w:rsidRPr="001C13D2">
        <w:rPr>
          <w:lang w:val="fr-FR"/>
        </w:rPr>
        <w:t xml:space="preserve"> un système de communication transparent. Dans le programme</w:t>
      </w:r>
      <w:r>
        <w:rPr>
          <w:lang w:val="fr-FR"/>
        </w:rPr>
        <w:t xml:space="preserve"> </w:t>
      </w:r>
      <w:r w:rsidRPr="001C13D2">
        <w:rPr>
          <w:i/>
          <w:iCs/>
          <w:lang w:val="fr-FR"/>
        </w:rPr>
        <w:t xml:space="preserve">Oportunidades </w:t>
      </w:r>
      <w:r w:rsidRPr="001C13D2">
        <w:rPr>
          <w:lang w:val="fr-FR"/>
        </w:rPr>
        <w:t>du Mexique (transfert monétaire conditionnel), par exemple,</w:t>
      </w:r>
      <w:r>
        <w:rPr>
          <w:lang w:val="fr-FR"/>
        </w:rPr>
        <w:t xml:space="preserve"> </w:t>
      </w:r>
      <w:r w:rsidRPr="001C13D2">
        <w:rPr>
          <w:lang w:val="fr-FR"/>
        </w:rPr>
        <w:t>les listes de</w:t>
      </w:r>
      <w:r>
        <w:rPr>
          <w:lang w:val="fr-FR"/>
        </w:rPr>
        <w:t>s</w:t>
      </w:r>
      <w:r w:rsidRPr="001C13D2">
        <w:rPr>
          <w:lang w:val="fr-FR"/>
        </w:rPr>
        <w:t xml:space="preserve"> bénéficiaires sont présentées au cours de réunions communautaires, ce qui donne aux communautés la </w:t>
      </w:r>
      <w:r>
        <w:rPr>
          <w:lang w:val="fr-FR"/>
        </w:rPr>
        <w:t>possibilité</w:t>
      </w:r>
      <w:r w:rsidRPr="001C13D2">
        <w:rPr>
          <w:lang w:val="fr-FR"/>
        </w:rPr>
        <w:t xml:space="preserve"> de déceler les erreurs d’exclusion et d’inclusion.</w:t>
      </w:r>
      <w:r>
        <w:rPr>
          <w:lang w:val="fr-FR"/>
        </w:rPr>
        <w:t xml:space="preserve"> </w:t>
      </w:r>
      <w:r w:rsidRPr="001C13D2">
        <w:rPr>
          <w:lang w:val="fr-FR"/>
        </w:rPr>
        <w:t xml:space="preserve">Dans tous les cas, un mécanisme de </w:t>
      </w:r>
      <w:r>
        <w:rPr>
          <w:lang w:val="fr-FR"/>
        </w:rPr>
        <w:t>réclamation</w:t>
      </w:r>
      <w:r w:rsidRPr="001C13D2">
        <w:rPr>
          <w:lang w:val="fr-FR"/>
        </w:rPr>
        <w:t xml:space="preserve"> est </w:t>
      </w:r>
      <w:r>
        <w:rPr>
          <w:lang w:val="fr-FR"/>
        </w:rPr>
        <w:t>indispensable</w:t>
      </w:r>
      <w:r w:rsidRPr="001C13D2">
        <w:rPr>
          <w:lang w:val="fr-FR"/>
        </w:rPr>
        <w:t xml:space="preserve"> pour assurer que la communauté est satisfaite de l’approche de ciblage utilisée.</w:t>
      </w:r>
    </w:p>
    <w:p w:rsidR="004E3139" w:rsidRDefault="004E3139" w:rsidP="004E3139">
      <w:pPr>
        <w:rPr>
          <w:b/>
          <w:szCs w:val="24"/>
          <w:lang w:val="fr-FR"/>
        </w:rPr>
      </w:pPr>
      <w:r>
        <w:rPr>
          <w:lang w:val="fr-FR"/>
        </w:rPr>
        <w:t>Lorsque</w:t>
      </w:r>
      <w:r w:rsidRPr="001C13D2">
        <w:rPr>
          <w:lang w:val="fr-FR"/>
        </w:rPr>
        <w:t xml:space="preserve"> </w:t>
      </w:r>
      <w:r>
        <w:rPr>
          <w:lang w:val="fr-FR"/>
        </w:rPr>
        <w:t>la limitation</w:t>
      </w:r>
      <w:r w:rsidRPr="001C13D2">
        <w:rPr>
          <w:lang w:val="fr-FR"/>
        </w:rPr>
        <w:t xml:space="preserve"> </w:t>
      </w:r>
      <w:r>
        <w:rPr>
          <w:lang w:val="fr-FR"/>
        </w:rPr>
        <w:t>de l</w:t>
      </w:r>
      <w:r w:rsidRPr="001C13D2">
        <w:rPr>
          <w:lang w:val="fr-FR"/>
        </w:rPr>
        <w:t xml:space="preserve">’information </w:t>
      </w:r>
      <w:r>
        <w:rPr>
          <w:lang w:val="fr-FR"/>
        </w:rPr>
        <w:t>est</w:t>
      </w:r>
      <w:r w:rsidRPr="001C13D2">
        <w:rPr>
          <w:lang w:val="fr-FR"/>
        </w:rPr>
        <w:t xml:space="preserve"> moins sévère, les pays ont adopté </w:t>
      </w:r>
      <w:r>
        <w:rPr>
          <w:lang w:val="fr-FR"/>
        </w:rPr>
        <w:t>des tests des moyens d’existence à l’aide de variables de remplacement (</w:t>
      </w:r>
      <w:r>
        <w:rPr>
          <w:i/>
          <w:lang w:val="fr-FR"/>
        </w:rPr>
        <w:t>p</w:t>
      </w:r>
      <w:r w:rsidRPr="0014365D">
        <w:rPr>
          <w:i/>
          <w:lang w:val="fr-FR"/>
        </w:rPr>
        <w:t>roxy means tests</w:t>
      </w:r>
      <w:r>
        <w:rPr>
          <w:lang w:val="fr-FR"/>
        </w:rPr>
        <w:t xml:space="preserve"> –</w:t>
      </w:r>
      <w:r w:rsidRPr="001C13D2">
        <w:rPr>
          <w:lang w:val="fr-FR"/>
        </w:rPr>
        <w:t xml:space="preserve"> </w:t>
      </w:r>
      <w:r w:rsidRPr="0014365D">
        <w:rPr>
          <w:iCs/>
          <w:lang w:val="fr-FR"/>
        </w:rPr>
        <w:t>PMT</w:t>
      </w:r>
      <w:r w:rsidRPr="001C13D2">
        <w:rPr>
          <w:lang w:val="fr-FR"/>
        </w:rPr>
        <w:t xml:space="preserve">). </w:t>
      </w:r>
      <w:r>
        <w:rPr>
          <w:lang w:val="fr-FR"/>
        </w:rPr>
        <w:t>Il s’agit d’</w:t>
      </w:r>
      <w:r w:rsidRPr="001C13D2">
        <w:rPr>
          <w:lang w:val="fr-FR"/>
        </w:rPr>
        <w:t xml:space="preserve">une méthode de ciblage </w:t>
      </w:r>
      <w:r>
        <w:rPr>
          <w:lang w:val="fr-FR"/>
        </w:rPr>
        <w:t>où</w:t>
      </w:r>
      <w:r w:rsidRPr="001C13D2">
        <w:rPr>
          <w:lang w:val="fr-FR"/>
        </w:rPr>
        <w:t xml:space="preserve"> le score de chaque candidat est généré à partir de caractéristiques des ménages assez faciles à observer </w:t>
      </w:r>
      <w:r>
        <w:rPr>
          <w:lang w:val="fr-FR"/>
        </w:rPr>
        <w:t>–</w:t>
      </w:r>
      <w:r w:rsidRPr="001C13D2">
        <w:rPr>
          <w:lang w:val="fr-FR"/>
        </w:rPr>
        <w:t xml:space="preserve"> généralement des caractéristiques non liées au revenu, tel</w:t>
      </w:r>
      <w:r>
        <w:rPr>
          <w:lang w:val="fr-FR"/>
        </w:rPr>
        <w:t>le</w:t>
      </w:r>
      <w:r w:rsidRPr="001C13D2">
        <w:rPr>
          <w:lang w:val="fr-FR"/>
        </w:rPr>
        <w:t xml:space="preserve">s que la </w:t>
      </w:r>
      <w:r>
        <w:rPr>
          <w:lang w:val="fr-FR"/>
        </w:rPr>
        <w:t>localisation</w:t>
      </w:r>
      <w:r w:rsidRPr="001C13D2">
        <w:rPr>
          <w:lang w:val="fr-FR"/>
        </w:rPr>
        <w:t xml:space="preserve"> et la qualité du logement, la possession </w:t>
      </w:r>
      <w:r>
        <w:rPr>
          <w:lang w:val="fr-FR"/>
        </w:rPr>
        <w:t>de</w:t>
      </w:r>
      <w:r w:rsidRPr="001C13D2">
        <w:rPr>
          <w:lang w:val="fr-FR"/>
        </w:rPr>
        <w:t xml:space="preserve"> biens durables, le nombre d’enfants, le niveau d’</w:t>
      </w:r>
      <w:r>
        <w:rPr>
          <w:lang w:val="fr-FR"/>
        </w:rPr>
        <w:t>instruction</w:t>
      </w:r>
      <w:r w:rsidRPr="001C13D2">
        <w:rPr>
          <w:lang w:val="fr-FR"/>
        </w:rPr>
        <w:t>, etc. Un seuil en-dessous duquel un ménage devient éligible a été établi</w:t>
      </w:r>
      <w:r>
        <w:rPr>
          <w:lang w:val="fr-FR"/>
        </w:rPr>
        <w:t xml:space="preserve"> pour le score</w:t>
      </w:r>
      <w:r w:rsidRPr="001C13D2">
        <w:rPr>
          <w:lang w:val="fr-FR"/>
        </w:rPr>
        <w:t xml:space="preserve">. </w:t>
      </w:r>
      <w:r>
        <w:rPr>
          <w:lang w:val="fr-FR"/>
        </w:rPr>
        <w:t>Même lorsqu’</w:t>
      </w:r>
      <w:r w:rsidRPr="001C13D2">
        <w:rPr>
          <w:lang w:val="fr-FR"/>
        </w:rPr>
        <w:t xml:space="preserve">une approche de ciblage communautaire comme celle décrite </w:t>
      </w:r>
      <w:r>
        <w:rPr>
          <w:lang w:val="fr-FR"/>
        </w:rPr>
        <w:t>plus haut</w:t>
      </w:r>
      <w:r w:rsidRPr="001C13D2">
        <w:rPr>
          <w:lang w:val="fr-FR"/>
        </w:rPr>
        <w:t xml:space="preserve"> est adoptée, il est toujours possible </w:t>
      </w:r>
      <w:r>
        <w:rPr>
          <w:lang w:val="fr-FR"/>
        </w:rPr>
        <w:t>de passer</w:t>
      </w:r>
      <w:r w:rsidRPr="001C13D2">
        <w:rPr>
          <w:lang w:val="fr-FR"/>
        </w:rPr>
        <w:t xml:space="preserve"> progressive</w:t>
      </w:r>
      <w:r>
        <w:rPr>
          <w:lang w:val="fr-FR"/>
        </w:rPr>
        <w:t>ment à</w:t>
      </w:r>
      <w:r w:rsidRPr="001C13D2">
        <w:rPr>
          <w:lang w:val="fr-FR"/>
        </w:rPr>
        <w:t xml:space="preserve"> une méthode </w:t>
      </w:r>
      <w:r w:rsidRPr="00E15C77">
        <w:rPr>
          <w:iCs/>
          <w:lang w:val="fr-FR"/>
        </w:rPr>
        <w:t>PMT</w:t>
      </w:r>
      <w:r w:rsidRPr="001C13D2">
        <w:rPr>
          <w:lang w:val="fr-FR"/>
        </w:rPr>
        <w:t xml:space="preserve">, </w:t>
      </w:r>
      <w:r>
        <w:rPr>
          <w:lang w:val="fr-FR"/>
        </w:rPr>
        <w:t>en établissant</w:t>
      </w:r>
      <w:r w:rsidRPr="001C13D2">
        <w:rPr>
          <w:lang w:val="fr-FR"/>
        </w:rPr>
        <w:t xml:space="preserve"> une présélection des ménages </w:t>
      </w:r>
      <w:r>
        <w:rPr>
          <w:lang w:val="fr-FR"/>
        </w:rPr>
        <w:t>susceptibles de bénéficier des</w:t>
      </w:r>
      <w:r w:rsidRPr="001C13D2">
        <w:rPr>
          <w:lang w:val="fr-FR"/>
        </w:rPr>
        <w:t xml:space="preserve"> prestations et </w:t>
      </w:r>
      <w:r>
        <w:rPr>
          <w:lang w:val="fr-FR"/>
        </w:rPr>
        <w:t xml:space="preserve">en utilisant </w:t>
      </w:r>
      <w:r w:rsidRPr="001C13D2">
        <w:rPr>
          <w:lang w:val="fr-FR"/>
        </w:rPr>
        <w:t xml:space="preserve">ensuite les réunions communautaires pour assurer la transparence et éviter les erreurs d’inclusion et d’exclusion. Beaucoup de pays à faible revenu ont recours à cette combinaison de </w:t>
      </w:r>
      <w:r w:rsidRPr="00F076E6">
        <w:rPr>
          <w:iCs/>
          <w:lang w:val="fr-FR"/>
        </w:rPr>
        <w:t>PMT</w:t>
      </w:r>
      <w:r w:rsidRPr="001C13D2">
        <w:rPr>
          <w:i/>
          <w:iCs/>
          <w:lang w:val="fr-FR"/>
        </w:rPr>
        <w:t xml:space="preserve"> </w:t>
      </w:r>
      <w:r w:rsidRPr="001C13D2">
        <w:rPr>
          <w:lang w:val="fr-FR"/>
        </w:rPr>
        <w:t xml:space="preserve">et de validation communautaire pour la sélection </w:t>
      </w:r>
      <w:r>
        <w:rPr>
          <w:lang w:val="fr-FR"/>
        </w:rPr>
        <w:t>d</w:t>
      </w:r>
      <w:r w:rsidRPr="001C13D2">
        <w:rPr>
          <w:lang w:val="fr-FR"/>
        </w:rPr>
        <w:t>es bénéficiaires</w:t>
      </w:r>
      <w:r>
        <w:rPr>
          <w:lang w:val="fr-FR"/>
        </w:rPr>
        <w:t>, en général</w:t>
      </w:r>
      <w:r w:rsidRPr="001C13D2">
        <w:rPr>
          <w:lang w:val="fr-FR"/>
        </w:rPr>
        <w:t xml:space="preserve"> des programmes de filets sociaux. </w:t>
      </w:r>
      <w:r>
        <w:rPr>
          <w:lang w:val="fr-FR"/>
        </w:rPr>
        <w:t>L</w:t>
      </w:r>
      <w:r w:rsidRPr="001C13D2">
        <w:rPr>
          <w:lang w:val="fr-FR"/>
        </w:rPr>
        <w:t xml:space="preserve">e Bangladesh </w:t>
      </w:r>
      <w:r>
        <w:rPr>
          <w:lang w:val="fr-FR"/>
        </w:rPr>
        <w:t>est u</w:t>
      </w:r>
      <w:r w:rsidRPr="001C13D2">
        <w:rPr>
          <w:lang w:val="fr-FR"/>
        </w:rPr>
        <w:t>n exemple récent</w:t>
      </w:r>
      <w:r>
        <w:rPr>
          <w:lang w:val="fr-FR"/>
        </w:rPr>
        <w:t>,</w:t>
      </w:r>
      <w:r w:rsidRPr="001C13D2">
        <w:rPr>
          <w:lang w:val="fr-FR"/>
        </w:rPr>
        <w:t xml:space="preserve"> </w:t>
      </w:r>
      <w:r>
        <w:rPr>
          <w:lang w:val="fr-FR"/>
        </w:rPr>
        <w:t>où</w:t>
      </w:r>
      <w:r w:rsidRPr="001C13D2">
        <w:rPr>
          <w:lang w:val="fr-FR"/>
        </w:rPr>
        <w:t xml:space="preserve"> un programme de filet social utilisant une combinaison de PMT et de validation communautaire</w:t>
      </w:r>
      <w:r>
        <w:rPr>
          <w:lang w:val="fr-FR"/>
        </w:rPr>
        <w:t xml:space="preserve"> est actuellement mis en place</w:t>
      </w:r>
      <w:r w:rsidRPr="001C13D2">
        <w:rPr>
          <w:lang w:val="fr-FR"/>
        </w:rPr>
        <w:t>.</w:t>
      </w:r>
      <w:r>
        <w:rPr>
          <w:lang w:val="fr-FR"/>
        </w:rPr>
        <w:t xml:space="preserve"> </w:t>
      </w:r>
    </w:p>
    <w:p w:rsidR="004E3139" w:rsidRPr="001C13D2" w:rsidRDefault="004E3139" w:rsidP="004E3139">
      <w:pPr>
        <w:rPr>
          <w:b/>
          <w:szCs w:val="24"/>
          <w:lang w:val="fr-FR"/>
        </w:rPr>
      </w:pPr>
      <w:r w:rsidRPr="001C13D2">
        <w:rPr>
          <w:b/>
          <w:szCs w:val="24"/>
          <w:lang w:val="fr-FR"/>
        </w:rPr>
        <w:lastRenderedPageBreak/>
        <w:t>Détermination d</w:t>
      </w:r>
      <w:r>
        <w:rPr>
          <w:b/>
          <w:szCs w:val="24"/>
          <w:lang w:val="fr-FR"/>
        </w:rPr>
        <w:t>u</w:t>
      </w:r>
      <w:r w:rsidRPr="001C13D2">
        <w:rPr>
          <w:b/>
          <w:szCs w:val="24"/>
          <w:lang w:val="fr-FR"/>
        </w:rPr>
        <w:t xml:space="preserve"> niveau de</w:t>
      </w:r>
      <w:r>
        <w:rPr>
          <w:b/>
          <w:szCs w:val="24"/>
          <w:lang w:val="fr-FR"/>
        </w:rPr>
        <w:t>s</w:t>
      </w:r>
      <w:r w:rsidRPr="001C13D2">
        <w:rPr>
          <w:b/>
          <w:szCs w:val="24"/>
          <w:lang w:val="fr-FR"/>
        </w:rPr>
        <w:t xml:space="preserve"> prestations</w:t>
      </w:r>
    </w:p>
    <w:p w:rsidR="004E3139" w:rsidRPr="001C13D2" w:rsidRDefault="004E3139" w:rsidP="004E3139">
      <w:pPr>
        <w:rPr>
          <w:bCs/>
          <w:szCs w:val="24"/>
          <w:lang w:val="fr-FR"/>
        </w:rPr>
      </w:pPr>
      <w:r w:rsidRPr="001C13D2">
        <w:rPr>
          <w:bCs/>
          <w:szCs w:val="24"/>
          <w:lang w:val="fr-FR"/>
        </w:rPr>
        <w:t>La détermination du niveau d</w:t>
      </w:r>
      <w:r>
        <w:rPr>
          <w:bCs/>
          <w:szCs w:val="24"/>
          <w:lang w:val="fr-FR"/>
        </w:rPr>
        <w:t>e soutien</w:t>
      </w:r>
      <w:r w:rsidRPr="001C13D2">
        <w:rPr>
          <w:bCs/>
          <w:szCs w:val="24"/>
          <w:lang w:val="fr-FR"/>
        </w:rPr>
        <w:t xml:space="preserve"> direct de l’</w:t>
      </w:r>
      <w:r>
        <w:rPr>
          <w:bCs/>
          <w:szCs w:val="24"/>
          <w:lang w:val="fr-FR"/>
        </w:rPr>
        <w:t>assistance sociale</w:t>
      </w:r>
      <w:r w:rsidRPr="001C13D2">
        <w:rPr>
          <w:bCs/>
          <w:szCs w:val="24"/>
          <w:lang w:val="fr-FR"/>
        </w:rPr>
        <w:t xml:space="preserve"> est une question délicate dans tous les pays. Il est difficile de </w:t>
      </w:r>
      <w:r>
        <w:rPr>
          <w:bCs/>
          <w:szCs w:val="24"/>
          <w:lang w:val="fr-FR"/>
        </w:rPr>
        <w:t>dégager</w:t>
      </w:r>
      <w:r w:rsidRPr="001C13D2">
        <w:rPr>
          <w:bCs/>
          <w:szCs w:val="24"/>
          <w:lang w:val="fr-FR"/>
        </w:rPr>
        <w:t xml:space="preserve"> des conseils stratégiques précis à partir d</w:t>
      </w:r>
      <w:r>
        <w:rPr>
          <w:bCs/>
          <w:szCs w:val="24"/>
          <w:lang w:val="fr-FR"/>
        </w:rPr>
        <w:t xml:space="preserve">es </w:t>
      </w:r>
      <w:r w:rsidRPr="001C13D2">
        <w:rPr>
          <w:bCs/>
          <w:szCs w:val="24"/>
          <w:lang w:val="fr-FR"/>
        </w:rPr>
        <w:t>expériences internationales</w:t>
      </w:r>
      <w:r>
        <w:rPr>
          <w:bCs/>
          <w:szCs w:val="24"/>
          <w:lang w:val="fr-FR"/>
        </w:rPr>
        <w:t xml:space="preserve"> mais</w:t>
      </w:r>
      <w:r w:rsidRPr="001C13D2">
        <w:rPr>
          <w:bCs/>
          <w:szCs w:val="24"/>
          <w:lang w:val="fr-FR"/>
        </w:rPr>
        <w:t xml:space="preserve"> il est toutefois possible d’</w:t>
      </w:r>
      <w:r>
        <w:rPr>
          <w:bCs/>
          <w:szCs w:val="24"/>
          <w:lang w:val="fr-FR"/>
        </w:rPr>
        <w:t>identifier</w:t>
      </w:r>
      <w:r w:rsidRPr="001C13D2">
        <w:rPr>
          <w:bCs/>
          <w:szCs w:val="24"/>
          <w:lang w:val="fr-FR"/>
        </w:rPr>
        <w:t xml:space="preserve"> quelques principes directeurs. Habituellement, dans les programmes de dernier </w:t>
      </w:r>
      <w:r>
        <w:rPr>
          <w:bCs/>
          <w:szCs w:val="24"/>
          <w:lang w:val="fr-FR"/>
        </w:rPr>
        <w:t>recours</w:t>
      </w:r>
      <w:r w:rsidRPr="00D1517C">
        <w:rPr>
          <w:bCs/>
          <w:szCs w:val="24"/>
          <w:lang w:val="fr-FR"/>
        </w:rPr>
        <w:t xml:space="preserve"> </w:t>
      </w:r>
      <w:r w:rsidRPr="001C13D2">
        <w:rPr>
          <w:bCs/>
          <w:szCs w:val="24"/>
          <w:lang w:val="fr-FR"/>
        </w:rPr>
        <w:t>vis</w:t>
      </w:r>
      <w:r>
        <w:rPr>
          <w:bCs/>
          <w:szCs w:val="24"/>
          <w:lang w:val="fr-FR"/>
        </w:rPr>
        <w:t>a</w:t>
      </w:r>
      <w:r w:rsidRPr="001C13D2">
        <w:rPr>
          <w:bCs/>
          <w:szCs w:val="24"/>
          <w:lang w:val="fr-FR"/>
        </w:rPr>
        <w:t xml:space="preserve">nt à réduire l’extrême pauvreté, tels que celui proposé </w:t>
      </w:r>
      <w:r>
        <w:rPr>
          <w:bCs/>
          <w:szCs w:val="24"/>
          <w:lang w:val="fr-FR"/>
        </w:rPr>
        <w:t>au</w:t>
      </w:r>
      <w:r w:rsidRPr="001C13D2">
        <w:rPr>
          <w:bCs/>
          <w:szCs w:val="24"/>
          <w:lang w:val="fr-FR"/>
        </w:rPr>
        <w:t xml:space="preserve"> Rwanda, le niveau des prestations </w:t>
      </w:r>
      <w:r>
        <w:rPr>
          <w:bCs/>
          <w:szCs w:val="24"/>
          <w:lang w:val="fr-FR"/>
        </w:rPr>
        <w:t>est</w:t>
      </w:r>
      <w:r w:rsidRPr="001C13D2">
        <w:rPr>
          <w:bCs/>
          <w:szCs w:val="24"/>
          <w:lang w:val="fr-FR"/>
        </w:rPr>
        <w:t xml:space="preserve"> fixés </w:t>
      </w:r>
      <w:r>
        <w:rPr>
          <w:bCs/>
          <w:szCs w:val="24"/>
          <w:lang w:val="fr-FR"/>
        </w:rPr>
        <w:t>comme une</w:t>
      </w:r>
      <w:r w:rsidRPr="001C13D2">
        <w:rPr>
          <w:bCs/>
          <w:szCs w:val="24"/>
          <w:lang w:val="fr-FR"/>
        </w:rPr>
        <w:t xml:space="preserve"> fraction de l’écart de revenu des bénéficiaires cibles. Le niveau de cette fraction dépend du budget disponible et du nombre de personnes en situation d’extrême pauvreté. L’Arménie et la Géorgie ont appliqué ce principe en utilisant </w:t>
      </w:r>
      <w:r>
        <w:rPr>
          <w:bCs/>
          <w:szCs w:val="24"/>
          <w:lang w:val="fr-FR"/>
        </w:rPr>
        <w:t>des PMT</w:t>
      </w:r>
      <w:r w:rsidRPr="001C13D2">
        <w:rPr>
          <w:bCs/>
          <w:szCs w:val="24"/>
          <w:lang w:val="fr-FR"/>
        </w:rPr>
        <w:t>.</w:t>
      </w:r>
    </w:p>
    <w:p w:rsidR="004E3139" w:rsidRPr="001C13D2" w:rsidRDefault="004E3139" w:rsidP="004E3139">
      <w:pPr>
        <w:rPr>
          <w:bCs/>
          <w:szCs w:val="24"/>
          <w:lang w:val="fr-FR"/>
        </w:rPr>
      </w:pPr>
      <w:r w:rsidRPr="001C13D2">
        <w:rPr>
          <w:bCs/>
          <w:szCs w:val="24"/>
          <w:lang w:val="fr-FR"/>
        </w:rPr>
        <w:t xml:space="preserve">À </w:t>
      </w:r>
      <w:r>
        <w:rPr>
          <w:bCs/>
          <w:szCs w:val="24"/>
          <w:lang w:val="fr-FR"/>
        </w:rPr>
        <w:t>cet égard</w:t>
      </w:r>
      <w:r w:rsidRPr="001C13D2">
        <w:rPr>
          <w:bCs/>
          <w:szCs w:val="24"/>
          <w:lang w:val="fr-FR"/>
        </w:rPr>
        <w:t xml:space="preserve">, </w:t>
      </w:r>
      <w:r>
        <w:rPr>
          <w:bCs/>
          <w:szCs w:val="24"/>
          <w:lang w:val="fr-FR"/>
        </w:rPr>
        <w:t>il peut être utile d’opérer certains rapprochements entre les</w:t>
      </w:r>
      <w:r w:rsidRPr="001C13D2">
        <w:rPr>
          <w:bCs/>
          <w:szCs w:val="24"/>
          <w:lang w:val="fr-FR"/>
        </w:rPr>
        <w:t xml:space="preserve"> informations disponibles </w:t>
      </w:r>
      <w:r>
        <w:rPr>
          <w:bCs/>
          <w:szCs w:val="24"/>
          <w:lang w:val="fr-FR"/>
        </w:rPr>
        <w:t>sur les</w:t>
      </w:r>
      <w:r w:rsidRPr="001C13D2">
        <w:rPr>
          <w:bCs/>
          <w:szCs w:val="24"/>
          <w:lang w:val="fr-FR"/>
        </w:rPr>
        <w:t xml:space="preserve"> ménages. </w:t>
      </w:r>
      <w:r>
        <w:rPr>
          <w:bCs/>
          <w:szCs w:val="24"/>
          <w:lang w:val="fr-FR"/>
        </w:rPr>
        <w:t>Ainsi, l</w:t>
      </w:r>
      <w:r w:rsidRPr="001C13D2">
        <w:rPr>
          <w:bCs/>
          <w:szCs w:val="24"/>
          <w:lang w:val="fr-FR"/>
        </w:rPr>
        <w:t xml:space="preserve">’information sur le nombre de ménages extrêmement pauvres peut, par exemple, être combinée à celle sur </w:t>
      </w:r>
      <w:r>
        <w:rPr>
          <w:bCs/>
          <w:szCs w:val="24"/>
          <w:lang w:val="fr-FR"/>
        </w:rPr>
        <w:t xml:space="preserve">leur </w:t>
      </w:r>
      <w:r w:rsidRPr="001C13D2">
        <w:rPr>
          <w:bCs/>
          <w:szCs w:val="24"/>
          <w:lang w:val="fr-FR"/>
        </w:rPr>
        <w:t>écart de revenu (pauvreté)</w:t>
      </w:r>
      <w:r>
        <w:rPr>
          <w:bCs/>
          <w:szCs w:val="24"/>
          <w:lang w:val="fr-FR"/>
        </w:rPr>
        <w:t>, de manière à déterminer</w:t>
      </w:r>
      <w:r w:rsidRPr="001C13D2">
        <w:rPr>
          <w:bCs/>
          <w:szCs w:val="24"/>
          <w:lang w:val="fr-FR"/>
        </w:rPr>
        <w:t xml:space="preserve"> les besoins financiers pour un niveau de prestations donné. On peut alors </w:t>
      </w:r>
      <w:r>
        <w:rPr>
          <w:bCs/>
          <w:szCs w:val="24"/>
          <w:lang w:val="fr-FR"/>
        </w:rPr>
        <w:t>juger de</w:t>
      </w:r>
      <w:r w:rsidRPr="001C13D2">
        <w:rPr>
          <w:bCs/>
          <w:szCs w:val="24"/>
          <w:lang w:val="fr-FR"/>
        </w:rPr>
        <w:t xml:space="preserve"> la </w:t>
      </w:r>
      <w:r>
        <w:rPr>
          <w:bCs/>
          <w:szCs w:val="24"/>
          <w:lang w:val="fr-FR"/>
        </w:rPr>
        <w:t>faisabilité</w:t>
      </w:r>
      <w:r w:rsidRPr="001C13D2">
        <w:rPr>
          <w:bCs/>
          <w:szCs w:val="24"/>
          <w:lang w:val="fr-FR"/>
        </w:rPr>
        <w:t xml:space="preserve"> (</w:t>
      </w:r>
      <w:r>
        <w:rPr>
          <w:bCs/>
          <w:szCs w:val="24"/>
          <w:lang w:val="fr-FR"/>
        </w:rPr>
        <w:t>accessibilité financière</w:t>
      </w:r>
      <w:r w:rsidRPr="001C13D2">
        <w:rPr>
          <w:bCs/>
          <w:szCs w:val="24"/>
          <w:lang w:val="fr-FR"/>
        </w:rPr>
        <w:t xml:space="preserve">) </w:t>
      </w:r>
      <w:r>
        <w:rPr>
          <w:bCs/>
          <w:szCs w:val="24"/>
          <w:lang w:val="fr-FR"/>
        </w:rPr>
        <w:t>des différentes options de</w:t>
      </w:r>
      <w:r w:rsidRPr="001C13D2">
        <w:rPr>
          <w:bCs/>
          <w:szCs w:val="24"/>
          <w:lang w:val="fr-FR"/>
        </w:rPr>
        <w:t xml:space="preserve"> niveau de prestations et décider du niveau </w:t>
      </w:r>
      <w:r>
        <w:rPr>
          <w:bCs/>
          <w:szCs w:val="24"/>
          <w:lang w:val="fr-FR"/>
        </w:rPr>
        <w:t xml:space="preserve">acceptable </w:t>
      </w:r>
      <w:r w:rsidRPr="001C13D2">
        <w:rPr>
          <w:bCs/>
          <w:szCs w:val="24"/>
          <w:lang w:val="fr-FR"/>
        </w:rPr>
        <w:t>dans le cadre de l’enveloppe budgétaire disponible.</w:t>
      </w:r>
    </w:p>
    <w:p w:rsidR="004E3139" w:rsidRDefault="004E3139" w:rsidP="004E3139">
      <w:pPr>
        <w:rPr>
          <w:bCs/>
          <w:szCs w:val="24"/>
          <w:lang w:val="fr-FR"/>
        </w:rPr>
      </w:pPr>
      <w:r w:rsidRPr="001C13D2">
        <w:rPr>
          <w:bCs/>
          <w:szCs w:val="24"/>
          <w:lang w:val="fr-FR"/>
        </w:rPr>
        <w:t>Le niveau de</w:t>
      </w:r>
      <w:r>
        <w:rPr>
          <w:bCs/>
          <w:szCs w:val="24"/>
          <w:lang w:val="fr-FR"/>
        </w:rPr>
        <w:t>s</w:t>
      </w:r>
      <w:r w:rsidRPr="001C13D2">
        <w:rPr>
          <w:bCs/>
          <w:szCs w:val="24"/>
          <w:lang w:val="fr-FR"/>
        </w:rPr>
        <w:t xml:space="preserve"> prestations </w:t>
      </w:r>
      <w:r>
        <w:rPr>
          <w:bCs/>
          <w:szCs w:val="24"/>
          <w:lang w:val="fr-FR"/>
        </w:rPr>
        <w:t>ne doit pas nécessairement être fixé à la même hauteur</w:t>
      </w:r>
      <w:r w:rsidRPr="001C13D2">
        <w:rPr>
          <w:bCs/>
          <w:szCs w:val="24"/>
          <w:lang w:val="fr-FR"/>
        </w:rPr>
        <w:t xml:space="preserve"> pour tous les types de ménages. Il devrai</w:t>
      </w:r>
      <w:r>
        <w:rPr>
          <w:bCs/>
          <w:szCs w:val="24"/>
          <w:lang w:val="fr-FR"/>
        </w:rPr>
        <w:t>t</w:t>
      </w:r>
      <w:r w:rsidRPr="001C13D2">
        <w:rPr>
          <w:bCs/>
          <w:szCs w:val="24"/>
          <w:lang w:val="fr-FR"/>
        </w:rPr>
        <w:t xml:space="preserve"> de préférence varier. Des formules variables de détermination de</w:t>
      </w:r>
      <w:r>
        <w:rPr>
          <w:bCs/>
          <w:szCs w:val="24"/>
          <w:lang w:val="fr-FR"/>
        </w:rPr>
        <w:t>s</w:t>
      </w:r>
      <w:r w:rsidRPr="001C13D2">
        <w:rPr>
          <w:bCs/>
          <w:szCs w:val="24"/>
          <w:lang w:val="fr-FR"/>
        </w:rPr>
        <w:t xml:space="preserve"> prestations sont souvent la norme dans de nombreux pays, principalement parce qu’elles permettent </w:t>
      </w:r>
      <w:r>
        <w:rPr>
          <w:bCs/>
          <w:szCs w:val="24"/>
          <w:lang w:val="fr-FR"/>
        </w:rPr>
        <w:t>d</w:t>
      </w:r>
      <w:r w:rsidRPr="001C13D2">
        <w:rPr>
          <w:bCs/>
          <w:szCs w:val="24"/>
          <w:lang w:val="fr-FR"/>
        </w:rPr>
        <w:t xml:space="preserve">es variations dans la situation des ménages (telles que le nombre d’enfants, la présence d’un enfant ou d’une personne handicapée, la longue maladie du chef de </w:t>
      </w:r>
      <w:r>
        <w:rPr>
          <w:bCs/>
          <w:szCs w:val="24"/>
          <w:lang w:val="fr-FR"/>
        </w:rPr>
        <w:t>famille</w:t>
      </w:r>
      <w:r w:rsidRPr="001C13D2">
        <w:rPr>
          <w:bCs/>
          <w:szCs w:val="24"/>
          <w:lang w:val="fr-FR"/>
        </w:rPr>
        <w:t>, etc.) Un très bon exemple (réussi) de formule variable de détermination de</w:t>
      </w:r>
      <w:r>
        <w:rPr>
          <w:bCs/>
          <w:szCs w:val="24"/>
          <w:lang w:val="fr-FR"/>
        </w:rPr>
        <w:t>s</w:t>
      </w:r>
      <w:r w:rsidRPr="001C13D2">
        <w:rPr>
          <w:bCs/>
          <w:szCs w:val="24"/>
          <w:lang w:val="fr-FR"/>
        </w:rPr>
        <w:t xml:space="preserve"> prestations est </w:t>
      </w:r>
      <w:r>
        <w:rPr>
          <w:bCs/>
          <w:szCs w:val="24"/>
          <w:lang w:val="fr-FR"/>
        </w:rPr>
        <w:t>celui</w:t>
      </w:r>
      <w:r w:rsidRPr="001C13D2">
        <w:rPr>
          <w:bCs/>
          <w:szCs w:val="24"/>
          <w:lang w:val="fr-FR"/>
        </w:rPr>
        <w:t xml:space="preserve"> du Programme </w:t>
      </w:r>
      <w:r w:rsidRPr="001C13D2">
        <w:rPr>
          <w:bCs/>
          <w:i/>
          <w:iCs/>
          <w:szCs w:val="24"/>
          <w:lang w:val="fr-FR"/>
        </w:rPr>
        <w:t>Bolsa Familia</w:t>
      </w:r>
      <w:r w:rsidRPr="001C13D2">
        <w:rPr>
          <w:bCs/>
          <w:szCs w:val="24"/>
          <w:lang w:val="fr-FR"/>
        </w:rPr>
        <w:t xml:space="preserve"> du Brésil. </w:t>
      </w:r>
      <w:r>
        <w:rPr>
          <w:bCs/>
          <w:szCs w:val="24"/>
          <w:lang w:val="fr-FR"/>
        </w:rPr>
        <w:t>Celui-ci</w:t>
      </w:r>
      <w:r w:rsidRPr="001C13D2">
        <w:rPr>
          <w:bCs/>
          <w:szCs w:val="24"/>
          <w:lang w:val="fr-FR"/>
        </w:rPr>
        <w:t xml:space="preserve"> fournit deux types de prestations : une prestation de base </w:t>
      </w:r>
      <w:r>
        <w:rPr>
          <w:bCs/>
          <w:szCs w:val="24"/>
          <w:lang w:val="fr-FR"/>
        </w:rPr>
        <w:t>pour</w:t>
      </w:r>
      <w:r w:rsidRPr="001C13D2">
        <w:rPr>
          <w:bCs/>
          <w:szCs w:val="24"/>
          <w:lang w:val="fr-FR"/>
        </w:rPr>
        <w:t xml:space="preserve"> toutes les familles extrêmement pauvres et une prestation variable qui dépend de la composition et des revenus de la famille. </w:t>
      </w:r>
    </w:p>
    <w:p w:rsidR="004E3139" w:rsidRPr="001C13D2" w:rsidRDefault="004E3139" w:rsidP="004E3139">
      <w:pPr>
        <w:rPr>
          <w:bCs/>
          <w:szCs w:val="24"/>
          <w:lang w:val="fr-FR"/>
        </w:rPr>
      </w:pPr>
      <w:r w:rsidRPr="001C13D2">
        <w:rPr>
          <w:bCs/>
          <w:szCs w:val="24"/>
          <w:lang w:val="fr-FR"/>
        </w:rPr>
        <w:t xml:space="preserve">Quelle que soit la méthode adoptée pour déterminer le niveau des prestations, il est utile </w:t>
      </w:r>
      <w:r>
        <w:rPr>
          <w:bCs/>
          <w:szCs w:val="24"/>
          <w:lang w:val="fr-FR"/>
        </w:rPr>
        <w:t>de l’</w:t>
      </w:r>
      <w:r w:rsidRPr="001C13D2">
        <w:rPr>
          <w:bCs/>
          <w:szCs w:val="24"/>
          <w:lang w:val="fr-FR"/>
        </w:rPr>
        <w:t xml:space="preserve">évaluer en pourcentage de la dépense de consommation des ménages extrêmement pauvres. </w:t>
      </w:r>
      <w:r>
        <w:rPr>
          <w:bCs/>
          <w:szCs w:val="24"/>
          <w:lang w:val="fr-FR"/>
        </w:rPr>
        <w:t>La</w:t>
      </w:r>
      <w:r w:rsidRPr="001C13D2">
        <w:rPr>
          <w:bCs/>
          <w:szCs w:val="24"/>
          <w:lang w:val="fr-FR"/>
        </w:rPr>
        <w:t xml:space="preserve"> générosité du programme peut être </w:t>
      </w:r>
      <w:r>
        <w:rPr>
          <w:bCs/>
          <w:szCs w:val="24"/>
          <w:lang w:val="fr-FR"/>
        </w:rPr>
        <w:t>évaluée</w:t>
      </w:r>
      <w:r w:rsidRPr="001C13D2">
        <w:rPr>
          <w:bCs/>
          <w:szCs w:val="24"/>
          <w:lang w:val="fr-FR"/>
        </w:rPr>
        <w:t xml:space="preserve"> à partir de cette proportion. Plus </w:t>
      </w:r>
      <w:r>
        <w:rPr>
          <w:bCs/>
          <w:szCs w:val="24"/>
          <w:lang w:val="fr-FR"/>
        </w:rPr>
        <w:t xml:space="preserve">celle-ci est </w:t>
      </w:r>
      <w:r w:rsidRPr="001C13D2">
        <w:rPr>
          <w:bCs/>
          <w:szCs w:val="24"/>
          <w:lang w:val="fr-FR"/>
        </w:rPr>
        <w:t>élevé</w:t>
      </w:r>
      <w:r>
        <w:rPr>
          <w:bCs/>
          <w:szCs w:val="24"/>
          <w:lang w:val="fr-FR"/>
        </w:rPr>
        <w:t>e</w:t>
      </w:r>
      <w:r w:rsidRPr="001C13D2">
        <w:rPr>
          <w:bCs/>
          <w:szCs w:val="24"/>
          <w:lang w:val="fr-FR"/>
        </w:rPr>
        <w:t xml:space="preserve">, plus généreux </w:t>
      </w:r>
      <w:r>
        <w:rPr>
          <w:bCs/>
          <w:szCs w:val="24"/>
          <w:lang w:val="fr-FR"/>
        </w:rPr>
        <w:t xml:space="preserve">sera </w:t>
      </w:r>
      <w:r w:rsidRPr="001C13D2">
        <w:rPr>
          <w:bCs/>
          <w:szCs w:val="24"/>
          <w:lang w:val="fr-FR"/>
        </w:rPr>
        <w:t xml:space="preserve">le programme. Le maintien d’un niveau généreux de prestations </w:t>
      </w:r>
      <w:r>
        <w:rPr>
          <w:bCs/>
          <w:szCs w:val="24"/>
          <w:lang w:val="fr-FR"/>
        </w:rPr>
        <w:t>risque d’</w:t>
      </w:r>
      <w:r w:rsidRPr="001C13D2">
        <w:rPr>
          <w:bCs/>
          <w:szCs w:val="24"/>
          <w:lang w:val="fr-FR"/>
        </w:rPr>
        <w:t xml:space="preserve">affecter l’offre </w:t>
      </w:r>
      <w:r>
        <w:rPr>
          <w:bCs/>
          <w:szCs w:val="24"/>
          <w:lang w:val="fr-FR"/>
        </w:rPr>
        <w:t>de</w:t>
      </w:r>
      <w:r w:rsidRPr="001C13D2">
        <w:rPr>
          <w:bCs/>
          <w:szCs w:val="24"/>
          <w:lang w:val="fr-FR"/>
        </w:rPr>
        <w:t xml:space="preserve"> main-d’œuvre </w:t>
      </w:r>
      <w:r>
        <w:rPr>
          <w:bCs/>
          <w:szCs w:val="24"/>
          <w:lang w:val="fr-FR"/>
        </w:rPr>
        <w:t xml:space="preserve">à cause d’un </w:t>
      </w:r>
      <w:r w:rsidRPr="001C13D2">
        <w:rPr>
          <w:bCs/>
          <w:szCs w:val="24"/>
          <w:lang w:val="fr-FR"/>
        </w:rPr>
        <w:t>effet</w:t>
      </w:r>
      <w:r>
        <w:rPr>
          <w:bCs/>
          <w:szCs w:val="24"/>
          <w:lang w:val="fr-FR"/>
        </w:rPr>
        <w:t xml:space="preserve"> contraire de démotivation</w:t>
      </w:r>
      <w:r w:rsidRPr="001C13D2">
        <w:rPr>
          <w:bCs/>
          <w:szCs w:val="24"/>
          <w:lang w:val="fr-FR"/>
        </w:rPr>
        <w:t xml:space="preserve"> : même en présence d’opportunités d’emploi </w:t>
      </w:r>
      <w:r>
        <w:rPr>
          <w:bCs/>
          <w:szCs w:val="24"/>
          <w:lang w:val="fr-FR"/>
        </w:rPr>
        <w:t>offertes par</w:t>
      </w:r>
      <w:r w:rsidRPr="001C13D2">
        <w:rPr>
          <w:bCs/>
          <w:szCs w:val="24"/>
          <w:lang w:val="fr-FR"/>
        </w:rPr>
        <w:t xml:space="preserve"> le marché du travail, les ménages </w:t>
      </w:r>
      <w:r>
        <w:rPr>
          <w:bCs/>
          <w:szCs w:val="24"/>
          <w:lang w:val="fr-FR"/>
        </w:rPr>
        <w:t xml:space="preserve">peuvent en effet </w:t>
      </w:r>
      <w:r w:rsidRPr="001C13D2">
        <w:rPr>
          <w:bCs/>
          <w:szCs w:val="24"/>
          <w:lang w:val="fr-FR"/>
        </w:rPr>
        <w:t>choisir de rester dans le programme «</w:t>
      </w:r>
      <w:r>
        <w:rPr>
          <w:bCs/>
          <w:szCs w:val="24"/>
          <w:lang w:val="fr-FR"/>
        </w:rPr>
        <w:t> </w:t>
      </w:r>
      <w:r w:rsidRPr="001C13D2">
        <w:rPr>
          <w:bCs/>
          <w:szCs w:val="24"/>
          <w:lang w:val="fr-FR"/>
        </w:rPr>
        <w:t>généreux</w:t>
      </w:r>
      <w:r>
        <w:rPr>
          <w:bCs/>
          <w:szCs w:val="24"/>
          <w:lang w:val="fr-FR"/>
        </w:rPr>
        <w:t> </w:t>
      </w:r>
      <w:r w:rsidRPr="001C13D2">
        <w:rPr>
          <w:bCs/>
          <w:szCs w:val="24"/>
          <w:lang w:val="fr-FR"/>
        </w:rPr>
        <w:t xml:space="preserve">». </w:t>
      </w:r>
      <w:r>
        <w:rPr>
          <w:bCs/>
          <w:szCs w:val="24"/>
          <w:lang w:val="fr-FR"/>
        </w:rPr>
        <w:t>Bien que</w:t>
      </w:r>
      <w:r w:rsidRPr="001C13D2">
        <w:rPr>
          <w:bCs/>
          <w:szCs w:val="24"/>
          <w:lang w:val="fr-FR"/>
        </w:rPr>
        <w:t xml:space="preserve"> cette préoccupation </w:t>
      </w:r>
      <w:r>
        <w:rPr>
          <w:bCs/>
          <w:szCs w:val="24"/>
          <w:lang w:val="fr-FR"/>
        </w:rPr>
        <w:t>à propos</w:t>
      </w:r>
      <w:r w:rsidRPr="001C13D2">
        <w:rPr>
          <w:bCs/>
          <w:szCs w:val="24"/>
          <w:lang w:val="fr-FR"/>
        </w:rPr>
        <w:t xml:space="preserve"> </w:t>
      </w:r>
      <w:r>
        <w:rPr>
          <w:bCs/>
          <w:szCs w:val="24"/>
          <w:lang w:val="fr-FR"/>
        </w:rPr>
        <w:t xml:space="preserve">de </w:t>
      </w:r>
      <w:r w:rsidRPr="001C13D2">
        <w:rPr>
          <w:bCs/>
          <w:szCs w:val="24"/>
          <w:lang w:val="fr-FR"/>
        </w:rPr>
        <w:t>l’</w:t>
      </w:r>
      <w:r>
        <w:rPr>
          <w:bCs/>
          <w:szCs w:val="24"/>
          <w:lang w:val="fr-FR"/>
        </w:rPr>
        <w:t>impact</w:t>
      </w:r>
      <w:r w:rsidRPr="001C13D2">
        <w:rPr>
          <w:bCs/>
          <w:szCs w:val="24"/>
          <w:lang w:val="fr-FR"/>
        </w:rPr>
        <w:t xml:space="preserve"> d</w:t>
      </w:r>
      <w:r>
        <w:rPr>
          <w:bCs/>
          <w:szCs w:val="24"/>
          <w:lang w:val="fr-FR"/>
        </w:rPr>
        <w:t>u</w:t>
      </w:r>
      <w:r w:rsidRPr="001C13D2">
        <w:rPr>
          <w:bCs/>
          <w:szCs w:val="24"/>
          <w:lang w:val="fr-FR"/>
        </w:rPr>
        <w:t xml:space="preserve"> niveau de</w:t>
      </w:r>
      <w:r>
        <w:rPr>
          <w:bCs/>
          <w:szCs w:val="24"/>
          <w:lang w:val="fr-FR"/>
        </w:rPr>
        <w:t>s</w:t>
      </w:r>
      <w:r w:rsidRPr="001C13D2">
        <w:rPr>
          <w:bCs/>
          <w:szCs w:val="24"/>
          <w:lang w:val="fr-FR"/>
        </w:rPr>
        <w:t xml:space="preserve"> prestations sur la </w:t>
      </w:r>
      <w:r>
        <w:rPr>
          <w:bCs/>
          <w:szCs w:val="24"/>
          <w:lang w:val="fr-FR"/>
        </w:rPr>
        <w:t>motivation</w:t>
      </w:r>
      <w:r w:rsidRPr="001C13D2" w:rsidDel="00472EDC">
        <w:rPr>
          <w:bCs/>
          <w:szCs w:val="24"/>
          <w:lang w:val="fr-FR"/>
        </w:rPr>
        <w:t xml:space="preserve"> </w:t>
      </w:r>
      <w:r w:rsidRPr="001C13D2">
        <w:rPr>
          <w:bCs/>
          <w:szCs w:val="24"/>
          <w:lang w:val="fr-FR"/>
        </w:rPr>
        <w:t xml:space="preserve">au travail </w:t>
      </w:r>
      <w:r>
        <w:rPr>
          <w:bCs/>
          <w:szCs w:val="24"/>
          <w:lang w:val="fr-FR"/>
        </w:rPr>
        <w:t>soit</w:t>
      </w:r>
      <w:r w:rsidRPr="001C13D2">
        <w:rPr>
          <w:bCs/>
          <w:szCs w:val="24"/>
          <w:lang w:val="fr-FR"/>
        </w:rPr>
        <w:t xml:space="preserve"> théoriquement valable, elle ne s’applique pas aux programmes cibl</w:t>
      </w:r>
      <w:r>
        <w:rPr>
          <w:bCs/>
          <w:szCs w:val="24"/>
          <w:lang w:val="fr-FR"/>
        </w:rPr>
        <w:t>a</w:t>
      </w:r>
      <w:r w:rsidRPr="001C13D2">
        <w:rPr>
          <w:bCs/>
          <w:szCs w:val="24"/>
          <w:lang w:val="fr-FR"/>
        </w:rPr>
        <w:t xml:space="preserve">nt les ménages extrêmement pauvres </w:t>
      </w:r>
      <w:r>
        <w:rPr>
          <w:bCs/>
          <w:szCs w:val="24"/>
          <w:lang w:val="fr-FR"/>
        </w:rPr>
        <w:t>où aucune</w:t>
      </w:r>
      <w:r w:rsidRPr="001C13D2">
        <w:rPr>
          <w:bCs/>
          <w:szCs w:val="24"/>
          <w:lang w:val="fr-FR"/>
        </w:rPr>
        <w:t xml:space="preserve"> main-d’œuvre adulte </w:t>
      </w:r>
      <w:r>
        <w:rPr>
          <w:bCs/>
          <w:szCs w:val="24"/>
          <w:lang w:val="fr-FR"/>
        </w:rPr>
        <w:t xml:space="preserve">n’est disponible </w:t>
      </w:r>
      <w:r w:rsidRPr="001C13D2">
        <w:rPr>
          <w:bCs/>
          <w:szCs w:val="24"/>
          <w:lang w:val="fr-FR"/>
        </w:rPr>
        <w:t>pour participer au marché du travail</w:t>
      </w:r>
      <w:r>
        <w:rPr>
          <w:bCs/>
          <w:szCs w:val="24"/>
          <w:lang w:val="fr-FR"/>
        </w:rPr>
        <w:t xml:space="preserve"> (</w:t>
      </w:r>
      <w:r w:rsidRPr="001C13D2">
        <w:rPr>
          <w:bCs/>
          <w:szCs w:val="24"/>
          <w:lang w:val="fr-FR"/>
        </w:rPr>
        <w:t>handicapés ou personnes âgées</w:t>
      </w:r>
      <w:r>
        <w:rPr>
          <w:bCs/>
          <w:szCs w:val="24"/>
          <w:lang w:val="fr-FR"/>
        </w:rPr>
        <w:t>)</w:t>
      </w:r>
      <w:r w:rsidRPr="001C13D2">
        <w:rPr>
          <w:bCs/>
          <w:szCs w:val="24"/>
          <w:lang w:val="fr-FR"/>
        </w:rPr>
        <w:t>.</w:t>
      </w:r>
    </w:p>
    <w:p w:rsidR="004E3139" w:rsidRPr="001C13D2" w:rsidRDefault="004E3139" w:rsidP="004E3139">
      <w:pPr>
        <w:keepNext/>
        <w:jc w:val="left"/>
        <w:rPr>
          <w:b/>
          <w:szCs w:val="24"/>
          <w:lang w:val="fr-FR"/>
        </w:rPr>
      </w:pPr>
      <w:r w:rsidRPr="001C13D2">
        <w:rPr>
          <w:b/>
          <w:szCs w:val="24"/>
          <w:lang w:val="fr-FR"/>
        </w:rPr>
        <w:t xml:space="preserve">Mécanismes </w:t>
      </w:r>
      <w:r>
        <w:rPr>
          <w:b/>
          <w:szCs w:val="24"/>
          <w:lang w:val="fr-FR"/>
        </w:rPr>
        <w:t>de fourniture des prestations</w:t>
      </w:r>
      <w:r w:rsidRPr="001C13D2">
        <w:rPr>
          <w:b/>
          <w:szCs w:val="24"/>
          <w:lang w:val="fr-FR"/>
        </w:rPr>
        <w:t xml:space="preserve"> et modalités de paiement</w:t>
      </w:r>
    </w:p>
    <w:p w:rsidR="004E3139" w:rsidRPr="001C13D2" w:rsidRDefault="004E3139" w:rsidP="004E3139">
      <w:pPr>
        <w:rPr>
          <w:szCs w:val="24"/>
          <w:lang w:val="fr-FR"/>
        </w:rPr>
      </w:pPr>
      <w:r w:rsidRPr="001C13D2">
        <w:rPr>
          <w:bCs/>
          <w:szCs w:val="24"/>
          <w:lang w:val="fr-FR"/>
        </w:rPr>
        <w:t>Quatre principes guident</w:t>
      </w:r>
      <w:r>
        <w:rPr>
          <w:bCs/>
          <w:szCs w:val="24"/>
          <w:lang w:val="fr-FR"/>
        </w:rPr>
        <w:t xml:space="preserve"> </w:t>
      </w:r>
      <w:r w:rsidRPr="001C13D2">
        <w:rPr>
          <w:bCs/>
          <w:szCs w:val="24"/>
          <w:lang w:val="fr-FR"/>
        </w:rPr>
        <w:t xml:space="preserve">généralement le mécanisme </w:t>
      </w:r>
      <w:r>
        <w:rPr>
          <w:bCs/>
          <w:szCs w:val="24"/>
          <w:lang w:val="fr-FR"/>
        </w:rPr>
        <w:t>de fourniture des prestations</w:t>
      </w:r>
      <w:r w:rsidRPr="001C13D2">
        <w:rPr>
          <w:bCs/>
          <w:szCs w:val="24"/>
          <w:lang w:val="fr-FR"/>
        </w:rPr>
        <w:t xml:space="preserve"> : i) </w:t>
      </w:r>
      <w:r>
        <w:rPr>
          <w:bCs/>
          <w:szCs w:val="24"/>
          <w:lang w:val="fr-FR"/>
        </w:rPr>
        <w:t>assurer</w:t>
      </w:r>
      <w:r w:rsidRPr="001C13D2">
        <w:rPr>
          <w:bCs/>
          <w:szCs w:val="24"/>
          <w:lang w:val="fr-FR"/>
        </w:rPr>
        <w:t xml:space="preserve"> la fiabilité et la régularité des paiements</w:t>
      </w:r>
      <w:r>
        <w:rPr>
          <w:bCs/>
          <w:szCs w:val="24"/>
          <w:lang w:val="fr-FR"/>
        </w:rPr>
        <w:t> </w:t>
      </w:r>
      <w:r w:rsidRPr="001C13D2">
        <w:rPr>
          <w:bCs/>
          <w:szCs w:val="24"/>
          <w:lang w:val="fr-FR"/>
        </w:rPr>
        <w:t xml:space="preserve">; ii) </w:t>
      </w:r>
      <w:r>
        <w:rPr>
          <w:bCs/>
          <w:szCs w:val="24"/>
          <w:lang w:val="fr-FR"/>
        </w:rPr>
        <w:t>maintenir</w:t>
      </w:r>
      <w:r w:rsidRPr="001C13D2">
        <w:rPr>
          <w:bCs/>
          <w:szCs w:val="24"/>
          <w:lang w:val="fr-FR"/>
        </w:rPr>
        <w:t xml:space="preserve"> la redevabilité (questions de gouvernance) et </w:t>
      </w:r>
      <w:r>
        <w:rPr>
          <w:bCs/>
          <w:szCs w:val="24"/>
          <w:lang w:val="fr-FR"/>
        </w:rPr>
        <w:t>prévenir la</w:t>
      </w:r>
      <w:r w:rsidRPr="001C13D2">
        <w:rPr>
          <w:bCs/>
          <w:szCs w:val="24"/>
          <w:lang w:val="fr-FR"/>
        </w:rPr>
        <w:t xml:space="preserve"> fraude</w:t>
      </w:r>
      <w:r>
        <w:rPr>
          <w:bCs/>
          <w:szCs w:val="24"/>
          <w:lang w:val="fr-FR"/>
        </w:rPr>
        <w:t> </w:t>
      </w:r>
      <w:r w:rsidRPr="001C13D2">
        <w:rPr>
          <w:bCs/>
          <w:szCs w:val="24"/>
          <w:lang w:val="fr-FR"/>
        </w:rPr>
        <w:t xml:space="preserve">; iii) </w:t>
      </w:r>
      <w:r>
        <w:rPr>
          <w:bCs/>
          <w:szCs w:val="24"/>
          <w:lang w:val="fr-FR"/>
        </w:rPr>
        <w:t>réduire les</w:t>
      </w:r>
      <w:r w:rsidRPr="001C13D2">
        <w:rPr>
          <w:bCs/>
          <w:szCs w:val="24"/>
          <w:lang w:val="fr-FR"/>
        </w:rPr>
        <w:t xml:space="preserve"> coûts de transaction </w:t>
      </w:r>
      <w:r>
        <w:rPr>
          <w:bCs/>
          <w:szCs w:val="24"/>
          <w:lang w:val="fr-FR"/>
        </w:rPr>
        <w:t>des</w:t>
      </w:r>
      <w:r w:rsidRPr="001C13D2">
        <w:rPr>
          <w:bCs/>
          <w:szCs w:val="24"/>
          <w:lang w:val="fr-FR"/>
        </w:rPr>
        <w:t xml:space="preserve"> bénéficiaires</w:t>
      </w:r>
      <w:r>
        <w:rPr>
          <w:bCs/>
          <w:szCs w:val="24"/>
          <w:lang w:val="fr-FR"/>
        </w:rPr>
        <w:t> ;</w:t>
      </w:r>
      <w:r w:rsidRPr="001C13D2">
        <w:rPr>
          <w:bCs/>
          <w:szCs w:val="24"/>
          <w:lang w:val="fr-FR"/>
        </w:rPr>
        <w:t xml:space="preserve"> et iv) </w:t>
      </w:r>
      <w:r>
        <w:rPr>
          <w:bCs/>
          <w:szCs w:val="24"/>
          <w:lang w:val="fr-FR"/>
        </w:rPr>
        <w:t>minimiser le</w:t>
      </w:r>
      <w:r w:rsidRPr="001C13D2">
        <w:rPr>
          <w:bCs/>
          <w:szCs w:val="24"/>
          <w:lang w:val="fr-FR"/>
        </w:rPr>
        <w:t xml:space="preserve"> coût administratif de </w:t>
      </w:r>
      <w:r>
        <w:rPr>
          <w:bCs/>
          <w:szCs w:val="24"/>
          <w:lang w:val="fr-FR"/>
        </w:rPr>
        <w:t>la fourniture</w:t>
      </w:r>
      <w:r w:rsidRPr="001C13D2">
        <w:rPr>
          <w:bCs/>
          <w:szCs w:val="24"/>
          <w:lang w:val="fr-FR"/>
        </w:rPr>
        <w:t xml:space="preserve">. </w:t>
      </w:r>
      <w:r>
        <w:rPr>
          <w:bCs/>
          <w:szCs w:val="24"/>
          <w:lang w:val="fr-FR"/>
        </w:rPr>
        <w:t>Un</w:t>
      </w:r>
      <w:r w:rsidRPr="001C13D2">
        <w:rPr>
          <w:bCs/>
          <w:szCs w:val="24"/>
          <w:lang w:val="fr-FR"/>
        </w:rPr>
        <w:t xml:space="preserve"> certain nombre d’agences ou de </w:t>
      </w:r>
      <w:r>
        <w:rPr>
          <w:bCs/>
          <w:szCs w:val="24"/>
          <w:lang w:val="fr-FR"/>
        </w:rPr>
        <w:t>canaux</w:t>
      </w:r>
      <w:r w:rsidRPr="001C13D2">
        <w:rPr>
          <w:bCs/>
          <w:szCs w:val="24"/>
          <w:lang w:val="fr-FR"/>
        </w:rPr>
        <w:t xml:space="preserve"> </w:t>
      </w:r>
      <w:r>
        <w:rPr>
          <w:bCs/>
          <w:szCs w:val="24"/>
          <w:lang w:val="fr-FR"/>
        </w:rPr>
        <w:t>sont</w:t>
      </w:r>
      <w:r w:rsidRPr="001C13D2">
        <w:rPr>
          <w:bCs/>
          <w:szCs w:val="24"/>
          <w:lang w:val="fr-FR"/>
        </w:rPr>
        <w:t xml:space="preserve"> disponibles</w:t>
      </w:r>
      <w:r>
        <w:rPr>
          <w:bCs/>
          <w:szCs w:val="24"/>
          <w:lang w:val="fr-FR"/>
        </w:rPr>
        <w:t xml:space="preserve"> pour la fourniture des prestations</w:t>
      </w:r>
      <w:r w:rsidRPr="001C13D2">
        <w:rPr>
          <w:bCs/>
          <w:szCs w:val="24"/>
          <w:lang w:val="fr-FR"/>
        </w:rPr>
        <w:t xml:space="preserve"> –</w:t>
      </w:r>
      <w:r>
        <w:rPr>
          <w:bCs/>
          <w:szCs w:val="24"/>
          <w:lang w:val="fr-FR"/>
        </w:rPr>
        <w:t xml:space="preserve"> agences bancaires</w:t>
      </w:r>
      <w:r w:rsidRPr="001C13D2">
        <w:rPr>
          <w:bCs/>
          <w:szCs w:val="24"/>
          <w:lang w:val="fr-FR"/>
        </w:rPr>
        <w:t xml:space="preserve">, </w:t>
      </w:r>
      <w:r>
        <w:rPr>
          <w:bCs/>
          <w:szCs w:val="24"/>
          <w:lang w:val="fr-FR"/>
        </w:rPr>
        <w:t>agences bancaires itinérantes</w:t>
      </w:r>
      <w:r w:rsidRPr="001C13D2">
        <w:rPr>
          <w:bCs/>
          <w:szCs w:val="24"/>
          <w:lang w:val="fr-FR"/>
        </w:rPr>
        <w:t xml:space="preserve">, bureaux de poste, agences publiques décentralisées, ONG – </w:t>
      </w:r>
      <w:r>
        <w:rPr>
          <w:bCs/>
          <w:szCs w:val="24"/>
          <w:lang w:val="fr-FR"/>
        </w:rPr>
        <w:t>et le</w:t>
      </w:r>
      <w:r w:rsidRPr="001C13D2">
        <w:rPr>
          <w:bCs/>
          <w:szCs w:val="24"/>
          <w:lang w:val="fr-FR"/>
        </w:rPr>
        <w:t xml:space="preserve"> mode </w:t>
      </w:r>
      <w:r>
        <w:rPr>
          <w:bCs/>
          <w:szCs w:val="24"/>
          <w:lang w:val="fr-FR"/>
        </w:rPr>
        <w:t xml:space="preserve">choisi </w:t>
      </w:r>
      <w:r w:rsidRPr="001C13D2">
        <w:rPr>
          <w:bCs/>
          <w:szCs w:val="24"/>
          <w:lang w:val="fr-FR"/>
        </w:rPr>
        <w:t xml:space="preserve">doit </w:t>
      </w:r>
      <w:r>
        <w:rPr>
          <w:bCs/>
          <w:szCs w:val="24"/>
          <w:lang w:val="fr-FR"/>
        </w:rPr>
        <w:t>dans tous les cas</w:t>
      </w:r>
      <w:r w:rsidRPr="001C13D2">
        <w:rPr>
          <w:bCs/>
          <w:szCs w:val="24"/>
          <w:lang w:val="fr-FR"/>
        </w:rPr>
        <w:t xml:space="preserve"> satisfaire aux quatre principes précités</w:t>
      </w:r>
      <w:r>
        <w:rPr>
          <w:bCs/>
          <w:szCs w:val="24"/>
          <w:lang w:val="fr-FR"/>
        </w:rPr>
        <w:t xml:space="preserve"> </w:t>
      </w:r>
      <w:r w:rsidRPr="001C13D2">
        <w:rPr>
          <w:bCs/>
          <w:szCs w:val="24"/>
          <w:lang w:val="fr-FR"/>
        </w:rPr>
        <w:t xml:space="preserve">et </w:t>
      </w:r>
      <w:r>
        <w:rPr>
          <w:bCs/>
          <w:szCs w:val="24"/>
          <w:lang w:val="fr-FR"/>
        </w:rPr>
        <w:t xml:space="preserve">il </w:t>
      </w:r>
      <w:r w:rsidRPr="001C13D2">
        <w:rPr>
          <w:bCs/>
          <w:szCs w:val="24"/>
          <w:lang w:val="fr-FR"/>
        </w:rPr>
        <w:t xml:space="preserve">doit être </w:t>
      </w:r>
      <w:r w:rsidRPr="001C13D2">
        <w:rPr>
          <w:bCs/>
          <w:szCs w:val="24"/>
          <w:lang w:val="fr-FR"/>
        </w:rPr>
        <w:lastRenderedPageBreak/>
        <w:t xml:space="preserve">disponible et approprié à la situation </w:t>
      </w:r>
      <w:r>
        <w:rPr>
          <w:bCs/>
          <w:szCs w:val="24"/>
          <w:lang w:val="fr-FR"/>
        </w:rPr>
        <w:t>particulière du</w:t>
      </w:r>
      <w:r w:rsidRPr="001C13D2">
        <w:rPr>
          <w:bCs/>
          <w:szCs w:val="24"/>
          <w:lang w:val="fr-FR"/>
        </w:rPr>
        <w:t xml:space="preserve"> pays. </w:t>
      </w:r>
      <w:r>
        <w:rPr>
          <w:bCs/>
          <w:szCs w:val="24"/>
          <w:lang w:val="fr-FR"/>
        </w:rPr>
        <w:t xml:space="preserve">Sans surprise, les modes choisis </w:t>
      </w:r>
      <w:r w:rsidRPr="001C13D2">
        <w:rPr>
          <w:bCs/>
          <w:szCs w:val="24"/>
          <w:lang w:val="fr-FR"/>
        </w:rPr>
        <w:t>varient énormément d’un pays à</w:t>
      </w:r>
      <w:r>
        <w:rPr>
          <w:bCs/>
          <w:szCs w:val="24"/>
          <w:lang w:val="fr-FR"/>
        </w:rPr>
        <w:t xml:space="preserve"> </w:t>
      </w:r>
      <w:r w:rsidRPr="001C13D2">
        <w:rPr>
          <w:bCs/>
          <w:szCs w:val="24"/>
          <w:lang w:val="fr-FR"/>
        </w:rPr>
        <w:t xml:space="preserve">l’autre. </w:t>
      </w:r>
      <w:r>
        <w:rPr>
          <w:bCs/>
          <w:szCs w:val="24"/>
          <w:lang w:val="fr-FR"/>
        </w:rPr>
        <w:t>Lorsqu’un</w:t>
      </w:r>
      <w:r w:rsidRPr="001C13D2">
        <w:rPr>
          <w:bCs/>
          <w:szCs w:val="24"/>
          <w:lang w:val="fr-FR"/>
        </w:rPr>
        <w:t xml:space="preserve"> contractant ou une agence </w:t>
      </w:r>
      <w:r>
        <w:rPr>
          <w:bCs/>
          <w:szCs w:val="24"/>
          <w:lang w:val="fr-FR"/>
        </w:rPr>
        <w:t xml:space="preserve">est </w:t>
      </w:r>
      <w:r w:rsidRPr="001C13D2">
        <w:rPr>
          <w:bCs/>
          <w:szCs w:val="24"/>
          <w:lang w:val="fr-FR"/>
        </w:rPr>
        <w:t xml:space="preserve">sélectionné, </w:t>
      </w:r>
      <w:r>
        <w:rPr>
          <w:bCs/>
          <w:szCs w:val="24"/>
          <w:lang w:val="fr-FR"/>
        </w:rPr>
        <w:t>un</w:t>
      </w:r>
      <w:r w:rsidRPr="001C13D2">
        <w:rPr>
          <w:bCs/>
          <w:szCs w:val="24"/>
          <w:lang w:val="fr-FR"/>
        </w:rPr>
        <w:t xml:space="preserve"> contrat </w:t>
      </w:r>
      <w:r>
        <w:rPr>
          <w:bCs/>
          <w:szCs w:val="24"/>
          <w:lang w:val="fr-FR"/>
        </w:rPr>
        <w:t>incitatif</w:t>
      </w:r>
      <w:r w:rsidRPr="001C13D2">
        <w:rPr>
          <w:bCs/>
          <w:szCs w:val="24"/>
          <w:lang w:val="fr-FR"/>
        </w:rPr>
        <w:t xml:space="preserve"> basé sur </w:t>
      </w:r>
      <w:r>
        <w:rPr>
          <w:bCs/>
          <w:szCs w:val="24"/>
          <w:lang w:val="fr-FR"/>
        </w:rPr>
        <w:t>les performances</w:t>
      </w:r>
      <w:r w:rsidRPr="001C13D2">
        <w:rPr>
          <w:bCs/>
          <w:szCs w:val="24"/>
          <w:lang w:val="fr-FR"/>
        </w:rPr>
        <w:t xml:space="preserve"> </w:t>
      </w:r>
      <w:r>
        <w:rPr>
          <w:bCs/>
          <w:szCs w:val="24"/>
          <w:lang w:val="fr-FR"/>
        </w:rPr>
        <w:t>peut</w:t>
      </w:r>
      <w:r w:rsidRPr="001C13D2">
        <w:rPr>
          <w:bCs/>
          <w:szCs w:val="24"/>
          <w:lang w:val="fr-FR"/>
        </w:rPr>
        <w:t xml:space="preserve"> être utilisé</w:t>
      </w:r>
      <w:r>
        <w:rPr>
          <w:bCs/>
          <w:szCs w:val="24"/>
          <w:lang w:val="fr-FR"/>
        </w:rPr>
        <w:t>,</w:t>
      </w:r>
      <w:r w:rsidRPr="001C13D2">
        <w:rPr>
          <w:bCs/>
          <w:szCs w:val="24"/>
          <w:lang w:val="fr-FR"/>
        </w:rPr>
        <w:t xml:space="preserve"> comme l’a fait le programme </w:t>
      </w:r>
      <w:r w:rsidRPr="001C13D2">
        <w:rPr>
          <w:bCs/>
          <w:i/>
          <w:iCs/>
          <w:szCs w:val="24"/>
          <w:lang w:val="fr-FR"/>
        </w:rPr>
        <w:t>Bolsa Familia</w:t>
      </w:r>
      <w:r w:rsidRPr="003B2222">
        <w:rPr>
          <w:bCs/>
          <w:szCs w:val="24"/>
          <w:lang w:val="fr-FR"/>
        </w:rPr>
        <w:t xml:space="preserve"> </w:t>
      </w:r>
      <w:r w:rsidRPr="001C13D2">
        <w:rPr>
          <w:bCs/>
          <w:szCs w:val="24"/>
          <w:lang w:val="fr-FR"/>
        </w:rPr>
        <w:t xml:space="preserve">au Brésil. Le Kenya a </w:t>
      </w:r>
      <w:r>
        <w:rPr>
          <w:bCs/>
          <w:szCs w:val="24"/>
          <w:lang w:val="fr-FR"/>
        </w:rPr>
        <w:t>testé</w:t>
      </w:r>
      <w:r w:rsidRPr="001C13D2">
        <w:rPr>
          <w:bCs/>
          <w:szCs w:val="24"/>
          <w:lang w:val="fr-FR"/>
        </w:rPr>
        <w:t xml:space="preserve"> un programme pilote de transferts monétaires aux orphelins et enfants vulnérables </w:t>
      </w:r>
      <w:r>
        <w:rPr>
          <w:bCs/>
          <w:szCs w:val="24"/>
          <w:lang w:val="fr-FR"/>
        </w:rPr>
        <w:t>utilisant</w:t>
      </w:r>
      <w:r w:rsidRPr="001C13D2">
        <w:rPr>
          <w:bCs/>
          <w:szCs w:val="24"/>
          <w:lang w:val="fr-FR"/>
        </w:rPr>
        <w:t xml:space="preserve"> un processus d’appel d’offre</w:t>
      </w:r>
      <w:r>
        <w:rPr>
          <w:bCs/>
          <w:szCs w:val="24"/>
          <w:lang w:val="fr-FR"/>
        </w:rPr>
        <w:t>s</w:t>
      </w:r>
      <w:r w:rsidRPr="001C13D2">
        <w:rPr>
          <w:bCs/>
          <w:szCs w:val="24"/>
          <w:lang w:val="fr-FR"/>
        </w:rPr>
        <w:t xml:space="preserve"> </w:t>
      </w:r>
      <w:r>
        <w:rPr>
          <w:bCs/>
          <w:szCs w:val="24"/>
          <w:lang w:val="fr-FR"/>
        </w:rPr>
        <w:t>pour la</w:t>
      </w:r>
      <w:r w:rsidRPr="001C13D2">
        <w:rPr>
          <w:bCs/>
          <w:szCs w:val="24"/>
          <w:lang w:val="fr-FR"/>
        </w:rPr>
        <w:t xml:space="preserve"> sélection</w:t>
      </w:r>
      <w:r>
        <w:rPr>
          <w:bCs/>
          <w:szCs w:val="24"/>
          <w:lang w:val="fr-FR"/>
        </w:rPr>
        <w:t xml:space="preserve"> de</w:t>
      </w:r>
      <w:r w:rsidRPr="001C13D2">
        <w:rPr>
          <w:bCs/>
          <w:szCs w:val="24"/>
          <w:lang w:val="fr-FR"/>
        </w:rPr>
        <w:t xml:space="preserve"> l’agence de service la moins coûteuse. L’avantage de ces agences de services contractuel</w:t>
      </w:r>
      <w:r>
        <w:rPr>
          <w:bCs/>
          <w:szCs w:val="24"/>
          <w:lang w:val="fr-FR"/>
        </w:rPr>
        <w:t>le</w:t>
      </w:r>
      <w:r w:rsidRPr="001C13D2">
        <w:rPr>
          <w:bCs/>
          <w:szCs w:val="24"/>
          <w:lang w:val="fr-FR"/>
        </w:rPr>
        <w:t xml:space="preserve">s est que les contrats peuvent être </w:t>
      </w:r>
      <w:r>
        <w:rPr>
          <w:bCs/>
          <w:szCs w:val="24"/>
          <w:lang w:val="fr-FR"/>
        </w:rPr>
        <w:t>revus</w:t>
      </w:r>
      <w:r w:rsidRPr="001C13D2">
        <w:rPr>
          <w:bCs/>
          <w:szCs w:val="24"/>
          <w:lang w:val="fr-FR"/>
        </w:rPr>
        <w:t xml:space="preserve"> </w:t>
      </w:r>
      <w:r>
        <w:rPr>
          <w:bCs/>
          <w:szCs w:val="24"/>
          <w:lang w:val="fr-FR"/>
        </w:rPr>
        <w:t>en fonction des performances</w:t>
      </w:r>
      <w:r w:rsidRPr="001C13D2">
        <w:rPr>
          <w:bCs/>
          <w:szCs w:val="24"/>
          <w:lang w:val="fr-FR"/>
        </w:rPr>
        <w:t xml:space="preserve">. Dans les pays </w:t>
      </w:r>
      <w:r>
        <w:rPr>
          <w:bCs/>
          <w:szCs w:val="24"/>
          <w:lang w:val="fr-FR"/>
        </w:rPr>
        <w:t>ayant</w:t>
      </w:r>
      <w:r w:rsidRPr="001C13D2">
        <w:rPr>
          <w:bCs/>
          <w:szCs w:val="24"/>
          <w:lang w:val="fr-FR"/>
        </w:rPr>
        <w:t xml:space="preserve"> une infrastructure TI plus ou moins développée, les cartes de </w:t>
      </w:r>
      <w:r>
        <w:rPr>
          <w:bCs/>
          <w:szCs w:val="24"/>
          <w:lang w:val="fr-FR"/>
        </w:rPr>
        <w:t>crédit</w:t>
      </w:r>
      <w:r w:rsidRPr="001C13D2">
        <w:rPr>
          <w:bCs/>
          <w:szCs w:val="24"/>
          <w:lang w:val="fr-FR"/>
        </w:rPr>
        <w:t xml:space="preserve"> et les cartes à puce sont utilisées pour transférer l’aide monétaire. Dans l’</w:t>
      </w:r>
      <w:r>
        <w:rPr>
          <w:bCs/>
          <w:szCs w:val="24"/>
          <w:lang w:val="fr-FR"/>
        </w:rPr>
        <w:t>É</w:t>
      </w:r>
      <w:r w:rsidRPr="001C13D2">
        <w:rPr>
          <w:bCs/>
          <w:szCs w:val="24"/>
          <w:lang w:val="fr-FR"/>
        </w:rPr>
        <w:t>tat de Gujarat en Inde, un programme pilote d’utilisation des cartes à puce est à l’essai pour le transfert de l’</w:t>
      </w:r>
      <w:r>
        <w:rPr>
          <w:bCs/>
          <w:szCs w:val="24"/>
          <w:lang w:val="fr-FR"/>
        </w:rPr>
        <w:t>assistance sociale</w:t>
      </w:r>
      <w:r w:rsidRPr="001C13D2">
        <w:rPr>
          <w:bCs/>
          <w:szCs w:val="24"/>
          <w:lang w:val="fr-FR"/>
        </w:rPr>
        <w:t xml:space="preserve">. Il est difficile de recommander une option ou des mécanismes spécifiques : le principal défi est d’adapter un mécanisme fiable aux conditions du pays et d’éviter tout effet </w:t>
      </w:r>
      <w:r>
        <w:rPr>
          <w:bCs/>
          <w:szCs w:val="24"/>
          <w:lang w:val="fr-FR"/>
        </w:rPr>
        <w:t>contraire</w:t>
      </w:r>
      <w:r w:rsidRPr="001C13D2">
        <w:rPr>
          <w:bCs/>
          <w:szCs w:val="24"/>
          <w:lang w:val="fr-FR"/>
        </w:rPr>
        <w:t xml:space="preserve"> involontaire.</w:t>
      </w:r>
    </w:p>
    <w:p w:rsidR="004E3139" w:rsidRPr="001C13D2" w:rsidRDefault="004E3139" w:rsidP="004E3139">
      <w:pPr>
        <w:rPr>
          <w:b/>
          <w:szCs w:val="24"/>
          <w:lang w:val="fr-FR"/>
        </w:rPr>
      </w:pPr>
      <w:r w:rsidRPr="001C13D2">
        <w:rPr>
          <w:b/>
          <w:szCs w:val="24"/>
          <w:lang w:val="fr-FR"/>
        </w:rPr>
        <w:t>Suivi et évaluation des programmes de transferts monétaires</w:t>
      </w:r>
    </w:p>
    <w:p w:rsidR="004E3139" w:rsidRPr="001C13D2" w:rsidRDefault="004E3139" w:rsidP="004E3139">
      <w:pPr>
        <w:rPr>
          <w:bCs/>
          <w:szCs w:val="24"/>
          <w:lang w:val="fr-FR"/>
        </w:rPr>
      </w:pPr>
      <w:r w:rsidRPr="001C13D2">
        <w:rPr>
          <w:bCs/>
          <w:szCs w:val="24"/>
          <w:lang w:val="fr-FR"/>
        </w:rPr>
        <w:t xml:space="preserve">Le suivi </w:t>
      </w:r>
      <w:r>
        <w:rPr>
          <w:bCs/>
          <w:szCs w:val="24"/>
          <w:lang w:val="fr-FR"/>
        </w:rPr>
        <w:t>des</w:t>
      </w:r>
      <w:r w:rsidRPr="001C13D2">
        <w:rPr>
          <w:bCs/>
          <w:szCs w:val="24"/>
          <w:lang w:val="fr-FR"/>
        </w:rPr>
        <w:t xml:space="preserve"> programme</w:t>
      </w:r>
      <w:r>
        <w:rPr>
          <w:bCs/>
          <w:szCs w:val="24"/>
          <w:lang w:val="fr-FR"/>
        </w:rPr>
        <w:t>s est extrêmement important pour les programmes</w:t>
      </w:r>
      <w:r w:rsidRPr="001C13D2">
        <w:rPr>
          <w:bCs/>
          <w:szCs w:val="24"/>
          <w:lang w:val="fr-FR"/>
        </w:rPr>
        <w:t xml:space="preserve"> de filet</w:t>
      </w:r>
      <w:r>
        <w:rPr>
          <w:bCs/>
          <w:szCs w:val="24"/>
          <w:lang w:val="fr-FR"/>
        </w:rPr>
        <w:t>s</w:t>
      </w:r>
      <w:r w:rsidRPr="001C13D2">
        <w:rPr>
          <w:bCs/>
          <w:szCs w:val="24"/>
          <w:lang w:val="fr-FR"/>
        </w:rPr>
        <w:t xml:space="preserve"> </w:t>
      </w:r>
      <w:r>
        <w:rPr>
          <w:bCs/>
          <w:szCs w:val="24"/>
          <w:lang w:val="fr-FR"/>
        </w:rPr>
        <w:t>sociaux</w:t>
      </w:r>
      <w:r w:rsidRPr="001C13D2">
        <w:rPr>
          <w:bCs/>
          <w:szCs w:val="24"/>
          <w:lang w:val="fr-FR"/>
        </w:rPr>
        <w:t xml:space="preserve">, </w:t>
      </w:r>
      <w:r>
        <w:rPr>
          <w:bCs/>
          <w:szCs w:val="24"/>
          <w:lang w:val="fr-FR"/>
        </w:rPr>
        <w:t xml:space="preserve">et en </w:t>
      </w:r>
      <w:r w:rsidRPr="001C13D2">
        <w:rPr>
          <w:bCs/>
          <w:szCs w:val="24"/>
          <w:lang w:val="fr-FR"/>
        </w:rPr>
        <w:t>particuli</w:t>
      </w:r>
      <w:r>
        <w:rPr>
          <w:bCs/>
          <w:szCs w:val="24"/>
          <w:lang w:val="fr-FR"/>
        </w:rPr>
        <w:t>er pour</w:t>
      </w:r>
      <w:r w:rsidRPr="001C13D2">
        <w:rPr>
          <w:bCs/>
          <w:szCs w:val="24"/>
          <w:lang w:val="fr-FR"/>
        </w:rPr>
        <w:t xml:space="preserve"> </w:t>
      </w:r>
      <w:r>
        <w:rPr>
          <w:bCs/>
          <w:szCs w:val="24"/>
          <w:lang w:val="fr-FR"/>
        </w:rPr>
        <w:t>les</w:t>
      </w:r>
      <w:r w:rsidRPr="001C13D2">
        <w:rPr>
          <w:bCs/>
          <w:szCs w:val="24"/>
          <w:lang w:val="fr-FR"/>
        </w:rPr>
        <w:t xml:space="preserve"> transferts monétaires. Un suivi systématique aide à évaluer </w:t>
      </w:r>
      <w:r>
        <w:rPr>
          <w:bCs/>
          <w:szCs w:val="24"/>
          <w:lang w:val="fr-FR"/>
        </w:rPr>
        <w:t xml:space="preserve">si </w:t>
      </w:r>
      <w:r w:rsidRPr="001C13D2">
        <w:rPr>
          <w:bCs/>
          <w:szCs w:val="24"/>
          <w:lang w:val="fr-FR"/>
        </w:rPr>
        <w:t xml:space="preserve">le </w:t>
      </w:r>
      <w:r>
        <w:rPr>
          <w:bCs/>
          <w:szCs w:val="24"/>
          <w:lang w:val="fr-FR"/>
        </w:rPr>
        <w:t xml:space="preserve">programme est correctement mis </w:t>
      </w:r>
      <w:r w:rsidRPr="001C13D2">
        <w:rPr>
          <w:bCs/>
          <w:szCs w:val="24"/>
          <w:lang w:val="fr-FR"/>
        </w:rPr>
        <w:t xml:space="preserve">en œuvre à tous les niveaux et à </w:t>
      </w:r>
      <w:r>
        <w:rPr>
          <w:bCs/>
          <w:szCs w:val="24"/>
          <w:lang w:val="fr-FR"/>
        </w:rPr>
        <w:t>ap</w:t>
      </w:r>
      <w:r w:rsidRPr="001C13D2">
        <w:rPr>
          <w:bCs/>
          <w:szCs w:val="24"/>
          <w:lang w:val="fr-FR"/>
        </w:rPr>
        <w:t xml:space="preserve">porter des </w:t>
      </w:r>
      <w:r>
        <w:rPr>
          <w:bCs/>
          <w:szCs w:val="24"/>
          <w:lang w:val="fr-FR"/>
        </w:rPr>
        <w:t>corrections</w:t>
      </w:r>
      <w:r w:rsidRPr="001C13D2">
        <w:rPr>
          <w:bCs/>
          <w:szCs w:val="24"/>
          <w:lang w:val="fr-FR"/>
        </w:rPr>
        <w:t xml:space="preserve"> à</w:t>
      </w:r>
      <w:r>
        <w:rPr>
          <w:bCs/>
          <w:szCs w:val="24"/>
          <w:lang w:val="fr-FR"/>
        </w:rPr>
        <w:t xml:space="preserve"> </w:t>
      </w:r>
      <w:r w:rsidRPr="001C13D2">
        <w:rPr>
          <w:bCs/>
          <w:szCs w:val="24"/>
          <w:lang w:val="fr-FR"/>
        </w:rPr>
        <w:t xml:space="preserve">mi-parcours si la mise en œuvre laisse à désirer. L’évaluation </w:t>
      </w:r>
      <w:r>
        <w:rPr>
          <w:bCs/>
          <w:szCs w:val="24"/>
          <w:lang w:val="fr-FR"/>
        </w:rPr>
        <w:t>complète le</w:t>
      </w:r>
      <w:r w:rsidRPr="001C13D2">
        <w:rPr>
          <w:bCs/>
          <w:szCs w:val="24"/>
          <w:lang w:val="fr-FR"/>
        </w:rPr>
        <w:t xml:space="preserve"> système de suivi dans la mesure où elle permet d’apprécier les effets distributifs des programmes de transferts monétaires. En dépit de l’importance critique du suivi et de l’évaluation, la majorité des programmes de filet</w:t>
      </w:r>
      <w:r>
        <w:rPr>
          <w:bCs/>
          <w:szCs w:val="24"/>
          <w:lang w:val="fr-FR"/>
        </w:rPr>
        <w:t>s sociaux</w:t>
      </w:r>
      <w:r w:rsidRPr="001C13D2">
        <w:rPr>
          <w:bCs/>
          <w:szCs w:val="24"/>
          <w:lang w:val="fr-FR"/>
        </w:rPr>
        <w:t xml:space="preserve"> n’ont malheureusement </w:t>
      </w:r>
      <w:r>
        <w:rPr>
          <w:bCs/>
          <w:szCs w:val="24"/>
          <w:lang w:val="fr-FR"/>
        </w:rPr>
        <w:t>aucun</w:t>
      </w:r>
      <w:r w:rsidRPr="001C13D2">
        <w:rPr>
          <w:bCs/>
          <w:szCs w:val="24"/>
          <w:lang w:val="fr-FR"/>
        </w:rPr>
        <w:t xml:space="preserve"> système de suivi et évaluation </w:t>
      </w:r>
      <w:r>
        <w:rPr>
          <w:bCs/>
          <w:szCs w:val="24"/>
          <w:lang w:val="fr-FR"/>
        </w:rPr>
        <w:t xml:space="preserve">crédible </w:t>
      </w:r>
      <w:r w:rsidRPr="001C13D2">
        <w:rPr>
          <w:bCs/>
          <w:szCs w:val="24"/>
          <w:lang w:val="fr-FR"/>
        </w:rPr>
        <w:t xml:space="preserve">en place. </w:t>
      </w:r>
    </w:p>
    <w:p w:rsidR="004E3139" w:rsidRDefault="004E3139" w:rsidP="004E3139">
      <w:pPr>
        <w:rPr>
          <w:bCs/>
          <w:szCs w:val="24"/>
          <w:lang w:val="fr-FR"/>
        </w:rPr>
      </w:pPr>
      <w:r w:rsidRPr="001C13D2">
        <w:rPr>
          <w:bCs/>
          <w:szCs w:val="24"/>
          <w:lang w:val="fr-FR"/>
        </w:rPr>
        <w:t xml:space="preserve">Le suivi est une activité continue et est habituellement effectué à tous les niveaux – village, district et national. Son rôle principal est d’évaluer si le programme est </w:t>
      </w:r>
      <w:r>
        <w:rPr>
          <w:bCs/>
          <w:szCs w:val="24"/>
          <w:lang w:val="fr-FR"/>
        </w:rPr>
        <w:t xml:space="preserve">bien </w:t>
      </w:r>
      <w:r w:rsidRPr="001C13D2">
        <w:rPr>
          <w:bCs/>
          <w:szCs w:val="24"/>
          <w:lang w:val="fr-FR"/>
        </w:rPr>
        <w:t xml:space="preserve">mis en œuvre conformément </w:t>
      </w:r>
      <w:r>
        <w:rPr>
          <w:bCs/>
          <w:szCs w:val="24"/>
          <w:lang w:val="fr-FR"/>
        </w:rPr>
        <w:t xml:space="preserve">à la façon dont il est conçu, avec </w:t>
      </w:r>
      <w:r w:rsidRPr="001C13D2">
        <w:rPr>
          <w:bCs/>
          <w:szCs w:val="24"/>
          <w:lang w:val="fr-FR"/>
        </w:rPr>
        <w:t xml:space="preserve">les résultats escomptés. Son coût annuel doit être </w:t>
      </w:r>
      <w:r>
        <w:rPr>
          <w:bCs/>
          <w:szCs w:val="24"/>
          <w:lang w:val="fr-FR"/>
        </w:rPr>
        <w:t>prévu</w:t>
      </w:r>
      <w:r w:rsidRPr="001C13D2">
        <w:rPr>
          <w:bCs/>
          <w:szCs w:val="24"/>
          <w:lang w:val="fr-FR"/>
        </w:rPr>
        <w:t xml:space="preserve"> dans les coûts du programme et il doit </w:t>
      </w:r>
      <w:r>
        <w:rPr>
          <w:bCs/>
          <w:szCs w:val="24"/>
          <w:lang w:val="fr-FR"/>
        </w:rPr>
        <w:t>faire</w:t>
      </w:r>
      <w:r w:rsidRPr="001C13D2">
        <w:rPr>
          <w:bCs/>
          <w:szCs w:val="24"/>
          <w:lang w:val="fr-FR"/>
        </w:rPr>
        <w:t xml:space="preserve"> partie intégrante du cadre programmatique. Un bon système de suivi doit </w:t>
      </w:r>
      <w:r>
        <w:rPr>
          <w:bCs/>
          <w:szCs w:val="24"/>
          <w:lang w:val="fr-FR"/>
        </w:rPr>
        <w:t>ré</w:t>
      </w:r>
      <w:r w:rsidRPr="001C13D2">
        <w:rPr>
          <w:bCs/>
          <w:szCs w:val="24"/>
          <w:lang w:val="fr-FR"/>
        </w:rPr>
        <w:t xml:space="preserve">colter l’information </w:t>
      </w:r>
      <w:r>
        <w:rPr>
          <w:bCs/>
          <w:szCs w:val="24"/>
          <w:lang w:val="fr-FR"/>
        </w:rPr>
        <w:t>sur les</w:t>
      </w:r>
      <w:r w:rsidRPr="001C13D2">
        <w:rPr>
          <w:bCs/>
          <w:szCs w:val="24"/>
          <w:lang w:val="fr-FR"/>
        </w:rPr>
        <w:t xml:space="preserve"> résultats clés du programme. Une bonne pratique veut que le suivi soit assuré par une agence indépendante, </w:t>
      </w:r>
      <w:r>
        <w:rPr>
          <w:bCs/>
          <w:szCs w:val="24"/>
          <w:lang w:val="fr-FR"/>
        </w:rPr>
        <w:t>extérieure à</w:t>
      </w:r>
      <w:r w:rsidRPr="001C13D2">
        <w:rPr>
          <w:bCs/>
          <w:szCs w:val="24"/>
          <w:lang w:val="fr-FR"/>
        </w:rPr>
        <w:t xml:space="preserve"> l’agence ou institution chargée de la mise en œuvre du programme. Une expérience internationale bien documentée de bon suivi </w:t>
      </w:r>
      <w:r>
        <w:rPr>
          <w:bCs/>
          <w:szCs w:val="24"/>
          <w:lang w:val="fr-FR"/>
        </w:rPr>
        <w:t>nous vient</w:t>
      </w:r>
      <w:r w:rsidRPr="001C13D2">
        <w:rPr>
          <w:bCs/>
          <w:szCs w:val="24"/>
          <w:lang w:val="fr-FR"/>
        </w:rPr>
        <w:t xml:space="preserve"> de la Zambie. Le </w:t>
      </w:r>
      <w:r>
        <w:rPr>
          <w:bCs/>
          <w:szCs w:val="24"/>
          <w:lang w:val="fr-FR"/>
        </w:rPr>
        <w:t>p</w:t>
      </w:r>
      <w:r w:rsidRPr="001C13D2">
        <w:rPr>
          <w:bCs/>
          <w:szCs w:val="24"/>
          <w:lang w:val="fr-FR"/>
        </w:rPr>
        <w:t>rogramme pilote de transferts sociaux monétaires du district de Kalmo (</w:t>
      </w:r>
      <w:r>
        <w:rPr>
          <w:bCs/>
          <w:szCs w:val="24"/>
          <w:lang w:val="fr-FR"/>
        </w:rPr>
        <w:t>réalisé</w:t>
      </w:r>
      <w:r w:rsidRPr="001C13D2">
        <w:rPr>
          <w:bCs/>
          <w:szCs w:val="24"/>
          <w:lang w:val="fr-FR"/>
        </w:rPr>
        <w:t xml:space="preserve"> avec l’assistance technique de l’Allemagne) a mis en place un suivi par un tiers</w:t>
      </w:r>
      <w:r>
        <w:rPr>
          <w:bCs/>
          <w:szCs w:val="24"/>
          <w:lang w:val="fr-FR"/>
        </w:rPr>
        <w:t>,</w:t>
      </w:r>
      <w:r w:rsidRPr="001C13D2">
        <w:rPr>
          <w:bCs/>
          <w:szCs w:val="24"/>
          <w:lang w:val="fr-FR"/>
        </w:rPr>
        <w:t xml:space="preserve"> </w:t>
      </w:r>
      <w:r>
        <w:rPr>
          <w:bCs/>
          <w:szCs w:val="24"/>
          <w:lang w:val="fr-FR"/>
        </w:rPr>
        <w:t>concentré</w:t>
      </w:r>
      <w:r w:rsidRPr="001C13D2">
        <w:rPr>
          <w:bCs/>
          <w:szCs w:val="24"/>
          <w:lang w:val="fr-FR"/>
        </w:rPr>
        <w:t xml:space="preserve"> sur la qualité de la gestion du programme, l’efficacité du ciblage, la régularité du paiement des transferts et même leur utilisation par les bénéficiaires. </w:t>
      </w:r>
    </w:p>
    <w:p w:rsidR="004E3139" w:rsidRPr="001C13D2" w:rsidRDefault="004E3139" w:rsidP="004E3139">
      <w:pPr>
        <w:rPr>
          <w:bCs/>
          <w:szCs w:val="24"/>
          <w:lang w:val="fr-FR"/>
        </w:rPr>
      </w:pPr>
      <w:r w:rsidRPr="001C13D2">
        <w:rPr>
          <w:bCs/>
          <w:szCs w:val="24"/>
          <w:lang w:val="fr-FR"/>
        </w:rPr>
        <w:t>Il ne suffit pas de connaitre les résultats du programme</w:t>
      </w:r>
      <w:r>
        <w:rPr>
          <w:bCs/>
          <w:szCs w:val="24"/>
          <w:lang w:val="fr-FR"/>
        </w:rPr>
        <w:t>,</w:t>
      </w:r>
      <w:r w:rsidRPr="001C13D2">
        <w:rPr>
          <w:bCs/>
          <w:szCs w:val="24"/>
          <w:lang w:val="fr-FR"/>
        </w:rPr>
        <w:t xml:space="preserve"> il </w:t>
      </w:r>
      <w:r>
        <w:rPr>
          <w:bCs/>
          <w:szCs w:val="24"/>
          <w:lang w:val="fr-FR"/>
        </w:rPr>
        <w:t>faut aussi</w:t>
      </w:r>
      <w:r w:rsidRPr="001C13D2">
        <w:rPr>
          <w:bCs/>
          <w:szCs w:val="24"/>
          <w:lang w:val="fr-FR"/>
        </w:rPr>
        <w:t xml:space="preserve"> connaitre son impact sur le bien-être des ménages, qui est le but ultime du programme de transferts monétaires. Plusieurs techniques sont disponibles </w:t>
      </w:r>
      <w:r>
        <w:rPr>
          <w:bCs/>
          <w:szCs w:val="24"/>
          <w:lang w:val="fr-FR"/>
        </w:rPr>
        <w:t xml:space="preserve">pour réaliser une évaluation </w:t>
      </w:r>
      <w:r w:rsidRPr="001C13D2">
        <w:rPr>
          <w:bCs/>
          <w:szCs w:val="24"/>
          <w:lang w:val="fr-FR"/>
        </w:rPr>
        <w:t xml:space="preserve">d’impact. On peut distinguer deux approches. </w:t>
      </w:r>
      <w:r>
        <w:rPr>
          <w:bCs/>
          <w:szCs w:val="24"/>
          <w:lang w:val="fr-FR"/>
        </w:rPr>
        <w:t>La première</w:t>
      </w:r>
      <w:r w:rsidRPr="001C13D2">
        <w:rPr>
          <w:bCs/>
          <w:szCs w:val="24"/>
          <w:lang w:val="fr-FR"/>
        </w:rPr>
        <w:t xml:space="preserve"> est quantitative et collecte l’information sur un échantillon aléatoire de ménages </w:t>
      </w:r>
      <w:r>
        <w:rPr>
          <w:bCs/>
          <w:szCs w:val="24"/>
          <w:lang w:val="fr-FR"/>
        </w:rPr>
        <w:t>appartenant</w:t>
      </w:r>
      <w:r w:rsidRPr="001C13D2">
        <w:rPr>
          <w:bCs/>
          <w:szCs w:val="24"/>
          <w:lang w:val="fr-FR"/>
        </w:rPr>
        <w:t xml:space="preserve"> au groupe de traitement et au groupe témoin, au moment du lancement du programme et après un laps de temps donné (disons une année). Des techniques économétriques sont alors utilisées pour évaluer l’impact du programme.</w:t>
      </w:r>
      <w:r w:rsidRPr="001C13D2">
        <w:rPr>
          <w:rStyle w:val="FootnoteReference"/>
          <w:bCs/>
          <w:szCs w:val="24"/>
          <w:lang w:val="fr-FR"/>
        </w:rPr>
        <w:footnoteReference w:id="56"/>
      </w:r>
      <w:r w:rsidRPr="001C13D2">
        <w:rPr>
          <w:bCs/>
          <w:szCs w:val="24"/>
          <w:lang w:val="fr-FR"/>
        </w:rPr>
        <w:t xml:space="preserve"> </w:t>
      </w:r>
      <w:r>
        <w:rPr>
          <w:bCs/>
          <w:szCs w:val="24"/>
          <w:lang w:val="fr-FR"/>
        </w:rPr>
        <w:t xml:space="preserve">L’autre approche, </w:t>
      </w:r>
      <w:r w:rsidRPr="001C13D2">
        <w:rPr>
          <w:bCs/>
          <w:szCs w:val="24"/>
          <w:lang w:val="fr-FR"/>
        </w:rPr>
        <w:t>complémentaire</w:t>
      </w:r>
      <w:r>
        <w:rPr>
          <w:bCs/>
          <w:szCs w:val="24"/>
          <w:lang w:val="fr-FR"/>
        </w:rPr>
        <w:t xml:space="preserve"> à la première,</w:t>
      </w:r>
      <w:r w:rsidRPr="001C13D2">
        <w:rPr>
          <w:bCs/>
          <w:szCs w:val="24"/>
          <w:lang w:val="fr-FR"/>
        </w:rPr>
        <w:t xml:space="preserve"> est l’évaluation qualitative </w:t>
      </w:r>
      <w:r w:rsidRPr="001C13D2">
        <w:rPr>
          <w:bCs/>
          <w:szCs w:val="24"/>
          <w:lang w:val="fr-FR"/>
        </w:rPr>
        <w:lastRenderedPageBreak/>
        <w:t xml:space="preserve">qui est basée sur des entretiens avec des groupes </w:t>
      </w:r>
      <w:r>
        <w:rPr>
          <w:bCs/>
          <w:szCs w:val="24"/>
          <w:lang w:val="fr-FR"/>
        </w:rPr>
        <w:t xml:space="preserve">focaux et avec </w:t>
      </w:r>
      <w:r w:rsidRPr="001C13D2">
        <w:rPr>
          <w:bCs/>
          <w:szCs w:val="24"/>
          <w:lang w:val="fr-FR"/>
        </w:rPr>
        <w:t>des informateurs clés</w:t>
      </w:r>
      <w:r>
        <w:rPr>
          <w:bCs/>
          <w:szCs w:val="24"/>
          <w:lang w:val="fr-FR"/>
        </w:rPr>
        <w:t>, ainsi que</w:t>
      </w:r>
      <w:r w:rsidRPr="001C13D2">
        <w:rPr>
          <w:bCs/>
          <w:szCs w:val="24"/>
          <w:lang w:val="fr-FR"/>
        </w:rPr>
        <w:t xml:space="preserve"> sur l’observation directe. Bien que les évaluations qualitatives ne soient pas représentatives, elles offrent de riches informations sur le fonctionnement du programme, ses mérites et ses lacunes.</w:t>
      </w:r>
    </w:p>
    <w:p w:rsidR="004E3139" w:rsidRPr="001C13D2" w:rsidRDefault="004E3139" w:rsidP="004E3139">
      <w:pPr>
        <w:rPr>
          <w:bCs/>
          <w:szCs w:val="24"/>
          <w:lang w:val="fr-FR"/>
        </w:rPr>
      </w:pPr>
      <w:r w:rsidRPr="001C13D2">
        <w:rPr>
          <w:bCs/>
          <w:szCs w:val="24"/>
          <w:lang w:val="fr-FR"/>
        </w:rPr>
        <w:t>Une variante de l’évaluation descriptive est l’«</w:t>
      </w:r>
      <w:r>
        <w:rPr>
          <w:bCs/>
          <w:szCs w:val="24"/>
          <w:lang w:val="fr-FR"/>
        </w:rPr>
        <w:t> </w:t>
      </w:r>
      <w:r w:rsidRPr="001C13D2">
        <w:rPr>
          <w:bCs/>
          <w:szCs w:val="24"/>
          <w:lang w:val="fr-FR"/>
        </w:rPr>
        <w:t>évaluation du processus</w:t>
      </w:r>
      <w:r>
        <w:rPr>
          <w:bCs/>
          <w:szCs w:val="24"/>
          <w:lang w:val="fr-FR"/>
        </w:rPr>
        <w:t> </w:t>
      </w:r>
      <w:r w:rsidRPr="001C13D2">
        <w:rPr>
          <w:bCs/>
          <w:szCs w:val="24"/>
          <w:lang w:val="fr-FR"/>
        </w:rPr>
        <w:t>»</w:t>
      </w:r>
      <w:r>
        <w:rPr>
          <w:bCs/>
          <w:szCs w:val="24"/>
          <w:lang w:val="fr-FR"/>
        </w:rPr>
        <w:t>,</w:t>
      </w:r>
      <w:r w:rsidRPr="001C13D2">
        <w:rPr>
          <w:bCs/>
          <w:szCs w:val="24"/>
          <w:lang w:val="fr-FR"/>
        </w:rPr>
        <w:t xml:space="preserve"> qui est probablement la technique d’évaluation la plus </w:t>
      </w:r>
      <w:r>
        <w:rPr>
          <w:bCs/>
          <w:szCs w:val="24"/>
          <w:lang w:val="fr-FR"/>
        </w:rPr>
        <w:t>courante,</w:t>
      </w:r>
      <w:r w:rsidRPr="001C13D2">
        <w:rPr>
          <w:bCs/>
          <w:szCs w:val="24"/>
          <w:lang w:val="fr-FR"/>
        </w:rPr>
        <w:t xml:space="preserve"> appliquée dans </w:t>
      </w:r>
      <w:r>
        <w:rPr>
          <w:bCs/>
          <w:szCs w:val="24"/>
          <w:lang w:val="fr-FR"/>
        </w:rPr>
        <w:t>beaucoup de</w:t>
      </w:r>
      <w:r w:rsidRPr="001C13D2">
        <w:rPr>
          <w:bCs/>
          <w:szCs w:val="24"/>
          <w:lang w:val="fr-FR"/>
        </w:rPr>
        <w:t xml:space="preserve"> pays. Son approche consiste à évaluer et à documenter la manière dont est exécuté chacun des </w:t>
      </w:r>
      <w:r>
        <w:rPr>
          <w:bCs/>
          <w:szCs w:val="24"/>
          <w:lang w:val="fr-FR"/>
        </w:rPr>
        <w:t>processus</w:t>
      </w:r>
      <w:r w:rsidRPr="001C13D2">
        <w:rPr>
          <w:bCs/>
          <w:szCs w:val="24"/>
          <w:lang w:val="fr-FR"/>
        </w:rPr>
        <w:t xml:space="preserve"> </w:t>
      </w:r>
      <w:r>
        <w:rPr>
          <w:bCs/>
          <w:szCs w:val="24"/>
          <w:lang w:val="fr-FR"/>
        </w:rPr>
        <w:t>sous-tendant</w:t>
      </w:r>
      <w:r w:rsidRPr="001C13D2">
        <w:rPr>
          <w:bCs/>
          <w:szCs w:val="24"/>
          <w:lang w:val="fr-FR"/>
        </w:rPr>
        <w:t xml:space="preserve"> un programme de transferts. Elle aide à aborder la question de savoir ce qui </w:t>
      </w:r>
      <w:r>
        <w:rPr>
          <w:bCs/>
          <w:szCs w:val="24"/>
          <w:lang w:val="fr-FR"/>
        </w:rPr>
        <w:t>arrive à travers</w:t>
      </w:r>
      <w:r w:rsidRPr="001C13D2">
        <w:rPr>
          <w:bCs/>
          <w:szCs w:val="24"/>
          <w:lang w:val="fr-FR"/>
        </w:rPr>
        <w:t xml:space="preserve"> </w:t>
      </w:r>
      <w:r>
        <w:rPr>
          <w:bCs/>
          <w:szCs w:val="24"/>
          <w:lang w:val="fr-FR"/>
        </w:rPr>
        <w:t xml:space="preserve">le </w:t>
      </w:r>
      <w:r w:rsidRPr="001C13D2">
        <w:rPr>
          <w:bCs/>
          <w:szCs w:val="24"/>
          <w:lang w:val="fr-FR"/>
        </w:rPr>
        <w:t xml:space="preserve">programme. L’évaluation du processus </w:t>
      </w:r>
      <w:r>
        <w:rPr>
          <w:bCs/>
          <w:szCs w:val="24"/>
          <w:lang w:val="fr-FR"/>
        </w:rPr>
        <w:t>complète</w:t>
      </w:r>
      <w:r w:rsidRPr="001C13D2">
        <w:rPr>
          <w:bCs/>
          <w:szCs w:val="24"/>
          <w:lang w:val="fr-FR"/>
        </w:rPr>
        <w:t xml:space="preserve"> </w:t>
      </w:r>
      <w:r>
        <w:rPr>
          <w:bCs/>
          <w:szCs w:val="24"/>
          <w:lang w:val="fr-FR"/>
        </w:rPr>
        <w:t xml:space="preserve">puissamment, sans pour autant s’y substituer, </w:t>
      </w:r>
      <w:r w:rsidRPr="001C13D2">
        <w:rPr>
          <w:bCs/>
          <w:szCs w:val="24"/>
          <w:lang w:val="fr-FR"/>
        </w:rPr>
        <w:t xml:space="preserve"> </w:t>
      </w:r>
      <w:r>
        <w:rPr>
          <w:bCs/>
          <w:szCs w:val="24"/>
          <w:lang w:val="fr-FR"/>
        </w:rPr>
        <w:t>le</w:t>
      </w:r>
      <w:r w:rsidRPr="001C13D2">
        <w:rPr>
          <w:bCs/>
          <w:szCs w:val="24"/>
          <w:lang w:val="fr-FR"/>
        </w:rPr>
        <w:t xml:space="preserve"> système de suivi interne et </w:t>
      </w:r>
      <w:r>
        <w:rPr>
          <w:bCs/>
          <w:szCs w:val="24"/>
          <w:lang w:val="fr-FR"/>
        </w:rPr>
        <w:t xml:space="preserve">les </w:t>
      </w:r>
      <w:r w:rsidRPr="001C13D2">
        <w:rPr>
          <w:bCs/>
          <w:szCs w:val="24"/>
          <w:lang w:val="fr-FR"/>
        </w:rPr>
        <w:t xml:space="preserve">autres évaluations </w:t>
      </w:r>
      <w:r>
        <w:rPr>
          <w:bCs/>
          <w:szCs w:val="24"/>
          <w:lang w:val="fr-FR"/>
        </w:rPr>
        <w:t>mentionnées ci-dessus</w:t>
      </w:r>
      <w:r w:rsidRPr="001C13D2">
        <w:rPr>
          <w:bCs/>
          <w:szCs w:val="24"/>
          <w:lang w:val="fr-FR"/>
        </w:rPr>
        <w:t xml:space="preserve">. L’exemple de la Zambie vaut qu’on le </w:t>
      </w:r>
      <w:r>
        <w:rPr>
          <w:bCs/>
          <w:szCs w:val="24"/>
          <w:lang w:val="fr-FR"/>
        </w:rPr>
        <w:t>cite à nouveau</w:t>
      </w:r>
      <w:r w:rsidRPr="001C13D2">
        <w:rPr>
          <w:bCs/>
          <w:szCs w:val="24"/>
          <w:lang w:val="fr-FR"/>
        </w:rPr>
        <w:t> : en plus d’autres évaluations</w:t>
      </w:r>
      <w:r>
        <w:rPr>
          <w:bCs/>
          <w:szCs w:val="24"/>
          <w:lang w:val="fr-FR"/>
        </w:rPr>
        <w:t>,</w:t>
      </w:r>
      <w:r w:rsidRPr="001C13D2">
        <w:rPr>
          <w:bCs/>
          <w:szCs w:val="24"/>
          <w:lang w:val="fr-FR"/>
        </w:rPr>
        <w:t xml:space="preserve"> il comprenait une évaluation du processus par des évaluateurs externes</w:t>
      </w:r>
      <w:r>
        <w:rPr>
          <w:bCs/>
          <w:szCs w:val="24"/>
          <w:lang w:val="fr-FR"/>
        </w:rPr>
        <w:t>,</w:t>
      </w:r>
      <w:r w:rsidRPr="001C13D2">
        <w:rPr>
          <w:bCs/>
          <w:szCs w:val="24"/>
          <w:lang w:val="fr-FR"/>
        </w:rPr>
        <w:t xml:space="preserve"> qui </w:t>
      </w:r>
      <w:r>
        <w:rPr>
          <w:bCs/>
          <w:szCs w:val="24"/>
          <w:lang w:val="fr-FR"/>
        </w:rPr>
        <w:t>a</w:t>
      </w:r>
      <w:r w:rsidRPr="001C13D2">
        <w:rPr>
          <w:bCs/>
          <w:szCs w:val="24"/>
          <w:lang w:val="fr-FR"/>
        </w:rPr>
        <w:t xml:space="preserve"> contribué à améliorer la capacité de suivi car </w:t>
      </w:r>
      <w:r>
        <w:rPr>
          <w:bCs/>
          <w:szCs w:val="24"/>
          <w:lang w:val="fr-FR"/>
        </w:rPr>
        <w:t>elle</w:t>
      </w:r>
      <w:r w:rsidRPr="001C13D2">
        <w:rPr>
          <w:bCs/>
          <w:szCs w:val="24"/>
          <w:lang w:val="fr-FR"/>
        </w:rPr>
        <w:t xml:space="preserve"> a révélé des </w:t>
      </w:r>
      <w:r>
        <w:rPr>
          <w:bCs/>
          <w:szCs w:val="24"/>
          <w:lang w:val="fr-FR"/>
        </w:rPr>
        <w:t>faiblesses</w:t>
      </w:r>
      <w:r w:rsidRPr="001C13D2">
        <w:rPr>
          <w:bCs/>
          <w:szCs w:val="24"/>
          <w:lang w:val="fr-FR"/>
        </w:rPr>
        <w:t xml:space="preserve"> spécifiques </w:t>
      </w:r>
      <w:r>
        <w:rPr>
          <w:bCs/>
          <w:szCs w:val="24"/>
          <w:lang w:val="fr-FR"/>
        </w:rPr>
        <w:t>dans certains</w:t>
      </w:r>
      <w:r w:rsidRPr="001C13D2">
        <w:rPr>
          <w:bCs/>
          <w:szCs w:val="24"/>
          <w:lang w:val="fr-FR"/>
        </w:rPr>
        <w:t xml:space="preserve"> processus de base de la mise en œuvre du programme.</w:t>
      </w:r>
    </w:p>
    <w:p w:rsidR="004E3139" w:rsidRPr="001C13D2" w:rsidRDefault="004E3139" w:rsidP="004E3139">
      <w:pPr>
        <w:rPr>
          <w:szCs w:val="24"/>
          <w:lang w:val="fr-FR"/>
        </w:rPr>
      </w:pPr>
      <w:r>
        <w:rPr>
          <w:szCs w:val="24"/>
          <w:lang w:val="fr-FR"/>
        </w:rPr>
        <w:t xml:space="preserve"> </w:t>
      </w:r>
    </w:p>
    <w:p w:rsidR="004E3139" w:rsidRPr="001C13D2" w:rsidRDefault="004E3139" w:rsidP="004E3139">
      <w:pPr>
        <w:widowControl w:val="0"/>
        <w:spacing w:after="0"/>
        <w:rPr>
          <w:szCs w:val="24"/>
          <w:lang w:val="fr-FR"/>
        </w:rPr>
      </w:pPr>
    </w:p>
    <w:p w:rsidR="004E3139" w:rsidRDefault="004E3139" w:rsidP="004E3139">
      <w:pPr>
        <w:rPr>
          <w:szCs w:val="24"/>
          <w:lang w:val="fr-FR"/>
        </w:rPr>
      </w:pPr>
      <w:r w:rsidRPr="004E3139">
        <w:rPr>
          <w:i/>
          <w:szCs w:val="24"/>
        </w:rPr>
        <w:t>Source :</w:t>
      </w:r>
      <w:r w:rsidRPr="004E3139">
        <w:rPr>
          <w:szCs w:val="24"/>
        </w:rPr>
        <w:t xml:space="preserve"> Grosh et coll. 2008. </w:t>
      </w:r>
      <w:r w:rsidRPr="004E3139">
        <w:rPr>
          <w:i/>
          <w:szCs w:val="24"/>
        </w:rPr>
        <w:t xml:space="preserve">‘The Design and Implementation of Effective Safety Nets: For Protection and Promotion’. </w:t>
      </w:r>
      <w:r w:rsidRPr="001C13D2">
        <w:rPr>
          <w:szCs w:val="24"/>
          <w:lang w:val="fr-FR"/>
        </w:rPr>
        <w:t>Banque mondiale.</w:t>
      </w:r>
    </w:p>
    <w:p w:rsidR="004E3139" w:rsidRPr="004E3139" w:rsidRDefault="004E3139" w:rsidP="009E2A1E">
      <w:pPr>
        <w:pStyle w:val="Heading6"/>
        <w:rPr>
          <w:szCs w:val="32"/>
        </w:rPr>
      </w:pPr>
      <w:r w:rsidRPr="001C13D2">
        <w:rPr>
          <w:szCs w:val="24"/>
        </w:rPr>
        <w:br w:type="page"/>
      </w:r>
      <w:bookmarkStart w:id="294" w:name="_Toc262169993"/>
      <w:bookmarkStart w:id="295" w:name="_Toc264837165"/>
      <w:r w:rsidRPr="004E3139">
        <w:lastRenderedPageBreak/>
        <w:t>Annexe</w:t>
      </w:r>
      <w:r w:rsidRPr="004E3139">
        <w:rPr>
          <w:szCs w:val="32"/>
        </w:rPr>
        <w:t xml:space="preserve"> </w:t>
      </w:r>
      <w:r w:rsidRPr="004E3139">
        <w:t xml:space="preserve">3 : </w:t>
      </w:r>
      <w:r w:rsidR="00E50547">
        <w:t>Q</w:t>
      </w:r>
      <w:r w:rsidRPr="004E3139">
        <w:t>uelques exemples de pays appliquant de</w:t>
      </w:r>
      <w:r w:rsidRPr="004E3139">
        <w:rPr>
          <w:szCs w:val="32"/>
        </w:rPr>
        <w:t xml:space="preserve"> </w:t>
      </w:r>
      <w:r w:rsidRPr="004E3139">
        <w:t>bonnes pratiques</w:t>
      </w:r>
      <w:r w:rsidRPr="004E3139">
        <w:rPr>
          <w:szCs w:val="32"/>
        </w:rPr>
        <w:t xml:space="preserve"> </w:t>
      </w:r>
      <w:r w:rsidRPr="004E3139">
        <w:t>pour</w:t>
      </w:r>
      <w:r w:rsidRPr="004E3139">
        <w:rPr>
          <w:szCs w:val="32"/>
        </w:rPr>
        <w:t xml:space="preserve"> </w:t>
      </w:r>
      <w:r w:rsidRPr="004E3139">
        <w:t>la mise en œuvre de programmes de filets</w:t>
      </w:r>
      <w:r w:rsidRPr="004E3139">
        <w:rPr>
          <w:szCs w:val="32"/>
        </w:rPr>
        <w:t xml:space="preserve"> </w:t>
      </w:r>
      <w:r w:rsidRPr="004E3139">
        <w:t xml:space="preserve">sociaux en </w:t>
      </w:r>
      <w:bookmarkEnd w:id="294"/>
      <w:r w:rsidRPr="004E3139">
        <w:t>Afrique</w:t>
      </w:r>
      <w:bookmarkEnd w:id="295"/>
    </w:p>
    <w:p w:rsidR="004E3139" w:rsidRPr="001C13D2" w:rsidRDefault="004E3139" w:rsidP="004E3139">
      <w:pPr>
        <w:rPr>
          <w:szCs w:val="24"/>
          <w:lang w:val="fr-FR"/>
        </w:rPr>
      </w:pPr>
      <w:r w:rsidRPr="001C13D2">
        <w:rPr>
          <w:szCs w:val="24"/>
          <w:lang w:val="fr-FR"/>
        </w:rPr>
        <w:t xml:space="preserve">Les récentes crises financières et la flambée des prix ont </w:t>
      </w:r>
      <w:r>
        <w:rPr>
          <w:szCs w:val="24"/>
          <w:lang w:val="fr-FR"/>
        </w:rPr>
        <w:t>accru</w:t>
      </w:r>
      <w:r w:rsidRPr="001C13D2">
        <w:rPr>
          <w:szCs w:val="24"/>
          <w:lang w:val="fr-FR"/>
        </w:rPr>
        <w:t xml:space="preserve"> l’intérêt des décideurs </w:t>
      </w:r>
      <w:r>
        <w:rPr>
          <w:szCs w:val="24"/>
          <w:lang w:val="fr-FR"/>
        </w:rPr>
        <w:t>pour la recherche de</w:t>
      </w:r>
      <w:r w:rsidRPr="001C13D2">
        <w:rPr>
          <w:szCs w:val="24"/>
          <w:lang w:val="fr-FR"/>
        </w:rPr>
        <w:t xml:space="preserve"> </w:t>
      </w:r>
      <w:r>
        <w:rPr>
          <w:szCs w:val="24"/>
          <w:lang w:val="fr-FR"/>
        </w:rPr>
        <w:t xml:space="preserve">moyens de lutte contre les </w:t>
      </w:r>
      <w:r w:rsidRPr="001C13D2">
        <w:rPr>
          <w:szCs w:val="24"/>
          <w:lang w:val="fr-FR"/>
        </w:rPr>
        <w:t>vulnérabilités</w:t>
      </w:r>
      <w:r>
        <w:rPr>
          <w:szCs w:val="24"/>
          <w:lang w:val="fr-FR"/>
        </w:rPr>
        <w:t xml:space="preserve"> persistantes et toujours plus profondes.</w:t>
      </w:r>
      <w:r w:rsidRPr="001C13D2">
        <w:rPr>
          <w:szCs w:val="24"/>
          <w:lang w:val="fr-FR"/>
        </w:rPr>
        <w:t xml:space="preserve"> Le succès des programmes de transferts monétaires dans plusieurs parties du monde a </w:t>
      </w:r>
      <w:r>
        <w:rPr>
          <w:szCs w:val="24"/>
          <w:lang w:val="fr-FR"/>
        </w:rPr>
        <w:t>amené</w:t>
      </w:r>
      <w:r w:rsidRPr="001C13D2">
        <w:rPr>
          <w:szCs w:val="24"/>
          <w:lang w:val="fr-FR"/>
        </w:rPr>
        <w:t xml:space="preserve"> de nombreux dirigeants à se demander si ces programmes </w:t>
      </w:r>
      <w:r>
        <w:rPr>
          <w:szCs w:val="24"/>
          <w:lang w:val="fr-FR"/>
        </w:rPr>
        <w:t>pouvaient réussir à</w:t>
      </w:r>
      <w:r w:rsidRPr="001C13D2">
        <w:rPr>
          <w:szCs w:val="24"/>
          <w:lang w:val="fr-FR"/>
        </w:rPr>
        <w:t xml:space="preserve"> relever les défis auxquels l’Afrique subsaharienne (ASS) est actuellement confrontée. Cette section examine comment les transferts monétaires ont été utilisés à travers la région et fait ressortir les enseignements qui ont déjà été tirés des programmes existants. </w:t>
      </w:r>
      <w:r>
        <w:rPr>
          <w:szCs w:val="24"/>
          <w:lang w:val="fr-FR"/>
        </w:rPr>
        <w:t>En tenant compte du</w:t>
      </w:r>
      <w:r w:rsidRPr="001C13D2">
        <w:rPr>
          <w:szCs w:val="24"/>
          <w:lang w:val="fr-FR"/>
        </w:rPr>
        <w:t xml:space="preserve"> contexte du </w:t>
      </w:r>
      <w:r>
        <w:rPr>
          <w:szCs w:val="24"/>
          <w:lang w:val="fr-FR"/>
        </w:rPr>
        <w:t>Burkina Faso</w:t>
      </w:r>
      <w:r w:rsidRPr="001C13D2">
        <w:rPr>
          <w:szCs w:val="24"/>
          <w:lang w:val="fr-FR"/>
        </w:rPr>
        <w:t>, l</w:t>
      </w:r>
      <w:r>
        <w:rPr>
          <w:szCs w:val="24"/>
          <w:lang w:val="fr-FR"/>
        </w:rPr>
        <w:t>’</w:t>
      </w:r>
      <w:r w:rsidRPr="001C13D2">
        <w:rPr>
          <w:szCs w:val="24"/>
          <w:lang w:val="fr-FR"/>
        </w:rPr>
        <w:t>exemple</w:t>
      </w:r>
      <w:r>
        <w:rPr>
          <w:szCs w:val="24"/>
          <w:lang w:val="fr-FR"/>
        </w:rPr>
        <w:t xml:space="preserve"> des </w:t>
      </w:r>
      <w:r w:rsidRPr="001C13D2">
        <w:rPr>
          <w:szCs w:val="24"/>
          <w:lang w:val="fr-FR"/>
        </w:rPr>
        <w:t xml:space="preserve">pays sélectionnés </w:t>
      </w:r>
      <w:r>
        <w:rPr>
          <w:szCs w:val="24"/>
          <w:lang w:val="fr-FR"/>
        </w:rPr>
        <w:t xml:space="preserve">qui suivent </w:t>
      </w:r>
      <w:r w:rsidRPr="001C13D2">
        <w:rPr>
          <w:szCs w:val="24"/>
          <w:lang w:val="fr-FR"/>
        </w:rPr>
        <w:t>fournissent de</w:t>
      </w:r>
      <w:r>
        <w:rPr>
          <w:szCs w:val="24"/>
          <w:lang w:val="fr-FR"/>
        </w:rPr>
        <w:t xml:space="preserve"> précieuses</w:t>
      </w:r>
      <w:r w:rsidRPr="001C13D2">
        <w:rPr>
          <w:szCs w:val="24"/>
          <w:lang w:val="fr-FR"/>
        </w:rPr>
        <w:t xml:space="preserve"> leçons sur la manière dont les programmes sont mis en œuvre dans d’autres pays africains.</w:t>
      </w:r>
    </w:p>
    <w:p w:rsidR="004E3139" w:rsidRPr="001C13D2" w:rsidRDefault="004E3139" w:rsidP="004E3139">
      <w:pPr>
        <w:rPr>
          <w:b/>
          <w:bCs/>
          <w:lang w:val="fr-FR"/>
        </w:rPr>
      </w:pPr>
      <w:r w:rsidRPr="00FE7403">
        <w:rPr>
          <w:b/>
          <w:szCs w:val="24"/>
          <w:lang w:val="fr-BE"/>
        </w:rPr>
        <w:t>L</w:t>
      </w:r>
      <w:r>
        <w:rPr>
          <w:b/>
          <w:szCs w:val="24"/>
          <w:lang w:val="fr-BE"/>
        </w:rPr>
        <w:t xml:space="preserve">e </w:t>
      </w:r>
      <w:r w:rsidRPr="00FE7403">
        <w:rPr>
          <w:b/>
          <w:i/>
          <w:szCs w:val="24"/>
          <w:lang w:val="fr-BE"/>
        </w:rPr>
        <w:t>Productive Safety Net Program</w:t>
      </w:r>
      <w:r w:rsidRPr="00FE7403">
        <w:rPr>
          <w:b/>
          <w:szCs w:val="24"/>
          <w:lang w:val="fr-BE"/>
        </w:rPr>
        <w:t xml:space="preserve"> </w:t>
      </w:r>
      <w:r>
        <w:rPr>
          <w:b/>
          <w:szCs w:val="24"/>
          <w:lang w:val="fr-FR"/>
        </w:rPr>
        <w:t xml:space="preserve">(PSNP – </w:t>
      </w:r>
      <w:r w:rsidRPr="001C13D2">
        <w:rPr>
          <w:b/>
          <w:szCs w:val="24"/>
          <w:lang w:val="fr-FR"/>
        </w:rPr>
        <w:t xml:space="preserve">programme de filet </w:t>
      </w:r>
      <w:r w:rsidRPr="00F076E6">
        <w:rPr>
          <w:b/>
          <w:bCs/>
          <w:szCs w:val="24"/>
          <w:lang w:val="fr-FR"/>
        </w:rPr>
        <w:t>social</w:t>
      </w:r>
      <w:r>
        <w:rPr>
          <w:b/>
          <w:bCs/>
          <w:szCs w:val="24"/>
          <w:lang w:val="fr-FR"/>
        </w:rPr>
        <w:t xml:space="preserve"> </w:t>
      </w:r>
      <w:r w:rsidRPr="001C13D2">
        <w:rPr>
          <w:b/>
          <w:szCs w:val="24"/>
          <w:lang w:val="fr-FR"/>
        </w:rPr>
        <w:t>productif</w:t>
      </w:r>
      <w:r>
        <w:rPr>
          <w:b/>
          <w:szCs w:val="24"/>
          <w:lang w:val="fr-FR"/>
        </w:rPr>
        <w:t>)</w:t>
      </w:r>
      <w:r w:rsidRPr="001C13D2">
        <w:rPr>
          <w:b/>
          <w:szCs w:val="24"/>
          <w:lang w:val="fr-FR"/>
        </w:rPr>
        <w:t xml:space="preserve"> de l’</w:t>
      </w:r>
      <w:r w:rsidRPr="001C13D2">
        <w:rPr>
          <w:rStyle w:val="Emphasis"/>
          <w:b/>
          <w:bCs/>
          <w:lang w:val="fr-FR"/>
        </w:rPr>
        <w:t>Éthiopie</w:t>
      </w:r>
      <w:r>
        <w:rPr>
          <w:b/>
          <w:bCs/>
          <w:i/>
          <w:iCs/>
          <w:lang w:val="fr-FR"/>
        </w:rPr>
        <w:t xml:space="preserve"> </w:t>
      </w:r>
    </w:p>
    <w:p w:rsidR="004E3139" w:rsidRPr="001C13D2" w:rsidRDefault="004E3139" w:rsidP="004E3139">
      <w:pPr>
        <w:rPr>
          <w:szCs w:val="24"/>
          <w:lang w:val="fr-FR"/>
        </w:rPr>
      </w:pPr>
      <w:r w:rsidRPr="001C13D2">
        <w:rPr>
          <w:szCs w:val="24"/>
          <w:lang w:val="fr-FR"/>
        </w:rPr>
        <w:t xml:space="preserve">En </w:t>
      </w:r>
      <w:r w:rsidRPr="001C13D2">
        <w:rPr>
          <w:rStyle w:val="Emphasis"/>
          <w:lang w:val="fr-FR"/>
        </w:rPr>
        <w:t>Éthiopie, plus de 40</w:t>
      </w:r>
      <w:r>
        <w:rPr>
          <w:rStyle w:val="Emphasis"/>
          <w:i w:val="0"/>
          <w:iCs w:val="0"/>
          <w:lang w:val="fr-FR"/>
        </w:rPr>
        <w:t> </w:t>
      </w:r>
      <w:r w:rsidRPr="001C13D2">
        <w:rPr>
          <w:rStyle w:val="Emphasis"/>
          <w:i w:val="0"/>
          <w:iCs w:val="0"/>
          <w:lang w:val="fr-FR"/>
        </w:rPr>
        <w:t xml:space="preserve">% de la </w:t>
      </w:r>
      <w:r w:rsidRPr="001C13D2">
        <w:rPr>
          <w:rStyle w:val="Emphasis"/>
          <w:lang w:val="fr-FR"/>
        </w:rPr>
        <w:t>population vit en-dessous du seuil national de pauvreté et plus de 20</w:t>
      </w:r>
      <w:r>
        <w:rPr>
          <w:rStyle w:val="Emphasis"/>
          <w:i w:val="0"/>
          <w:iCs w:val="0"/>
          <w:lang w:val="fr-FR"/>
        </w:rPr>
        <w:t> </w:t>
      </w:r>
      <w:r w:rsidRPr="001C13D2">
        <w:rPr>
          <w:rStyle w:val="Emphasis"/>
          <w:i w:val="0"/>
          <w:iCs w:val="0"/>
          <w:lang w:val="fr-FR"/>
        </w:rPr>
        <w:t>% sont</w:t>
      </w:r>
      <w:r w:rsidRPr="001C13D2">
        <w:rPr>
          <w:rStyle w:val="Emphasis"/>
          <w:lang w:val="fr-FR"/>
        </w:rPr>
        <w:t xml:space="preserve"> extrêmement pauvres (</w:t>
      </w:r>
      <w:r>
        <w:rPr>
          <w:rStyle w:val="Emphasis"/>
          <w:i w:val="0"/>
          <w:iCs w:val="0"/>
          <w:lang w:val="fr-FR"/>
        </w:rPr>
        <w:t>moins</w:t>
      </w:r>
      <w:r w:rsidRPr="001C13D2">
        <w:rPr>
          <w:rStyle w:val="Emphasis"/>
          <w:i w:val="0"/>
          <w:iCs w:val="0"/>
          <w:lang w:val="fr-FR"/>
        </w:rPr>
        <w:t xml:space="preserve"> de 1</w:t>
      </w:r>
      <w:r>
        <w:rPr>
          <w:rStyle w:val="Emphasis"/>
          <w:i w:val="0"/>
          <w:iCs w:val="0"/>
          <w:lang w:val="fr-FR"/>
        </w:rPr>
        <w:t> </w:t>
      </w:r>
      <w:r w:rsidRPr="001C13D2">
        <w:rPr>
          <w:rStyle w:val="Emphasis"/>
          <w:i w:val="0"/>
          <w:iCs w:val="0"/>
          <w:lang w:val="fr-FR"/>
        </w:rPr>
        <w:t xml:space="preserve">650 kilocalories par </w:t>
      </w:r>
      <w:r w:rsidRPr="001C13D2">
        <w:rPr>
          <w:rStyle w:val="Emphasis"/>
          <w:lang w:val="fr-FR"/>
        </w:rPr>
        <w:t xml:space="preserve">personne </w:t>
      </w:r>
      <w:r>
        <w:rPr>
          <w:rStyle w:val="Emphasis"/>
          <w:i w:val="0"/>
          <w:iCs w:val="0"/>
          <w:lang w:val="fr-FR"/>
        </w:rPr>
        <w:t xml:space="preserve">et </w:t>
      </w:r>
      <w:r w:rsidRPr="001C13D2">
        <w:rPr>
          <w:rStyle w:val="Emphasis"/>
          <w:i w:val="0"/>
          <w:iCs w:val="0"/>
          <w:lang w:val="fr-FR"/>
        </w:rPr>
        <w:t>par</w:t>
      </w:r>
      <w:r w:rsidRPr="001C13D2">
        <w:rPr>
          <w:rStyle w:val="Emphasis"/>
          <w:lang w:val="fr-FR"/>
        </w:rPr>
        <w:t xml:space="preserve"> jour). Etant donné que la variabilité des précipitations est l’une des plus élevées au monde et que les fluctuations </w:t>
      </w:r>
      <w:r>
        <w:rPr>
          <w:rStyle w:val="Emphasis"/>
          <w:i w:val="0"/>
          <w:iCs w:val="0"/>
          <w:lang w:val="fr-FR"/>
        </w:rPr>
        <w:t>des pluies</w:t>
      </w:r>
      <w:r w:rsidRPr="001C13D2">
        <w:rPr>
          <w:rStyle w:val="Emphasis"/>
          <w:i w:val="0"/>
          <w:iCs w:val="0"/>
          <w:lang w:val="fr-FR"/>
        </w:rPr>
        <w:t xml:space="preserve"> sont inversement</w:t>
      </w:r>
      <w:r w:rsidRPr="001C13D2">
        <w:rPr>
          <w:szCs w:val="24"/>
          <w:lang w:val="fr-FR"/>
        </w:rPr>
        <w:t xml:space="preserve"> liées aux revenus moyens, depuis plus que deux décennies, le Gouvernement d’</w:t>
      </w:r>
      <w:r w:rsidRPr="001C13D2">
        <w:rPr>
          <w:rStyle w:val="Emphasis"/>
          <w:lang w:val="fr-FR"/>
        </w:rPr>
        <w:t>Éthiopie</w:t>
      </w:r>
      <w:r w:rsidRPr="001C13D2">
        <w:rPr>
          <w:szCs w:val="24"/>
          <w:lang w:val="fr-FR"/>
        </w:rPr>
        <w:t xml:space="preserve"> a lancé chaque année un appel d’urgence international à l’aide alimentaire. Cette aide d’urgence annuelle avait pour but de satisfaire </w:t>
      </w:r>
      <w:r>
        <w:rPr>
          <w:szCs w:val="24"/>
          <w:lang w:val="fr-FR"/>
        </w:rPr>
        <w:t>les</w:t>
      </w:r>
      <w:r w:rsidRPr="001C13D2">
        <w:rPr>
          <w:szCs w:val="24"/>
          <w:lang w:val="fr-FR"/>
        </w:rPr>
        <w:t xml:space="preserve"> besoins de consommation des ménages en situation chronique et </w:t>
      </w:r>
      <w:r>
        <w:rPr>
          <w:szCs w:val="24"/>
          <w:lang w:val="fr-FR"/>
        </w:rPr>
        <w:t>transitoire</w:t>
      </w:r>
      <w:r w:rsidRPr="001C13D2">
        <w:rPr>
          <w:szCs w:val="24"/>
          <w:lang w:val="fr-FR"/>
        </w:rPr>
        <w:t xml:space="preserve"> d’insécurité alimentaire. Les évaluations ont montré qu’en dépit d’une aide humanitaire</w:t>
      </w:r>
      <w:r w:rsidRPr="00FE7403">
        <w:rPr>
          <w:szCs w:val="24"/>
          <w:lang w:val="fr-FR"/>
        </w:rPr>
        <w:t xml:space="preserve"> </w:t>
      </w:r>
      <w:r w:rsidRPr="001C13D2">
        <w:rPr>
          <w:szCs w:val="24"/>
          <w:lang w:val="fr-FR"/>
        </w:rPr>
        <w:t xml:space="preserve">substantielle, l’aide d’urgence était </w:t>
      </w:r>
      <w:r>
        <w:rPr>
          <w:szCs w:val="24"/>
          <w:lang w:val="fr-FR"/>
        </w:rPr>
        <w:t xml:space="preserve">non </w:t>
      </w:r>
      <w:r w:rsidRPr="001C13D2">
        <w:rPr>
          <w:szCs w:val="24"/>
          <w:lang w:val="fr-FR"/>
        </w:rPr>
        <w:t xml:space="preserve">prévisible tant pour les </w:t>
      </w:r>
      <w:r>
        <w:rPr>
          <w:szCs w:val="24"/>
          <w:lang w:val="fr-FR"/>
        </w:rPr>
        <w:t>planificateurs</w:t>
      </w:r>
      <w:r w:rsidRPr="001C13D2">
        <w:rPr>
          <w:szCs w:val="24"/>
          <w:lang w:val="fr-FR"/>
        </w:rPr>
        <w:t xml:space="preserve"> que pour les ménages, arrivant souvent en retard par rapport au besoin. À cause des retards et des incertitudes, l’aide d’urgence ne pouvait pas être utilisée de manière efficace et </w:t>
      </w:r>
      <w:r>
        <w:rPr>
          <w:szCs w:val="24"/>
          <w:lang w:val="fr-FR"/>
        </w:rPr>
        <w:t xml:space="preserve">a peu fait pour </w:t>
      </w:r>
      <w:r w:rsidRPr="001C13D2">
        <w:rPr>
          <w:szCs w:val="24"/>
          <w:lang w:val="fr-FR"/>
        </w:rPr>
        <w:t xml:space="preserve">protéger les moyens </w:t>
      </w:r>
      <w:r>
        <w:rPr>
          <w:szCs w:val="24"/>
          <w:lang w:val="fr-FR"/>
        </w:rPr>
        <w:t>d’existence</w:t>
      </w:r>
      <w:r w:rsidRPr="001C13D2">
        <w:rPr>
          <w:szCs w:val="24"/>
          <w:lang w:val="fr-FR"/>
        </w:rPr>
        <w:t xml:space="preserve">, prévenir la dégradation environnementale, générer des </w:t>
      </w:r>
      <w:r>
        <w:rPr>
          <w:szCs w:val="24"/>
          <w:lang w:val="fr-FR"/>
        </w:rPr>
        <w:t>avoirs</w:t>
      </w:r>
      <w:r w:rsidRPr="001C13D2">
        <w:rPr>
          <w:szCs w:val="24"/>
          <w:lang w:val="fr-FR"/>
        </w:rPr>
        <w:t xml:space="preserve"> communautaires ou préserver les biens des ménages (capital physique ou humain).</w:t>
      </w:r>
    </w:p>
    <w:p w:rsidR="004E3139" w:rsidRPr="001C13D2" w:rsidRDefault="004E3139" w:rsidP="004E3139">
      <w:pPr>
        <w:keepNext/>
        <w:spacing w:after="120"/>
        <w:rPr>
          <w:i/>
          <w:szCs w:val="24"/>
          <w:lang w:val="fr-FR"/>
        </w:rPr>
      </w:pPr>
      <w:r w:rsidRPr="001C13D2">
        <w:rPr>
          <w:i/>
          <w:szCs w:val="24"/>
          <w:lang w:val="fr-FR"/>
        </w:rPr>
        <w:t>Caractéristiques du programme</w:t>
      </w:r>
    </w:p>
    <w:p w:rsidR="004E3139" w:rsidRPr="001C13D2" w:rsidRDefault="004E3139" w:rsidP="004E3139">
      <w:pPr>
        <w:rPr>
          <w:szCs w:val="24"/>
          <w:lang w:val="fr-FR"/>
        </w:rPr>
      </w:pPr>
      <w:r>
        <w:rPr>
          <w:szCs w:val="24"/>
          <w:lang w:val="fr-FR"/>
        </w:rPr>
        <w:t>Étant donné les</w:t>
      </w:r>
      <w:r w:rsidRPr="001C13D2">
        <w:rPr>
          <w:szCs w:val="24"/>
          <w:lang w:val="fr-FR"/>
        </w:rPr>
        <w:t xml:space="preserve"> lacunes du régime d’aide d’urgence, le Gouvernement </w:t>
      </w:r>
      <w:r>
        <w:rPr>
          <w:szCs w:val="24"/>
          <w:lang w:val="fr-FR"/>
        </w:rPr>
        <w:t>éthiopien</w:t>
      </w:r>
      <w:r w:rsidRPr="001C13D2">
        <w:rPr>
          <w:szCs w:val="24"/>
          <w:lang w:val="fr-FR"/>
        </w:rPr>
        <w:t xml:space="preserve"> a </w:t>
      </w:r>
      <w:r>
        <w:rPr>
          <w:szCs w:val="24"/>
          <w:lang w:val="fr-FR"/>
        </w:rPr>
        <w:t>lancé</w:t>
      </w:r>
      <w:r w:rsidRPr="001C13D2">
        <w:rPr>
          <w:szCs w:val="24"/>
          <w:lang w:val="fr-FR"/>
        </w:rPr>
        <w:t xml:space="preserve"> en 2005</w:t>
      </w:r>
      <w:r>
        <w:rPr>
          <w:szCs w:val="24"/>
          <w:lang w:val="fr-FR"/>
        </w:rPr>
        <w:t xml:space="preserve"> </w:t>
      </w:r>
      <w:r w:rsidRPr="001C13D2">
        <w:rPr>
          <w:szCs w:val="24"/>
          <w:lang w:val="fr-FR"/>
        </w:rPr>
        <w:t xml:space="preserve">la mise en œuvre d’un nouveau programme, le </w:t>
      </w:r>
      <w:r w:rsidRPr="004F1902">
        <w:rPr>
          <w:i/>
          <w:szCs w:val="24"/>
          <w:lang w:val="fr-BE"/>
        </w:rPr>
        <w:t>Productive Safety Net Program</w:t>
      </w:r>
      <w:r w:rsidRPr="001C13D2">
        <w:rPr>
          <w:szCs w:val="24"/>
          <w:lang w:val="fr-FR"/>
        </w:rPr>
        <w:t xml:space="preserve"> (PSNP </w:t>
      </w:r>
      <w:r>
        <w:rPr>
          <w:szCs w:val="24"/>
          <w:lang w:val="fr-FR"/>
        </w:rPr>
        <w:t>– p</w:t>
      </w:r>
      <w:r w:rsidRPr="001C13D2">
        <w:rPr>
          <w:szCs w:val="24"/>
          <w:lang w:val="fr-FR"/>
        </w:rPr>
        <w:t xml:space="preserve">rogramme de </w:t>
      </w:r>
      <w:r>
        <w:rPr>
          <w:szCs w:val="24"/>
          <w:lang w:val="fr-FR"/>
        </w:rPr>
        <w:t>filet social</w:t>
      </w:r>
      <w:r w:rsidRPr="001C13D2">
        <w:rPr>
          <w:szCs w:val="24"/>
          <w:lang w:val="fr-FR"/>
        </w:rPr>
        <w:t xml:space="preserve"> productif). </w:t>
      </w:r>
      <w:r>
        <w:rPr>
          <w:szCs w:val="24"/>
          <w:lang w:val="fr-FR"/>
        </w:rPr>
        <w:t>Celui-ci</w:t>
      </w:r>
      <w:r w:rsidRPr="001C13D2">
        <w:rPr>
          <w:szCs w:val="24"/>
          <w:lang w:val="fr-FR"/>
        </w:rPr>
        <w:t xml:space="preserve"> a remplacé le système d’appel humanitaire d’urgence </w:t>
      </w:r>
      <w:r>
        <w:rPr>
          <w:szCs w:val="24"/>
          <w:lang w:val="fr-FR"/>
        </w:rPr>
        <w:t>en tant que</w:t>
      </w:r>
      <w:r w:rsidRPr="001C13D2">
        <w:rPr>
          <w:szCs w:val="24"/>
          <w:lang w:val="fr-FR"/>
        </w:rPr>
        <w:t xml:space="preserve"> principal instrument de filet </w:t>
      </w:r>
      <w:r>
        <w:rPr>
          <w:szCs w:val="24"/>
          <w:lang w:val="fr-FR"/>
        </w:rPr>
        <w:t>social</w:t>
      </w:r>
      <w:r w:rsidRPr="001C13D2">
        <w:rPr>
          <w:szCs w:val="24"/>
          <w:lang w:val="fr-FR"/>
        </w:rPr>
        <w:t xml:space="preserve"> du pays. Le programme est actuellement opérationnel dans 234 districts en situation d’insécurité alimentaire chronique (sur un total de 692 districts) et ciblaient environ 7 millions de personnes en 2006. Le PSNP fournit des ressources aux ménages en situation d’insécurité alimentaire chronique de deux manières</w:t>
      </w:r>
      <w:r>
        <w:rPr>
          <w:szCs w:val="24"/>
          <w:lang w:val="fr-FR"/>
        </w:rPr>
        <w:t> </w:t>
      </w:r>
      <w:r w:rsidRPr="001C13D2">
        <w:rPr>
          <w:szCs w:val="24"/>
          <w:lang w:val="fr-FR"/>
        </w:rPr>
        <w:t xml:space="preserve">: i) </w:t>
      </w:r>
      <w:r>
        <w:rPr>
          <w:szCs w:val="24"/>
          <w:lang w:val="fr-FR"/>
        </w:rPr>
        <w:t xml:space="preserve">à travers des </w:t>
      </w:r>
      <w:r w:rsidRPr="001C13D2">
        <w:rPr>
          <w:szCs w:val="24"/>
          <w:lang w:val="fr-FR"/>
        </w:rPr>
        <w:t xml:space="preserve">paiements aux personnes valides pour leur participation </w:t>
      </w:r>
      <w:r>
        <w:rPr>
          <w:szCs w:val="24"/>
          <w:lang w:val="fr-FR"/>
        </w:rPr>
        <w:t>à</w:t>
      </w:r>
      <w:r w:rsidRPr="001C13D2">
        <w:rPr>
          <w:szCs w:val="24"/>
          <w:lang w:val="fr-FR"/>
        </w:rPr>
        <w:t xml:space="preserve"> des activités de travaux publics à </w:t>
      </w:r>
      <w:r>
        <w:rPr>
          <w:szCs w:val="24"/>
          <w:lang w:val="fr-FR"/>
        </w:rPr>
        <w:t>haute</w:t>
      </w:r>
      <w:r w:rsidRPr="001C13D2">
        <w:rPr>
          <w:szCs w:val="24"/>
          <w:lang w:val="fr-FR"/>
        </w:rPr>
        <w:t xml:space="preserve"> intensité de main-d’œuvre et ii) à travers des subventions directes aux ménages composés de personnes âgées ou de personnes </w:t>
      </w:r>
      <w:r>
        <w:rPr>
          <w:szCs w:val="24"/>
          <w:lang w:val="fr-FR"/>
        </w:rPr>
        <w:t>incapables de</w:t>
      </w:r>
      <w:r w:rsidRPr="001C13D2">
        <w:rPr>
          <w:szCs w:val="24"/>
          <w:lang w:val="fr-FR"/>
        </w:rPr>
        <w:t xml:space="preserve"> travailler pour d’autres raisons.</w:t>
      </w:r>
    </w:p>
    <w:p w:rsidR="004E3139" w:rsidRPr="001C13D2" w:rsidRDefault="004E3139" w:rsidP="004E3139">
      <w:pPr>
        <w:rPr>
          <w:i/>
          <w:szCs w:val="24"/>
          <w:lang w:val="fr-FR"/>
        </w:rPr>
      </w:pPr>
      <w:r w:rsidRPr="001C13D2">
        <w:rPr>
          <w:i/>
          <w:szCs w:val="24"/>
          <w:lang w:val="fr-FR"/>
        </w:rPr>
        <w:t>Impact du PSNP</w:t>
      </w:r>
    </w:p>
    <w:p w:rsidR="004E3139" w:rsidRPr="001C13D2" w:rsidRDefault="004E3139" w:rsidP="004E3139">
      <w:pPr>
        <w:rPr>
          <w:szCs w:val="24"/>
          <w:lang w:val="fr-FR"/>
        </w:rPr>
      </w:pPr>
      <w:r w:rsidRPr="001C13D2">
        <w:rPr>
          <w:szCs w:val="24"/>
          <w:lang w:val="fr-FR"/>
        </w:rPr>
        <w:t xml:space="preserve">Une enquête auprès des bénéficiaires effectuée en 2005 a révélé que le PSNP avait un impact </w:t>
      </w:r>
      <w:r>
        <w:rPr>
          <w:szCs w:val="24"/>
          <w:lang w:val="fr-FR"/>
        </w:rPr>
        <w:t>positif important</w:t>
      </w:r>
      <w:r w:rsidRPr="001C13D2">
        <w:rPr>
          <w:szCs w:val="24"/>
          <w:lang w:val="fr-FR"/>
        </w:rPr>
        <w:t xml:space="preserve"> sur leur bien-être </w:t>
      </w:r>
      <w:r>
        <w:rPr>
          <w:szCs w:val="24"/>
          <w:lang w:val="fr-FR"/>
        </w:rPr>
        <w:t>estimé</w:t>
      </w:r>
      <w:r w:rsidRPr="001C13D2">
        <w:rPr>
          <w:szCs w:val="24"/>
          <w:lang w:val="fr-FR"/>
        </w:rPr>
        <w:t xml:space="preserve"> par des indicateurs à la fois subjectifs et objectifs. L’enquête a trouvé que trois bénéficiaires sur cinq </w:t>
      </w:r>
      <w:r>
        <w:rPr>
          <w:szCs w:val="24"/>
          <w:lang w:val="fr-FR"/>
        </w:rPr>
        <w:t>avaient</w:t>
      </w:r>
      <w:r w:rsidRPr="001C13D2">
        <w:rPr>
          <w:szCs w:val="24"/>
          <w:lang w:val="fr-FR"/>
        </w:rPr>
        <w:t xml:space="preserve"> pu éviter de vendre des biens pour s’acheter des vivres en 2005 et</w:t>
      </w:r>
      <w:r>
        <w:rPr>
          <w:szCs w:val="24"/>
          <w:lang w:val="fr-FR"/>
        </w:rPr>
        <w:t>,</w:t>
      </w:r>
      <w:r w:rsidRPr="001C13D2">
        <w:rPr>
          <w:szCs w:val="24"/>
          <w:lang w:val="fr-FR"/>
        </w:rPr>
        <w:t xml:space="preserve"> selon 90</w:t>
      </w:r>
      <w:r>
        <w:rPr>
          <w:szCs w:val="24"/>
          <w:lang w:val="fr-FR"/>
        </w:rPr>
        <w:t> </w:t>
      </w:r>
      <w:r w:rsidRPr="001C13D2">
        <w:rPr>
          <w:szCs w:val="24"/>
          <w:lang w:val="fr-FR"/>
        </w:rPr>
        <w:t xml:space="preserve">% des ménages, ceci était le </w:t>
      </w:r>
      <w:r w:rsidRPr="001C13D2">
        <w:rPr>
          <w:szCs w:val="24"/>
          <w:lang w:val="fr-FR"/>
        </w:rPr>
        <w:lastRenderedPageBreak/>
        <w:t xml:space="preserve">résultat de leur participation au PSNP. En outre, près de la moitié des bénéficiaires </w:t>
      </w:r>
      <w:r>
        <w:rPr>
          <w:szCs w:val="24"/>
          <w:lang w:val="fr-FR"/>
        </w:rPr>
        <w:t>interrogés</w:t>
      </w:r>
      <w:r w:rsidRPr="001C13D2">
        <w:rPr>
          <w:szCs w:val="24"/>
          <w:lang w:val="fr-FR"/>
        </w:rPr>
        <w:t xml:space="preserve"> ont</w:t>
      </w:r>
      <w:r>
        <w:rPr>
          <w:szCs w:val="24"/>
          <w:lang w:val="fr-FR"/>
        </w:rPr>
        <w:t xml:space="preserve"> </w:t>
      </w:r>
      <w:r w:rsidRPr="001C13D2">
        <w:rPr>
          <w:szCs w:val="24"/>
          <w:lang w:val="fr-FR"/>
        </w:rPr>
        <w:t xml:space="preserve">déclaré </w:t>
      </w:r>
      <w:r>
        <w:rPr>
          <w:szCs w:val="24"/>
          <w:lang w:val="fr-FR"/>
        </w:rPr>
        <w:t>avoir</w:t>
      </w:r>
      <w:r w:rsidRPr="001C13D2">
        <w:rPr>
          <w:szCs w:val="24"/>
          <w:lang w:val="fr-FR"/>
        </w:rPr>
        <w:t xml:space="preserve"> utilisé les services de santé plus fréquemment et 76</w:t>
      </w:r>
      <w:r>
        <w:rPr>
          <w:szCs w:val="24"/>
          <w:lang w:val="fr-FR"/>
        </w:rPr>
        <w:t> </w:t>
      </w:r>
      <w:r w:rsidRPr="001C13D2">
        <w:rPr>
          <w:szCs w:val="24"/>
          <w:lang w:val="fr-FR"/>
        </w:rPr>
        <w:t xml:space="preserve">% ont attribué cet accès élargi à l’action du PSNP. Plus d’un tiers des ménages </w:t>
      </w:r>
      <w:r>
        <w:rPr>
          <w:szCs w:val="24"/>
          <w:lang w:val="fr-FR"/>
        </w:rPr>
        <w:t>interrogés</w:t>
      </w:r>
      <w:r w:rsidRPr="001C13D2">
        <w:rPr>
          <w:szCs w:val="24"/>
          <w:lang w:val="fr-FR"/>
        </w:rPr>
        <w:t xml:space="preserve"> ont </w:t>
      </w:r>
      <w:r>
        <w:rPr>
          <w:szCs w:val="24"/>
          <w:lang w:val="fr-FR"/>
        </w:rPr>
        <w:t xml:space="preserve">plus </w:t>
      </w:r>
      <w:r w:rsidRPr="001C13D2">
        <w:rPr>
          <w:szCs w:val="24"/>
          <w:lang w:val="fr-FR"/>
        </w:rPr>
        <w:t>inscrit leurs enfants à l’école et 80</w:t>
      </w:r>
      <w:r>
        <w:rPr>
          <w:szCs w:val="24"/>
          <w:lang w:val="fr-FR"/>
        </w:rPr>
        <w:t> </w:t>
      </w:r>
      <w:r w:rsidRPr="001C13D2">
        <w:rPr>
          <w:szCs w:val="24"/>
          <w:lang w:val="fr-FR"/>
        </w:rPr>
        <w:t>% ont attribué cette action à leur participation au PSNP.</w:t>
      </w:r>
    </w:p>
    <w:p w:rsidR="004E3139" w:rsidRPr="001C13D2" w:rsidRDefault="004E3139" w:rsidP="004E3139">
      <w:pPr>
        <w:keepNext/>
        <w:spacing w:after="120"/>
        <w:rPr>
          <w:i/>
          <w:szCs w:val="24"/>
          <w:lang w:val="fr-FR"/>
        </w:rPr>
      </w:pPr>
      <w:r w:rsidRPr="001C13D2">
        <w:rPr>
          <w:i/>
          <w:szCs w:val="24"/>
          <w:lang w:val="fr-FR"/>
        </w:rPr>
        <w:t>Réformes en cours</w:t>
      </w:r>
    </w:p>
    <w:p w:rsidR="004E3139" w:rsidRPr="001C13D2" w:rsidRDefault="004E3139" w:rsidP="004E3139">
      <w:pPr>
        <w:rPr>
          <w:szCs w:val="24"/>
          <w:lang w:val="fr-FR"/>
        </w:rPr>
      </w:pPr>
      <w:r w:rsidRPr="001C13D2">
        <w:rPr>
          <w:szCs w:val="24"/>
          <w:lang w:val="fr-FR"/>
        </w:rPr>
        <w:t xml:space="preserve">Un travail considérable est prévu pour renforcer la capacité </w:t>
      </w:r>
      <w:r>
        <w:rPr>
          <w:szCs w:val="24"/>
          <w:lang w:val="fr-FR"/>
        </w:rPr>
        <w:t>de</w:t>
      </w:r>
      <w:r w:rsidRPr="001C13D2">
        <w:rPr>
          <w:szCs w:val="24"/>
          <w:lang w:val="fr-FR"/>
        </w:rPr>
        <w:t xml:space="preserve"> mise en œuvre et </w:t>
      </w:r>
      <w:r>
        <w:rPr>
          <w:szCs w:val="24"/>
          <w:lang w:val="fr-FR"/>
        </w:rPr>
        <w:t>amener</w:t>
      </w:r>
      <w:r w:rsidRPr="001C13D2">
        <w:rPr>
          <w:szCs w:val="24"/>
          <w:lang w:val="fr-FR"/>
        </w:rPr>
        <w:t xml:space="preserve"> les systèmes à </w:t>
      </w:r>
      <w:r>
        <w:rPr>
          <w:szCs w:val="24"/>
          <w:lang w:val="fr-FR"/>
        </w:rPr>
        <w:t>un</w:t>
      </w:r>
      <w:r w:rsidRPr="001C13D2">
        <w:rPr>
          <w:szCs w:val="24"/>
          <w:lang w:val="fr-FR"/>
        </w:rPr>
        <w:t xml:space="preserve"> niveau de fonctionnement </w:t>
      </w:r>
      <w:r>
        <w:rPr>
          <w:szCs w:val="24"/>
          <w:lang w:val="fr-FR"/>
        </w:rPr>
        <w:t>précédemment im</w:t>
      </w:r>
      <w:r w:rsidRPr="001C13D2">
        <w:rPr>
          <w:szCs w:val="24"/>
          <w:lang w:val="fr-FR"/>
        </w:rPr>
        <w:t xml:space="preserve">possible avec </w:t>
      </w:r>
      <w:r>
        <w:rPr>
          <w:szCs w:val="24"/>
          <w:lang w:val="fr-FR"/>
        </w:rPr>
        <w:t>d</w:t>
      </w:r>
      <w:r w:rsidRPr="001C13D2">
        <w:rPr>
          <w:szCs w:val="24"/>
          <w:lang w:val="fr-FR"/>
        </w:rPr>
        <w:t xml:space="preserve">es programmes fragmentés et provisoires. </w:t>
      </w:r>
      <w:r>
        <w:rPr>
          <w:szCs w:val="24"/>
          <w:lang w:val="fr-FR"/>
        </w:rPr>
        <w:t>Un</w:t>
      </w:r>
      <w:r w:rsidRPr="001C13D2">
        <w:rPr>
          <w:szCs w:val="24"/>
          <w:lang w:val="fr-FR"/>
        </w:rPr>
        <w:t xml:space="preserve"> mécanisme de subvention conditionnelle (transfert monétaire conditionnel) </w:t>
      </w:r>
      <w:r>
        <w:rPr>
          <w:szCs w:val="24"/>
          <w:lang w:val="fr-FR"/>
        </w:rPr>
        <w:t>est actuellement à l’étude, il devrait fournir</w:t>
      </w:r>
      <w:r w:rsidRPr="001C13D2">
        <w:rPr>
          <w:szCs w:val="24"/>
          <w:lang w:val="fr-FR"/>
        </w:rPr>
        <w:t xml:space="preserve"> des ressources dans les mêmes districts pour aider les ménages en situation d’insécurité alimentaire </w:t>
      </w:r>
      <w:r>
        <w:rPr>
          <w:szCs w:val="24"/>
          <w:lang w:val="fr-FR"/>
        </w:rPr>
        <w:t>transitoire</w:t>
      </w:r>
      <w:r w:rsidRPr="001C13D2">
        <w:rPr>
          <w:szCs w:val="24"/>
          <w:lang w:val="fr-FR"/>
        </w:rPr>
        <w:t xml:space="preserve"> pendant les périodes de sécheresse. </w:t>
      </w:r>
      <w:r>
        <w:rPr>
          <w:szCs w:val="24"/>
          <w:lang w:val="fr-FR"/>
        </w:rPr>
        <w:t>Ce</w:t>
      </w:r>
      <w:r w:rsidRPr="001C13D2">
        <w:rPr>
          <w:szCs w:val="24"/>
          <w:lang w:val="fr-FR"/>
        </w:rPr>
        <w:t xml:space="preserve"> mécanisme utilisera un indice basé sur la pluviométrie </w:t>
      </w:r>
      <w:r>
        <w:rPr>
          <w:szCs w:val="24"/>
          <w:lang w:val="fr-FR"/>
        </w:rPr>
        <w:t>et faisant appel à</w:t>
      </w:r>
      <w:r w:rsidRPr="001C13D2">
        <w:rPr>
          <w:szCs w:val="24"/>
          <w:lang w:val="fr-FR"/>
        </w:rPr>
        <w:t xml:space="preserve"> 30 ans de données pluviométriques pour déclencher le financement. Le PSNP est en outre </w:t>
      </w:r>
      <w:r>
        <w:rPr>
          <w:szCs w:val="24"/>
          <w:lang w:val="fr-FR"/>
        </w:rPr>
        <w:t>complété</w:t>
      </w:r>
      <w:r w:rsidRPr="001C13D2">
        <w:rPr>
          <w:szCs w:val="24"/>
          <w:lang w:val="fr-FR"/>
        </w:rPr>
        <w:t xml:space="preserve"> par un plus vaste programme de sécurité alimentaire qui </w:t>
      </w:r>
      <w:r>
        <w:rPr>
          <w:szCs w:val="24"/>
          <w:lang w:val="fr-FR"/>
        </w:rPr>
        <w:t xml:space="preserve">vise à </w:t>
      </w:r>
      <w:r w:rsidRPr="001C13D2">
        <w:rPr>
          <w:szCs w:val="24"/>
          <w:lang w:val="fr-FR"/>
        </w:rPr>
        <w:t xml:space="preserve">aider les ménages à accroitre leurs revenus par le biais de subventions de </w:t>
      </w:r>
      <w:r>
        <w:rPr>
          <w:szCs w:val="24"/>
          <w:lang w:val="fr-FR"/>
        </w:rPr>
        <w:t>réinstallation</w:t>
      </w:r>
      <w:r w:rsidRPr="001C13D2">
        <w:rPr>
          <w:szCs w:val="24"/>
          <w:lang w:val="fr-FR"/>
        </w:rPr>
        <w:t xml:space="preserve">, </w:t>
      </w:r>
      <w:r>
        <w:rPr>
          <w:szCs w:val="24"/>
          <w:lang w:val="fr-FR"/>
        </w:rPr>
        <w:t>de trains</w:t>
      </w:r>
      <w:r w:rsidRPr="001C13D2">
        <w:rPr>
          <w:szCs w:val="24"/>
          <w:lang w:val="fr-FR"/>
        </w:rPr>
        <w:t xml:space="preserve"> de mesures génératrices de revenus</w:t>
      </w:r>
      <w:r>
        <w:rPr>
          <w:szCs w:val="24"/>
          <w:lang w:val="fr-FR"/>
        </w:rPr>
        <w:t xml:space="preserve"> pour les ménages</w:t>
      </w:r>
      <w:r w:rsidRPr="001C13D2">
        <w:rPr>
          <w:szCs w:val="24"/>
          <w:lang w:val="fr-FR"/>
        </w:rPr>
        <w:t xml:space="preserve">, et </w:t>
      </w:r>
      <w:r>
        <w:rPr>
          <w:szCs w:val="24"/>
          <w:lang w:val="fr-FR"/>
        </w:rPr>
        <w:t xml:space="preserve">d’interventions </w:t>
      </w:r>
      <w:r w:rsidRPr="001C13D2">
        <w:rPr>
          <w:szCs w:val="24"/>
          <w:lang w:val="fr-FR"/>
        </w:rPr>
        <w:t xml:space="preserve">de collecte de l’eau. Les ménages qui bénéficient du PSNP ont aussi droit à </w:t>
      </w:r>
      <w:r>
        <w:rPr>
          <w:szCs w:val="24"/>
          <w:lang w:val="fr-FR"/>
        </w:rPr>
        <w:t xml:space="preserve">une </w:t>
      </w:r>
      <w:r w:rsidRPr="001C13D2">
        <w:rPr>
          <w:szCs w:val="24"/>
          <w:lang w:val="fr-FR"/>
        </w:rPr>
        <w:t xml:space="preserve">aide dans le cadre d’autres composantes du programme de sécurité alimentaire. Les interventions de sécurité alimentaire financées par les </w:t>
      </w:r>
      <w:r w:rsidR="005D6182">
        <w:rPr>
          <w:szCs w:val="24"/>
          <w:lang w:val="fr-FR"/>
        </w:rPr>
        <w:t>bailleurs de fond</w:t>
      </w:r>
      <w:r w:rsidRPr="001C13D2">
        <w:rPr>
          <w:szCs w:val="24"/>
          <w:lang w:val="fr-FR"/>
        </w:rPr>
        <w:t xml:space="preserve"> </w:t>
      </w:r>
      <w:r>
        <w:rPr>
          <w:szCs w:val="24"/>
          <w:lang w:val="fr-FR"/>
        </w:rPr>
        <w:t>en dehors</w:t>
      </w:r>
      <w:r w:rsidRPr="001C13D2">
        <w:rPr>
          <w:szCs w:val="24"/>
          <w:lang w:val="fr-FR"/>
        </w:rPr>
        <w:t xml:space="preserve"> du PSNP sont cependant rarement coordonnées au niveau loca</w:t>
      </w:r>
      <w:r>
        <w:rPr>
          <w:szCs w:val="24"/>
          <w:lang w:val="fr-FR"/>
        </w:rPr>
        <w:t>l</w:t>
      </w:r>
      <w:r w:rsidRPr="001C13D2">
        <w:rPr>
          <w:szCs w:val="24"/>
          <w:lang w:val="fr-FR"/>
        </w:rPr>
        <w:t xml:space="preserve"> et leurs liens </w:t>
      </w:r>
      <w:r>
        <w:rPr>
          <w:szCs w:val="24"/>
          <w:lang w:val="fr-FR"/>
        </w:rPr>
        <w:t>avec les</w:t>
      </w:r>
      <w:r w:rsidRPr="001C13D2">
        <w:rPr>
          <w:szCs w:val="24"/>
          <w:lang w:val="fr-FR"/>
        </w:rPr>
        <w:t xml:space="preserve"> services ruraux de base sont également faibles.</w:t>
      </w:r>
    </w:p>
    <w:p w:rsidR="004E3139" w:rsidRPr="001C13D2" w:rsidRDefault="004E3139" w:rsidP="004E3139">
      <w:pPr>
        <w:keepNext/>
        <w:spacing w:after="120"/>
        <w:rPr>
          <w:i/>
          <w:szCs w:val="24"/>
          <w:lang w:val="fr-FR"/>
        </w:rPr>
      </w:pPr>
      <w:r w:rsidRPr="001C13D2">
        <w:rPr>
          <w:i/>
          <w:szCs w:val="24"/>
          <w:lang w:val="fr-FR"/>
        </w:rPr>
        <w:t xml:space="preserve">Enseignements </w:t>
      </w:r>
      <w:r>
        <w:rPr>
          <w:i/>
          <w:szCs w:val="24"/>
          <w:lang w:val="fr-FR"/>
        </w:rPr>
        <w:t>tirés</w:t>
      </w:r>
    </w:p>
    <w:p w:rsidR="004E3139" w:rsidRPr="001C13D2" w:rsidRDefault="004E3139" w:rsidP="004E3139">
      <w:pPr>
        <w:rPr>
          <w:szCs w:val="24"/>
          <w:lang w:val="fr-FR"/>
        </w:rPr>
      </w:pPr>
      <w:r w:rsidRPr="001C13D2">
        <w:rPr>
          <w:szCs w:val="24"/>
          <w:lang w:val="fr-FR"/>
        </w:rPr>
        <w:t xml:space="preserve">Le PSNP illustre </w:t>
      </w:r>
      <w:r>
        <w:rPr>
          <w:szCs w:val="24"/>
          <w:lang w:val="fr-FR"/>
        </w:rPr>
        <w:t>beaucoup</w:t>
      </w:r>
      <w:r w:rsidRPr="001C13D2">
        <w:rPr>
          <w:szCs w:val="24"/>
          <w:lang w:val="fr-FR"/>
        </w:rPr>
        <w:t xml:space="preserve"> des questions qui entourent les filets </w:t>
      </w:r>
      <w:r>
        <w:rPr>
          <w:szCs w:val="24"/>
          <w:lang w:val="fr-FR"/>
        </w:rPr>
        <w:t>sociaux</w:t>
      </w:r>
      <w:r w:rsidRPr="001C13D2">
        <w:rPr>
          <w:szCs w:val="24"/>
          <w:lang w:val="fr-FR"/>
        </w:rPr>
        <w:t xml:space="preserve"> </w:t>
      </w:r>
      <w:r>
        <w:rPr>
          <w:szCs w:val="24"/>
          <w:lang w:val="fr-FR"/>
        </w:rPr>
        <w:t>dans les</w:t>
      </w:r>
      <w:r w:rsidRPr="001C13D2">
        <w:rPr>
          <w:szCs w:val="24"/>
          <w:lang w:val="fr-FR"/>
        </w:rPr>
        <w:t xml:space="preserve"> pays à faible revenu, notamment :</w:t>
      </w:r>
    </w:p>
    <w:p w:rsidR="004E3139" w:rsidRPr="001C13D2" w:rsidRDefault="004E3139" w:rsidP="00E52A30">
      <w:pPr>
        <w:numPr>
          <w:ilvl w:val="0"/>
          <w:numId w:val="9"/>
        </w:numPr>
        <w:tabs>
          <w:tab w:val="clear" w:pos="709"/>
          <w:tab w:val="left" w:pos="284"/>
        </w:tabs>
        <w:ind w:left="284" w:hanging="284"/>
        <w:rPr>
          <w:szCs w:val="24"/>
          <w:lang w:val="fr-FR"/>
        </w:rPr>
      </w:pPr>
      <w:r w:rsidRPr="001C13D2">
        <w:rPr>
          <w:szCs w:val="24"/>
          <w:lang w:val="fr-FR"/>
        </w:rPr>
        <w:t xml:space="preserve">Le programme s’oriente </w:t>
      </w:r>
      <w:r>
        <w:rPr>
          <w:szCs w:val="24"/>
          <w:lang w:val="fr-FR"/>
        </w:rPr>
        <w:t>dans</w:t>
      </w:r>
      <w:r w:rsidRPr="001C13D2">
        <w:rPr>
          <w:szCs w:val="24"/>
          <w:lang w:val="fr-FR"/>
        </w:rPr>
        <w:t xml:space="preserve"> une direction clairement bénéfique </w:t>
      </w:r>
      <w:r>
        <w:rPr>
          <w:szCs w:val="24"/>
          <w:lang w:val="fr-FR"/>
        </w:rPr>
        <w:t>grâce à</w:t>
      </w:r>
      <w:r w:rsidRPr="001C13D2">
        <w:rPr>
          <w:szCs w:val="24"/>
          <w:lang w:val="fr-FR"/>
        </w:rPr>
        <w:t xml:space="preserve"> un</w:t>
      </w:r>
      <w:r>
        <w:rPr>
          <w:szCs w:val="24"/>
          <w:lang w:val="fr-FR"/>
        </w:rPr>
        <w:t>e conception</w:t>
      </w:r>
      <w:r w:rsidRPr="001C13D2">
        <w:rPr>
          <w:szCs w:val="24"/>
          <w:lang w:val="fr-FR"/>
        </w:rPr>
        <w:t xml:space="preserve"> de base qui cherche non seulement à utiliser les ressources </w:t>
      </w:r>
      <w:r>
        <w:rPr>
          <w:szCs w:val="24"/>
          <w:lang w:val="fr-FR"/>
        </w:rPr>
        <w:t>pour</w:t>
      </w:r>
      <w:r w:rsidRPr="001C13D2">
        <w:rPr>
          <w:szCs w:val="24"/>
          <w:lang w:val="fr-FR"/>
        </w:rPr>
        <w:t xml:space="preserve"> sauver des vies, mais aussi à apporter un soutien aux moyens </w:t>
      </w:r>
      <w:r>
        <w:rPr>
          <w:szCs w:val="24"/>
          <w:lang w:val="fr-FR"/>
        </w:rPr>
        <w:t>d’existence</w:t>
      </w:r>
      <w:r w:rsidRPr="001C13D2">
        <w:rPr>
          <w:szCs w:val="24"/>
          <w:lang w:val="fr-FR"/>
        </w:rPr>
        <w:t xml:space="preserve">. Les progrès réalisés à ce jour dans la mise en œuvre suggèrent que ceci est possible même dans un </w:t>
      </w:r>
      <w:r>
        <w:rPr>
          <w:szCs w:val="24"/>
          <w:lang w:val="fr-FR"/>
        </w:rPr>
        <w:t>environnement</w:t>
      </w:r>
      <w:r w:rsidRPr="001C13D2">
        <w:rPr>
          <w:szCs w:val="24"/>
          <w:lang w:val="fr-FR"/>
        </w:rPr>
        <w:t xml:space="preserve"> à </w:t>
      </w:r>
      <w:r>
        <w:rPr>
          <w:szCs w:val="24"/>
          <w:lang w:val="fr-FR"/>
        </w:rPr>
        <w:t xml:space="preserve">très </w:t>
      </w:r>
      <w:r w:rsidRPr="001C13D2">
        <w:rPr>
          <w:szCs w:val="24"/>
          <w:lang w:val="fr-FR"/>
        </w:rPr>
        <w:t>faible revenu.</w:t>
      </w:r>
    </w:p>
    <w:p w:rsidR="004E3139" w:rsidRPr="001C13D2" w:rsidRDefault="004E3139" w:rsidP="00E52A30">
      <w:pPr>
        <w:numPr>
          <w:ilvl w:val="0"/>
          <w:numId w:val="9"/>
        </w:numPr>
        <w:tabs>
          <w:tab w:val="clear" w:pos="709"/>
          <w:tab w:val="left" w:pos="284"/>
        </w:tabs>
        <w:ind w:left="284" w:hanging="284"/>
        <w:rPr>
          <w:szCs w:val="24"/>
          <w:lang w:val="fr-FR"/>
        </w:rPr>
      </w:pPr>
      <w:r w:rsidRPr="001C13D2">
        <w:rPr>
          <w:szCs w:val="24"/>
          <w:lang w:val="fr-FR"/>
        </w:rPr>
        <w:t xml:space="preserve">Le processus de conception et la planification de la mise en œuvre ont </w:t>
      </w:r>
      <w:r>
        <w:rPr>
          <w:szCs w:val="24"/>
          <w:lang w:val="fr-FR"/>
        </w:rPr>
        <w:t>subi</w:t>
      </w:r>
      <w:r w:rsidRPr="001C13D2">
        <w:rPr>
          <w:szCs w:val="24"/>
          <w:lang w:val="fr-FR"/>
        </w:rPr>
        <w:t xml:space="preserve"> </w:t>
      </w:r>
      <w:r>
        <w:rPr>
          <w:szCs w:val="24"/>
          <w:lang w:val="fr-FR"/>
        </w:rPr>
        <w:t>un triage</w:t>
      </w:r>
      <w:r w:rsidRPr="001C13D2">
        <w:rPr>
          <w:szCs w:val="24"/>
          <w:lang w:val="fr-FR"/>
        </w:rPr>
        <w:t xml:space="preserve"> sévère. Même quand il sera complètement </w:t>
      </w:r>
      <w:r>
        <w:rPr>
          <w:szCs w:val="24"/>
          <w:lang w:val="fr-FR"/>
        </w:rPr>
        <w:t>mis en œuvre</w:t>
      </w:r>
      <w:r w:rsidRPr="001C13D2">
        <w:rPr>
          <w:szCs w:val="24"/>
          <w:lang w:val="fr-FR"/>
        </w:rPr>
        <w:t xml:space="preserve">, le programme </w:t>
      </w:r>
      <w:r>
        <w:rPr>
          <w:szCs w:val="24"/>
          <w:lang w:val="fr-FR"/>
        </w:rPr>
        <w:t>de</w:t>
      </w:r>
      <w:r w:rsidRPr="001C13D2">
        <w:rPr>
          <w:szCs w:val="24"/>
          <w:lang w:val="fr-FR"/>
        </w:rPr>
        <w:t xml:space="preserve"> filet </w:t>
      </w:r>
      <w:r>
        <w:rPr>
          <w:szCs w:val="24"/>
          <w:lang w:val="fr-FR"/>
        </w:rPr>
        <w:t>social</w:t>
      </w:r>
      <w:r w:rsidRPr="001C13D2">
        <w:rPr>
          <w:szCs w:val="24"/>
          <w:lang w:val="fr-FR"/>
        </w:rPr>
        <w:t xml:space="preserve"> </w:t>
      </w:r>
      <w:r>
        <w:rPr>
          <w:szCs w:val="24"/>
          <w:lang w:val="fr-FR"/>
        </w:rPr>
        <w:t xml:space="preserve">ne couvrira qu’un </w:t>
      </w:r>
      <w:r w:rsidRPr="001C13D2">
        <w:rPr>
          <w:szCs w:val="24"/>
          <w:lang w:val="fr-FR"/>
        </w:rPr>
        <w:t xml:space="preserve">tiers du pays. Les districts </w:t>
      </w:r>
      <w:r>
        <w:rPr>
          <w:szCs w:val="24"/>
          <w:lang w:val="fr-FR"/>
        </w:rPr>
        <w:t xml:space="preserve">sélectionnés sont effectivement </w:t>
      </w:r>
      <w:r w:rsidRPr="001C13D2">
        <w:rPr>
          <w:szCs w:val="24"/>
          <w:lang w:val="fr-FR"/>
        </w:rPr>
        <w:t xml:space="preserve">les plus pauvres, mais </w:t>
      </w:r>
      <w:r>
        <w:rPr>
          <w:szCs w:val="24"/>
          <w:lang w:val="fr-FR"/>
        </w:rPr>
        <w:t>beaucoup de</w:t>
      </w:r>
      <w:r w:rsidRPr="001C13D2">
        <w:rPr>
          <w:szCs w:val="24"/>
          <w:lang w:val="fr-FR"/>
        </w:rPr>
        <w:t xml:space="preserve"> personnes pauvres vivent aussi dans les districts </w:t>
      </w:r>
      <w:r>
        <w:rPr>
          <w:szCs w:val="24"/>
          <w:lang w:val="fr-FR"/>
        </w:rPr>
        <w:t>non</w:t>
      </w:r>
      <w:r w:rsidRPr="001C13D2">
        <w:rPr>
          <w:szCs w:val="24"/>
          <w:lang w:val="fr-FR"/>
        </w:rPr>
        <w:t xml:space="preserve"> desservis. </w:t>
      </w:r>
      <w:r>
        <w:rPr>
          <w:szCs w:val="24"/>
          <w:lang w:val="fr-FR"/>
        </w:rPr>
        <w:t xml:space="preserve">La </w:t>
      </w:r>
      <w:r w:rsidRPr="001C13D2">
        <w:rPr>
          <w:szCs w:val="24"/>
          <w:lang w:val="fr-FR"/>
        </w:rPr>
        <w:t xml:space="preserve">mise en œuvre </w:t>
      </w:r>
      <w:r>
        <w:rPr>
          <w:szCs w:val="24"/>
          <w:lang w:val="fr-FR"/>
        </w:rPr>
        <w:t>du</w:t>
      </w:r>
      <w:r w:rsidRPr="001C13D2">
        <w:rPr>
          <w:szCs w:val="24"/>
          <w:lang w:val="fr-FR"/>
        </w:rPr>
        <w:t xml:space="preserve"> programme a, en outre, </w:t>
      </w:r>
      <w:r>
        <w:rPr>
          <w:szCs w:val="24"/>
          <w:lang w:val="fr-FR"/>
        </w:rPr>
        <w:t>été découpée en phases</w:t>
      </w:r>
      <w:r w:rsidRPr="001C13D2">
        <w:rPr>
          <w:szCs w:val="24"/>
          <w:lang w:val="fr-FR"/>
        </w:rPr>
        <w:t xml:space="preserve">. </w:t>
      </w:r>
      <w:r>
        <w:rPr>
          <w:szCs w:val="24"/>
          <w:lang w:val="fr-FR"/>
        </w:rPr>
        <w:t>Le programme</w:t>
      </w:r>
      <w:r w:rsidRPr="001C13D2">
        <w:rPr>
          <w:szCs w:val="24"/>
          <w:lang w:val="fr-FR"/>
        </w:rPr>
        <w:t xml:space="preserve"> se concentre </w:t>
      </w:r>
      <w:r>
        <w:rPr>
          <w:szCs w:val="24"/>
          <w:lang w:val="fr-FR"/>
        </w:rPr>
        <w:t>dans un premier temps</w:t>
      </w:r>
      <w:r w:rsidRPr="001C13D2">
        <w:rPr>
          <w:szCs w:val="24"/>
          <w:lang w:val="fr-FR"/>
        </w:rPr>
        <w:t xml:space="preserve"> sur la consolidation du PSNP </w:t>
      </w:r>
      <w:r>
        <w:rPr>
          <w:szCs w:val="24"/>
          <w:lang w:val="fr-FR"/>
        </w:rPr>
        <w:t>de base</w:t>
      </w:r>
      <w:r w:rsidRPr="001C13D2">
        <w:rPr>
          <w:szCs w:val="24"/>
          <w:lang w:val="fr-FR"/>
        </w:rPr>
        <w:t xml:space="preserve">. Il espère </w:t>
      </w:r>
      <w:r>
        <w:rPr>
          <w:szCs w:val="24"/>
          <w:lang w:val="fr-FR"/>
        </w:rPr>
        <w:t>pouvoir</w:t>
      </w:r>
      <w:r w:rsidRPr="001C13D2">
        <w:rPr>
          <w:szCs w:val="24"/>
          <w:lang w:val="fr-FR"/>
        </w:rPr>
        <w:t xml:space="preserve"> l’enrichir </w:t>
      </w:r>
      <w:r>
        <w:rPr>
          <w:szCs w:val="24"/>
          <w:lang w:val="fr-FR"/>
        </w:rPr>
        <w:t>dans un certain nombre de</w:t>
      </w:r>
      <w:r w:rsidRPr="001C13D2">
        <w:rPr>
          <w:szCs w:val="24"/>
          <w:lang w:val="fr-FR"/>
        </w:rPr>
        <w:t xml:space="preserve"> dimensions, mais les </w:t>
      </w:r>
      <w:r>
        <w:rPr>
          <w:szCs w:val="24"/>
          <w:lang w:val="fr-FR"/>
        </w:rPr>
        <w:t>responsables</w:t>
      </w:r>
      <w:r w:rsidRPr="001C13D2">
        <w:rPr>
          <w:szCs w:val="24"/>
          <w:lang w:val="fr-FR"/>
        </w:rPr>
        <w:t xml:space="preserve"> </w:t>
      </w:r>
      <w:r>
        <w:rPr>
          <w:szCs w:val="24"/>
          <w:lang w:val="fr-FR"/>
        </w:rPr>
        <w:t>du</w:t>
      </w:r>
      <w:r w:rsidRPr="001C13D2">
        <w:rPr>
          <w:szCs w:val="24"/>
          <w:lang w:val="fr-FR"/>
        </w:rPr>
        <w:t xml:space="preserve"> programme et les </w:t>
      </w:r>
      <w:r>
        <w:rPr>
          <w:szCs w:val="24"/>
          <w:lang w:val="fr-FR"/>
        </w:rPr>
        <w:t>bailleurs de fonds</w:t>
      </w:r>
      <w:r w:rsidRPr="001C13D2">
        <w:rPr>
          <w:szCs w:val="24"/>
          <w:lang w:val="fr-FR"/>
        </w:rPr>
        <w:t xml:space="preserve"> ont réalisé que tout ne pouvait pas être fait dans l’immédiat. Ainsi, par exemple, le fonds d’urgence </w:t>
      </w:r>
      <w:r>
        <w:rPr>
          <w:szCs w:val="24"/>
          <w:lang w:val="fr-FR"/>
        </w:rPr>
        <w:t>pour la</w:t>
      </w:r>
      <w:r w:rsidRPr="001C13D2">
        <w:rPr>
          <w:szCs w:val="24"/>
          <w:lang w:val="fr-FR"/>
        </w:rPr>
        <w:t xml:space="preserve"> sécheresse n’a été mis en place qu’au cours de la troisième année du PSNP.</w:t>
      </w:r>
    </w:p>
    <w:p w:rsidR="004E3139" w:rsidRPr="001C13D2" w:rsidRDefault="004E3139" w:rsidP="00E52A30">
      <w:pPr>
        <w:numPr>
          <w:ilvl w:val="0"/>
          <w:numId w:val="9"/>
        </w:numPr>
        <w:tabs>
          <w:tab w:val="clear" w:pos="709"/>
          <w:tab w:val="left" w:pos="284"/>
        </w:tabs>
        <w:ind w:left="284" w:hanging="284"/>
        <w:rPr>
          <w:szCs w:val="24"/>
          <w:lang w:val="fr-FR"/>
        </w:rPr>
      </w:pPr>
      <w:r w:rsidRPr="001C13D2">
        <w:rPr>
          <w:szCs w:val="24"/>
          <w:lang w:val="fr-FR"/>
        </w:rPr>
        <w:t xml:space="preserve">Une bonne mise en œuvre requiert un effort </w:t>
      </w:r>
      <w:r>
        <w:rPr>
          <w:szCs w:val="24"/>
          <w:lang w:val="fr-FR"/>
        </w:rPr>
        <w:t>diligent</w:t>
      </w:r>
      <w:r w:rsidRPr="001C13D2">
        <w:rPr>
          <w:szCs w:val="24"/>
          <w:lang w:val="fr-FR"/>
        </w:rPr>
        <w:t xml:space="preserve"> et soutenu. En 2007, le programme a eu de nombreux résultats positifs et les </w:t>
      </w:r>
      <w:r>
        <w:rPr>
          <w:szCs w:val="24"/>
          <w:lang w:val="fr-FR"/>
        </w:rPr>
        <w:t xml:space="preserve">premières </w:t>
      </w:r>
      <w:r w:rsidRPr="001C13D2">
        <w:rPr>
          <w:szCs w:val="24"/>
          <w:lang w:val="fr-FR"/>
        </w:rPr>
        <w:t xml:space="preserve">évaluations qualitatives de son ciblage et de ses effets </w:t>
      </w:r>
      <w:r>
        <w:rPr>
          <w:szCs w:val="24"/>
          <w:lang w:val="fr-FR"/>
        </w:rPr>
        <w:t>sont</w:t>
      </w:r>
      <w:r w:rsidRPr="001C13D2">
        <w:rPr>
          <w:szCs w:val="24"/>
          <w:lang w:val="fr-FR"/>
        </w:rPr>
        <w:t xml:space="preserve"> positives, mis il y a encore beaucoup à faire pour consolider la mise en œuvre. Une bonne mise en œuvre nécessite également de la flexibilité et de l’innovation. Par exemple, le </w:t>
      </w:r>
      <w:r>
        <w:rPr>
          <w:szCs w:val="24"/>
          <w:lang w:val="fr-FR"/>
        </w:rPr>
        <w:t>g</w:t>
      </w:r>
      <w:r w:rsidRPr="001C13D2">
        <w:rPr>
          <w:szCs w:val="24"/>
          <w:lang w:val="fr-FR"/>
        </w:rPr>
        <w:t xml:space="preserve">ouvernement avait initialement eu des problèmes au niveau du système de suivi du programme, mais il a depuis déployé </w:t>
      </w:r>
      <w:r>
        <w:rPr>
          <w:szCs w:val="24"/>
          <w:lang w:val="fr-FR"/>
        </w:rPr>
        <w:t>des</w:t>
      </w:r>
      <w:r w:rsidRPr="001C13D2">
        <w:rPr>
          <w:szCs w:val="24"/>
          <w:lang w:val="fr-FR"/>
        </w:rPr>
        <w:t xml:space="preserve"> équipes </w:t>
      </w:r>
      <w:r>
        <w:rPr>
          <w:szCs w:val="24"/>
          <w:lang w:val="fr-FR"/>
        </w:rPr>
        <w:t xml:space="preserve">dites </w:t>
      </w:r>
      <w:r w:rsidRPr="001C13D2">
        <w:rPr>
          <w:szCs w:val="24"/>
          <w:lang w:val="fr-FR"/>
        </w:rPr>
        <w:t xml:space="preserve">d’intervention rapide </w:t>
      </w:r>
      <w:r>
        <w:rPr>
          <w:szCs w:val="24"/>
          <w:lang w:val="fr-FR"/>
        </w:rPr>
        <w:t>qui</w:t>
      </w:r>
      <w:r w:rsidRPr="001C13D2">
        <w:rPr>
          <w:szCs w:val="24"/>
          <w:lang w:val="fr-FR"/>
        </w:rPr>
        <w:t xml:space="preserve"> visitent les districts afin d’identifier et résoudre les problèmes de mise en œuvre. Ceci a donné aux </w:t>
      </w:r>
      <w:r>
        <w:rPr>
          <w:szCs w:val="24"/>
          <w:lang w:val="fr-FR"/>
        </w:rPr>
        <w:t>responsables</w:t>
      </w:r>
      <w:r w:rsidRPr="001C13D2">
        <w:rPr>
          <w:szCs w:val="24"/>
          <w:lang w:val="fr-FR"/>
        </w:rPr>
        <w:t xml:space="preserve"> une idée de ce qui allait bien et de ce qui n’allait pas</w:t>
      </w:r>
      <w:r>
        <w:rPr>
          <w:szCs w:val="24"/>
          <w:lang w:val="fr-FR"/>
        </w:rPr>
        <w:t>,</w:t>
      </w:r>
      <w:r w:rsidRPr="001C13D2">
        <w:rPr>
          <w:szCs w:val="24"/>
          <w:lang w:val="fr-FR"/>
        </w:rPr>
        <w:t xml:space="preserve"> et leur a permis de déterminer si des ajustements étaient nécessaires au niveau des districts individuels ou à un niveau plus systémique. </w:t>
      </w:r>
      <w:r>
        <w:rPr>
          <w:szCs w:val="24"/>
          <w:lang w:val="fr-FR"/>
        </w:rPr>
        <w:t>Entretemps, la conception</w:t>
      </w:r>
      <w:r w:rsidRPr="001C13D2">
        <w:rPr>
          <w:szCs w:val="24"/>
          <w:lang w:val="fr-FR"/>
        </w:rPr>
        <w:t xml:space="preserve"> du système de suivi a été simplifié</w:t>
      </w:r>
      <w:r>
        <w:rPr>
          <w:szCs w:val="24"/>
          <w:lang w:val="fr-FR"/>
        </w:rPr>
        <w:t>e</w:t>
      </w:r>
      <w:r w:rsidRPr="001C13D2">
        <w:rPr>
          <w:szCs w:val="24"/>
          <w:lang w:val="fr-FR"/>
        </w:rPr>
        <w:t xml:space="preserve"> et un projet pilote </w:t>
      </w:r>
      <w:r>
        <w:rPr>
          <w:szCs w:val="24"/>
          <w:lang w:val="fr-FR"/>
        </w:rPr>
        <w:t>d’informatisation est en cours.</w:t>
      </w:r>
      <w:r w:rsidRPr="001C13D2">
        <w:rPr>
          <w:szCs w:val="24"/>
          <w:lang w:val="fr-FR"/>
        </w:rPr>
        <w:t xml:space="preserve"> </w:t>
      </w:r>
    </w:p>
    <w:p w:rsidR="004E3139" w:rsidRPr="001C13D2" w:rsidRDefault="004E3139" w:rsidP="00E52A30">
      <w:pPr>
        <w:numPr>
          <w:ilvl w:val="0"/>
          <w:numId w:val="9"/>
        </w:numPr>
        <w:tabs>
          <w:tab w:val="clear" w:pos="709"/>
          <w:tab w:val="left" w:pos="284"/>
        </w:tabs>
        <w:ind w:left="284" w:hanging="284"/>
        <w:rPr>
          <w:szCs w:val="24"/>
          <w:lang w:val="fr-FR"/>
        </w:rPr>
      </w:pPr>
      <w:r w:rsidRPr="001C13D2">
        <w:rPr>
          <w:szCs w:val="24"/>
          <w:lang w:val="fr-FR"/>
        </w:rPr>
        <w:t>Un aspect important de la réforme est le passage à un cadre multi</w:t>
      </w:r>
      <w:r w:rsidR="00164427">
        <w:rPr>
          <w:szCs w:val="24"/>
          <w:lang w:val="fr-FR"/>
        </w:rPr>
        <w:t>-</w:t>
      </w:r>
      <w:r w:rsidR="005D6182">
        <w:rPr>
          <w:szCs w:val="24"/>
          <w:lang w:val="fr-FR"/>
        </w:rPr>
        <w:t>bailleurs</w:t>
      </w:r>
      <w:r w:rsidRPr="001C13D2">
        <w:rPr>
          <w:szCs w:val="24"/>
          <w:lang w:val="fr-FR"/>
        </w:rPr>
        <w:t xml:space="preserve">, pluriannuel </w:t>
      </w:r>
      <w:r>
        <w:rPr>
          <w:szCs w:val="24"/>
          <w:lang w:val="fr-FR"/>
        </w:rPr>
        <w:t>à la place</w:t>
      </w:r>
      <w:r w:rsidRPr="001C13D2">
        <w:rPr>
          <w:szCs w:val="24"/>
          <w:lang w:val="fr-FR"/>
        </w:rPr>
        <w:t xml:space="preserve"> d’un système annuel d’appel d’urgence </w:t>
      </w:r>
      <w:r>
        <w:rPr>
          <w:szCs w:val="24"/>
          <w:lang w:val="fr-FR"/>
        </w:rPr>
        <w:t>où</w:t>
      </w:r>
      <w:r w:rsidRPr="001C13D2">
        <w:rPr>
          <w:szCs w:val="24"/>
          <w:lang w:val="fr-FR"/>
        </w:rPr>
        <w:t xml:space="preserve"> chaque </w:t>
      </w:r>
      <w:r>
        <w:rPr>
          <w:szCs w:val="24"/>
          <w:lang w:val="fr-FR"/>
        </w:rPr>
        <w:t>bailleur de fonds</w:t>
      </w:r>
      <w:r w:rsidRPr="001C13D2">
        <w:rPr>
          <w:szCs w:val="24"/>
          <w:lang w:val="fr-FR"/>
        </w:rPr>
        <w:t xml:space="preserve"> </w:t>
      </w:r>
      <w:r>
        <w:rPr>
          <w:szCs w:val="24"/>
          <w:lang w:val="fr-FR"/>
        </w:rPr>
        <w:t>prend en charge</w:t>
      </w:r>
      <w:r w:rsidRPr="001C13D2">
        <w:rPr>
          <w:szCs w:val="24"/>
          <w:lang w:val="fr-FR"/>
        </w:rPr>
        <w:t xml:space="preserve"> une initiative </w:t>
      </w:r>
      <w:r>
        <w:rPr>
          <w:szCs w:val="24"/>
          <w:lang w:val="fr-FR"/>
        </w:rPr>
        <w:t>séparée</w:t>
      </w:r>
      <w:r w:rsidRPr="001C13D2">
        <w:rPr>
          <w:szCs w:val="24"/>
          <w:lang w:val="fr-FR"/>
        </w:rPr>
        <w:t xml:space="preserve">. Ceci est </w:t>
      </w:r>
      <w:r>
        <w:rPr>
          <w:szCs w:val="24"/>
          <w:lang w:val="fr-FR"/>
        </w:rPr>
        <w:t>complété par</w:t>
      </w:r>
      <w:r w:rsidRPr="001C13D2">
        <w:rPr>
          <w:szCs w:val="24"/>
          <w:lang w:val="fr-FR"/>
        </w:rPr>
        <w:t xml:space="preserve"> la décision d’exécuter le programme à travers les systèmes </w:t>
      </w:r>
      <w:r>
        <w:rPr>
          <w:szCs w:val="24"/>
          <w:lang w:val="fr-FR"/>
        </w:rPr>
        <w:t>publics</w:t>
      </w:r>
      <w:r w:rsidRPr="001C13D2">
        <w:rPr>
          <w:szCs w:val="24"/>
          <w:lang w:val="fr-FR"/>
        </w:rPr>
        <w:t xml:space="preserve"> </w:t>
      </w:r>
      <w:r>
        <w:rPr>
          <w:szCs w:val="24"/>
          <w:lang w:val="fr-FR"/>
        </w:rPr>
        <w:t>normaux</w:t>
      </w:r>
      <w:r w:rsidRPr="001C13D2">
        <w:rPr>
          <w:szCs w:val="24"/>
          <w:lang w:val="fr-FR"/>
        </w:rPr>
        <w:t xml:space="preserve"> au lieu des cellules spéciales de mise en œuvre </w:t>
      </w:r>
      <w:r>
        <w:rPr>
          <w:szCs w:val="24"/>
          <w:lang w:val="fr-FR"/>
        </w:rPr>
        <w:t xml:space="preserve">habituellement utilisées </w:t>
      </w:r>
      <w:r w:rsidRPr="001C13D2">
        <w:rPr>
          <w:szCs w:val="24"/>
          <w:lang w:val="fr-FR"/>
        </w:rPr>
        <w:t xml:space="preserve">dans les programmes financés par des </w:t>
      </w:r>
      <w:r w:rsidR="005D6182">
        <w:rPr>
          <w:szCs w:val="24"/>
          <w:lang w:val="fr-FR"/>
        </w:rPr>
        <w:t>bailleurs de fond</w:t>
      </w:r>
      <w:r w:rsidRPr="001C13D2">
        <w:rPr>
          <w:szCs w:val="24"/>
          <w:lang w:val="fr-FR"/>
        </w:rPr>
        <w:t>. Le cadre pluriannuel et la réduction de la fragmentation devraient permettre la mise en place de systèmes administratifs beaucoup plus efficaces. Le cadre multi</w:t>
      </w:r>
      <w:r w:rsidR="00164427">
        <w:rPr>
          <w:szCs w:val="24"/>
          <w:lang w:val="fr-FR"/>
        </w:rPr>
        <w:t>-</w:t>
      </w:r>
      <w:r w:rsidR="005D6182">
        <w:rPr>
          <w:szCs w:val="24"/>
          <w:lang w:val="fr-FR"/>
        </w:rPr>
        <w:t>bailleurs</w:t>
      </w:r>
      <w:r w:rsidRPr="001C13D2">
        <w:rPr>
          <w:szCs w:val="24"/>
          <w:lang w:val="fr-FR"/>
        </w:rPr>
        <w:t xml:space="preserve"> devrait également </w:t>
      </w:r>
      <w:r>
        <w:rPr>
          <w:szCs w:val="24"/>
          <w:lang w:val="fr-FR"/>
        </w:rPr>
        <w:t>apporter plus de résilience</w:t>
      </w:r>
      <w:r w:rsidRPr="001C13D2">
        <w:rPr>
          <w:szCs w:val="24"/>
          <w:lang w:val="fr-FR"/>
        </w:rPr>
        <w:t xml:space="preserve">, </w:t>
      </w:r>
      <w:r>
        <w:rPr>
          <w:szCs w:val="24"/>
          <w:lang w:val="fr-FR"/>
        </w:rPr>
        <w:t>étant donné</w:t>
      </w:r>
      <w:r w:rsidRPr="001C13D2">
        <w:rPr>
          <w:szCs w:val="24"/>
          <w:lang w:val="fr-FR"/>
        </w:rPr>
        <w:t xml:space="preserve"> que le retrait ou </w:t>
      </w:r>
      <w:r>
        <w:rPr>
          <w:szCs w:val="24"/>
          <w:lang w:val="fr-FR"/>
        </w:rPr>
        <w:t xml:space="preserve">la diminution de </w:t>
      </w:r>
      <w:r w:rsidRPr="001C13D2">
        <w:rPr>
          <w:szCs w:val="24"/>
          <w:lang w:val="fr-FR"/>
        </w:rPr>
        <w:t xml:space="preserve">l’engagement d’un donateur aura un effet moins </w:t>
      </w:r>
      <w:r>
        <w:rPr>
          <w:szCs w:val="24"/>
          <w:lang w:val="fr-FR"/>
        </w:rPr>
        <w:t>néfaste</w:t>
      </w:r>
      <w:r w:rsidRPr="001C13D2">
        <w:rPr>
          <w:szCs w:val="24"/>
          <w:lang w:val="fr-FR"/>
        </w:rPr>
        <w:t>.</w:t>
      </w:r>
    </w:p>
    <w:p w:rsidR="004E3139" w:rsidRPr="001C13D2" w:rsidRDefault="004E3139" w:rsidP="004E3139">
      <w:pPr>
        <w:keepNext/>
        <w:rPr>
          <w:b/>
          <w:szCs w:val="24"/>
          <w:lang w:val="fr-FR"/>
        </w:rPr>
      </w:pPr>
      <w:bookmarkStart w:id="296" w:name="_Toc244616894"/>
      <w:r w:rsidRPr="009A60D0">
        <w:rPr>
          <w:b/>
          <w:i/>
          <w:szCs w:val="24"/>
          <w:lang w:val="fr-BE"/>
        </w:rPr>
        <w:t xml:space="preserve">Kenya Cash Transfer Program for Orphans and Vulnerable Children </w:t>
      </w:r>
      <w:r>
        <w:rPr>
          <w:b/>
          <w:szCs w:val="24"/>
          <w:lang w:val="fr-FR"/>
        </w:rPr>
        <w:t>(</w:t>
      </w:r>
      <w:r w:rsidRPr="001C13D2">
        <w:rPr>
          <w:b/>
          <w:szCs w:val="24"/>
          <w:lang w:val="fr-FR"/>
        </w:rPr>
        <w:t>CT-OVC</w:t>
      </w:r>
      <w:r>
        <w:rPr>
          <w:b/>
          <w:szCs w:val="24"/>
          <w:lang w:val="fr-FR"/>
        </w:rPr>
        <w:t xml:space="preserve"> – p</w:t>
      </w:r>
      <w:r w:rsidRPr="001C13D2">
        <w:rPr>
          <w:b/>
          <w:szCs w:val="24"/>
          <w:lang w:val="fr-FR"/>
        </w:rPr>
        <w:t xml:space="preserve">rogramme de transferts monétaires pour les orphelins et les enfants vulnérables du Kenya) </w:t>
      </w:r>
      <w:bookmarkEnd w:id="296"/>
    </w:p>
    <w:p w:rsidR="004E3139" w:rsidRPr="001C13D2" w:rsidRDefault="004E3139" w:rsidP="004E3139">
      <w:pPr>
        <w:keepNext/>
        <w:rPr>
          <w:szCs w:val="24"/>
          <w:lang w:val="fr-FR"/>
        </w:rPr>
      </w:pPr>
      <w:r w:rsidRPr="001C13D2">
        <w:rPr>
          <w:szCs w:val="24"/>
          <w:lang w:val="fr-FR"/>
        </w:rPr>
        <w:t xml:space="preserve">Ce programme de transferts a commencé comme un pré-pilote en 2004. Il a depuis été transformé en un projet pilote de cinq ans et est passé d’un très petit budget à un budget prévisionnel de 26 </w:t>
      </w:r>
      <w:r>
        <w:rPr>
          <w:szCs w:val="24"/>
          <w:lang w:val="fr-FR"/>
        </w:rPr>
        <w:t>millions</w:t>
      </w:r>
      <w:r w:rsidRPr="001C13D2">
        <w:rPr>
          <w:szCs w:val="24"/>
          <w:lang w:val="fr-FR"/>
        </w:rPr>
        <w:t xml:space="preserve"> de dollars EU pour l’exercice 2010 (</w:t>
      </w:r>
      <w:r>
        <w:rPr>
          <w:szCs w:val="24"/>
          <w:lang w:val="fr-FR"/>
        </w:rPr>
        <w:t>Banque mondiale</w:t>
      </w:r>
      <w:r w:rsidRPr="001C13D2">
        <w:rPr>
          <w:szCs w:val="24"/>
          <w:lang w:val="fr-FR"/>
        </w:rPr>
        <w:t xml:space="preserve"> 2009c). </w:t>
      </w:r>
      <w:r>
        <w:rPr>
          <w:szCs w:val="24"/>
          <w:lang w:val="fr-FR"/>
        </w:rPr>
        <w:t>Complètement</w:t>
      </w:r>
      <w:r w:rsidRPr="001C13D2">
        <w:rPr>
          <w:szCs w:val="24"/>
          <w:lang w:val="fr-FR"/>
        </w:rPr>
        <w:t xml:space="preserve"> documenté, </w:t>
      </w:r>
      <w:r>
        <w:rPr>
          <w:szCs w:val="24"/>
          <w:lang w:val="fr-FR"/>
        </w:rPr>
        <w:t>c</w:t>
      </w:r>
      <w:r w:rsidRPr="001C13D2">
        <w:rPr>
          <w:szCs w:val="24"/>
          <w:lang w:val="fr-FR"/>
        </w:rPr>
        <w:t xml:space="preserve">e programme </w:t>
      </w:r>
      <w:r>
        <w:rPr>
          <w:szCs w:val="24"/>
          <w:lang w:val="fr-FR"/>
        </w:rPr>
        <w:t xml:space="preserve">permet de bénéficier d’une </w:t>
      </w:r>
      <w:r w:rsidRPr="001C13D2">
        <w:rPr>
          <w:szCs w:val="24"/>
          <w:lang w:val="fr-FR"/>
        </w:rPr>
        <w:t>précieuse expérience</w:t>
      </w:r>
      <w:r>
        <w:rPr>
          <w:szCs w:val="24"/>
          <w:lang w:val="fr-FR"/>
        </w:rPr>
        <w:t xml:space="preserve"> dans les domaines de la défense des politiques, la</w:t>
      </w:r>
      <w:r w:rsidRPr="001C13D2">
        <w:rPr>
          <w:szCs w:val="24"/>
          <w:lang w:val="fr-FR"/>
        </w:rPr>
        <w:t xml:space="preserve"> conception et </w:t>
      </w:r>
      <w:r>
        <w:rPr>
          <w:szCs w:val="24"/>
          <w:lang w:val="fr-FR"/>
        </w:rPr>
        <w:t>la mise en œuvre</w:t>
      </w:r>
      <w:r w:rsidRPr="001C13D2">
        <w:rPr>
          <w:szCs w:val="24"/>
          <w:lang w:val="fr-FR"/>
        </w:rPr>
        <w:t xml:space="preserve"> des transferts monétaires conditionnels en ASS. Ce programme est une composante clé de la stratégie de protection sociale </w:t>
      </w:r>
      <w:r>
        <w:rPr>
          <w:szCs w:val="24"/>
          <w:lang w:val="fr-FR"/>
        </w:rPr>
        <w:t xml:space="preserve">d’ensemble </w:t>
      </w:r>
      <w:r w:rsidRPr="001C13D2">
        <w:rPr>
          <w:szCs w:val="24"/>
          <w:lang w:val="fr-FR"/>
        </w:rPr>
        <w:t xml:space="preserve">du Kenya car il </w:t>
      </w:r>
      <w:r>
        <w:rPr>
          <w:szCs w:val="24"/>
          <w:lang w:val="fr-FR"/>
        </w:rPr>
        <w:t>vise</w:t>
      </w:r>
      <w:r w:rsidRPr="001C13D2">
        <w:rPr>
          <w:szCs w:val="24"/>
          <w:lang w:val="fr-FR"/>
        </w:rPr>
        <w:t xml:space="preserve"> </w:t>
      </w:r>
      <w:r>
        <w:rPr>
          <w:szCs w:val="24"/>
          <w:lang w:val="fr-FR"/>
        </w:rPr>
        <w:t>l</w:t>
      </w:r>
      <w:r w:rsidRPr="001C13D2">
        <w:rPr>
          <w:szCs w:val="24"/>
          <w:lang w:val="fr-FR"/>
        </w:rPr>
        <w:t xml:space="preserve">es risques encourus par les enfants des communautés où </w:t>
      </w:r>
      <w:r>
        <w:rPr>
          <w:szCs w:val="24"/>
          <w:lang w:val="fr-FR"/>
        </w:rPr>
        <w:t xml:space="preserve">les capacités des </w:t>
      </w:r>
      <w:r w:rsidRPr="001C13D2">
        <w:rPr>
          <w:szCs w:val="24"/>
          <w:lang w:val="fr-FR"/>
        </w:rPr>
        <w:t>systèmes informels de filet</w:t>
      </w:r>
      <w:r>
        <w:rPr>
          <w:szCs w:val="24"/>
          <w:lang w:val="fr-FR"/>
        </w:rPr>
        <w:t>s</w:t>
      </w:r>
      <w:r w:rsidRPr="001C13D2">
        <w:rPr>
          <w:szCs w:val="24"/>
          <w:lang w:val="fr-FR"/>
        </w:rPr>
        <w:t xml:space="preserve"> </w:t>
      </w:r>
      <w:r>
        <w:rPr>
          <w:szCs w:val="24"/>
          <w:lang w:val="fr-FR"/>
        </w:rPr>
        <w:t>sociaux</w:t>
      </w:r>
      <w:r w:rsidRPr="001C13D2" w:rsidDel="009E0735">
        <w:rPr>
          <w:szCs w:val="24"/>
          <w:lang w:val="fr-FR"/>
        </w:rPr>
        <w:t xml:space="preserve"> </w:t>
      </w:r>
      <w:r>
        <w:rPr>
          <w:szCs w:val="24"/>
          <w:lang w:val="fr-FR"/>
        </w:rPr>
        <w:t>commencent à être dépassées par le</w:t>
      </w:r>
      <w:r w:rsidRPr="001C13D2">
        <w:rPr>
          <w:szCs w:val="24"/>
          <w:lang w:val="fr-FR"/>
        </w:rPr>
        <w:t xml:space="preserve"> grand nombre </w:t>
      </w:r>
      <w:r>
        <w:rPr>
          <w:szCs w:val="24"/>
          <w:lang w:val="fr-FR"/>
        </w:rPr>
        <w:t xml:space="preserve">des </w:t>
      </w:r>
      <w:r w:rsidRPr="001C13D2">
        <w:rPr>
          <w:szCs w:val="24"/>
          <w:lang w:val="fr-FR"/>
        </w:rPr>
        <w:t>OEV</w:t>
      </w:r>
      <w:r>
        <w:rPr>
          <w:szCs w:val="24"/>
          <w:lang w:val="fr-FR"/>
        </w:rPr>
        <w:t>,</w:t>
      </w:r>
      <w:r w:rsidRPr="001C13D2">
        <w:rPr>
          <w:szCs w:val="24"/>
          <w:lang w:val="fr-FR"/>
        </w:rPr>
        <w:t xml:space="preserve"> </w:t>
      </w:r>
      <w:r>
        <w:rPr>
          <w:szCs w:val="24"/>
          <w:lang w:val="fr-FR"/>
        </w:rPr>
        <w:t>encore accru</w:t>
      </w:r>
      <w:r w:rsidRPr="001C13D2">
        <w:rPr>
          <w:szCs w:val="24"/>
          <w:lang w:val="fr-FR"/>
        </w:rPr>
        <w:t xml:space="preserve"> par les décès d’adultes atteints du SIDA. En plus de susciter l’intérêt des </w:t>
      </w:r>
      <w:r w:rsidR="005D6182">
        <w:rPr>
          <w:szCs w:val="24"/>
          <w:lang w:val="fr-FR"/>
        </w:rPr>
        <w:t>bailleurs de fond</w:t>
      </w:r>
      <w:r w:rsidRPr="001C13D2">
        <w:rPr>
          <w:szCs w:val="24"/>
          <w:lang w:val="fr-FR"/>
        </w:rPr>
        <w:t xml:space="preserve">, les initiatives CT-OVC ont reçu un fort soutien politique local, incluant des pressions pour </w:t>
      </w:r>
      <w:r>
        <w:rPr>
          <w:szCs w:val="24"/>
          <w:lang w:val="fr-FR"/>
        </w:rPr>
        <w:t xml:space="preserve">une </w:t>
      </w:r>
      <w:r w:rsidRPr="001C13D2">
        <w:rPr>
          <w:szCs w:val="24"/>
          <w:lang w:val="fr-FR"/>
        </w:rPr>
        <w:t xml:space="preserve">expansion rapide du programme. </w:t>
      </w:r>
    </w:p>
    <w:p w:rsidR="004E3139" w:rsidRPr="001C13D2" w:rsidRDefault="004E3139" w:rsidP="004E3139">
      <w:pPr>
        <w:tabs>
          <w:tab w:val="clear" w:pos="709"/>
          <w:tab w:val="left" w:pos="284"/>
        </w:tabs>
        <w:rPr>
          <w:i/>
          <w:szCs w:val="24"/>
          <w:lang w:val="fr-FR"/>
        </w:rPr>
      </w:pPr>
      <w:r w:rsidRPr="001C13D2">
        <w:rPr>
          <w:i/>
          <w:szCs w:val="24"/>
          <w:lang w:val="fr-FR"/>
        </w:rPr>
        <w:t>Objectifs du programme pré-pilote</w:t>
      </w:r>
    </w:p>
    <w:p w:rsidR="004E3139" w:rsidRPr="001C13D2" w:rsidRDefault="004E3139" w:rsidP="004E3139">
      <w:pPr>
        <w:tabs>
          <w:tab w:val="clear" w:pos="709"/>
          <w:tab w:val="left" w:pos="284"/>
        </w:tabs>
        <w:rPr>
          <w:szCs w:val="24"/>
          <w:lang w:val="fr-FR"/>
        </w:rPr>
      </w:pPr>
      <w:r w:rsidRPr="001C13D2">
        <w:rPr>
          <w:szCs w:val="24"/>
          <w:lang w:val="fr-FR"/>
        </w:rPr>
        <w:t xml:space="preserve">Le but du programme pré-pilote était </w:t>
      </w:r>
      <w:r>
        <w:rPr>
          <w:szCs w:val="24"/>
          <w:lang w:val="fr-FR"/>
        </w:rPr>
        <w:t>de prouver la faisabilité</w:t>
      </w:r>
      <w:r w:rsidRPr="001C13D2">
        <w:rPr>
          <w:szCs w:val="24"/>
          <w:lang w:val="fr-FR"/>
        </w:rPr>
        <w:t xml:space="preserve"> du programme de transferts monétaires </w:t>
      </w:r>
      <w:r>
        <w:rPr>
          <w:szCs w:val="24"/>
          <w:lang w:val="fr-FR"/>
        </w:rPr>
        <w:t>de soutien</w:t>
      </w:r>
      <w:r w:rsidRPr="001C13D2">
        <w:rPr>
          <w:szCs w:val="24"/>
          <w:lang w:val="fr-FR"/>
        </w:rPr>
        <w:t xml:space="preserve"> aux OEV </w:t>
      </w:r>
      <w:r>
        <w:rPr>
          <w:szCs w:val="24"/>
          <w:lang w:val="fr-FR"/>
        </w:rPr>
        <w:t>d</w:t>
      </w:r>
      <w:r w:rsidRPr="001C13D2">
        <w:rPr>
          <w:szCs w:val="24"/>
          <w:lang w:val="fr-FR"/>
        </w:rPr>
        <w:t xml:space="preserve">u Kenya. La phase pré-pilote a commencé en décembre 2004, </w:t>
      </w:r>
      <w:r>
        <w:rPr>
          <w:szCs w:val="24"/>
          <w:lang w:val="fr-FR"/>
        </w:rPr>
        <w:t>couvrant</w:t>
      </w:r>
      <w:r w:rsidRPr="001C13D2">
        <w:rPr>
          <w:szCs w:val="24"/>
          <w:lang w:val="fr-FR"/>
        </w:rPr>
        <w:t xml:space="preserve"> initialement 500 enfants. Sa portée a ensuite été élargie pour </w:t>
      </w:r>
      <w:r>
        <w:rPr>
          <w:szCs w:val="24"/>
          <w:lang w:val="fr-FR"/>
        </w:rPr>
        <w:t>atteindre</w:t>
      </w:r>
      <w:r w:rsidRPr="001C13D2">
        <w:rPr>
          <w:szCs w:val="24"/>
          <w:lang w:val="fr-FR"/>
        </w:rPr>
        <w:t xml:space="preserve"> 5</w:t>
      </w:r>
      <w:r>
        <w:rPr>
          <w:szCs w:val="24"/>
          <w:lang w:val="fr-FR"/>
        </w:rPr>
        <w:t> </w:t>
      </w:r>
      <w:r w:rsidRPr="001C13D2">
        <w:rPr>
          <w:szCs w:val="24"/>
          <w:lang w:val="fr-FR"/>
        </w:rPr>
        <w:t xml:space="preserve">000 enfants. Le pré-pilote </w:t>
      </w:r>
      <w:r>
        <w:rPr>
          <w:szCs w:val="24"/>
          <w:lang w:val="fr-FR"/>
        </w:rPr>
        <w:t>a reçu</w:t>
      </w:r>
      <w:r w:rsidRPr="001C13D2">
        <w:rPr>
          <w:szCs w:val="24"/>
          <w:lang w:val="fr-FR"/>
        </w:rPr>
        <w:t xml:space="preserve"> l’appui de l’UNICEF et </w:t>
      </w:r>
      <w:r>
        <w:rPr>
          <w:szCs w:val="24"/>
          <w:lang w:val="fr-FR"/>
        </w:rPr>
        <w:t>de l’</w:t>
      </w:r>
      <w:r w:rsidRPr="00C56941">
        <w:rPr>
          <w:szCs w:val="24"/>
          <w:lang w:val="fr-FR"/>
        </w:rPr>
        <w:t>Agence suédoise pour le développement international</w:t>
      </w:r>
      <w:r>
        <w:rPr>
          <w:szCs w:val="24"/>
          <w:lang w:val="fr-FR"/>
        </w:rPr>
        <w:t xml:space="preserve"> (SIDA),</w:t>
      </w:r>
      <w:r w:rsidRPr="001C13D2">
        <w:rPr>
          <w:szCs w:val="24"/>
          <w:lang w:val="fr-FR"/>
        </w:rPr>
        <w:t xml:space="preserve"> et était géré à partir du Département des services à l’enfance (</w:t>
      </w:r>
      <w:r>
        <w:rPr>
          <w:szCs w:val="24"/>
          <w:lang w:val="fr-FR"/>
        </w:rPr>
        <w:t>Banque mondiale</w:t>
      </w:r>
      <w:r w:rsidRPr="001C13D2">
        <w:rPr>
          <w:szCs w:val="24"/>
          <w:lang w:val="fr-FR"/>
        </w:rPr>
        <w:t xml:space="preserve"> 2009c). Les premiers districts du projet </w:t>
      </w:r>
      <w:r>
        <w:rPr>
          <w:szCs w:val="24"/>
          <w:lang w:val="fr-FR"/>
        </w:rPr>
        <w:t>–</w:t>
      </w:r>
      <w:r w:rsidRPr="001C13D2">
        <w:rPr>
          <w:szCs w:val="24"/>
          <w:lang w:val="fr-FR"/>
        </w:rPr>
        <w:t xml:space="preserve"> Nairobi, Kwaleet Garissa </w:t>
      </w:r>
      <w:r>
        <w:rPr>
          <w:szCs w:val="24"/>
          <w:lang w:val="fr-FR"/>
        </w:rPr>
        <w:t>–</w:t>
      </w:r>
      <w:r w:rsidRPr="001C13D2">
        <w:rPr>
          <w:szCs w:val="24"/>
          <w:lang w:val="fr-FR"/>
        </w:rPr>
        <w:t xml:space="preserve"> avaient été sélectionnés parce qu’ils étaient des zones où l’UNICEF et l</w:t>
      </w:r>
      <w:r>
        <w:rPr>
          <w:szCs w:val="24"/>
          <w:lang w:val="fr-FR"/>
        </w:rPr>
        <w:t>a</w:t>
      </w:r>
      <w:r w:rsidRPr="001C13D2">
        <w:rPr>
          <w:szCs w:val="24"/>
          <w:lang w:val="fr-FR"/>
        </w:rPr>
        <w:t xml:space="preserve"> SIDA avaient déjà </w:t>
      </w:r>
      <w:r>
        <w:rPr>
          <w:szCs w:val="24"/>
          <w:lang w:val="fr-FR"/>
        </w:rPr>
        <w:t xml:space="preserve">une </w:t>
      </w:r>
      <w:r w:rsidRPr="001C13D2">
        <w:rPr>
          <w:szCs w:val="24"/>
          <w:lang w:val="fr-FR"/>
        </w:rPr>
        <w:t xml:space="preserve">expérience et </w:t>
      </w:r>
      <w:r>
        <w:rPr>
          <w:szCs w:val="24"/>
          <w:lang w:val="fr-FR"/>
        </w:rPr>
        <w:t>une</w:t>
      </w:r>
      <w:r w:rsidRPr="001C13D2">
        <w:rPr>
          <w:szCs w:val="24"/>
          <w:lang w:val="fr-FR"/>
        </w:rPr>
        <w:t xml:space="preserve"> connaissance du terrain. Le pré-pilote ciblait les ménages pauvres et </w:t>
      </w:r>
      <w:r>
        <w:rPr>
          <w:szCs w:val="24"/>
          <w:lang w:val="fr-FR"/>
        </w:rPr>
        <w:t>ceux</w:t>
      </w:r>
      <w:r w:rsidRPr="001C13D2">
        <w:rPr>
          <w:szCs w:val="24"/>
          <w:lang w:val="fr-FR"/>
        </w:rPr>
        <w:t xml:space="preserve"> ayant des OEV</w:t>
      </w:r>
      <w:r>
        <w:rPr>
          <w:szCs w:val="24"/>
          <w:lang w:val="fr-FR"/>
        </w:rPr>
        <w:t>,</w:t>
      </w:r>
      <w:r w:rsidRPr="001C13D2">
        <w:rPr>
          <w:szCs w:val="24"/>
          <w:lang w:val="fr-FR"/>
        </w:rPr>
        <w:t xml:space="preserve"> qui ne recevaient </w:t>
      </w:r>
      <w:r>
        <w:rPr>
          <w:szCs w:val="24"/>
          <w:lang w:val="fr-FR"/>
        </w:rPr>
        <w:t xml:space="preserve">aucune </w:t>
      </w:r>
      <w:r w:rsidRPr="001C13D2">
        <w:rPr>
          <w:szCs w:val="24"/>
          <w:lang w:val="fr-FR"/>
        </w:rPr>
        <w:t xml:space="preserve">autre forme de soutien </w:t>
      </w:r>
      <w:r>
        <w:rPr>
          <w:szCs w:val="24"/>
          <w:lang w:val="fr-FR"/>
        </w:rPr>
        <w:t>officiel</w:t>
      </w:r>
      <w:r w:rsidRPr="001C13D2">
        <w:rPr>
          <w:szCs w:val="24"/>
          <w:lang w:val="fr-FR"/>
        </w:rPr>
        <w:t xml:space="preserve">. Les bénéficiaires recevaient 500 </w:t>
      </w:r>
      <w:r>
        <w:rPr>
          <w:szCs w:val="24"/>
          <w:lang w:val="fr-FR"/>
        </w:rPr>
        <w:t>s</w:t>
      </w:r>
      <w:r w:rsidRPr="00835013">
        <w:rPr>
          <w:szCs w:val="24"/>
          <w:lang w:val="fr-FR"/>
        </w:rPr>
        <w:t>hilling</w:t>
      </w:r>
      <w:r>
        <w:rPr>
          <w:szCs w:val="24"/>
          <w:lang w:val="fr-FR"/>
        </w:rPr>
        <w:t>s</w:t>
      </w:r>
      <w:r w:rsidRPr="00835013">
        <w:rPr>
          <w:szCs w:val="24"/>
          <w:lang w:val="fr-FR"/>
        </w:rPr>
        <w:t xml:space="preserve"> du Kenya</w:t>
      </w:r>
      <w:r w:rsidRPr="00835013">
        <w:rPr>
          <w:rFonts w:ascii="Arial" w:hAnsi="Arial" w:cs="Arial"/>
          <w:color w:val="333355"/>
          <w:sz w:val="18"/>
          <w:szCs w:val="18"/>
          <w:lang w:val="fr-BE"/>
        </w:rPr>
        <w:t xml:space="preserve"> </w:t>
      </w:r>
      <w:r>
        <w:rPr>
          <w:szCs w:val="24"/>
          <w:lang w:val="fr-FR"/>
        </w:rPr>
        <w:t>(</w:t>
      </w:r>
      <w:r w:rsidRPr="001C13D2">
        <w:rPr>
          <w:szCs w:val="24"/>
          <w:lang w:val="fr-FR"/>
        </w:rPr>
        <w:t>6</w:t>
      </w:r>
      <w:r>
        <w:rPr>
          <w:szCs w:val="24"/>
          <w:lang w:val="fr-FR"/>
        </w:rPr>
        <w:t>,</w:t>
      </w:r>
      <w:r w:rsidRPr="001C13D2">
        <w:rPr>
          <w:szCs w:val="24"/>
          <w:lang w:val="fr-FR"/>
        </w:rPr>
        <w:t xml:space="preserve">25 </w:t>
      </w:r>
      <w:r>
        <w:rPr>
          <w:szCs w:val="24"/>
          <w:lang w:val="fr-FR"/>
        </w:rPr>
        <w:t xml:space="preserve">dollars </w:t>
      </w:r>
      <w:r w:rsidRPr="001C13D2">
        <w:rPr>
          <w:szCs w:val="24"/>
          <w:lang w:val="fr-FR"/>
        </w:rPr>
        <w:t>EU</w:t>
      </w:r>
      <w:r>
        <w:rPr>
          <w:szCs w:val="24"/>
          <w:lang w:val="fr-FR"/>
        </w:rPr>
        <w:t>)</w:t>
      </w:r>
      <w:r w:rsidRPr="001C13D2">
        <w:rPr>
          <w:szCs w:val="24"/>
          <w:lang w:val="fr-FR"/>
        </w:rPr>
        <w:t xml:space="preserve"> par mois </w:t>
      </w:r>
      <w:r>
        <w:rPr>
          <w:szCs w:val="24"/>
          <w:lang w:val="fr-FR"/>
        </w:rPr>
        <w:t xml:space="preserve">et </w:t>
      </w:r>
      <w:r w:rsidRPr="001C13D2">
        <w:rPr>
          <w:szCs w:val="24"/>
          <w:lang w:val="fr-FR"/>
        </w:rPr>
        <w:t xml:space="preserve">par enfant (SCIK et </w:t>
      </w:r>
      <w:r>
        <w:rPr>
          <w:szCs w:val="24"/>
          <w:lang w:val="fr-FR"/>
        </w:rPr>
        <w:t>col</w:t>
      </w:r>
      <w:r w:rsidRPr="001C13D2">
        <w:rPr>
          <w:szCs w:val="24"/>
          <w:lang w:val="fr-FR"/>
        </w:rPr>
        <w:t xml:space="preserve">l. 2005). </w:t>
      </w:r>
      <w:r>
        <w:rPr>
          <w:szCs w:val="24"/>
          <w:lang w:val="fr-FR"/>
        </w:rPr>
        <w:t>Théoriquement</w:t>
      </w:r>
      <w:r w:rsidRPr="001C13D2">
        <w:rPr>
          <w:szCs w:val="24"/>
          <w:lang w:val="fr-FR"/>
        </w:rPr>
        <w:t>, des conditions étaient attachées aux</w:t>
      </w:r>
      <w:r>
        <w:rPr>
          <w:szCs w:val="24"/>
          <w:lang w:val="fr-FR"/>
        </w:rPr>
        <w:t xml:space="preserve"> </w:t>
      </w:r>
      <w:r w:rsidRPr="001C13D2">
        <w:rPr>
          <w:szCs w:val="24"/>
          <w:lang w:val="fr-FR"/>
        </w:rPr>
        <w:t xml:space="preserve">transferts du pré-pilote mais il n’y avait </w:t>
      </w:r>
      <w:r>
        <w:rPr>
          <w:szCs w:val="24"/>
          <w:lang w:val="fr-FR"/>
        </w:rPr>
        <w:t>aucune</w:t>
      </w:r>
      <w:r w:rsidRPr="001C13D2">
        <w:rPr>
          <w:szCs w:val="24"/>
          <w:lang w:val="fr-FR"/>
        </w:rPr>
        <w:t xml:space="preserve"> conséquence</w:t>
      </w:r>
      <w:r>
        <w:rPr>
          <w:szCs w:val="24"/>
          <w:lang w:val="fr-FR"/>
        </w:rPr>
        <w:t xml:space="preserve"> si </w:t>
      </w:r>
      <w:r w:rsidRPr="001C13D2">
        <w:rPr>
          <w:szCs w:val="24"/>
          <w:lang w:val="fr-FR"/>
        </w:rPr>
        <w:t>elles n’étaient pas respectées (</w:t>
      </w:r>
      <w:r>
        <w:rPr>
          <w:szCs w:val="24"/>
          <w:lang w:val="fr-FR"/>
        </w:rPr>
        <w:t>Banque mondiale</w:t>
      </w:r>
      <w:r w:rsidRPr="001C13D2">
        <w:rPr>
          <w:szCs w:val="24"/>
          <w:lang w:val="fr-FR"/>
        </w:rPr>
        <w:t xml:space="preserve"> 2009c). </w:t>
      </w:r>
      <w:r>
        <w:rPr>
          <w:szCs w:val="24"/>
          <w:lang w:val="fr-FR"/>
        </w:rPr>
        <w:t xml:space="preserve">Le fait que, </w:t>
      </w:r>
      <w:r w:rsidRPr="001C13D2">
        <w:rPr>
          <w:szCs w:val="24"/>
          <w:lang w:val="fr-FR"/>
        </w:rPr>
        <w:t xml:space="preserve">pour satisfaire </w:t>
      </w:r>
      <w:r>
        <w:rPr>
          <w:szCs w:val="24"/>
          <w:lang w:val="fr-FR"/>
        </w:rPr>
        <w:t>les</w:t>
      </w:r>
      <w:r w:rsidRPr="001C13D2">
        <w:rPr>
          <w:szCs w:val="24"/>
          <w:lang w:val="fr-FR"/>
        </w:rPr>
        <w:t xml:space="preserve"> exigences du programme</w:t>
      </w:r>
      <w:r>
        <w:rPr>
          <w:szCs w:val="24"/>
          <w:lang w:val="fr-FR"/>
        </w:rPr>
        <w:t>,</w:t>
      </w:r>
      <w:r w:rsidRPr="001C13D2">
        <w:rPr>
          <w:szCs w:val="24"/>
          <w:lang w:val="fr-FR"/>
        </w:rPr>
        <w:t xml:space="preserve"> les enfants </w:t>
      </w:r>
      <w:r>
        <w:rPr>
          <w:szCs w:val="24"/>
          <w:lang w:val="fr-FR"/>
        </w:rPr>
        <w:t xml:space="preserve">devaient être séparés </w:t>
      </w:r>
      <w:r w:rsidRPr="001C13D2">
        <w:rPr>
          <w:szCs w:val="24"/>
          <w:lang w:val="fr-FR"/>
        </w:rPr>
        <w:t xml:space="preserve">de leur famille a </w:t>
      </w:r>
      <w:r>
        <w:rPr>
          <w:szCs w:val="24"/>
          <w:lang w:val="fr-FR"/>
        </w:rPr>
        <w:t>conduit</w:t>
      </w:r>
      <w:r w:rsidRPr="001C13D2">
        <w:rPr>
          <w:szCs w:val="24"/>
          <w:lang w:val="fr-FR"/>
        </w:rPr>
        <w:t xml:space="preserve"> le pré-pilote à </w:t>
      </w:r>
      <w:r>
        <w:rPr>
          <w:szCs w:val="24"/>
          <w:lang w:val="fr-FR"/>
        </w:rPr>
        <w:t>abandonner</w:t>
      </w:r>
      <w:r w:rsidRPr="001C13D2">
        <w:rPr>
          <w:szCs w:val="24"/>
          <w:lang w:val="fr-FR"/>
        </w:rPr>
        <w:t xml:space="preserve"> </w:t>
      </w:r>
      <w:r>
        <w:rPr>
          <w:szCs w:val="24"/>
          <w:lang w:val="fr-FR"/>
        </w:rPr>
        <w:t>l’imposition d</w:t>
      </w:r>
      <w:r w:rsidRPr="001C13D2">
        <w:rPr>
          <w:szCs w:val="24"/>
          <w:lang w:val="fr-FR"/>
        </w:rPr>
        <w:t>e conditions (</w:t>
      </w:r>
      <w:r>
        <w:rPr>
          <w:szCs w:val="24"/>
          <w:lang w:val="fr-FR"/>
        </w:rPr>
        <w:t>Banque mondiale</w:t>
      </w:r>
      <w:r w:rsidRPr="001C13D2">
        <w:rPr>
          <w:szCs w:val="24"/>
          <w:lang w:val="fr-FR"/>
        </w:rPr>
        <w:t xml:space="preserve"> 2005). Cependant, les communautés et certains </w:t>
      </w:r>
      <w:r w:rsidR="005D6182">
        <w:rPr>
          <w:szCs w:val="24"/>
          <w:lang w:val="fr-FR"/>
        </w:rPr>
        <w:t>bailleurs de fond</w:t>
      </w:r>
      <w:r w:rsidRPr="001C13D2">
        <w:rPr>
          <w:szCs w:val="24"/>
          <w:lang w:val="fr-FR"/>
        </w:rPr>
        <w:t xml:space="preserve"> ont </w:t>
      </w:r>
      <w:r>
        <w:rPr>
          <w:szCs w:val="24"/>
          <w:lang w:val="fr-FR"/>
        </w:rPr>
        <w:t>exigé</w:t>
      </w:r>
      <w:r w:rsidRPr="001C13D2">
        <w:rPr>
          <w:szCs w:val="24"/>
          <w:lang w:val="fr-FR"/>
        </w:rPr>
        <w:t xml:space="preserve"> que les transferts soient conditionnels, </w:t>
      </w:r>
      <w:r>
        <w:rPr>
          <w:szCs w:val="24"/>
          <w:lang w:val="fr-FR"/>
        </w:rPr>
        <w:t>en particulier</w:t>
      </w:r>
      <w:r w:rsidRPr="001C13D2">
        <w:rPr>
          <w:szCs w:val="24"/>
          <w:lang w:val="fr-FR"/>
        </w:rPr>
        <w:t xml:space="preserve"> </w:t>
      </w:r>
      <w:r>
        <w:rPr>
          <w:szCs w:val="24"/>
          <w:lang w:val="fr-FR"/>
        </w:rPr>
        <w:t>lors de l’extension du</w:t>
      </w:r>
      <w:r w:rsidRPr="001C13D2">
        <w:rPr>
          <w:szCs w:val="24"/>
          <w:lang w:val="fr-FR"/>
        </w:rPr>
        <w:t xml:space="preserve"> programme aux régions de l’Ouest où l’incidence du VIH est très élevée.</w:t>
      </w:r>
    </w:p>
    <w:p w:rsidR="004E3139" w:rsidRPr="001C13D2" w:rsidRDefault="004E3139" w:rsidP="004E3139">
      <w:pPr>
        <w:keepNext/>
        <w:spacing w:after="120"/>
        <w:rPr>
          <w:i/>
          <w:szCs w:val="24"/>
          <w:lang w:val="fr-FR"/>
        </w:rPr>
      </w:pPr>
      <w:r>
        <w:rPr>
          <w:i/>
          <w:szCs w:val="24"/>
          <w:lang w:val="fr-FR"/>
        </w:rPr>
        <w:t xml:space="preserve">Transformation du </w:t>
      </w:r>
      <w:r w:rsidRPr="001C13D2">
        <w:rPr>
          <w:i/>
          <w:szCs w:val="24"/>
          <w:lang w:val="fr-FR"/>
        </w:rPr>
        <w:t xml:space="preserve">CT-OVT </w:t>
      </w:r>
      <w:r>
        <w:rPr>
          <w:i/>
          <w:szCs w:val="24"/>
          <w:lang w:val="fr-FR"/>
        </w:rPr>
        <w:t>en</w:t>
      </w:r>
      <w:r w:rsidRPr="001C13D2">
        <w:rPr>
          <w:i/>
          <w:szCs w:val="24"/>
          <w:lang w:val="fr-FR"/>
        </w:rPr>
        <w:t xml:space="preserve"> projet pilote à part entière</w:t>
      </w:r>
    </w:p>
    <w:p w:rsidR="004E3139" w:rsidRPr="001C13D2" w:rsidRDefault="004E3139" w:rsidP="004E3139">
      <w:pPr>
        <w:tabs>
          <w:tab w:val="clear" w:pos="709"/>
          <w:tab w:val="left" w:pos="284"/>
        </w:tabs>
        <w:rPr>
          <w:szCs w:val="24"/>
          <w:lang w:val="fr-FR"/>
        </w:rPr>
      </w:pPr>
      <w:r w:rsidRPr="001C13D2">
        <w:rPr>
          <w:szCs w:val="24"/>
          <w:lang w:val="fr-FR"/>
        </w:rPr>
        <w:t>S’inspirant de</w:t>
      </w:r>
      <w:r>
        <w:rPr>
          <w:szCs w:val="24"/>
          <w:lang w:val="fr-FR"/>
        </w:rPr>
        <w:t xml:space="preserve"> l’</w:t>
      </w:r>
      <w:r w:rsidRPr="001C13D2">
        <w:rPr>
          <w:szCs w:val="24"/>
          <w:lang w:val="fr-FR"/>
        </w:rPr>
        <w:t xml:space="preserve">expérience du projet pré-pilote, le programme pilote officiel du CT-OVC a démarré en 2005 et a duré jusqu’au milieu de 2009. Le programme se focalise spécifiquement sur les ménages </w:t>
      </w:r>
      <w:r>
        <w:rPr>
          <w:szCs w:val="24"/>
          <w:lang w:val="fr-FR"/>
        </w:rPr>
        <w:t>ayant</w:t>
      </w:r>
      <w:r w:rsidRPr="001C13D2">
        <w:rPr>
          <w:szCs w:val="24"/>
          <w:lang w:val="fr-FR"/>
        </w:rPr>
        <w:t xml:space="preserve"> des </w:t>
      </w:r>
      <w:r>
        <w:rPr>
          <w:szCs w:val="24"/>
          <w:lang w:val="fr-FR"/>
        </w:rPr>
        <w:t>OEV,</w:t>
      </w:r>
      <w:r w:rsidRPr="001C13D2">
        <w:rPr>
          <w:szCs w:val="24"/>
          <w:lang w:val="fr-FR"/>
        </w:rPr>
        <w:t xml:space="preserve"> avec pour but de garder ces derniers dans leur famille et d’encourager un investissement dans leur capital humain. Les objectifs spécifiques du programme sont très </w:t>
      </w:r>
      <w:r>
        <w:rPr>
          <w:szCs w:val="24"/>
          <w:lang w:val="fr-FR"/>
        </w:rPr>
        <w:t>semblables</w:t>
      </w:r>
      <w:r w:rsidRPr="001C13D2">
        <w:rPr>
          <w:szCs w:val="24"/>
          <w:lang w:val="fr-FR"/>
        </w:rPr>
        <w:t xml:space="preserve"> à ceux observés dans d’autres programmes </w:t>
      </w:r>
      <w:r>
        <w:rPr>
          <w:szCs w:val="24"/>
          <w:lang w:val="fr-FR"/>
        </w:rPr>
        <w:t>de transferts monétaires conditionnels</w:t>
      </w:r>
      <w:r w:rsidRPr="001C13D2">
        <w:rPr>
          <w:szCs w:val="24"/>
          <w:lang w:val="fr-FR"/>
        </w:rPr>
        <w:t xml:space="preserve"> bien connus en Amérique </w:t>
      </w:r>
      <w:r>
        <w:rPr>
          <w:szCs w:val="24"/>
          <w:lang w:val="fr-FR"/>
        </w:rPr>
        <w:t>l</w:t>
      </w:r>
      <w:r w:rsidRPr="001C13D2">
        <w:rPr>
          <w:szCs w:val="24"/>
          <w:lang w:val="fr-FR"/>
        </w:rPr>
        <w:t xml:space="preserve">atine, </w:t>
      </w:r>
      <w:r>
        <w:rPr>
          <w:szCs w:val="24"/>
          <w:lang w:val="fr-FR"/>
        </w:rPr>
        <w:t>incluant</w:t>
      </w:r>
      <w:r w:rsidRPr="001C13D2">
        <w:rPr>
          <w:szCs w:val="24"/>
          <w:lang w:val="fr-FR"/>
        </w:rPr>
        <w:t xml:space="preserve"> l’amélioration de la santé, de la nutrition et de l’éducation </w:t>
      </w:r>
      <w:r>
        <w:rPr>
          <w:szCs w:val="24"/>
          <w:lang w:val="fr-FR"/>
        </w:rPr>
        <w:t xml:space="preserve">ainsi que </w:t>
      </w:r>
      <w:r w:rsidRPr="001C13D2">
        <w:rPr>
          <w:szCs w:val="24"/>
          <w:lang w:val="fr-FR"/>
        </w:rPr>
        <w:t xml:space="preserve">la sensibilisation à ces questions. La planification du programme pilote </w:t>
      </w:r>
      <w:r>
        <w:rPr>
          <w:szCs w:val="24"/>
          <w:lang w:val="fr-FR"/>
        </w:rPr>
        <w:t>prévoyait</w:t>
      </w:r>
      <w:r w:rsidRPr="001C13D2">
        <w:rPr>
          <w:szCs w:val="24"/>
          <w:lang w:val="fr-FR"/>
        </w:rPr>
        <w:t xml:space="preserve"> </w:t>
      </w:r>
      <w:r>
        <w:rPr>
          <w:szCs w:val="24"/>
          <w:lang w:val="fr-FR"/>
        </w:rPr>
        <w:t>de couvrir</w:t>
      </w:r>
      <w:r w:rsidRPr="001C13D2">
        <w:rPr>
          <w:szCs w:val="24"/>
          <w:lang w:val="fr-FR"/>
        </w:rPr>
        <w:t xml:space="preserve"> sept districts avec l’appui </w:t>
      </w:r>
      <w:r>
        <w:rPr>
          <w:szCs w:val="24"/>
          <w:lang w:val="fr-FR"/>
        </w:rPr>
        <w:t>de l’État kenyan,</w:t>
      </w:r>
      <w:r w:rsidRPr="001C13D2">
        <w:rPr>
          <w:szCs w:val="24"/>
          <w:lang w:val="fr-FR"/>
        </w:rPr>
        <w:t xml:space="preserve"> du D</w:t>
      </w:r>
      <w:r>
        <w:rPr>
          <w:szCs w:val="24"/>
          <w:lang w:val="fr-FR"/>
        </w:rPr>
        <w:t>f</w:t>
      </w:r>
      <w:r w:rsidRPr="001C13D2">
        <w:rPr>
          <w:szCs w:val="24"/>
          <w:lang w:val="fr-FR"/>
        </w:rPr>
        <w:t xml:space="preserve">ID, de l’UNICEF et </w:t>
      </w:r>
      <w:r>
        <w:rPr>
          <w:szCs w:val="24"/>
          <w:lang w:val="fr-FR"/>
        </w:rPr>
        <w:t>de la</w:t>
      </w:r>
      <w:r w:rsidRPr="001C13D2">
        <w:rPr>
          <w:szCs w:val="24"/>
          <w:lang w:val="fr-FR"/>
        </w:rPr>
        <w:t xml:space="preserve"> SIDA (</w:t>
      </w:r>
      <w:r>
        <w:rPr>
          <w:szCs w:val="24"/>
          <w:lang w:val="fr-FR"/>
        </w:rPr>
        <w:t>Banque mondiale</w:t>
      </w:r>
      <w:r w:rsidRPr="001C13D2">
        <w:rPr>
          <w:szCs w:val="24"/>
          <w:lang w:val="fr-FR"/>
        </w:rPr>
        <w:t xml:space="preserve"> 2009c). Les fonds octroyés au programme pilote par les partenaires au développement ont atteint 17</w:t>
      </w:r>
      <w:r>
        <w:rPr>
          <w:szCs w:val="24"/>
          <w:lang w:val="fr-FR"/>
        </w:rPr>
        <w:t> </w:t>
      </w:r>
      <w:r w:rsidRPr="001C13D2">
        <w:rPr>
          <w:szCs w:val="24"/>
          <w:lang w:val="fr-FR"/>
        </w:rPr>
        <w:t xml:space="preserve">500 ménages qui </w:t>
      </w:r>
      <w:r>
        <w:rPr>
          <w:szCs w:val="24"/>
          <w:lang w:val="fr-FR"/>
        </w:rPr>
        <w:t>bénéficient</w:t>
      </w:r>
      <w:r w:rsidRPr="001C13D2">
        <w:rPr>
          <w:szCs w:val="24"/>
          <w:lang w:val="fr-FR"/>
        </w:rPr>
        <w:t xml:space="preserve"> encore des prestations. Entre 1</w:t>
      </w:r>
      <w:r>
        <w:rPr>
          <w:szCs w:val="24"/>
          <w:lang w:val="fr-FR"/>
        </w:rPr>
        <w:t> </w:t>
      </w:r>
      <w:r w:rsidRPr="001C13D2">
        <w:rPr>
          <w:szCs w:val="24"/>
          <w:lang w:val="fr-FR"/>
        </w:rPr>
        <w:t>000 et 4</w:t>
      </w:r>
      <w:r>
        <w:rPr>
          <w:szCs w:val="24"/>
          <w:lang w:val="fr-FR"/>
        </w:rPr>
        <w:t> </w:t>
      </w:r>
      <w:r w:rsidRPr="001C13D2">
        <w:rPr>
          <w:szCs w:val="24"/>
          <w:lang w:val="fr-FR"/>
        </w:rPr>
        <w:t>600 ménages bénéficiaires sont couverts dans chacun des districts. À la fin de la Phase 2 (juin 2009)</w:t>
      </w:r>
      <w:r>
        <w:rPr>
          <w:szCs w:val="24"/>
          <w:lang w:val="fr-FR"/>
        </w:rPr>
        <w:t>,</w:t>
      </w:r>
      <w:r w:rsidRPr="001C13D2">
        <w:rPr>
          <w:szCs w:val="24"/>
          <w:lang w:val="fr-FR"/>
        </w:rPr>
        <w:t xml:space="preserve"> 70</w:t>
      </w:r>
      <w:r>
        <w:rPr>
          <w:szCs w:val="24"/>
          <w:lang w:val="fr-FR"/>
        </w:rPr>
        <w:t> </w:t>
      </w:r>
      <w:r w:rsidRPr="001C13D2">
        <w:rPr>
          <w:szCs w:val="24"/>
          <w:lang w:val="fr-FR"/>
        </w:rPr>
        <w:t xml:space="preserve">000 ménages recevaient des prestations. </w:t>
      </w:r>
    </w:p>
    <w:p w:rsidR="004E3139" w:rsidRPr="001C13D2" w:rsidRDefault="004E3139" w:rsidP="004E3139">
      <w:pPr>
        <w:keepNext/>
        <w:spacing w:after="120"/>
        <w:rPr>
          <w:i/>
          <w:szCs w:val="24"/>
          <w:lang w:val="fr-FR"/>
        </w:rPr>
      </w:pPr>
      <w:r w:rsidRPr="001C13D2">
        <w:rPr>
          <w:i/>
          <w:szCs w:val="24"/>
          <w:lang w:val="fr-FR"/>
        </w:rPr>
        <w:t xml:space="preserve">Le ciblage nécessite une approche complexe en cinq étapes qui </w:t>
      </w:r>
      <w:r>
        <w:rPr>
          <w:i/>
          <w:szCs w:val="24"/>
          <w:lang w:val="fr-FR"/>
        </w:rPr>
        <w:t>inclut</w:t>
      </w:r>
      <w:r w:rsidRPr="001C13D2">
        <w:rPr>
          <w:i/>
          <w:szCs w:val="24"/>
          <w:lang w:val="fr-FR"/>
        </w:rPr>
        <w:t xml:space="preserve"> les comités communautaires</w:t>
      </w:r>
    </w:p>
    <w:p w:rsidR="004E3139" w:rsidRPr="001C13D2" w:rsidRDefault="004E3139" w:rsidP="004E3139">
      <w:pPr>
        <w:tabs>
          <w:tab w:val="clear" w:pos="709"/>
          <w:tab w:val="left" w:pos="284"/>
        </w:tabs>
        <w:rPr>
          <w:szCs w:val="24"/>
          <w:lang w:val="fr-FR"/>
        </w:rPr>
      </w:pPr>
      <w:r w:rsidRPr="001C13D2">
        <w:rPr>
          <w:szCs w:val="24"/>
          <w:lang w:val="fr-FR"/>
        </w:rPr>
        <w:t xml:space="preserve">Les méthodes de ciblage du pré-pilote ont été raffinées </w:t>
      </w:r>
      <w:r>
        <w:rPr>
          <w:szCs w:val="24"/>
          <w:lang w:val="fr-FR"/>
        </w:rPr>
        <w:t>dans</w:t>
      </w:r>
      <w:r w:rsidRPr="001C13D2">
        <w:rPr>
          <w:szCs w:val="24"/>
          <w:lang w:val="fr-FR"/>
        </w:rPr>
        <w:t xml:space="preserve"> le programme pilote. Le ciblage </w:t>
      </w:r>
      <w:r>
        <w:rPr>
          <w:szCs w:val="24"/>
          <w:lang w:val="fr-FR"/>
        </w:rPr>
        <w:t>exige</w:t>
      </w:r>
      <w:r w:rsidRPr="001C13D2">
        <w:rPr>
          <w:szCs w:val="24"/>
          <w:lang w:val="fr-FR"/>
        </w:rPr>
        <w:t xml:space="preserve"> cinq étapes (</w:t>
      </w:r>
      <w:r>
        <w:rPr>
          <w:szCs w:val="24"/>
          <w:lang w:val="fr-FR"/>
        </w:rPr>
        <w:t>Banque mondiale</w:t>
      </w:r>
      <w:r w:rsidRPr="001C13D2">
        <w:rPr>
          <w:szCs w:val="24"/>
          <w:lang w:val="fr-FR"/>
        </w:rPr>
        <w:t xml:space="preserve"> 2009c). Le ciblage géographique sélectionne les districts </w:t>
      </w:r>
      <w:r>
        <w:rPr>
          <w:szCs w:val="24"/>
          <w:lang w:val="fr-FR"/>
        </w:rPr>
        <w:t>d</w:t>
      </w:r>
      <w:r w:rsidRPr="001C13D2">
        <w:rPr>
          <w:szCs w:val="24"/>
          <w:lang w:val="fr-FR"/>
        </w:rPr>
        <w:t xml:space="preserve">u programme sur la base des niveaux de pauvreté et de prévalence du VIH/SIDA. Les districts sont classés </w:t>
      </w:r>
      <w:r>
        <w:rPr>
          <w:szCs w:val="24"/>
          <w:lang w:val="fr-FR"/>
        </w:rPr>
        <w:t>sur la base du</w:t>
      </w:r>
      <w:r w:rsidRPr="001C13D2">
        <w:rPr>
          <w:szCs w:val="24"/>
          <w:lang w:val="fr-FR"/>
        </w:rPr>
        <w:t xml:space="preserve"> nombre de ménages OEV extrêmement pauvres qu’on y rencontre. Le nombre de ménages OEV est calculé</w:t>
      </w:r>
      <w:r w:rsidRPr="00C86225">
        <w:rPr>
          <w:szCs w:val="24"/>
          <w:lang w:val="fr-FR"/>
        </w:rPr>
        <w:t xml:space="preserve"> </w:t>
      </w:r>
      <w:r>
        <w:rPr>
          <w:szCs w:val="24"/>
          <w:lang w:val="fr-FR"/>
        </w:rPr>
        <w:t>pour</w:t>
      </w:r>
      <w:r w:rsidRPr="001C13D2">
        <w:rPr>
          <w:szCs w:val="24"/>
          <w:lang w:val="fr-FR"/>
        </w:rPr>
        <w:t xml:space="preserve"> chaque district. Les communautés </w:t>
      </w:r>
      <w:r>
        <w:rPr>
          <w:szCs w:val="24"/>
          <w:lang w:val="fr-FR"/>
        </w:rPr>
        <w:t>comptant</w:t>
      </w:r>
      <w:r w:rsidRPr="001C13D2">
        <w:rPr>
          <w:szCs w:val="24"/>
          <w:lang w:val="fr-FR"/>
        </w:rPr>
        <w:t xml:space="preserve"> plus que 5</w:t>
      </w:r>
      <w:r>
        <w:rPr>
          <w:szCs w:val="24"/>
          <w:lang w:val="fr-FR"/>
        </w:rPr>
        <w:t> </w:t>
      </w:r>
      <w:r w:rsidRPr="001C13D2">
        <w:rPr>
          <w:szCs w:val="24"/>
          <w:lang w:val="fr-FR"/>
        </w:rPr>
        <w:t>000 membres</w:t>
      </w:r>
      <w:r>
        <w:rPr>
          <w:szCs w:val="24"/>
          <w:lang w:val="fr-FR"/>
        </w:rPr>
        <w:t>,</w:t>
      </w:r>
      <w:r w:rsidRPr="001C13D2">
        <w:rPr>
          <w:szCs w:val="24"/>
          <w:lang w:val="fr-FR"/>
        </w:rPr>
        <w:t xml:space="preserve"> dont au moins 60</w:t>
      </w:r>
      <w:r>
        <w:rPr>
          <w:szCs w:val="24"/>
          <w:lang w:val="fr-FR"/>
        </w:rPr>
        <w:t> </w:t>
      </w:r>
      <w:r w:rsidRPr="001C13D2">
        <w:rPr>
          <w:szCs w:val="24"/>
          <w:lang w:val="fr-FR"/>
        </w:rPr>
        <w:t>% viv</w:t>
      </w:r>
      <w:r>
        <w:rPr>
          <w:szCs w:val="24"/>
          <w:lang w:val="fr-FR"/>
        </w:rPr>
        <w:t>ent</w:t>
      </w:r>
      <w:r w:rsidRPr="001C13D2">
        <w:rPr>
          <w:szCs w:val="24"/>
          <w:lang w:val="fr-FR"/>
        </w:rPr>
        <w:t xml:space="preserve"> en-dessous du seuil de pauvreté</w:t>
      </w:r>
      <w:r>
        <w:rPr>
          <w:szCs w:val="24"/>
          <w:lang w:val="fr-FR"/>
        </w:rPr>
        <w:t>,</w:t>
      </w:r>
      <w:r w:rsidRPr="001C13D2">
        <w:rPr>
          <w:szCs w:val="24"/>
          <w:lang w:val="fr-FR"/>
        </w:rPr>
        <w:t xml:space="preserve"> sont sélectionnées pour participer au programme (Hussein 2006). Les comités communautaires (</w:t>
      </w:r>
      <w:r w:rsidRPr="001C13D2">
        <w:rPr>
          <w:i/>
          <w:iCs/>
          <w:szCs w:val="24"/>
          <w:lang w:val="fr-FR"/>
        </w:rPr>
        <w:t>Location OVC Committee</w:t>
      </w:r>
      <w:r w:rsidRPr="001C13D2">
        <w:rPr>
          <w:szCs w:val="24"/>
          <w:lang w:val="fr-FR"/>
        </w:rPr>
        <w:t xml:space="preserve">) ont été créés pour sélectionner les ménages éligibles. Les ménages doivent être </w:t>
      </w:r>
      <w:r>
        <w:rPr>
          <w:szCs w:val="24"/>
          <w:lang w:val="fr-FR"/>
        </w:rPr>
        <w:t>incapables</w:t>
      </w:r>
      <w:r w:rsidRPr="001C13D2">
        <w:rPr>
          <w:szCs w:val="24"/>
          <w:lang w:val="fr-FR"/>
        </w:rPr>
        <w:t xml:space="preserve"> de satisfaire tous leurs besoins élémentaires et ils doivent avoir un membre OEV permanent de moins de 17 ans qui ne reçoit pas de prestations d’un autre programme de transferts monétaires (GdK 2006). Au sein de ce groupe de ménages éligibles, les comités communautaires désignent les ménages qui répondent à 3 critères </w:t>
      </w:r>
      <w:r>
        <w:rPr>
          <w:szCs w:val="24"/>
          <w:lang w:val="fr-FR"/>
        </w:rPr>
        <w:t>d’une liste de plus de</w:t>
      </w:r>
      <w:r w:rsidRPr="001C13D2">
        <w:rPr>
          <w:szCs w:val="24"/>
          <w:lang w:val="fr-FR"/>
        </w:rPr>
        <w:t xml:space="preserve"> 10 </w:t>
      </w:r>
      <w:r>
        <w:rPr>
          <w:szCs w:val="24"/>
          <w:lang w:val="fr-FR"/>
        </w:rPr>
        <w:t>points liés à la</w:t>
      </w:r>
      <w:r w:rsidRPr="001C13D2">
        <w:rPr>
          <w:szCs w:val="24"/>
          <w:lang w:val="fr-FR"/>
        </w:rPr>
        <w:t xml:space="preserve"> pauvreté (à savoir si le ménage a accès à une source </w:t>
      </w:r>
      <w:r>
        <w:rPr>
          <w:szCs w:val="24"/>
          <w:lang w:val="fr-FR"/>
        </w:rPr>
        <w:t>d’</w:t>
      </w:r>
      <w:r w:rsidRPr="001C13D2">
        <w:rPr>
          <w:szCs w:val="24"/>
          <w:lang w:val="fr-FR"/>
        </w:rPr>
        <w:t>eau</w:t>
      </w:r>
      <w:r>
        <w:rPr>
          <w:szCs w:val="24"/>
          <w:lang w:val="fr-FR"/>
        </w:rPr>
        <w:t xml:space="preserve"> saine</w:t>
      </w:r>
      <w:r w:rsidRPr="001C13D2">
        <w:rPr>
          <w:szCs w:val="24"/>
          <w:lang w:val="fr-FR"/>
        </w:rPr>
        <w:t xml:space="preserve">, si ses membres sont en mauvaise santé ou s’ils </w:t>
      </w:r>
      <w:r>
        <w:rPr>
          <w:szCs w:val="24"/>
          <w:lang w:val="fr-FR"/>
        </w:rPr>
        <w:t xml:space="preserve">ne </w:t>
      </w:r>
      <w:r w:rsidRPr="001C13D2">
        <w:rPr>
          <w:szCs w:val="24"/>
          <w:lang w:val="fr-FR"/>
        </w:rPr>
        <w:t xml:space="preserve">mangent </w:t>
      </w:r>
      <w:r>
        <w:rPr>
          <w:szCs w:val="24"/>
          <w:lang w:val="fr-FR"/>
        </w:rPr>
        <w:t>pas plus d</w:t>
      </w:r>
      <w:r w:rsidRPr="001C13D2">
        <w:rPr>
          <w:szCs w:val="24"/>
          <w:lang w:val="fr-FR"/>
        </w:rPr>
        <w:t xml:space="preserve">’un repas par jour). Les ménages </w:t>
      </w:r>
      <w:r>
        <w:rPr>
          <w:szCs w:val="24"/>
          <w:lang w:val="fr-FR"/>
        </w:rPr>
        <w:t>répondant</w:t>
      </w:r>
      <w:r w:rsidRPr="001C13D2">
        <w:rPr>
          <w:szCs w:val="24"/>
          <w:lang w:val="fr-FR"/>
        </w:rPr>
        <w:t xml:space="preserve"> à au moins trois des critères sont considérés </w:t>
      </w:r>
      <w:r>
        <w:rPr>
          <w:szCs w:val="24"/>
          <w:lang w:val="fr-FR"/>
        </w:rPr>
        <w:t xml:space="preserve">comme </w:t>
      </w:r>
      <w:r w:rsidRPr="001C13D2">
        <w:rPr>
          <w:szCs w:val="24"/>
          <w:lang w:val="fr-FR"/>
        </w:rPr>
        <w:t>pauvres (</w:t>
      </w:r>
      <w:r>
        <w:rPr>
          <w:szCs w:val="24"/>
          <w:lang w:val="fr-FR"/>
        </w:rPr>
        <w:t>Banque mondiale</w:t>
      </w:r>
      <w:r w:rsidRPr="001C13D2">
        <w:rPr>
          <w:szCs w:val="24"/>
          <w:lang w:val="fr-FR"/>
        </w:rPr>
        <w:t xml:space="preserve"> 2009c).</w:t>
      </w:r>
    </w:p>
    <w:p w:rsidR="004E3139" w:rsidRPr="001C13D2" w:rsidRDefault="004E3139" w:rsidP="004E3139">
      <w:pPr>
        <w:keepNext/>
        <w:spacing w:after="120"/>
        <w:rPr>
          <w:i/>
          <w:szCs w:val="24"/>
          <w:lang w:val="fr-FR"/>
        </w:rPr>
      </w:pPr>
      <w:r w:rsidRPr="001C13D2">
        <w:rPr>
          <w:i/>
          <w:szCs w:val="24"/>
          <w:lang w:val="fr-FR"/>
        </w:rPr>
        <w:t xml:space="preserve">Les services postaux </w:t>
      </w:r>
      <w:r>
        <w:rPr>
          <w:i/>
          <w:szCs w:val="24"/>
          <w:lang w:val="fr-FR"/>
        </w:rPr>
        <w:t>se chargent</w:t>
      </w:r>
      <w:r w:rsidRPr="001C13D2">
        <w:rPr>
          <w:i/>
          <w:szCs w:val="24"/>
          <w:lang w:val="fr-FR"/>
        </w:rPr>
        <w:t xml:space="preserve"> bien </w:t>
      </w:r>
      <w:r>
        <w:rPr>
          <w:i/>
          <w:szCs w:val="24"/>
          <w:lang w:val="fr-FR"/>
        </w:rPr>
        <w:t>d</w:t>
      </w:r>
      <w:r w:rsidRPr="001C13D2">
        <w:rPr>
          <w:i/>
          <w:szCs w:val="24"/>
          <w:lang w:val="fr-FR"/>
        </w:rPr>
        <w:t xml:space="preserve">es transferts </w:t>
      </w:r>
    </w:p>
    <w:p w:rsidR="004E3139" w:rsidRPr="001C13D2" w:rsidRDefault="004E3139" w:rsidP="004E3139">
      <w:pPr>
        <w:keepNext/>
        <w:spacing w:after="120"/>
        <w:rPr>
          <w:szCs w:val="24"/>
          <w:lang w:val="fr-FR"/>
        </w:rPr>
      </w:pPr>
      <w:r w:rsidRPr="001C13D2">
        <w:rPr>
          <w:szCs w:val="24"/>
          <w:lang w:val="fr-FR"/>
        </w:rPr>
        <w:t xml:space="preserve">Le montant des transferts </w:t>
      </w:r>
      <w:r>
        <w:rPr>
          <w:szCs w:val="24"/>
          <w:lang w:val="fr-FR"/>
        </w:rPr>
        <w:t>a été</w:t>
      </w:r>
      <w:r w:rsidRPr="001C13D2">
        <w:rPr>
          <w:szCs w:val="24"/>
          <w:lang w:val="fr-FR"/>
        </w:rPr>
        <w:t xml:space="preserve"> fixé à un niveau supposé couvrir </w:t>
      </w:r>
      <w:r>
        <w:rPr>
          <w:szCs w:val="24"/>
          <w:lang w:val="fr-FR"/>
        </w:rPr>
        <w:t>suffisamment</w:t>
      </w:r>
      <w:r w:rsidRPr="001C13D2">
        <w:rPr>
          <w:szCs w:val="24"/>
          <w:lang w:val="fr-FR"/>
        </w:rPr>
        <w:t xml:space="preserve"> des besoins des OEV</w:t>
      </w:r>
      <w:r>
        <w:rPr>
          <w:szCs w:val="24"/>
          <w:lang w:val="fr-FR"/>
        </w:rPr>
        <w:t xml:space="preserve"> pour</w:t>
      </w:r>
      <w:r w:rsidRPr="001C13D2">
        <w:rPr>
          <w:szCs w:val="24"/>
          <w:lang w:val="fr-FR"/>
        </w:rPr>
        <w:t xml:space="preserve"> aider à les garder dans leur famille. L</w:t>
      </w:r>
      <w:r>
        <w:rPr>
          <w:szCs w:val="24"/>
          <w:lang w:val="fr-FR"/>
        </w:rPr>
        <w:t>a</w:t>
      </w:r>
      <w:r w:rsidRPr="001C13D2">
        <w:rPr>
          <w:szCs w:val="24"/>
          <w:lang w:val="fr-FR"/>
        </w:rPr>
        <w:t xml:space="preserve"> valeur des transferts variai</w:t>
      </w:r>
      <w:r>
        <w:rPr>
          <w:szCs w:val="24"/>
          <w:lang w:val="fr-FR"/>
        </w:rPr>
        <w:t>t</w:t>
      </w:r>
      <w:r w:rsidRPr="001C13D2">
        <w:rPr>
          <w:szCs w:val="24"/>
          <w:lang w:val="fr-FR"/>
        </w:rPr>
        <w:t xml:space="preserve"> selon le nombre d’OEV du ménage</w:t>
      </w:r>
      <w:r>
        <w:rPr>
          <w:szCs w:val="24"/>
          <w:lang w:val="fr-FR"/>
        </w:rPr>
        <w:t> :</w:t>
      </w:r>
      <w:r w:rsidRPr="001C13D2">
        <w:rPr>
          <w:szCs w:val="24"/>
          <w:lang w:val="fr-FR"/>
        </w:rPr>
        <w:t xml:space="preserve"> 1</w:t>
      </w:r>
      <w:r>
        <w:rPr>
          <w:szCs w:val="24"/>
          <w:lang w:val="fr-FR"/>
        </w:rPr>
        <w:t> </w:t>
      </w:r>
      <w:r w:rsidRPr="001C13D2">
        <w:rPr>
          <w:szCs w:val="24"/>
          <w:lang w:val="fr-FR"/>
        </w:rPr>
        <w:t xml:space="preserve">000 </w:t>
      </w:r>
      <w:r>
        <w:rPr>
          <w:szCs w:val="24"/>
          <w:lang w:val="fr-FR"/>
        </w:rPr>
        <w:t>shillings du Kenya</w:t>
      </w:r>
      <w:r w:rsidRPr="001C13D2">
        <w:rPr>
          <w:szCs w:val="24"/>
          <w:lang w:val="fr-FR"/>
        </w:rPr>
        <w:t xml:space="preserve"> (14 dollars EU) </w:t>
      </w:r>
      <w:r>
        <w:rPr>
          <w:szCs w:val="24"/>
          <w:lang w:val="fr-FR"/>
        </w:rPr>
        <w:t>pour</w:t>
      </w:r>
      <w:r w:rsidRPr="001C13D2">
        <w:rPr>
          <w:szCs w:val="24"/>
          <w:lang w:val="fr-FR"/>
        </w:rPr>
        <w:t xml:space="preserve"> un ou deux OEV, 2</w:t>
      </w:r>
      <w:r>
        <w:rPr>
          <w:szCs w:val="24"/>
          <w:lang w:val="fr-FR"/>
        </w:rPr>
        <w:t> </w:t>
      </w:r>
      <w:r w:rsidRPr="001C13D2">
        <w:rPr>
          <w:szCs w:val="24"/>
          <w:lang w:val="fr-FR"/>
        </w:rPr>
        <w:t xml:space="preserve">000 </w:t>
      </w:r>
      <w:r>
        <w:rPr>
          <w:szCs w:val="24"/>
          <w:lang w:val="fr-FR"/>
        </w:rPr>
        <w:t>shillings du Kenya</w:t>
      </w:r>
      <w:r w:rsidRPr="001C13D2">
        <w:rPr>
          <w:szCs w:val="24"/>
          <w:lang w:val="fr-FR"/>
        </w:rPr>
        <w:t xml:space="preserve"> (28 dollars EU) </w:t>
      </w:r>
      <w:r>
        <w:rPr>
          <w:szCs w:val="24"/>
          <w:lang w:val="fr-FR"/>
        </w:rPr>
        <w:t>pour</w:t>
      </w:r>
      <w:r w:rsidRPr="001C13D2">
        <w:rPr>
          <w:szCs w:val="24"/>
          <w:lang w:val="fr-FR"/>
        </w:rPr>
        <w:t xml:space="preserve"> trois ou quatre OEV</w:t>
      </w:r>
      <w:r>
        <w:rPr>
          <w:szCs w:val="24"/>
          <w:lang w:val="fr-FR"/>
        </w:rPr>
        <w:t>,</w:t>
      </w:r>
      <w:r w:rsidRPr="001C13D2">
        <w:rPr>
          <w:szCs w:val="24"/>
          <w:lang w:val="fr-FR"/>
        </w:rPr>
        <w:t xml:space="preserve"> et 3</w:t>
      </w:r>
      <w:r>
        <w:rPr>
          <w:szCs w:val="24"/>
          <w:lang w:val="fr-FR"/>
        </w:rPr>
        <w:t> </w:t>
      </w:r>
      <w:r w:rsidRPr="001C13D2">
        <w:rPr>
          <w:szCs w:val="24"/>
          <w:lang w:val="fr-FR"/>
        </w:rPr>
        <w:t xml:space="preserve">000 </w:t>
      </w:r>
      <w:r>
        <w:rPr>
          <w:szCs w:val="24"/>
          <w:lang w:val="fr-FR"/>
        </w:rPr>
        <w:t>shillings du Kenya</w:t>
      </w:r>
      <w:r w:rsidRPr="001C13D2">
        <w:rPr>
          <w:szCs w:val="24"/>
          <w:lang w:val="fr-FR"/>
        </w:rPr>
        <w:t xml:space="preserve"> (42 dollars </w:t>
      </w:r>
      <w:r>
        <w:rPr>
          <w:szCs w:val="24"/>
          <w:lang w:val="fr-FR"/>
        </w:rPr>
        <w:t>EU</w:t>
      </w:r>
      <w:r w:rsidRPr="001C13D2">
        <w:rPr>
          <w:szCs w:val="24"/>
          <w:lang w:val="fr-FR"/>
        </w:rPr>
        <w:t xml:space="preserve">) </w:t>
      </w:r>
      <w:r>
        <w:rPr>
          <w:szCs w:val="24"/>
          <w:lang w:val="fr-FR"/>
        </w:rPr>
        <w:t>pour</w:t>
      </w:r>
      <w:r w:rsidRPr="001C13D2">
        <w:rPr>
          <w:szCs w:val="24"/>
          <w:lang w:val="fr-FR"/>
        </w:rPr>
        <w:t xml:space="preserve"> cinq </w:t>
      </w:r>
      <w:r>
        <w:rPr>
          <w:szCs w:val="24"/>
          <w:lang w:val="fr-FR"/>
        </w:rPr>
        <w:t xml:space="preserve">OEV </w:t>
      </w:r>
      <w:r w:rsidRPr="001C13D2">
        <w:rPr>
          <w:szCs w:val="24"/>
          <w:lang w:val="fr-FR"/>
        </w:rPr>
        <w:t>ou plus (</w:t>
      </w:r>
      <w:r>
        <w:rPr>
          <w:szCs w:val="24"/>
          <w:lang w:val="fr-FR"/>
        </w:rPr>
        <w:t>Banque mondiale</w:t>
      </w:r>
      <w:r w:rsidRPr="001C13D2">
        <w:rPr>
          <w:szCs w:val="24"/>
          <w:lang w:val="fr-FR"/>
        </w:rPr>
        <w:t xml:space="preserve">2009c). </w:t>
      </w:r>
      <w:r>
        <w:rPr>
          <w:szCs w:val="24"/>
          <w:lang w:val="fr-FR"/>
        </w:rPr>
        <w:t>Avec</w:t>
      </w:r>
      <w:r w:rsidRPr="001C13D2">
        <w:rPr>
          <w:szCs w:val="24"/>
          <w:lang w:val="fr-FR"/>
        </w:rPr>
        <w:t xml:space="preserve"> une </w:t>
      </w:r>
      <w:r>
        <w:rPr>
          <w:szCs w:val="24"/>
          <w:lang w:val="fr-FR"/>
        </w:rPr>
        <w:t xml:space="preserve">valeur de </w:t>
      </w:r>
      <w:r w:rsidRPr="001C13D2">
        <w:rPr>
          <w:szCs w:val="24"/>
          <w:lang w:val="fr-FR"/>
        </w:rPr>
        <w:t>référence de 1</w:t>
      </w:r>
      <w:r>
        <w:rPr>
          <w:szCs w:val="24"/>
          <w:lang w:val="fr-FR"/>
        </w:rPr>
        <w:t> </w:t>
      </w:r>
      <w:r w:rsidRPr="001C13D2">
        <w:rPr>
          <w:szCs w:val="24"/>
          <w:lang w:val="fr-FR"/>
        </w:rPr>
        <w:t xml:space="preserve">500 </w:t>
      </w:r>
      <w:r>
        <w:rPr>
          <w:szCs w:val="24"/>
          <w:lang w:val="fr-FR"/>
        </w:rPr>
        <w:t>shillings du Kenya</w:t>
      </w:r>
      <w:r w:rsidRPr="001C13D2">
        <w:rPr>
          <w:szCs w:val="24"/>
          <w:lang w:val="fr-FR"/>
        </w:rPr>
        <w:t xml:space="preserve"> (20 dollars EU), le transfert </w:t>
      </w:r>
      <w:r>
        <w:rPr>
          <w:szCs w:val="24"/>
          <w:lang w:val="fr-FR"/>
        </w:rPr>
        <w:t>est</w:t>
      </w:r>
      <w:r w:rsidRPr="001C13D2">
        <w:rPr>
          <w:szCs w:val="24"/>
          <w:lang w:val="fr-FR"/>
        </w:rPr>
        <w:t xml:space="preserve"> important par rapport à la moyenne de 1</w:t>
      </w:r>
      <w:r>
        <w:rPr>
          <w:szCs w:val="24"/>
          <w:lang w:val="fr-FR"/>
        </w:rPr>
        <w:t> </w:t>
      </w:r>
      <w:r w:rsidRPr="001C13D2">
        <w:rPr>
          <w:szCs w:val="24"/>
          <w:lang w:val="fr-FR"/>
        </w:rPr>
        <w:t xml:space="preserve">800 </w:t>
      </w:r>
      <w:r>
        <w:rPr>
          <w:szCs w:val="24"/>
          <w:lang w:val="fr-FR"/>
        </w:rPr>
        <w:t>shillings du Kenya</w:t>
      </w:r>
      <w:r w:rsidRPr="001C13D2">
        <w:rPr>
          <w:szCs w:val="24"/>
          <w:lang w:val="fr-FR"/>
        </w:rPr>
        <w:t xml:space="preserve"> par équivalent adulte</w:t>
      </w:r>
      <w:r w:rsidRPr="001C13D2" w:rsidDel="0054414C">
        <w:rPr>
          <w:szCs w:val="24"/>
          <w:lang w:val="fr-FR"/>
        </w:rPr>
        <w:t xml:space="preserve"> </w:t>
      </w:r>
      <w:r>
        <w:rPr>
          <w:szCs w:val="24"/>
          <w:lang w:val="fr-FR"/>
        </w:rPr>
        <w:t>pour la</w:t>
      </w:r>
      <w:r w:rsidRPr="001C13D2">
        <w:rPr>
          <w:szCs w:val="24"/>
          <w:lang w:val="fr-FR"/>
        </w:rPr>
        <w:t xml:space="preserve"> consommation.</w:t>
      </w:r>
      <w:r>
        <w:rPr>
          <w:szCs w:val="24"/>
          <w:lang w:val="fr-FR"/>
        </w:rPr>
        <w:t xml:space="preserve"> </w:t>
      </w:r>
      <w:r w:rsidRPr="001C13D2">
        <w:rPr>
          <w:szCs w:val="24"/>
          <w:lang w:val="fr-FR"/>
        </w:rPr>
        <w:t>Il est par conséquent plus ou moins égal à 20</w:t>
      </w:r>
      <w:r>
        <w:rPr>
          <w:szCs w:val="24"/>
          <w:lang w:val="fr-FR"/>
        </w:rPr>
        <w:t> </w:t>
      </w:r>
      <w:r w:rsidRPr="001C13D2">
        <w:rPr>
          <w:szCs w:val="24"/>
          <w:lang w:val="fr-FR"/>
        </w:rPr>
        <w:t>% des dépenses des ménages kenyans pauvres (</w:t>
      </w:r>
      <w:r>
        <w:rPr>
          <w:szCs w:val="24"/>
          <w:lang w:val="fr-FR"/>
        </w:rPr>
        <w:t>Banque mondiale</w:t>
      </w:r>
      <w:r w:rsidRPr="001C13D2">
        <w:rPr>
          <w:szCs w:val="24"/>
          <w:lang w:val="fr-FR"/>
        </w:rPr>
        <w:t xml:space="preserve"> 2009c). Le montant des transferts n’a</w:t>
      </w:r>
      <w:r>
        <w:rPr>
          <w:szCs w:val="24"/>
          <w:lang w:val="fr-FR"/>
        </w:rPr>
        <w:t>yant</w:t>
      </w:r>
      <w:r w:rsidRPr="001C13D2">
        <w:rPr>
          <w:szCs w:val="24"/>
          <w:lang w:val="fr-FR"/>
        </w:rPr>
        <w:t xml:space="preserve"> pas été indexé, leur valeur s’est érodée alors que les prix alimentaires ont augmenté. Dans les districts pilotes, les transferts sont </w:t>
      </w:r>
      <w:r>
        <w:rPr>
          <w:szCs w:val="24"/>
          <w:lang w:val="fr-FR"/>
        </w:rPr>
        <w:t>délivrés</w:t>
      </w:r>
      <w:r w:rsidRPr="001C13D2">
        <w:rPr>
          <w:szCs w:val="24"/>
          <w:lang w:val="fr-FR"/>
        </w:rPr>
        <w:t xml:space="preserve"> par l’intermédiaire </w:t>
      </w:r>
      <w:r>
        <w:rPr>
          <w:szCs w:val="24"/>
          <w:lang w:val="fr-FR"/>
        </w:rPr>
        <w:t>de la</w:t>
      </w:r>
      <w:r w:rsidRPr="001C13D2">
        <w:rPr>
          <w:szCs w:val="24"/>
          <w:lang w:val="fr-FR"/>
        </w:rPr>
        <w:t xml:space="preserve"> </w:t>
      </w:r>
      <w:r w:rsidRPr="001C13D2">
        <w:rPr>
          <w:i/>
          <w:iCs/>
          <w:szCs w:val="24"/>
          <w:lang w:val="fr-FR"/>
        </w:rPr>
        <w:t>Postal Cooperation of Kenya</w:t>
      </w:r>
      <w:r w:rsidRPr="001C13D2">
        <w:rPr>
          <w:szCs w:val="24"/>
          <w:lang w:val="fr-FR"/>
        </w:rPr>
        <w:t xml:space="preserve">, qui semble avoir bien fonctionné. Les paiements sont </w:t>
      </w:r>
      <w:r>
        <w:rPr>
          <w:szCs w:val="24"/>
          <w:lang w:val="fr-FR"/>
        </w:rPr>
        <w:t>effectués</w:t>
      </w:r>
      <w:r w:rsidRPr="001C13D2">
        <w:rPr>
          <w:szCs w:val="24"/>
          <w:lang w:val="fr-FR"/>
        </w:rPr>
        <w:t xml:space="preserve"> une fois tous les deux mois (</w:t>
      </w:r>
      <w:r>
        <w:rPr>
          <w:szCs w:val="24"/>
          <w:lang w:val="fr-FR"/>
        </w:rPr>
        <w:t>OVC</w:t>
      </w:r>
      <w:r w:rsidRPr="001C13D2">
        <w:rPr>
          <w:szCs w:val="24"/>
          <w:lang w:val="fr-FR"/>
        </w:rPr>
        <w:t xml:space="preserve"> 2007). Les transferts sont </w:t>
      </w:r>
      <w:r>
        <w:rPr>
          <w:szCs w:val="24"/>
          <w:lang w:val="fr-FR"/>
        </w:rPr>
        <w:t>délivrés avec</w:t>
      </w:r>
      <w:r w:rsidRPr="001C13D2">
        <w:rPr>
          <w:szCs w:val="24"/>
          <w:lang w:val="fr-FR"/>
        </w:rPr>
        <w:t xml:space="preserve"> un </w:t>
      </w:r>
      <w:r>
        <w:rPr>
          <w:szCs w:val="24"/>
          <w:lang w:val="fr-FR"/>
        </w:rPr>
        <w:t>décompte</w:t>
      </w:r>
      <w:r w:rsidRPr="001C13D2">
        <w:rPr>
          <w:szCs w:val="24"/>
          <w:lang w:val="fr-FR"/>
        </w:rPr>
        <w:t xml:space="preserve"> indiqu</w:t>
      </w:r>
      <w:r>
        <w:rPr>
          <w:szCs w:val="24"/>
          <w:lang w:val="fr-FR"/>
        </w:rPr>
        <w:t>ant</w:t>
      </w:r>
      <w:r w:rsidRPr="001C13D2">
        <w:rPr>
          <w:szCs w:val="24"/>
          <w:lang w:val="fr-FR"/>
        </w:rPr>
        <w:t xml:space="preserve"> si le ménage </w:t>
      </w:r>
      <w:r>
        <w:rPr>
          <w:szCs w:val="24"/>
          <w:lang w:val="fr-FR"/>
        </w:rPr>
        <w:t xml:space="preserve">a reçu le montant complet et, si tel n’est pas le cas, </w:t>
      </w:r>
      <w:r w:rsidRPr="001C13D2">
        <w:rPr>
          <w:szCs w:val="24"/>
          <w:lang w:val="fr-FR"/>
        </w:rPr>
        <w:t xml:space="preserve">pourquoi (GdK 2006). </w:t>
      </w:r>
      <w:r>
        <w:rPr>
          <w:szCs w:val="24"/>
          <w:lang w:val="fr-FR"/>
        </w:rPr>
        <w:t>L’argent est, chaque fois que possible,</w:t>
      </w:r>
      <w:r w:rsidRPr="001C13D2">
        <w:rPr>
          <w:szCs w:val="24"/>
          <w:lang w:val="fr-FR"/>
        </w:rPr>
        <w:t xml:space="preserve"> remis à la mère ou à la femme qui dirige ou prend soin du ménage.</w:t>
      </w:r>
    </w:p>
    <w:p w:rsidR="004E3139" w:rsidRPr="001C13D2" w:rsidRDefault="004E3139" w:rsidP="004E3139">
      <w:pPr>
        <w:keepNext/>
        <w:spacing w:after="120"/>
        <w:rPr>
          <w:i/>
          <w:szCs w:val="24"/>
          <w:lang w:val="fr-FR"/>
        </w:rPr>
      </w:pPr>
      <w:r w:rsidRPr="001C13D2">
        <w:rPr>
          <w:i/>
          <w:szCs w:val="24"/>
          <w:lang w:val="fr-FR"/>
        </w:rPr>
        <w:t xml:space="preserve">Application </w:t>
      </w:r>
      <w:r>
        <w:rPr>
          <w:i/>
          <w:szCs w:val="24"/>
          <w:lang w:val="fr-FR"/>
        </w:rPr>
        <w:t>souple</w:t>
      </w:r>
      <w:r w:rsidRPr="001C13D2">
        <w:rPr>
          <w:i/>
          <w:szCs w:val="24"/>
          <w:lang w:val="fr-FR"/>
        </w:rPr>
        <w:t xml:space="preserve"> des conditions</w:t>
      </w:r>
    </w:p>
    <w:p w:rsidR="004E3139" w:rsidRPr="001C13D2" w:rsidRDefault="004E3139" w:rsidP="004E3139">
      <w:pPr>
        <w:tabs>
          <w:tab w:val="clear" w:pos="709"/>
          <w:tab w:val="left" w:pos="284"/>
        </w:tabs>
        <w:rPr>
          <w:szCs w:val="24"/>
          <w:lang w:val="fr-FR"/>
        </w:rPr>
      </w:pPr>
      <w:r w:rsidRPr="001C13D2">
        <w:rPr>
          <w:szCs w:val="24"/>
          <w:lang w:val="fr-FR"/>
        </w:rPr>
        <w:t xml:space="preserve">Les bénéficiaires des programmes CT-OVC du Kenya ont des responsabilités </w:t>
      </w:r>
      <w:r>
        <w:rPr>
          <w:szCs w:val="24"/>
          <w:lang w:val="fr-FR"/>
        </w:rPr>
        <w:t>vis-</w:t>
      </w:r>
      <w:r w:rsidRPr="001C13D2">
        <w:rPr>
          <w:szCs w:val="24"/>
          <w:lang w:val="fr-FR"/>
        </w:rPr>
        <w:t>à</w:t>
      </w:r>
      <w:r>
        <w:rPr>
          <w:szCs w:val="24"/>
          <w:lang w:val="fr-FR"/>
        </w:rPr>
        <w:t>-vis de</w:t>
      </w:r>
      <w:r w:rsidRPr="001C13D2">
        <w:rPr>
          <w:szCs w:val="24"/>
          <w:lang w:val="fr-FR"/>
        </w:rPr>
        <w:t xml:space="preserve"> la santé et </w:t>
      </w:r>
      <w:r>
        <w:rPr>
          <w:szCs w:val="24"/>
          <w:lang w:val="fr-FR"/>
        </w:rPr>
        <w:t xml:space="preserve">de </w:t>
      </w:r>
      <w:r w:rsidRPr="001C13D2">
        <w:rPr>
          <w:szCs w:val="24"/>
          <w:lang w:val="fr-FR"/>
        </w:rPr>
        <w:t>l’éducation des enfants</w:t>
      </w:r>
      <w:r>
        <w:rPr>
          <w:szCs w:val="24"/>
          <w:lang w:val="fr-FR"/>
        </w:rPr>
        <w:t>,</w:t>
      </w:r>
      <w:r w:rsidRPr="001C13D2">
        <w:rPr>
          <w:szCs w:val="24"/>
          <w:lang w:val="fr-FR"/>
        </w:rPr>
        <w:t xml:space="preserve"> </w:t>
      </w:r>
      <w:r>
        <w:rPr>
          <w:szCs w:val="24"/>
          <w:lang w:val="fr-FR"/>
        </w:rPr>
        <w:t>semblables</w:t>
      </w:r>
      <w:r w:rsidRPr="001C13D2">
        <w:rPr>
          <w:szCs w:val="24"/>
          <w:lang w:val="fr-FR"/>
        </w:rPr>
        <w:t xml:space="preserve"> aux conditions </w:t>
      </w:r>
      <w:r>
        <w:rPr>
          <w:szCs w:val="24"/>
          <w:lang w:val="fr-FR"/>
        </w:rPr>
        <w:t>imposée par les</w:t>
      </w:r>
      <w:r w:rsidRPr="001C13D2">
        <w:rPr>
          <w:szCs w:val="24"/>
          <w:lang w:val="fr-FR"/>
        </w:rPr>
        <w:t xml:space="preserve"> programmes de transferts monétaires d’Amérique </w:t>
      </w:r>
      <w:r>
        <w:rPr>
          <w:szCs w:val="24"/>
          <w:lang w:val="fr-FR"/>
        </w:rPr>
        <w:t>l</w:t>
      </w:r>
      <w:r w:rsidRPr="001C13D2">
        <w:rPr>
          <w:szCs w:val="24"/>
          <w:lang w:val="fr-FR"/>
        </w:rPr>
        <w:t xml:space="preserve">atine : les bénéficiaires de moins d’un an doivent visiter </w:t>
      </w:r>
      <w:r>
        <w:rPr>
          <w:szCs w:val="24"/>
          <w:lang w:val="fr-FR"/>
        </w:rPr>
        <w:t xml:space="preserve">six fois </w:t>
      </w:r>
      <w:r w:rsidRPr="001C13D2">
        <w:rPr>
          <w:szCs w:val="24"/>
          <w:lang w:val="fr-FR"/>
        </w:rPr>
        <w:t>une clinique locale au cours de leur première année pour être vaccinés, recevoir des suppléments de vitamine A et pour le contrôle de leur croissance</w:t>
      </w:r>
      <w:r>
        <w:rPr>
          <w:szCs w:val="24"/>
          <w:lang w:val="fr-FR"/>
        </w:rPr>
        <w:t> </w:t>
      </w:r>
      <w:r w:rsidRPr="001C13D2">
        <w:rPr>
          <w:szCs w:val="24"/>
          <w:lang w:val="fr-FR"/>
        </w:rPr>
        <w:t>; les bénéficiaires âgés d</w:t>
      </w:r>
      <w:r>
        <w:rPr>
          <w:szCs w:val="24"/>
          <w:lang w:val="fr-FR"/>
        </w:rPr>
        <w:t xml:space="preserve">e </w:t>
      </w:r>
      <w:r w:rsidRPr="001C13D2">
        <w:rPr>
          <w:szCs w:val="24"/>
          <w:lang w:val="fr-FR"/>
        </w:rPr>
        <w:t xml:space="preserve">un à trois ans doivent </w:t>
      </w:r>
      <w:r>
        <w:rPr>
          <w:szCs w:val="24"/>
          <w:lang w:val="fr-FR"/>
        </w:rPr>
        <w:t>subir</w:t>
      </w:r>
      <w:r w:rsidRPr="001C13D2">
        <w:rPr>
          <w:szCs w:val="24"/>
          <w:lang w:val="fr-FR"/>
        </w:rPr>
        <w:t xml:space="preserve"> un contrôle de</w:t>
      </w:r>
      <w:r>
        <w:rPr>
          <w:szCs w:val="24"/>
          <w:lang w:val="fr-FR"/>
        </w:rPr>
        <w:t xml:space="preserve"> </w:t>
      </w:r>
      <w:r w:rsidRPr="001C13D2">
        <w:rPr>
          <w:szCs w:val="24"/>
          <w:lang w:val="fr-FR"/>
        </w:rPr>
        <w:t>croissance et recevoir des suppléments de vitamine A deux fois par an</w:t>
      </w:r>
      <w:r>
        <w:rPr>
          <w:szCs w:val="24"/>
          <w:lang w:val="fr-FR"/>
        </w:rPr>
        <w:t> </w:t>
      </w:r>
      <w:r w:rsidRPr="001C13D2">
        <w:rPr>
          <w:szCs w:val="24"/>
          <w:lang w:val="fr-FR"/>
        </w:rPr>
        <w:t xml:space="preserve">; les enfants de 5 à 17 ans doivent être inscrits à l’école et y être présents </w:t>
      </w:r>
      <w:r>
        <w:rPr>
          <w:szCs w:val="24"/>
          <w:lang w:val="fr-FR"/>
        </w:rPr>
        <w:t xml:space="preserve">pendant </w:t>
      </w:r>
      <w:r w:rsidRPr="001C13D2">
        <w:rPr>
          <w:szCs w:val="24"/>
          <w:lang w:val="fr-FR"/>
        </w:rPr>
        <w:t>80</w:t>
      </w:r>
      <w:r>
        <w:rPr>
          <w:szCs w:val="24"/>
          <w:lang w:val="fr-FR"/>
        </w:rPr>
        <w:t> </w:t>
      </w:r>
      <w:r w:rsidRPr="001C13D2">
        <w:rPr>
          <w:szCs w:val="24"/>
          <w:lang w:val="fr-FR"/>
        </w:rPr>
        <w:t>% des jours de classe</w:t>
      </w:r>
      <w:r>
        <w:rPr>
          <w:szCs w:val="24"/>
          <w:lang w:val="fr-FR"/>
        </w:rPr>
        <w:t> </w:t>
      </w:r>
      <w:r w:rsidRPr="001C13D2">
        <w:rPr>
          <w:szCs w:val="24"/>
          <w:lang w:val="fr-FR"/>
        </w:rPr>
        <w:t>;</w:t>
      </w:r>
      <w:r>
        <w:rPr>
          <w:szCs w:val="24"/>
          <w:lang w:val="fr-FR"/>
        </w:rPr>
        <w:t xml:space="preserve"> </w:t>
      </w:r>
      <w:r w:rsidRPr="001C13D2">
        <w:rPr>
          <w:szCs w:val="24"/>
          <w:lang w:val="fr-FR"/>
        </w:rPr>
        <w:t>les chefs de ménage doivent participer à des séminaires pédagogiques au moins une fois par an (</w:t>
      </w:r>
      <w:r>
        <w:rPr>
          <w:szCs w:val="24"/>
          <w:lang w:val="fr-FR"/>
        </w:rPr>
        <w:t>Banque mondiale</w:t>
      </w:r>
      <w:r w:rsidRPr="001C13D2">
        <w:rPr>
          <w:szCs w:val="24"/>
          <w:lang w:val="fr-FR"/>
        </w:rPr>
        <w:t xml:space="preserve"> 2009c). Cependant, jusqu’à très récemment, ces conditions n’étaient pas appliquées par le programme, </w:t>
      </w:r>
      <w:r>
        <w:rPr>
          <w:szCs w:val="24"/>
          <w:lang w:val="fr-FR"/>
        </w:rPr>
        <w:t>le</w:t>
      </w:r>
      <w:r w:rsidRPr="001C13D2">
        <w:rPr>
          <w:szCs w:val="24"/>
          <w:lang w:val="fr-FR"/>
        </w:rPr>
        <w:t xml:space="preserve"> transfert </w:t>
      </w:r>
      <w:r>
        <w:rPr>
          <w:szCs w:val="24"/>
          <w:lang w:val="fr-FR"/>
        </w:rPr>
        <w:t xml:space="preserve">était </w:t>
      </w:r>
      <w:r w:rsidRPr="001C13D2">
        <w:rPr>
          <w:szCs w:val="24"/>
          <w:lang w:val="fr-FR"/>
        </w:rPr>
        <w:t xml:space="preserve">essentiellement inconditionnel. </w:t>
      </w:r>
      <w:r>
        <w:rPr>
          <w:szCs w:val="24"/>
          <w:lang w:val="fr-FR"/>
        </w:rPr>
        <w:t>Une partie prévue pour le</w:t>
      </w:r>
      <w:r w:rsidRPr="001C13D2">
        <w:rPr>
          <w:szCs w:val="24"/>
          <w:lang w:val="fr-FR"/>
        </w:rPr>
        <w:t xml:space="preserve"> programme était </w:t>
      </w:r>
      <w:r>
        <w:rPr>
          <w:szCs w:val="24"/>
          <w:lang w:val="fr-FR"/>
        </w:rPr>
        <w:t>le test d’</w:t>
      </w:r>
      <w:r w:rsidRPr="001C13D2">
        <w:rPr>
          <w:szCs w:val="24"/>
          <w:lang w:val="fr-FR"/>
        </w:rPr>
        <w:t xml:space="preserve">un transfert conditionnel </w:t>
      </w:r>
      <w:r>
        <w:rPr>
          <w:szCs w:val="24"/>
          <w:lang w:val="fr-FR"/>
        </w:rPr>
        <w:t xml:space="preserve">par rapport </w:t>
      </w:r>
      <w:r w:rsidRPr="001C13D2">
        <w:rPr>
          <w:szCs w:val="24"/>
          <w:lang w:val="fr-FR"/>
        </w:rPr>
        <w:t xml:space="preserve">à un transfert inconditionnel, mais cette composante n’a été testée que vers la fin 2008. Il </w:t>
      </w:r>
      <w:r>
        <w:rPr>
          <w:szCs w:val="24"/>
          <w:lang w:val="fr-FR"/>
        </w:rPr>
        <w:t>y a eu</w:t>
      </w:r>
      <w:r w:rsidRPr="001C13D2">
        <w:rPr>
          <w:szCs w:val="24"/>
          <w:lang w:val="fr-FR"/>
        </w:rPr>
        <w:t xml:space="preserve"> jusqu’ici une confusion sur la façon de faire respecter les conditions qui s’appliquent à la santé, </w:t>
      </w:r>
      <w:r>
        <w:rPr>
          <w:szCs w:val="24"/>
          <w:lang w:val="fr-FR"/>
        </w:rPr>
        <w:t>et</w:t>
      </w:r>
      <w:r w:rsidRPr="001C13D2">
        <w:rPr>
          <w:szCs w:val="24"/>
          <w:lang w:val="fr-FR"/>
        </w:rPr>
        <w:t xml:space="preserve"> seules celles qui s’appliquent à l’éducation sont observées. Dans les zones où les conditions sont appliquées, la réduction du nombre de transferts pour non-conformité est de 400 </w:t>
      </w:r>
      <w:r>
        <w:rPr>
          <w:szCs w:val="24"/>
          <w:lang w:val="fr-FR"/>
        </w:rPr>
        <w:t>shillings du Kenya</w:t>
      </w:r>
      <w:r w:rsidRPr="001C13D2">
        <w:rPr>
          <w:szCs w:val="24"/>
          <w:lang w:val="fr-FR"/>
        </w:rPr>
        <w:t xml:space="preserve"> par enfant ou adulte qui ne respecte pas les coresponsabilités (</w:t>
      </w:r>
      <w:r>
        <w:rPr>
          <w:szCs w:val="24"/>
          <w:lang w:val="fr-FR"/>
        </w:rPr>
        <w:t>Banque mondiale</w:t>
      </w:r>
      <w:r w:rsidRPr="001C13D2">
        <w:rPr>
          <w:szCs w:val="24"/>
          <w:lang w:val="fr-FR"/>
        </w:rPr>
        <w:t xml:space="preserve"> 2009c).</w:t>
      </w:r>
      <w:r>
        <w:rPr>
          <w:szCs w:val="24"/>
          <w:lang w:val="fr-FR"/>
        </w:rPr>
        <w:t xml:space="preserve"> </w:t>
      </w:r>
    </w:p>
    <w:p w:rsidR="004E3139" w:rsidRPr="001C13D2" w:rsidRDefault="004E3139" w:rsidP="004E3139">
      <w:pPr>
        <w:tabs>
          <w:tab w:val="clear" w:pos="709"/>
          <w:tab w:val="left" w:pos="284"/>
        </w:tabs>
        <w:rPr>
          <w:szCs w:val="24"/>
          <w:lang w:val="fr-FR"/>
        </w:rPr>
      </w:pPr>
      <w:r w:rsidRPr="001C13D2">
        <w:rPr>
          <w:szCs w:val="24"/>
          <w:lang w:val="fr-FR"/>
        </w:rPr>
        <w:t xml:space="preserve">Les sorties du programme </w:t>
      </w:r>
      <w:r>
        <w:rPr>
          <w:szCs w:val="24"/>
          <w:lang w:val="fr-FR"/>
        </w:rPr>
        <w:t>inter</w:t>
      </w:r>
      <w:r w:rsidRPr="001C13D2">
        <w:rPr>
          <w:szCs w:val="24"/>
          <w:lang w:val="fr-FR"/>
        </w:rPr>
        <w:t xml:space="preserve">viennent s’il n’y a plus d’OEV de moins de 18 ans dans le ménage ou si le ménage est réévalué et n’est plus considéré </w:t>
      </w:r>
      <w:r>
        <w:rPr>
          <w:szCs w:val="24"/>
          <w:lang w:val="fr-FR"/>
        </w:rPr>
        <w:t xml:space="preserve">comme </w:t>
      </w:r>
      <w:r w:rsidRPr="001C13D2">
        <w:rPr>
          <w:szCs w:val="24"/>
          <w:lang w:val="fr-FR"/>
        </w:rPr>
        <w:t xml:space="preserve">pauvre. Il en est de même des ménages qui </w:t>
      </w:r>
      <w:r>
        <w:rPr>
          <w:szCs w:val="24"/>
          <w:lang w:val="fr-FR"/>
        </w:rPr>
        <w:t>quittent</w:t>
      </w:r>
      <w:r w:rsidRPr="001C13D2">
        <w:rPr>
          <w:szCs w:val="24"/>
          <w:lang w:val="fr-FR"/>
        </w:rPr>
        <w:t xml:space="preserve"> la zone du programme, se retirent volontairement ou sont reconnus coupables d’avoir falsifié les informations. (</w:t>
      </w:r>
      <w:r>
        <w:rPr>
          <w:szCs w:val="24"/>
          <w:lang w:val="fr-FR"/>
        </w:rPr>
        <w:t>Banque mondiale</w:t>
      </w:r>
      <w:r w:rsidRPr="001C13D2">
        <w:rPr>
          <w:szCs w:val="24"/>
          <w:lang w:val="fr-FR"/>
        </w:rPr>
        <w:t xml:space="preserve"> 2009c). Finalement, les ménages qui ne remplissent pas les coresponsabilités </w:t>
      </w:r>
      <w:r>
        <w:rPr>
          <w:szCs w:val="24"/>
          <w:lang w:val="fr-FR"/>
        </w:rPr>
        <w:t>pendant</w:t>
      </w:r>
      <w:r w:rsidRPr="001C13D2">
        <w:rPr>
          <w:szCs w:val="24"/>
          <w:lang w:val="fr-FR"/>
        </w:rPr>
        <w:t xml:space="preserve"> trois périodes consécutives sont supposés </w:t>
      </w:r>
      <w:r>
        <w:rPr>
          <w:szCs w:val="24"/>
          <w:lang w:val="fr-FR"/>
        </w:rPr>
        <w:t xml:space="preserve">devoir </w:t>
      </w:r>
      <w:r w:rsidRPr="001C13D2">
        <w:rPr>
          <w:szCs w:val="24"/>
          <w:lang w:val="fr-FR"/>
        </w:rPr>
        <w:t>sortir du programme.</w:t>
      </w:r>
    </w:p>
    <w:p w:rsidR="004E3139" w:rsidRPr="001C13D2" w:rsidRDefault="004E3139" w:rsidP="004E3139">
      <w:pPr>
        <w:keepNext/>
        <w:spacing w:after="120"/>
        <w:rPr>
          <w:i/>
          <w:szCs w:val="24"/>
          <w:lang w:val="fr-FR"/>
        </w:rPr>
      </w:pPr>
      <w:r>
        <w:rPr>
          <w:i/>
          <w:szCs w:val="24"/>
          <w:lang w:val="fr-FR"/>
        </w:rPr>
        <w:t>L</w:t>
      </w:r>
      <w:r w:rsidRPr="001C13D2">
        <w:rPr>
          <w:i/>
          <w:szCs w:val="24"/>
          <w:lang w:val="fr-FR"/>
        </w:rPr>
        <w:t xml:space="preserve">’organisation et </w:t>
      </w:r>
      <w:r>
        <w:rPr>
          <w:i/>
          <w:szCs w:val="24"/>
          <w:lang w:val="fr-FR"/>
        </w:rPr>
        <w:t xml:space="preserve">le système </w:t>
      </w:r>
      <w:r w:rsidRPr="001C13D2">
        <w:rPr>
          <w:i/>
          <w:szCs w:val="24"/>
          <w:lang w:val="fr-FR"/>
        </w:rPr>
        <w:t xml:space="preserve">de gestion </w:t>
      </w:r>
      <w:r>
        <w:rPr>
          <w:i/>
          <w:szCs w:val="24"/>
          <w:lang w:val="fr-FR"/>
        </w:rPr>
        <w:t>exigent</w:t>
      </w:r>
      <w:r w:rsidRPr="001C13D2">
        <w:rPr>
          <w:i/>
          <w:szCs w:val="24"/>
          <w:lang w:val="fr-FR"/>
        </w:rPr>
        <w:t xml:space="preserve"> une coordination intersectorielle </w:t>
      </w:r>
    </w:p>
    <w:p w:rsidR="004E3139" w:rsidRPr="001C13D2" w:rsidRDefault="004E3139" w:rsidP="004E3139">
      <w:pPr>
        <w:keepNext/>
        <w:spacing w:after="120"/>
        <w:rPr>
          <w:szCs w:val="24"/>
          <w:lang w:val="fr-FR"/>
        </w:rPr>
      </w:pPr>
      <w:r w:rsidRPr="001C13D2">
        <w:rPr>
          <w:szCs w:val="24"/>
          <w:lang w:val="fr-FR"/>
        </w:rPr>
        <w:t xml:space="preserve">La cellule centrale du programme pilote, </w:t>
      </w:r>
      <w:r>
        <w:rPr>
          <w:szCs w:val="24"/>
          <w:lang w:val="fr-FR"/>
        </w:rPr>
        <w:t>incluant</w:t>
      </w:r>
      <w:r w:rsidRPr="001C13D2">
        <w:rPr>
          <w:szCs w:val="24"/>
          <w:lang w:val="fr-FR"/>
        </w:rPr>
        <w:t xml:space="preserve"> de</w:t>
      </w:r>
      <w:r>
        <w:rPr>
          <w:szCs w:val="24"/>
          <w:lang w:val="fr-FR"/>
        </w:rPr>
        <w:t>s</w:t>
      </w:r>
      <w:r w:rsidRPr="001C13D2">
        <w:rPr>
          <w:szCs w:val="24"/>
          <w:lang w:val="fr-FR"/>
        </w:rPr>
        <w:t xml:space="preserve"> cellules </w:t>
      </w:r>
      <w:r>
        <w:rPr>
          <w:szCs w:val="24"/>
          <w:lang w:val="fr-FR"/>
        </w:rPr>
        <w:t xml:space="preserve">chargées des </w:t>
      </w:r>
      <w:r w:rsidRPr="001C13D2">
        <w:rPr>
          <w:szCs w:val="24"/>
          <w:lang w:val="fr-FR"/>
        </w:rPr>
        <w:t>opération</w:t>
      </w:r>
      <w:r>
        <w:rPr>
          <w:szCs w:val="24"/>
          <w:lang w:val="fr-FR"/>
        </w:rPr>
        <w:t>s</w:t>
      </w:r>
      <w:r w:rsidRPr="001C13D2">
        <w:rPr>
          <w:szCs w:val="24"/>
          <w:lang w:val="fr-FR"/>
        </w:rPr>
        <w:t xml:space="preserve">, </w:t>
      </w:r>
      <w:r>
        <w:rPr>
          <w:szCs w:val="24"/>
          <w:lang w:val="fr-FR"/>
        </w:rPr>
        <w:t>du</w:t>
      </w:r>
      <w:r w:rsidRPr="001C13D2">
        <w:rPr>
          <w:szCs w:val="24"/>
          <w:lang w:val="fr-FR"/>
        </w:rPr>
        <w:t xml:space="preserve"> suivi et évaluation, </w:t>
      </w:r>
      <w:r>
        <w:rPr>
          <w:szCs w:val="24"/>
          <w:lang w:val="fr-FR"/>
        </w:rPr>
        <w:t>de l</w:t>
      </w:r>
      <w:r w:rsidRPr="001C13D2">
        <w:rPr>
          <w:szCs w:val="24"/>
          <w:lang w:val="fr-FR"/>
        </w:rPr>
        <w:t>’administration/finance</w:t>
      </w:r>
      <w:r>
        <w:rPr>
          <w:szCs w:val="24"/>
          <w:lang w:val="fr-FR"/>
        </w:rPr>
        <w:t>s</w:t>
      </w:r>
      <w:r w:rsidRPr="001C13D2">
        <w:rPr>
          <w:szCs w:val="24"/>
          <w:lang w:val="fr-FR"/>
        </w:rPr>
        <w:t xml:space="preserve"> et </w:t>
      </w:r>
      <w:r>
        <w:rPr>
          <w:szCs w:val="24"/>
          <w:lang w:val="fr-FR"/>
        </w:rPr>
        <w:t xml:space="preserve">des systèmes </w:t>
      </w:r>
      <w:r w:rsidRPr="001C13D2">
        <w:rPr>
          <w:szCs w:val="24"/>
          <w:lang w:val="fr-FR"/>
        </w:rPr>
        <w:t xml:space="preserve">d’information, était originellement située au Département des services à l’enfance </w:t>
      </w:r>
      <w:r>
        <w:rPr>
          <w:szCs w:val="24"/>
          <w:lang w:val="fr-FR"/>
        </w:rPr>
        <w:t>d</w:t>
      </w:r>
      <w:r w:rsidRPr="001C13D2">
        <w:rPr>
          <w:szCs w:val="24"/>
          <w:lang w:val="fr-FR"/>
        </w:rPr>
        <w:t xml:space="preserve">u </w:t>
      </w:r>
      <w:r>
        <w:rPr>
          <w:szCs w:val="24"/>
          <w:lang w:val="fr-FR"/>
        </w:rPr>
        <w:t>m</w:t>
      </w:r>
      <w:r w:rsidRPr="001C13D2">
        <w:rPr>
          <w:szCs w:val="24"/>
          <w:lang w:val="fr-FR"/>
        </w:rPr>
        <w:t>inistère de l’Intérieur (GdK 2006).</w:t>
      </w:r>
      <w:r>
        <w:rPr>
          <w:szCs w:val="24"/>
          <w:lang w:val="fr-FR"/>
        </w:rPr>
        <w:t xml:space="preserve"> </w:t>
      </w:r>
      <w:r w:rsidRPr="001C13D2">
        <w:rPr>
          <w:szCs w:val="24"/>
          <w:lang w:val="fr-FR"/>
        </w:rPr>
        <w:t xml:space="preserve">Le Vice-président a le contrôle ultime du programme (Hussein 2006). L’application des conditions nécessite une coordination étroite du programme </w:t>
      </w:r>
      <w:r>
        <w:rPr>
          <w:szCs w:val="24"/>
          <w:lang w:val="fr-FR"/>
        </w:rPr>
        <w:t>avec</w:t>
      </w:r>
      <w:r w:rsidRPr="001C13D2">
        <w:rPr>
          <w:szCs w:val="24"/>
          <w:lang w:val="fr-FR"/>
        </w:rPr>
        <w:t xml:space="preserve"> les ministères </w:t>
      </w:r>
      <w:r>
        <w:rPr>
          <w:szCs w:val="24"/>
          <w:lang w:val="fr-FR"/>
        </w:rPr>
        <w:t>techniques</w:t>
      </w:r>
      <w:r w:rsidRPr="001C13D2">
        <w:rPr>
          <w:szCs w:val="24"/>
          <w:lang w:val="fr-FR"/>
        </w:rPr>
        <w:t xml:space="preserve"> étant donné que les objectifs pédagogiques doivent être réalisés par le </w:t>
      </w:r>
      <w:r>
        <w:rPr>
          <w:szCs w:val="24"/>
          <w:lang w:val="fr-FR"/>
        </w:rPr>
        <w:t>m</w:t>
      </w:r>
      <w:r w:rsidRPr="001C13D2">
        <w:rPr>
          <w:szCs w:val="24"/>
          <w:lang w:val="fr-FR"/>
        </w:rPr>
        <w:t>inistère de l’Education et ceux</w:t>
      </w:r>
      <w:r>
        <w:rPr>
          <w:szCs w:val="24"/>
          <w:lang w:val="fr-FR"/>
        </w:rPr>
        <w:t xml:space="preserve"> </w:t>
      </w:r>
      <w:r w:rsidRPr="001C13D2">
        <w:rPr>
          <w:szCs w:val="24"/>
          <w:lang w:val="fr-FR"/>
        </w:rPr>
        <w:t xml:space="preserve">de la </w:t>
      </w:r>
      <w:r>
        <w:rPr>
          <w:szCs w:val="24"/>
          <w:lang w:val="fr-FR"/>
        </w:rPr>
        <w:t>s</w:t>
      </w:r>
      <w:r w:rsidRPr="001C13D2">
        <w:rPr>
          <w:szCs w:val="24"/>
          <w:lang w:val="fr-FR"/>
        </w:rPr>
        <w:t xml:space="preserve">anté par le </w:t>
      </w:r>
      <w:r>
        <w:rPr>
          <w:szCs w:val="24"/>
          <w:lang w:val="fr-FR"/>
        </w:rPr>
        <w:t>m</w:t>
      </w:r>
      <w:r w:rsidRPr="001C13D2">
        <w:rPr>
          <w:szCs w:val="24"/>
          <w:lang w:val="fr-FR"/>
        </w:rPr>
        <w:t xml:space="preserve">inistère de la Santé </w:t>
      </w:r>
      <w:r>
        <w:rPr>
          <w:szCs w:val="24"/>
          <w:lang w:val="fr-FR"/>
        </w:rPr>
        <w:t>p</w:t>
      </w:r>
      <w:r w:rsidRPr="001C13D2">
        <w:rPr>
          <w:szCs w:val="24"/>
          <w:lang w:val="fr-FR"/>
        </w:rPr>
        <w:t xml:space="preserve">ublique et de l’Assainissement. La coordination avec le </w:t>
      </w:r>
      <w:r>
        <w:rPr>
          <w:szCs w:val="24"/>
          <w:lang w:val="fr-FR"/>
        </w:rPr>
        <w:t>m</w:t>
      </w:r>
      <w:r w:rsidRPr="001C13D2">
        <w:rPr>
          <w:szCs w:val="24"/>
          <w:lang w:val="fr-FR"/>
        </w:rPr>
        <w:t xml:space="preserve">inistère des Services </w:t>
      </w:r>
      <w:r>
        <w:rPr>
          <w:szCs w:val="24"/>
          <w:lang w:val="fr-FR"/>
        </w:rPr>
        <w:t>m</w:t>
      </w:r>
      <w:r w:rsidRPr="001C13D2">
        <w:rPr>
          <w:szCs w:val="24"/>
          <w:lang w:val="fr-FR"/>
        </w:rPr>
        <w:t xml:space="preserve">édicaux et le </w:t>
      </w:r>
      <w:r>
        <w:rPr>
          <w:szCs w:val="24"/>
          <w:lang w:val="fr-FR"/>
        </w:rPr>
        <w:t>m</w:t>
      </w:r>
      <w:r w:rsidRPr="001C13D2">
        <w:rPr>
          <w:szCs w:val="24"/>
          <w:lang w:val="fr-FR"/>
        </w:rPr>
        <w:t>inistère de l’Immigration et de l’</w:t>
      </w:r>
      <w:r>
        <w:rPr>
          <w:szCs w:val="24"/>
          <w:lang w:val="fr-FR"/>
        </w:rPr>
        <w:t>E</w:t>
      </w:r>
      <w:r w:rsidRPr="001C13D2">
        <w:rPr>
          <w:szCs w:val="24"/>
          <w:lang w:val="fr-FR"/>
        </w:rPr>
        <w:t xml:space="preserve">nregistrement des personnes est également </w:t>
      </w:r>
      <w:r>
        <w:rPr>
          <w:szCs w:val="24"/>
          <w:lang w:val="fr-FR"/>
        </w:rPr>
        <w:t xml:space="preserve">soutenue </w:t>
      </w:r>
      <w:r w:rsidRPr="001C13D2">
        <w:rPr>
          <w:szCs w:val="24"/>
          <w:lang w:val="fr-FR"/>
        </w:rPr>
        <w:t>(</w:t>
      </w:r>
      <w:r>
        <w:rPr>
          <w:szCs w:val="24"/>
          <w:lang w:val="fr-FR"/>
        </w:rPr>
        <w:t>Banque mondiale</w:t>
      </w:r>
      <w:r w:rsidRPr="001C13D2">
        <w:rPr>
          <w:szCs w:val="24"/>
          <w:lang w:val="fr-FR"/>
        </w:rPr>
        <w:t xml:space="preserve"> 2009c).</w:t>
      </w:r>
    </w:p>
    <w:p w:rsidR="004E3139" w:rsidRPr="001C13D2" w:rsidRDefault="004E3139" w:rsidP="004E3139">
      <w:pPr>
        <w:keepNext/>
        <w:spacing w:after="120"/>
        <w:rPr>
          <w:i/>
          <w:szCs w:val="24"/>
          <w:lang w:val="fr-FR"/>
        </w:rPr>
      </w:pPr>
      <w:r w:rsidRPr="001C13D2">
        <w:rPr>
          <w:i/>
          <w:szCs w:val="24"/>
          <w:lang w:val="fr-FR"/>
        </w:rPr>
        <w:t xml:space="preserve">Analyse des résultats attendus </w:t>
      </w:r>
      <w:r>
        <w:rPr>
          <w:i/>
          <w:szCs w:val="24"/>
          <w:lang w:val="fr-FR"/>
        </w:rPr>
        <w:t>de la conception de l</w:t>
      </w:r>
      <w:r w:rsidRPr="001C13D2">
        <w:rPr>
          <w:i/>
          <w:szCs w:val="24"/>
          <w:lang w:val="fr-FR"/>
        </w:rPr>
        <w:t xml:space="preserve">’évaluation expérimentale </w:t>
      </w:r>
    </w:p>
    <w:p w:rsidR="004E3139" w:rsidRPr="001C13D2" w:rsidRDefault="004E3139" w:rsidP="004E3139">
      <w:pPr>
        <w:tabs>
          <w:tab w:val="clear" w:pos="709"/>
          <w:tab w:val="left" w:pos="284"/>
        </w:tabs>
        <w:rPr>
          <w:szCs w:val="24"/>
          <w:lang w:val="fr-FR"/>
        </w:rPr>
      </w:pPr>
      <w:r w:rsidRPr="001C13D2">
        <w:rPr>
          <w:szCs w:val="24"/>
          <w:lang w:val="fr-FR"/>
        </w:rPr>
        <w:t>Le programme pilote a pris d’importantes mesures, incluant l’utilisation d’un système d’information de gestion (</w:t>
      </w:r>
      <w:r>
        <w:rPr>
          <w:iCs/>
          <w:szCs w:val="24"/>
          <w:lang w:val="fr-FR"/>
        </w:rPr>
        <w:t>SIG</w:t>
      </w:r>
      <w:r w:rsidRPr="001C13D2">
        <w:rPr>
          <w:szCs w:val="24"/>
          <w:lang w:val="fr-FR"/>
        </w:rPr>
        <w:t>)</w:t>
      </w:r>
      <w:r>
        <w:rPr>
          <w:szCs w:val="24"/>
          <w:lang w:val="fr-FR"/>
        </w:rPr>
        <w:t xml:space="preserve"> complet</w:t>
      </w:r>
      <w:r w:rsidRPr="001C13D2">
        <w:rPr>
          <w:szCs w:val="24"/>
          <w:lang w:val="fr-FR"/>
        </w:rPr>
        <w:t xml:space="preserve">, pour maintenir des contrôles adéquats. L’actuel </w:t>
      </w:r>
      <w:r w:rsidRPr="004B2158">
        <w:rPr>
          <w:iCs/>
          <w:szCs w:val="24"/>
          <w:lang w:val="fr-FR"/>
        </w:rPr>
        <w:t>SIG</w:t>
      </w:r>
      <w:r w:rsidRPr="001C13D2">
        <w:rPr>
          <w:szCs w:val="24"/>
          <w:lang w:val="fr-FR"/>
        </w:rPr>
        <w:t xml:space="preserve"> est centralisé au niveau national mais sera décentralisé plus tard vers les districts (</w:t>
      </w:r>
      <w:r>
        <w:rPr>
          <w:szCs w:val="24"/>
          <w:lang w:val="fr-FR"/>
        </w:rPr>
        <w:t>Banque mondiale</w:t>
      </w:r>
      <w:r w:rsidRPr="001C13D2">
        <w:rPr>
          <w:szCs w:val="24"/>
          <w:lang w:val="fr-FR"/>
        </w:rPr>
        <w:t xml:space="preserve"> 2009c). Les enseignants et les travailleurs de la santé remplissent des formulaires </w:t>
      </w:r>
      <w:r>
        <w:rPr>
          <w:szCs w:val="24"/>
          <w:lang w:val="fr-FR"/>
        </w:rPr>
        <w:t>rapportant</w:t>
      </w:r>
      <w:r w:rsidRPr="001C13D2">
        <w:rPr>
          <w:szCs w:val="24"/>
          <w:lang w:val="fr-FR"/>
        </w:rPr>
        <w:t xml:space="preserve"> la fréquentation scolaire et les visites aux centres de santé. Le </w:t>
      </w:r>
      <w:r>
        <w:rPr>
          <w:iCs/>
          <w:szCs w:val="24"/>
          <w:lang w:val="fr-FR"/>
        </w:rPr>
        <w:t>SIG</w:t>
      </w:r>
      <w:r w:rsidRPr="001C13D2">
        <w:rPr>
          <w:szCs w:val="24"/>
          <w:lang w:val="fr-FR"/>
        </w:rPr>
        <w:t xml:space="preserve"> central </w:t>
      </w:r>
      <w:r>
        <w:rPr>
          <w:szCs w:val="24"/>
          <w:lang w:val="fr-FR"/>
        </w:rPr>
        <w:t>suit</w:t>
      </w:r>
      <w:r w:rsidRPr="001C13D2">
        <w:rPr>
          <w:szCs w:val="24"/>
          <w:lang w:val="fr-FR"/>
        </w:rPr>
        <w:t xml:space="preserve"> l’information par district. Le respect des conditions est </w:t>
      </w:r>
      <w:r>
        <w:rPr>
          <w:szCs w:val="24"/>
          <w:lang w:val="fr-FR"/>
        </w:rPr>
        <w:t>suivi</w:t>
      </w:r>
      <w:r w:rsidRPr="001C13D2">
        <w:rPr>
          <w:szCs w:val="24"/>
          <w:lang w:val="fr-FR"/>
        </w:rPr>
        <w:t xml:space="preserve"> tous les deux mois pour les enfants de zéro à un an, tous les six mois pour les enfants d’un à </w:t>
      </w:r>
      <w:r>
        <w:rPr>
          <w:szCs w:val="24"/>
          <w:lang w:val="fr-FR"/>
        </w:rPr>
        <w:t>cinq</w:t>
      </w:r>
      <w:r w:rsidRPr="001C13D2">
        <w:rPr>
          <w:szCs w:val="24"/>
          <w:lang w:val="fr-FR"/>
        </w:rPr>
        <w:t xml:space="preserve"> ans, tous les trois mois pour les conditions </w:t>
      </w:r>
      <w:r>
        <w:rPr>
          <w:szCs w:val="24"/>
          <w:lang w:val="fr-FR"/>
        </w:rPr>
        <w:t>dans le domaine de l’éducation</w:t>
      </w:r>
      <w:r w:rsidRPr="001C13D2">
        <w:rPr>
          <w:szCs w:val="24"/>
          <w:lang w:val="fr-FR"/>
        </w:rPr>
        <w:t xml:space="preserve"> et une fois </w:t>
      </w:r>
      <w:r>
        <w:rPr>
          <w:szCs w:val="24"/>
          <w:lang w:val="fr-FR"/>
        </w:rPr>
        <w:t xml:space="preserve">par </w:t>
      </w:r>
      <w:r w:rsidRPr="001C13D2">
        <w:rPr>
          <w:szCs w:val="24"/>
          <w:lang w:val="fr-FR"/>
        </w:rPr>
        <w:t xml:space="preserve">an pour les sessions de formation des adultes. Le suivi de la conditionnalité est aussi supposé se faire à travers ce système. Le respect des conditions </w:t>
      </w:r>
      <w:r>
        <w:rPr>
          <w:szCs w:val="24"/>
          <w:lang w:val="fr-FR"/>
        </w:rPr>
        <w:t>est censé être effectué par sondage, y compris</w:t>
      </w:r>
      <w:r w:rsidRPr="001C13D2">
        <w:rPr>
          <w:szCs w:val="24"/>
          <w:lang w:val="fr-FR"/>
        </w:rPr>
        <w:t xml:space="preserve"> </w:t>
      </w:r>
      <w:r>
        <w:rPr>
          <w:szCs w:val="24"/>
          <w:lang w:val="fr-FR"/>
        </w:rPr>
        <w:t>à travers</w:t>
      </w:r>
      <w:r w:rsidRPr="001C13D2">
        <w:rPr>
          <w:szCs w:val="24"/>
          <w:lang w:val="fr-FR"/>
        </w:rPr>
        <w:t xml:space="preserve"> des visites aux ménages bénéficiaires afin de s’assurer </w:t>
      </w:r>
      <w:r>
        <w:rPr>
          <w:szCs w:val="24"/>
          <w:lang w:val="fr-FR"/>
        </w:rPr>
        <w:t>du respect des</w:t>
      </w:r>
      <w:r w:rsidRPr="001C13D2">
        <w:rPr>
          <w:szCs w:val="24"/>
          <w:lang w:val="fr-FR"/>
        </w:rPr>
        <w:t xml:space="preserve"> exigences du programme. </w:t>
      </w:r>
      <w:r>
        <w:rPr>
          <w:szCs w:val="24"/>
          <w:lang w:val="fr-FR"/>
        </w:rPr>
        <w:t>D</w:t>
      </w:r>
      <w:r w:rsidRPr="001C13D2">
        <w:rPr>
          <w:szCs w:val="24"/>
          <w:lang w:val="fr-FR"/>
        </w:rPr>
        <w:t xml:space="preserve">es appels peuvent être </w:t>
      </w:r>
      <w:r>
        <w:rPr>
          <w:szCs w:val="24"/>
          <w:lang w:val="fr-FR"/>
        </w:rPr>
        <w:t>introduits auprès du</w:t>
      </w:r>
      <w:r w:rsidRPr="001C13D2">
        <w:rPr>
          <w:szCs w:val="24"/>
          <w:lang w:val="fr-FR"/>
        </w:rPr>
        <w:t xml:space="preserve"> </w:t>
      </w:r>
      <w:r w:rsidRPr="001C13D2">
        <w:rPr>
          <w:i/>
          <w:iCs/>
          <w:szCs w:val="24"/>
          <w:lang w:val="fr-FR"/>
        </w:rPr>
        <w:t>District Children Office</w:t>
      </w:r>
      <w:r w:rsidRPr="001C13D2">
        <w:rPr>
          <w:szCs w:val="24"/>
          <w:lang w:val="fr-FR"/>
        </w:rPr>
        <w:t xml:space="preserve"> qui accepte les plaintes concernant les montants payés et la qualité des services </w:t>
      </w:r>
      <w:r>
        <w:rPr>
          <w:szCs w:val="24"/>
          <w:lang w:val="fr-FR"/>
        </w:rPr>
        <w:t>offerts</w:t>
      </w:r>
      <w:r w:rsidRPr="001C13D2">
        <w:rPr>
          <w:szCs w:val="24"/>
          <w:lang w:val="fr-FR"/>
        </w:rPr>
        <w:t>.</w:t>
      </w:r>
    </w:p>
    <w:p w:rsidR="004E3139" w:rsidRPr="001C13D2" w:rsidRDefault="004E3139" w:rsidP="004E3139">
      <w:pPr>
        <w:tabs>
          <w:tab w:val="clear" w:pos="709"/>
          <w:tab w:val="left" w:pos="284"/>
        </w:tabs>
        <w:rPr>
          <w:i/>
          <w:szCs w:val="24"/>
          <w:lang w:val="fr-FR"/>
        </w:rPr>
      </w:pPr>
      <w:r>
        <w:rPr>
          <w:i/>
          <w:szCs w:val="24"/>
          <w:lang w:val="fr-FR"/>
        </w:rPr>
        <w:t>Évaluation</w:t>
      </w:r>
      <w:r w:rsidRPr="001C13D2">
        <w:rPr>
          <w:i/>
          <w:szCs w:val="24"/>
          <w:lang w:val="fr-FR"/>
        </w:rPr>
        <w:t xml:space="preserve"> d’impact du programme</w:t>
      </w:r>
    </w:p>
    <w:p w:rsidR="004E3139" w:rsidRPr="001C13D2" w:rsidRDefault="004E3139" w:rsidP="004E3139">
      <w:pPr>
        <w:tabs>
          <w:tab w:val="clear" w:pos="709"/>
          <w:tab w:val="left" w:pos="284"/>
        </w:tabs>
        <w:rPr>
          <w:szCs w:val="24"/>
          <w:lang w:val="fr-FR"/>
        </w:rPr>
      </w:pPr>
      <w:r w:rsidRPr="001C13D2">
        <w:rPr>
          <w:szCs w:val="24"/>
          <w:lang w:val="fr-FR"/>
        </w:rPr>
        <w:t xml:space="preserve">Le programme pilote </w:t>
      </w:r>
      <w:r>
        <w:rPr>
          <w:szCs w:val="24"/>
          <w:lang w:val="fr-FR"/>
        </w:rPr>
        <w:t>portant sur les</w:t>
      </w:r>
      <w:r w:rsidRPr="001C13D2">
        <w:rPr>
          <w:szCs w:val="24"/>
          <w:lang w:val="fr-FR"/>
        </w:rPr>
        <w:t xml:space="preserve"> sept districts originaux </w:t>
      </w:r>
      <w:r>
        <w:rPr>
          <w:szCs w:val="24"/>
          <w:lang w:val="fr-FR"/>
        </w:rPr>
        <w:t xml:space="preserve">est soumis à une évaluation </w:t>
      </w:r>
      <w:r w:rsidRPr="001C13D2">
        <w:rPr>
          <w:szCs w:val="24"/>
          <w:lang w:val="fr-FR"/>
        </w:rPr>
        <w:t xml:space="preserve">d’impact </w:t>
      </w:r>
      <w:r>
        <w:rPr>
          <w:szCs w:val="24"/>
          <w:lang w:val="fr-FR"/>
        </w:rPr>
        <w:t>réalisée</w:t>
      </w:r>
      <w:r w:rsidRPr="001C13D2">
        <w:rPr>
          <w:szCs w:val="24"/>
          <w:lang w:val="fr-FR"/>
        </w:rPr>
        <w:t xml:space="preserve"> par </w:t>
      </w:r>
      <w:r w:rsidRPr="001C13D2">
        <w:rPr>
          <w:i/>
          <w:iCs/>
          <w:szCs w:val="24"/>
          <w:lang w:val="fr-FR"/>
        </w:rPr>
        <w:t>Oxford Policy Management</w:t>
      </w:r>
      <w:r w:rsidRPr="001C13D2">
        <w:rPr>
          <w:szCs w:val="24"/>
          <w:lang w:val="fr-FR"/>
        </w:rPr>
        <w:t xml:space="preserve">, </w:t>
      </w:r>
      <w:r>
        <w:rPr>
          <w:szCs w:val="24"/>
          <w:lang w:val="fr-FR"/>
        </w:rPr>
        <w:t>avec</w:t>
      </w:r>
      <w:r w:rsidRPr="001C13D2">
        <w:rPr>
          <w:szCs w:val="24"/>
          <w:lang w:val="fr-FR"/>
        </w:rPr>
        <w:t xml:space="preserve"> des composantes qualitatives et quantitatives. La conception de l’évaluation du programme est expérimental</w:t>
      </w:r>
      <w:r>
        <w:rPr>
          <w:szCs w:val="24"/>
          <w:lang w:val="fr-FR"/>
        </w:rPr>
        <w:t>e</w:t>
      </w:r>
      <w:r w:rsidRPr="001C13D2">
        <w:rPr>
          <w:szCs w:val="24"/>
          <w:lang w:val="fr-FR"/>
        </w:rPr>
        <w:t xml:space="preserve"> (bien qu’il y ait eu des différences significatives </w:t>
      </w:r>
      <w:r>
        <w:rPr>
          <w:szCs w:val="24"/>
          <w:lang w:val="fr-FR"/>
        </w:rPr>
        <w:t>entre</w:t>
      </w:r>
      <w:r w:rsidRPr="001C13D2">
        <w:rPr>
          <w:szCs w:val="24"/>
          <w:lang w:val="fr-FR"/>
        </w:rPr>
        <w:t xml:space="preserve"> les groupes de traitement et les groupes témoins)</w:t>
      </w:r>
      <w:r>
        <w:rPr>
          <w:szCs w:val="24"/>
          <w:lang w:val="fr-FR"/>
        </w:rPr>
        <w:t>,</w:t>
      </w:r>
      <w:r w:rsidRPr="001C13D2">
        <w:rPr>
          <w:szCs w:val="24"/>
          <w:lang w:val="fr-FR"/>
        </w:rPr>
        <w:t xml:space="preserve"> </w:t>
      </w:r>
      <w:r>
        <w:rPr>
          <w:szCs w:val="24"/>
          <w:lang w:val="fr-FR"/>
        </w:rPr>
        <w:t>et</w:t>
      </w:r>
      <w:r w:rsidRPr="001C13D2">
        <w:rPr>
          <w:szCs w:val="24"/>
          <w:lang w:val="fr-FR"/>
        </w:rPr>
        <w:t xml:space="preserve"> deux locations de traitement et deux locations témoins ont </w:t>
      </w:r>
      <w:r>
        <w:rPr>
          <w:szCs w:val="24"/>
          <w:lang w:val="fr-FR"/>
        </w:rPr>
        <w:t xml:space="preserve">été </w:t>
      </w:r>
      <w:r w:rsidRPr="001C13D2">
        <w:rPr>
          <w:szCs w:val="24"/>
          <w:lang w:val="fr-FR"/>
        </w:rPr>
        <w:t xml:space="preserve">sélectionnées </w:t>
      </w:r>
      <w:r>
        <w:rPr>
          <w:szCs w:val="24"/>
          <w:lang w:val="fr-FR"/>
        </w:rPr>
        <w:t xml:space="preserve">de manière aléatoire </w:t>
      </w:r>
      <w:r w:rsidRPr="001C13D2">
        <w:rPr>
          <w:szCs w:val="24"/>
          <w:lang w:val="fr-FR"/>
        </w:rPr>
        <w:t xml:space="preserve">dans chacun des sept districts. </w:t>
      </w:r>
      <w:r>
        <w:rPr>
          <w:szCs w:val="24"/>
          <w:lang w:val="fr-FR"/>
        </w:rPr>
        <w:t>L’aspect</w:t>
      </w:r>
      <w:r w:rsidRPr="001C13D2">
        <w:rPr>
          <w:szCs w:val="24"/>
          <w:lang w:val="fr-FR"/>
        </w:rPr>
        <w:t xml:space="preserve"> inconditionnel/conditionnel a également été assigné aléatoirement (Hurrell, Ward, et Merttens 2008). L’échantillon de référence inclut 2</w:t>
      </w:r>
      <w:r>
        <w:rPr>
          <w:szCs w:val="24"/>
          <w:lang w:val="fr-FR"/>
        </w:rPr>
        <w:t> </w:t>
      </w:r>
      <w:r w:rsidRPr="001C13D2">
        <w:rPr>
          <w:szCs w:val="24"/>
          <w:lang w:val="fr-FR"/>
        </w:rPr>
        <w:t xml:space="preserve">759 ménages. </w:t>
      </w:r>
      <w:r>
        <w:rPr>
          <w:szCs w:val="24"/>
          <w:lang w:val="fr-FR"/>
        </w:rPr>
        <w:t>L’</w:t>
      </w:r>
      <w:r w:rsidRPr="001C13D2">
        <w:rPr>
          <w:szCs w:val="24"/>
          <w:lang w:val="fr-FR"/>
        </w:rPr>
        <w:t xml:space="preserve">analyse </w:t>
      </w:r>
      <w:r>
        <w:rPr>
          <w:szCs w:val="24"/>
          <w:lang w:val="fr-FR"/>
        </w:rPr>
        <w:t>de son</w:t>
      </w:r>
      <w:r w:rsidRPr="001C13D2">
        <w:rPr>
          <w:szCs w:val="24"/>
          <w:lang w:val="fr-FR"/>
        </w:rPr>
        <w:t xml:space="preserve"> ciblage a révélé que la majorité des ménages sélectionnés avaient </w:t>
      </w:r>
      <w:r>
        <w:rPr>
          <w:szCs w:val="24"/>
          <w:lang w:val="fr-FR"/>
        </w:rPr>
        <w:t>bien</w:t>
      </w:r>
      <w:r w:rsidRPr="001C13D2">
        <w:rPr>
          <w:szCs w:val="24"/>
          <w:lang w:val="fr-FR"/>
        </w:rPr>
        <w:t xml:space="preserve"> un OEV (98%) et que la plupart de ces ménages étaient très pauvres. Cependant, les personnes extrêmement pauvres étaient sous</w:t>
      </w:r>
      <w:r>
        <w:rPr>
          <w:szCs w:val="24"/>
          <w:lang w:val="fr-FR"/>
        </w:rPr>
        <w:t>-</w:t>
      </w:r>
      <w:r w:rsidRPr="001C13D2">
        <w:rPr>
          <w:szCs w:val="24"/>
          <w:lang w:val="fr-FR"/>
        </w:rPr>
        <w:t>représentées dans le programme (Hurrell, Ward, et Merttens 2008).</w:t>
      </w:r>
      <w:r>
        <w:rPr>
          <w:szCs w:val="24"/>
          <w:lang w:val="fr-FR"/>
        </w:rPr>
        <w:t xml:space="preserve"> </w:t>
      </w:r>
    </w:p>
    <w:p w:rsidR="004E3139" w:rsidRPr="001C13D2" w:rsidRDefault="004E3139" w:rsidP="004E3139">
      <w:pPr>
        <w:keepNext/>
        <w:spacing w:after="120"/>
        <w:rPr>
          <w:i/>
          <w:szCs w:val="24"/>
          <w:lang w:val="fr-FR"/>
        </w:rPr>
      </w:pPr>
      <w:r>
        <w:rPr>
          <w:i/>
          <w:szCs w:val="24"/>
          <w:lang w:val="fr-FR"/>
        </w:rPr>
        <w:t>Forte appropriation par les</w:t>
      </w:r>
      <w:r w:rsidRPr="001C13D2">
        <w:rPr>
          <w:i/>
          <w:szCs w:val="24"/>
          <w:lang w:val="fr-FR"/>
        </w:rPr>
        <w:t xml:space="preserve"> pouvoirs publics</w:t>
      </w:r>
      <w:r>
        <w:rPr>
          <w:i/>
          <w:szCs w:val="24"/>
          <w:lang w:val="fr-FR"/>
        </w:rPr>
        <w:t>,</w:t>
      </w:r>
      <w:r w:rsidRPr="001C13D2">
        <w:rPr>
          <w:i/>
          <w:szCs w:val="24"/>
          <w:lang w:val="fr-FR"/>
        </w:rPr>
        <w:t xml:space="preserve"> et financement et expansion </w:t>
      </w:r>
      <w:r>
        <w:rPr>
          <w:i/>
          <w:szCs w:val="24"/>
          <w:lang w:val="fr-FR"/>
        </w:rPr>
        <w:t>inclus dans le plan à moyen terme</w:t>
      </w:r>
    </w:p>
    <w:p w:rsidR="004E3139" w:rsidRPr="001C13D2" w:rsidRDefault="004E3139" w:rsidP="004E3139">
      <w:pPr>
        <w:tabs>
          <w:tab w:val="clear" w:pos="709"/>
          <w:tab w:val="left" w:pos="284"/>
        </w:tabs>
        <w:rPr>
          <w:szCs w:val="24"/>
          <w:lang w:val="fr-FR"/>
        </w:rPr>
      </w:pPr>
      <w:r w:rsidRPr="001C13D2">
        <w:rPr>
          <w:szCs w:val="24"/>
          <w:lang w:val="fr-FR"/>
        </w:rPr>
        <w:t xml:space="preserve">Le </w:t>
      </w:r>
      <w:r>
        <w:rPr>
          <w:szCs w:val="24"/>
          <w:lang w:val="fr-FR"/>
        </w:rPr>
        <w:t>transfert conditionnel</w:t>
      </w:r>
      <w:r w:rsidRPr="001C13D2">
        <w:rPr>
          <w:szCs w:val="24"/>
          <w:lang w:val="fr-FR"/>
        </w:rPr>
        <w:t xml:space="preserve"> pour les OEV est inclus dans le Plan à moyen terme et dans la Vision 2030 du Kenya.</w:t>
      </w:r>
      <w:r>
        <w:rPr>
          <w:szCs w:val="24"/>
          <w:lang w:val="fr-FR"/>
        </w:rPr>
        <w:t xml:space="preserve"> L’État</w:t>
      </w:r>
      <w:r w:rsidRPr="001C13D2">
        <w:rPr>
          <w:szCs w:val="24"/>
          <w:lang w:val="fr-FR"/>
        </w:rPr>
        <w:t xml:space="preserve"> a financé le programme CT-OVC en 2005-2006</w:t>
      </w:r>
      <w:r>
        <w:rPr>
          <w:szCs w:val="24"/>
          <w:lang w:val="fr-FR"/>
        </w:rPr>
        <w:t>,</w:t>
      </w:r>
      <w:r w:rsidRPr="001C13D2">
        <w:rPr>
          <w:szCs w:val="24"/>
          <w:lang w:val="fr-FR"/>
        </w:rPr>
        <w:t xml:space="preserve"> à hauteur de 675</w:t>
      </w:r>
      <w:r>
        <w:rPr>
          <w:szCs w:val="24"/>
          <w:lang w:val="fr-FR"/>
        </w:rPr>
        <w:t> </w:t>
      </w:r>
      <w:r w:rsidRPr="001C13D2">
        <w:rPr>
          <w:szCs w:val="24"/>
          <w:lang w:val="fr-FR"/>
        </w:rPr>
        <w:t xml:space="preserve">000 </w:t>
      </w:r>
      <w:r>
        <w:rPr>
          <w:szCs w:val="24"/>
          <w:lang w:val="fr-FR"/>
        </w:rPr>
        <w:t xml:space="preserve">dollars </w:t>
      </w:r>
      <w:r w:rsidRPr="001C13D2">
        <w:rPr>
          <w:szCs w:val="24"/>
          <w:lang w:val="fr-FR"/>
        </w:rPr>
        <w:t>EU ou 48</w:t>
      </w:r>
      <w:r>
        <w:rPr>
          <w:szCs w:val="24"/>
          <w:lang w:val="fr-FR"/>
        </w:rPr>
        <w:t> </w:t>
      </w:r>
      <w:r w:rsidRPr="001C13D2">
        <w:rPr>
          <w:szCs w:val="24"/>
          <w:lang w:val="fr-FR"/>
        </w:rPr>
        <w:t>000</w:t>
      </w:r>
      <w:r>
        <w:rPr>
          <w:szCs w:val="24"/>
          <w:lang w:val="fr-FR"/>
        </w:rPr>
        <w:t> </w:t>
      </w:r>
      <w:r w:rsidRPr="001C13D2">
        <w:rPr>
          <w:szCs w:val="24"/>
          <w:lang w:val="fr-FR"/>
        </w:rPr>
        <w:t xml:space="preserve">000 </w:t>
      </w:r>
      <w:r>
        <w:rPr>
          <w:szCs w:val="24"/>
          <w:lang w:val="fr-FR"/>
        </w:rPr>
        <w:t>shillings du Kenya</w:t>
      </w:r>
      <w:r w:rsidRPr="001C13D2">
        <w:rPr>
          <w:szCs w:val="24"/>
          <w:lang w:val="fr-FR"/>
        </w:rPr>
        <w:t xml:space="preserve"> (Hussein 2006). En raison de son expansion, on s’attend à ce que le coût du programme soit de 26 </w:t>
      </w:r>
      <w:r>
        <w:rPr>
          <w:szCs w:val="24"/>
          <w:lang w:val="fr-FR"/>
        </w:rPr>
        <w:t>millions</w:t>
      </w:r>
      <w:r w:rsidRPr="001C13D2">
        <w:rPr>
          <w:szCs w:val="24"/>
          <w:lang w:val="fr-FR"/>
        </w:rPr>
        <w:t xml:space="preserve"> de </w:t>
      </w:r>
      <w:r>
        <w:rPr>
          <w:szCs w:val="24"/>
          <w:lang w:val="fr-FR"/>
        </w:rPr>
        <w:t xml:space="preserve">dollars </w:t>
      </w:r>
      <w:r w:rsidRPr="001C13D2">
        <w:rPr>
          <w:szCs w:val="24"/>
          <w:lang w:val="fr-FR"/>
        </w:rPr>
        <w:t>EU pour l’exercice financier 2010. Ce montant représente 0,08</w:t>
      </w:r>
      <w:r>
        <w:rPr>
          <w:szCs w:val="24"/>
          <w:lang w:val="fr-FR"/>
        </w:rPr>
        <w:t> %</w:t>
      </w:r>
      <w:r w:rsidRPr="001C13D2">
        <w:rPr>
          <w:szCs w:val="24"/>
          <w:lang w:val="fr-FR"/>
        </w:rPr>
        <w:t xml:space="preserve"> du PIB nominal et 0,13</w:t>
      </w:r>
      <w:r>
        <w:rPr>
          <w:szCs w:val="24"/>
          <w:lang w:val="fr-FR"/>
        </w:rPr>
        <w:t> </w:t>
      </w:r>
      <w:r w:rsidRPr="001C13D2">
        <w:rPr>
          <w:szCs w:val="24"/>
          <w:lang w:val="fr-FR"/>
        </w:rPr>
        <w:t>% des dépenses publiques. Quand le programme atteindra 100</w:t>
      </w:r>
      <w:r>
        <w:rPr>
          <w:szCs w:val="24"/>
          <w:lang w:val="fr-FR"/>
        </w:rPr>
        <w:t> </w:t>
      </w:r>
      <w:r w:rsidRPr="001C13D2">
        <w:rPr>
          <w:szCs w:val="24"/>
          <w:lang w:val="fr-FR"/>
        </w:rPr>
        <w:t xml:space="preserve">000 ménages, on s’attend à ce qu’il coûte entre 32 et 35 </w:t>
      </w:r>
      <w:r>
        <w:rPr>
          <w:szCs w:val="24"/>
          <w:lang w:val="fr-FR"/>
        </w:rPr>
        <w:t>millions</w:t>
      </w:r>
      <w:r w:rsidRPr="001C13D2">
        <w:rPr>
          <w:szCs w:val="24"/>
          <w:lang w:val="fr-FR"/>
        </w:rPr>
        <w:t xml:space="preserve"> </w:t>
      </w:r>
      <w:r>
        <w:rPr>
          <w:szCs w:val="24"/>
          <w:lang w:val="fr-FR"/>
        </w:rPr>
        <w:t xml:space="preserve">de dollars </w:t>
      </w:r>
      <w:r w:rsidRPr="001C13D2">
        <w:rPr>
          <w:szCs w:val="24"/>
          <w:lang w:val="fr-FR"/>
        </w:rPr>
        <w:t>EU</w:t>
      </w:r>
      <w:r>
        <w:rPr>
          <w:szCs w:val="24"/>
          <w:lang w:val="fr-FR"/>
        </w:rPr>
        <w:t>,</w:t>
      </w:r>
      <w:r w:rsidRPr="001C13D2">
        <w:rPr>
          <w:szCs w:val="24"/>
          <w:lang w:val="fr-FR"/>
        </w:rPr>
        <w:t xml:space="preserve"> </w:t>
      </w:r>
      <w:r>
        <w:rPr>
          <w:szCs w:val="24"/>
          <w:lang w:val="fr-FR"/>
        </w:rPr>
        <w:t>soit</w:t>
      </w:r>
      <w:r w:rsidRPr="001C13D2">
        <w:rPr>
          <w:szCs w:val="24"/>
          <w:lang w:val="fr-FR"/>
        </w:rPr>
        <w:t xml:space="preserve"> approximativement 0,07</w:t>
      </w:r>
      <w:r>
        <w:rPr>
          <w:szCs w:val="24"/>
          <w:lang w:val="fr-FR"/>
        </w:rPr>
        <w:t> </w:t>
      </w:r>
      <w:r w:rsidRPr="001C13D2">
        <w:rPr>
          <w:szCs w:val="24"/>
          <w:lang w:val="fr-FR"/>
        </w:rPr>
        <w:t>% du PIB nominal et 0,28</w:t>
      </w:r>
      <w:r>
        <w:rPr>
          <w:szCs w:val="24"/>
          <w:lang w:val="fr-FR"/>
        </w:rPr>
        <w:t> </w:t>
      </w:r>
      <w:r w:rsidRPr="001C13D2">
        <w:rPr>
          <w:szCs w:val="24"/>
          <w:lang w:val="fr-FR"/>
        </w:rPr>
        <w:t>% des dépenses publiques (</w:t>
      </w:r>
      <w:r>
        <w:rPr>
          <w:szCs w:val="24"/>
          <w:lang w:val="fr-FR"/>
        </w:rPr>
        <w:t>Banque mondiale</w:t>
      </w:r>
      <w:r w:rsidRPr="001C13D2">
        <w:rPr>
          <w:szCs w:val="24"/>
          <w:lang w:val="fr-FR"/>
        </w:rPr>
        <w:t xml:space="preserve"> 2009c). </w:t>
      </w:r>
      <w:r>
        <w:rPr>
          <w:szCs w:val="24"/>
          <w:lang w:val="fr-FR"/>
        </w:rPr>
        <w:t>L</w:t>
      </w:r>
      <w:r w:rsidRPr="001C13D2">
        <w:rPr>
          <w:szCs w:val="24"/>
          <w:lang w:val="fr-FR"/>
        </w:rPr>
        <w:t xml:space="preserve">es coûts administratifs du programme </w:t>
      </w:r>
      <w:r>
        <w:rPr>
          <w:szCs w:val="24"/>
          <w:lang w:val="fr-FR"/>
        </w:rPr>
        <w:t>devraient atteindre</w:t>
      </w:r>
      <w:r w:rsidRPr="001C13D2">
        <w:rPr>
          <w:szCs w:val="24"/>
          <w:lang w:val="fr-FR"/>
        </w:rPr>
        <w:t xml:space="preserve"> approximativement 25</w:t>
      </w:r>
      <w:r>
        <w:rPr>
          <w:szCs w:val="24"/>
          <w:lang w:val="fr-FR"/>
        </w:rPr>
        <w:t> </w:t>
      </w:r>
      <w:r w:rsidRPr="001C13D2">
        <w:rPr>
          <w:szCs w:val="24"/>
          <w:lang w:val="fr-FR"/>
        </w:rPr>
        <w:t>% en 2012 et continue</w:t>
      </w:r>
      <w:r>
        <w:rPr>
          <w:szCs w:val="24"/>
          <w:lang w:val="fr-FR"/>
        </w:rPr>
        <w:t>r</w:t>
      </w:r>
      <w:r w:rsidRPr="001C13D2">
        <w:rPr>
          <w:szCs w:val="24"/>
          <w:lang w:val="fr-FR"/>
        </w:rPr>
        <w:t xml:space="preserve"> à </w:t>
      </w:r>
      <w:r>
        <w:rPr>
          <w:szCs w:val="24"/>
          <w:lang w:val="fr-FR"/>
        </w:rPr>
        <w:t>diminuer</w:t>
      </w:r>
      <w:r w:rsidRPr="001C13D2">
        <w:rPr>
          <w:szCs w:val="24"/>
          <w:lang w:val="fr-FR"/>
        </w:rPr>
        <w:t xml:space="preserve">. Ce pourcentage est </w:t>
      </w:r>
      <w:r>
        <w:rPr>
          <w:szCs w:val="24"/>
          <w:lang w:val="fr-FR"/>
        </w:rPr>
        <w:t>nettement inférieur aux</w:t>
      </w:r>
      <w:r w:rsidRPr="001C13D2">
        <w:rPr>
          <w:szCs w:val="24"/>
          <w:lang w:val="fr-FR"/>
        </w:rPr>
        <w:t xml:space="preserve"> 40</w:t>
      </w:r>
      <w:r>
        <w:rPr>
          <w:szCs w:val="24"/>
          <w:lang w:val="fr-FR"/>
        </w:rPr>
        <w:t> </w:t>
      </w:r>
      <w:r w:rsidRPr="001C13D2">
        <w:rPr>
          <w:szCs w:val="24"/>
          <w:lang w:val="fr-FR"/>
        </w:rPr>
        <w:t>% de coûts administratifs du pré-pilote.</w:t>
      </w:r>
    </w:p>
    <w:p w:rsidR="004E3139" w:rsidRPr="001C13D2" w:rsidRDefault="004E3139" w:rsidP="004E3139">
      <w:pPr>
        <w:keepNext/>
        <w:spacing w:after="120"/>
        <w:rPr>
          <w:i/>
          <w:szCs w:val="24"/>
          <w:lang w:val="fr-FR"/>
        </w:rPr>
      </w:pPr>
      <w:r w:rsidRPr="001C13D2">
        <w:rPr>
          <w:i/>
          <w:szCs w:val="24"/>
          <w:lang w:val="fr-FR"/>
        </w:rPr>
        <w:t xml:space="preserve">Adaptations du CT-OVC en vue de la phase trois </w:t>
      </w:r>
      <w:r>
        <w:rPr>
          <w:i/>
          <w:szCs w:val="24"/>
          <w:lang w:val="fr-FR"/>
        </w:rPr>
        <w:t>d</w:t>
      </w:r>
      <w:r w:rsidRPr="001C13D2">
        <w:rPr>
          <w:i/>
          <w:szCs w:val="24"/>
          <w:lang w:val="fr-FR"/>
        </w:rPr>
        <w:t xml:space="preserve">’expansion </w:t>
      </w:r>
    </w:p>
    <w:p w:rsidR="004E3139" w:rsidRPr="001C13D2" w:rsidRDefault="004E3139" w:rsidP="004E3139">
      <w:pPr>
        <w:tabs>
          <w:tab w:val="clear" w:pos="709"/>
          <w:tab w:val="left" w:pos="284"/>
        </w:tabs>
        <w:rPr>
          <w:szCs w:val="24"/>
          <w:lang w:val="fr-FR"/>
        </w:rPr>
      </w:pPr>
      <w:r w:rsidRPr="001C13D2">
        <w:rPr>
          <w:szCs w:val="24"/>
          <w:lang w:val="fr-FR"/>
        </w:rPr>
        <w:t xml:space="preserve">Les pressions politiques </w:t>
      </w:r>
      <w:r>
        <w:rPr>
          <w:szCs w:val="24"/>
          <w:lang w:val="fr-FR"/>
        </w:rPr>
        <w:t>en faveur d’</w:t>
      </w:r>
      <w:r w:rsidRPr="001C13D2">
        <w:rPr>
          <w:szCs w:val="24"/>
          <w:lang w:val="fr-FR"/>
        </w:rPr>
        <w:t xml:space="preserve">une expansion plus rapide du pilote CT-OVC dans des districts supplémentaires ont eu pour résultat la création de deux programmes parallèles évoluant </w:t>
      </w:r>
      <w:r>
        <w:rPr>
          <w:szCs w:val="24"/>
          <w:lang w:val="fr-FR"/>
        </w:rPr>
        <w:t xml:space="preserve">indépendamment </w:t>
      </w:r>
      <w:r w:rsidRPr="001C13D2">
        <w:rPr>
          <w:szCs w:val="24"/>
          <w:lang w:val="fr-FR"/>
        </w:rPr>
        <w:t xml:space="preserve">l’un de l’autre. Une nouvelle (troisième) phase du programme tente maintenant d’harmoniser les programmes et de renforcer la capacité pour leur mise en œuvre efficace. L’objectif du </w:t>
      </w:r>
      <w:r>
        <w:rPr>
          <w:szCs w:val="24"/>
          <w:lang w:val="fr-FR"/>
        </w:rPr>
        <w:t>g</w:t>
      </w:r>
      <w:r w:rsidRPr="001C13D2">
        <w:rPr>
          <w:szCs w:val="24"/>
          <w:lang w:val="fr-FR"/>
        </w:rPr>
        <w:t>ouvernement du Kenya est de couvrir 100</w:t>
      </w:r>
      <w:r>
        <w:rPr>
          <w:szCs w:val="24"/>
          <w:lang w:val="fr-FR"/>
        </w:rPr>
        <w:t> </w:t>
      </w:r>
      <w:r w:rsidRPr="001C13D2">
        <w:rPr>
          <w:szCs w:val="24"/>
          <w:lang w:val="fr-FR"/>
        </w:rPr>
        <w:t>000 ménages pauvres ayant des OEV en 2012 (approximativement 2</w:t>
      </w:r>
      <w:r>
        <w:rPr>
          <w:szCs w:val="24"/>
          <w:lang w:val="fr-FR"/>
        </w:rPr>
        <w:t> </w:t>
      </w:r>
      <w:r w:rsidRPr="001C13D2">
        <w:rPr>
          <w:szCs w:val="24"/>
          <w:lang w:val="fr-FR"/>
        </w:rPr>
        <w:t>000 ménages par district), de manière à couvrir approximativement la moitié des 600</w:t>
      </w:r>
      <w:r>
        <w:rPr>
          <w:szCs w:val="24"/>
          <w:lang w:val="fr-FR"/>
        </w:rPr>
        <w:t> </w:t>
      </w:r>
      <w:r w:rsidRPr="001C13D2">
        <w:rPr>
          <w:szCs w:val="24"/>
          <w:lang w:val="fr-FR"/>
        </w:rPr>
        <w:t>000 OEV extrêmement pauvres du pays (</w:t>
      </w:r>
      <w:r>
        <w:rPr>
          <w:szCs w:val="24"/>
          <w:lang w:val="fr-FR"/>
        </w:rPr>
        <w:t>Banque mondiale</w:t>
      </w:r>
      <w:r w:rsidRPr="001C13D2">
        <w:rPr>
          <w:szCs w:val="24"/>
          <w:lang w:val="fr-FR"/>
        </w:rPr>
        <w:t xml:space="preserve"> 2009c). Les mesures suivantes seront introduites durant la troisième phase</w:t>
      </w:r>
      <w:r>
        <w:rPr>
          <w:szCs w:val="24"/>
          <w:lang w:val="fr-FR"/>
        </w:rPr>
        <w:t> :</w:t>
      </w:r>
      <w:r w:rsidRPr="001C13D2">
        <w:rPr>
          <w:szCs w:val="24"/>
          <w:lang w:val="fr-FR"/>
        </w:rPr>
        <w:t xml:space="preserve"> </w:t>
      </w:r>
    </w:p>
    <w:p w:rsidR="004E3139" w:rsidRPr="001C13D2" w:rsidRDefault="004E3139" w:rsidP="00E52A30">
      <w:pPr>
        <w:numPr>
          <w:ilvl w:val="0"/>
          <w:numId w:val="9"/>
        </w:numPr>
        <w:tabs>
          <w:tab w:val="clear" w:pos="709"/>
          <w:tab w:val="left" w:pos="284"/>
        </w:tabs>
        <w:ind w:left="284" w:hanging="284"/>
        <w:rPr>
          <w:szCs w:val="24"/>
          <w:lang w:val="fr-FR"/>
        </w:rPr>
      </w:pPr>
      <w:r w:rsidRPr="001C13D2">
        <w:rPr>
          <w:szCs w:val="24"/>
          <w:lang w:val="fr-FR"/>
        </w:rPr>
        <w:t xml:space="preserve">Le mécanisme de ciblage sera ajusté à partir des résultats des évaluations, de l’Enquête </w:t>
      </w:r>
      <w:r w:rsidRPr="001C13D2">
        <w:rPr>
          <w:bCs/>
          <w:color w:val="000000"/>
          <w:lang w:val="fr-FR"/>
        </w:rPr>
        <w:t>intégrée sur le budget des ménages</w:t>
      </w:r>
      <w:r w:rsidRPr="001C13D2">
        <w:rPr>
          <w:color w:val="000000"/>
          <w:lang w:val="fr-FR"/>
        </w:rPr>
        <w:t xml:space="preserve"> du </w:t>
      </w:r>
      <w:r w:rsidRPr="001C13D2">
        <w:rPr>
          <w:bCs/>
          <w:color w:val="000000"/>
          <w:lang w:val="fr-FR"/>
        </w:rPr>
        <w:t xml:space="preserve">Kenya, du </w:t>
      </w:r>
      <w:r>
        <w:rPr>
          <w:bCs/>
          <w:color w:val="000000"/>
          <w:lang w:val="fr-FR"/>
        </w:rPr>
        <w:t>SIG</w:t>
      </w:r>
      <w:r w:rsidRPr="001C13D2">
        <w:rPr>
          <w:bCs/>
          <w:color w:val="000000"/>
          <w:lang w:val="fr-FR"/>
        </w:rPr>
        <w:t xml:space="preserve"> et des données de référence. Des améliorations seront </w:t>
      </w:r>
      <w:r>
        <w:rPr>
          <w:bCs/>
          <w:color w:val="000000"/>
          <w:lang w:val="fr-FR"/>
        </w:rPr>
        <w:t>apportées</w:t>
      </w:r>
      <w:r w:rsidRPr="001C13D2">
        <w:rPr>
          <w:bCs/>
          <w:color w:val="000000"/>
          <w:lang w:val="fr-FR"/>
        </w:rPr>
        <w:t xml:space="preserve"> au programme standardisé </w:t>
      </w:r>
      <w:r>
        <w:rPr>
          <w:bCs/>
          <w:color w:val="000000"/>
          <w:lang w:val="fr-FR"/>
        </w:rPr>
        <w:t>sur base</w:t>
      </w:r>
      <w:r w:rsidRPr="001C13D2">
        <w:rPr>
          <w:bCs/>
          <w:color w:val="000000"/>
          <w:lang w:val="fr-FR"/>
        </w:rPr>
        <w:t xml:space="preserve"> des enseignements tirés de la deuxième phase.</w:t>
      </w:r>
    </w:p>
    <w:p w:rsidR="004E3139" w:rsidRPr="001C13D2" w:rsidRDefault="004E3139" w:rsidP="00E52A30">
      <w:pPr>
        <w:numPr>
          <w:ilvl w:val="0"/>
          <w:numId w:val="9"/>
        </w:numPr>
        <w:tabs>
          <w:tab w:val="clear" w:pos="709"/>
          <w:tab w:val="left" w:pos="284"/>
        </w:tabs>
        <w:ind w:left="284" w:hanging="284"/>
        <w:rPr>
          <w:szCs w:val="24"/>
          <w:lang w:val="fr-FR"/>
        </w:rPr>
      </w:pPr>
      <w:r w:rsidRPr="001C13D2">
        <w:rPr>
          <w:szCs w:val="24"/>
          <w:lang w:val="fr-FR"/>
        </w:rPr>
        <w:t xml:space="preserve">Des améliorations seront apportées au </w:t>
      </w:r>
      <w:r>
        <w:rPr>
          <w:szCs w:val="24"/>
          <w:lang w:val="fr-FR"/>
        </w:rPr>
        <w:t>SIG</w:t>
      </w:r>
      <w:r w:rsidRPr="001C13D2">
        <w:rPr>
          <w:szCs w:val="24"/>
          <w:lang w:val="fr-FR"/>
        </w:rPr>
        <w:t xml:space="preserve"> pour qu’il soit à même de </w:t>
      </w:r>
      <w:r>
        <w:rPr>
          <w:szCs w:val="24"/>
          <w:lang w:val="fr-FR"/>
        </w:rPr>
        <w:t>traiter</w:t>
      </w:r>
      <w:r w:rsidRPr="001C13D2">
        <w:rPr>
          <w:szCs w:val="24"/>
          <w:lang w:val="fr-FR"/>
        </w:rPr>
        <w:t xml:space="preserve"> </w:t>
      </w:r>
      <w:r>
        <w:rPr>
          <w:szCs w:val="24"/>
          <w:lang w:val="fr-FR"/>
        </w:rPr>
        <w:t>les</w:t>
      </w:r>
      <w:r w:rsidRPr="001C13D2">
        <w:rPr>
          <w:szCs w:val="24"/>
          <w:lang w:val="fr-FR"/>
        </w:rPr>
        <w:t xml:space="preserve"> demandes considérablement accrues </w:t>
      </w:r>
      <w:r>
        <w:rPr>
          <w:szCs w:val="24"/>
          <w:lang w:val="fr-FR"/>
        </w:rPr>
        <w:t>à la suite</w:t>
      </w:r>
      <w:r w:rsidRPr="001C13D2">
        <w:rPr>
          <w:szCs w:val="24"/>
          <w:lang w:val="fr-FR"/>
        </w:rPr>
        <w:t xml:space="preserve"> de la rapide expansion</w:t>
      </w:r>
      <w:r>
        <w:rPr>
          <w:szCs w:val="24"/>
          <w:lang w:val="fr-FR"/>
        </w:rPr>
        <w:t xml:space="preserve"> </w:t>
      </w:r>
      <w:r w:rsidRPr="001C13D2">
        <w:rPr>
          <w:szCs w:val="24"/>
          <w:lang w:val="fr-FR"/>
        </w:rPr>
        <w:t>et un contrat sera passé avec une organisation pour qu’elle assure le suivi externe. Ce suivi externe effectuera des contrôles du programme</w:t>
      </w:r>
      <w:r>
        <w:rPr>
          <w:szCs w:val="24"/>
          <w:lang w:val="fr-FR"/>
        </w:rPr>
        <w:t xml:space="preserve"> par sondage</w:t>
      </w:r>
      <w:r w:rsidRPr="001C13D2">
        <w:rPr>
          <w:szCs w:val="24"/>
          <w:lang w:val="fr-FR"/>
        </w:rPr>
        <w:t xml:space="preserve">, fera des recensements communautaires pour évaluer la qualité des comités communautaires, et </w:t>
      </w:r>
      <w:r>
        <w:rPr>
          <w:szCs w:val="24"/>
          <w:lang w:val="fr-FR"/>
        </w:rPr>
        <w:t>fera remplir</w:t>
      </w:r>
      <w:r w:rsidRPr="001C13D2">
        <w:rPr>
          <w:szCs w:val="24"/>
          <w:lang w:val="fr-FR"/>
        </w:rPr>
        <w:t xml:space="preserve"> des «</w:t>
      </w:r>
      <w:r>
        <w:rPr>
          <w:szCs w:val="24"/>
          <w:lang w:val="fr-FR"/>
        </w:rPr>
        <w:t xml:space="preserve"> carnet </w:t>
      </w:r>
      <w:r w:rsidRPr="001C13D2">
        <w:rPr>
          <w:szCs w:val="24"/>
          <w:lang w:val="fr-FR"/>
        </w:rPr>
        <w:t>d’évaluation citoyen</w:t>
      </w:r>
      <w:r>
        <w:rPr>
          <w:szCs w:val="24"/>
          <w:lang w:val="fr-FR"/>
        </w:rPr>
        <w:t> </w:t>
      </w:r>
      <w:r w:rsidRPr="001C13D2">
        <w:rPr>
          <w:szCs w:val="24"/>
          <w:lang w:val="fr-FR"/>
        </w:rPr>
        <w:t xml:space="preserve">» qui </w:t>
      </w:r>
      <w:r>
        <w:rPr>
          <w:szCs w:val="24"/>
          <w:lang w:val="fr-FR"/>
        </w:rPr>
        <w:t>permettront de déterminer</w:t>
      </w:r>
      <w:r w:rsidRPr="001C13D2">
        <w:rPr>
          <w:szCs w:val="24"/>
          <w:lang w:val="fr-FR"/>
        </w:rPr>
        <w:t xml:space="preserve"> l’opinion que les bénéficiaires et les non-bénéficiaires ont du programme </w:t>
      </w:r>
      <w:r>
        <w:rPr>
          <w:szCs w:val="24"/>
          <w:lang w:val="fr-FR"/>
        </w:rPr>
        <w:t>ainsi que leur degré de satisfaction</w:t>
      </w:r>
      <w:r w:rsidRPr="001C13D2">
        <w:rPr>
          <w:szCs w:val="24"/>
          <w:lang w:val="fr-FR"/>
        </w:rPr>
        <w:t xml:space="preserve">. Cette </w:t>
      </w:r>
      <w:r>
        <w:rPr>
          <w:szCs w:val="24"/>
          <w:lang w:val="fr-FR"/>
        </w:rPr>
        <w:t>redevabilité</w:t>
      </w:r>
      <w:r w:rsidRPr="001C13D2">
        <w:rPr>
          <w:szCs w:val="24"/>
          <w:lang w:val="fr-FR"/>
        </w:rPr>
        <w:t xml:space="preserve"> améliorée est particulièrement importante compte tenu des préoccupations </w:t>
      </w:r>
      <w:r>
        <w:rPr>
          <w:szCs w:val="24"/>
          <w:lang w:val="fr-FR"/>
        </w:rPr>
        <w:t>relatives à</w:t>
      </w:r>
      <w:r w:rsidRPr="001C13D2">
        <w:rPr>
          <w:szCs w:val="24"/>
          <w:lang w:val="fr-FR"/>
        </w:rPr>
        <w:t xml:space="preserve"> la gouvernance et </w:t>
      </w:r>
      <w:r>
        <w:rPr>
          <w:szCs w:val="24"/>
          <w:lang w:val="fr-FR"/>
        </w:rPr>
        <w:t xml:space="preserve">à </w:t>
      </w:r>
      <w:r w:rsidRPr="001C13D2">
        <w:rPr>
          <w:szCs w:val="24"/>
          <w:lang w:val="fr-FR"/>
        </w:rPr>
        <w:t>la corruption au Kenya (</w:t>
      </w:r>
      <w:r>
        <w:rPr>
          <w:szCs w:val="24"/>
          <w:lang w:val="fr-FR"/>
        </w:rPr>
        <w:t>Banque mondiale</w:t>
      </w:r>
      <w:r w:rsidRPr="001C13D2">
        <w:rPr>
          <w:szCs w:val="24"/>
          <w:lang w:val="fr-FR"/>
        </w:rPr>
        <w:t xml:space="preserve"> 2009c).</w:t>
      </w:r>
    </w:p>
    <w:p w:rsidR="004E3139" w:rsidRPr="001C13D2" w:rsidRDefault="004E3139" w:rsidP="00E52A30">
      <w:pPr>
        <w:numPr>
          <w:ilvl w:val="0"/>
          <w:numId w:val="9"/>
        </w:numPr>
        <w:tabs>
          <w:tab w:val="clear" w:pos="709"/>
          <w:tab w:val="left" w:pos="284"/>
        </w:tabs>
        <w:ind w:left="284" w:hanging="284"/>
        <w:rPr>
          <w:szCs w:val="24"/>
          <w:lang w:val="fr-FR"/>
        </w:rPr>
      </w:pPr>
      <w:r w:rsidRPr="001C13D2">
        <w:rPr>
          <w:szCs w:val="24"/>
          <w:lang w:val="fr-FR"/>
        </w:rPr>
        <w:t xml:space="preserve">Des efforts considérables seront faits pour améliorer la communication sur le programme avec </w:t>
      </w:r>
      <w:r>
        <w:rPr>
          <w:szCs w:val="24"/>
          <w:lang w:val="fr-FR"/>
        </w:rPr>
        <w:t>les </w:t>
      </w:r>
      <w:r w:rsidRPr="001C13D2">
        <w:rPr>
          <w:szCs w:val="24"/>
          <w:lang w:val="fr-FR"/>
        </w:rPr>
        <w:t xml:space="preserve">bénéficiaires </w:t>
      </w:r>
      <w:r>
        <w:rPr>
          <w:szCs w:val="24"/>
          <w:lang w:val="fr-FR"/>
        </w:rPr>
        <w:t>et</w:t>
      </w:r>
      <w:r w:rsidRPr="001C13D2">
        <w:rPr>
          <w:szCs w:val="24"/>
          <w:lang w:val="fr-FR"/>
        </w:rPr>
        <w:t xml:space="preserve"> les non bénéficiaires</w:t>
      </w:r>
      <w:r>
        <w:rPr>
          <w:szCs w:val="24"/>
          <w:lang w:val="fr-FR"/>
        </w:rPr>
        <w:t>. Tant</w:t>
      </w:r>
      <w:r w:rsidRPr="001C13D2">
        <w:rPr>
          <w:szCs w:val="24"/>
          <w:lang w:val="fr-FR"/>
        </w:rPr>
        <w:t xml:space="preserve"> la mise en œuvre </w:t>
      </w:r>
      <w:r>
        <w:rPr>
          <w:szCs w:val="24"/>
          <w:lang w:val="fr-FR"/>
        </w:rPr>
        <w:t>que</w:t>
      </w:r>
      <w:r w:rsidRPr="001C13D2">
        <w:rPr>
          <w:szCs w:val="24"/>
          <w:lang w:val="fr-FR"/>
        </w:rPr>
        <w:t xml:space="preserve"> le suivi des coresponsabilités </w:t>
      </w:r>
      <w:r>
        <w:rPr>
          <w:szCs w:val="24"/>
          <w:lang w:val="fr-FR"/>
        </w:rPr>
        <w:t xml:space="preserve">devraient </w:t>
      </w:r>
      <w:r w:rsidRPr="001C13D2">
        <w:rPr>
          <w:szCs w:val="24"/>
          <w:lang w:val="fr-FR"/>
        </w:rPr>
        <w:t>s’améliore</w:t>
      </w:r>
      <w:r>
        <w:rPr>
          <w:szCs w:val="24"/>
          <w:lang w:val="fr-FR"/>
        </w:rPr>
        <w:t>r</w:t>
      </w:r>
      <w:r w:rsidRPr="001C13D2">
        <w:rPr>
          <w:szCs w:val="24"/>
          <w:lang w:val="fr-FR"/>
        </w:rPr>
        <w:t>.</w:t>
      </w:r>
    </w:p>
    <w:p w:rsidR="004E3139" w:rsidRPr="001C13D2" w:rsidRDefault="004E3139" w:rsidP="00E52A30">
      <w:pPr>
        <w:numPr>
          <w:ilvl w:val="0"/>
          <w:numId w:val="9"/>
        </w:numPr>
        <w:tabs>
          <w:tab w:val="clear" w:pos="709"/>
          <w:tab w:val="left" w:pos="284"/>
        </w:tabs>
        <w:ind w:left="284" w:hanging="284"/>
        <w:rPr>
          <w:szCs w:val="24"/>
          <w:lang w:val="fr-FR"/>
        </w:rPr>
      </w:pPr>
      <w:r w:rsidRPr="001C13D2">
        <w:rPr>
          <w:szCs w:val="24"/>
          <w:lang w:val="fr-FR"/>
        </w:rPr>
        <w:t>Vers la moitie ou la fin de 2010, les tests sur l’utilisation d’amendes pour le non-respect des coresponsabilités devraient être achevés (</w:t>
      </w:r>
      <w:r>
        <w:rPr>
          <w:szCs w:val="24"/>
          <w:lang w:val="fr-FR"/>
        </w:rPr>
        <w:t>Banque mondiale</w:t>
      </w:r>
      <w:r w:rsidRPr="001C13D2">
        <w:rPr>
          <w:szCs w:val="24"/>
          <w:lang w:val="fr-FR"/>
        </w:rPr>
        <w:t xml:space="preserve"> 2009).</w:t>
      </w:r>
    </w:p>
    <w:p w:rsidR="004E3139" w:rsidRPr="001C13D2" w:rsidRDefault="004E3139" w:rsidP="00E52A30">
      <w:pPr>
        <w:numPr>
          <w:ilvl w:val="0"/>
          <w:numId w:val="9"/>
        </w:numPr>
        <w:tabs>
          <w:tab w:val="clear" w:pos="709"/>
          <w:tab w:val="left" w:pos="284"/>
        </w:tabs>
        <w:ind w:left="284" w:hanging="284"/>
        <w:rPr>
          <w:szCs w:val="24"/>
          <w:lang w:val="fr-FR"/>
        </w:rPr>
      </w:pPr>
      <w:r>
        <w:rPr>
          <w:szCs w:val="24"/>
          <w:lang w:val="fr-FR"/>
        </w:rPr>
        <w:t xml:space="preserve">Des </w:t>
      </w:r>
      <w:r w:rsidRPr="001C13D2">
        <w:rPr>
          <w:szCs w:val="24"/>
          <w:lang w:val="fr-FR"/>
        </w:rPr>
        <w:t>évaluation</w:t>
      </w:r>
      <w:r>
        <w:rPr>
          <w:szCs w:val="24"/>
          <w:lang w:val="fr-FR"/>
        </w:rPr>
        <w:t>s</w:t>
      </w:r>
      <w:r w:rsidRPr="001C13D2">
        <w:rPr>
          <w:szCs w:val="24"/>
          <w:lang w:val="fr-FR"/>
        </w:rPr>
        <w:t xml:space="preserve"> de la capacité </w:t>
      </w:r>
      <w:r>
        <w:rPr>
          <w:szCs w:val="24"/>
          <w:lang w:val="fr-FR"/>
        </w:rPr>
        <w:t>liée à</w:t>
      </w:r>
      <w:r w:rsidRPr="001C13D2">
        <w:rPr>
          <w:szCs w:val="24"/>
          <w:lang w:val="fr-FR"/>
        </w:rPr>
        <w:t xml:space="preserve"> l’offre ser</w:t>
      </w:r>
      <w:r>
        <w:rPr>
          <w:szCs w:val="24"/>
          <w:lang w:val="fr-FR"/>
        </w:rPr>
        <w:t>ont</w:t>
      </w:r>
      <w:r w:rsidRPr="001C13D2">
        <w:rPr>
          <w:szCs w:val="24"/>
          <w:lang w:val="fr-FR"/>
        </w:rPr>
        <w:t xml:space="preserve"> également effectuée</w:t>
      </w:r>
      <w:r>
        <w:rPr>
          <w:szCs w:val="24"/>
          <w:lang w:val="fr-FR"/>
        </w:rPr>
        <w:t>s</w:t>
      </w:r>
      <w:r w:rsidRPr="001C13D2">
        <w:rPr>
          <w:szCs w:val="24"/>
          <w:lang w:val="fr-FR"/>
        </w:rPr>
        <w:t>. Ce renforcement des capacités est crucial</w:t>
      </w:r>
      <w:r>
        <w:rPr>
          <w:szCs w:val="24"/>
          <w:lang w:val="fr-FR"/>
        </w:rPr>
        <w:t> </w:t>
      </w:r>
      <w:r w:rsidRPr="001C13D2">
        <w:rPr>
          <w:szCs w:val="24"/>
          <w:lang w:val="fr-FR"/>
        </w:rPr>
        <w:t xml:space="preserve">; </w:t>
      </w:r>
      <w:r>
        <w:rPr>
          <w:szCs w:val="24"/>
          <w:lang w:val="fr-FR"/>
        </w:rPr>
        <w:t>les fonctionnaires responsables du programmes ont fait des progrès notables au niveau de la</w:t>
      </w:r>
      <w:r w:rsidRPr="001C13D2">
        <w:rPr>
          <w:szCs w:val="24"/>
          <w:lang w:val="fr-FR"/>
        </w:rPr>
        <w:t xml:space="preserve"> mise en œuvre et </w:t>
      </w:r>
      <w:r>
        <w:rPr>
          <w:szCs w:val="24"/>
          <w:lang w:val="fr-FR"/>
        </w:rPr>
        <w:t xml:space="preserve">du </w:t>
      </w:r>
      <w:r w:rsidRPr="001C13D2">
        <w:rPr>
          <w:szCs w:val="24"/>
          <w:lang w:val="fr-FR"/>
        </w:rPr>
        <w:t xml:space="preserve">renforcement des capacités, mais il faut en faire davantage pour </w:t>
      </w:r>
      <w:r>
        <w:rPr>
          <w:szCs w:val="24"/>
          <w:lang w:val="fr-FR"/>
        </w:rPr>
        <w:t>faire face</w:t>
      </w:r>
      <w:r w:rsidRPr="001C13D2">
        <w:rPr>
          <w:szCs w:val="24"/>
          <w:lang w:val="fr-FR"/>
        </w:rPr>
        <w:t xml:space="preserve"> </w:t>
      </w:r>
      <w:r>
        <w:rPr>
          <w:szCs w:val="24"/>
          <w:lang w:val="fr-FR"/>
        </w:rPr>
        <w:t>aux</w:t>
      </w:r>
      <w:r w:rsidRPr="001C13D2">
        <w:rPr>
          <w:szCs w:val="24"/>
          <w:lang w:val="fr-FR"/>
        </w:rPr>
        <w:t xml:space="preserve"> défis de l’expansion continue (</w:t>
      </w:r>
      <w:r>
        <w:rPr>
          <w:szCs w:val="24"/>
          <w:lang w:val="fr-FR"/>
        </w:rPr>
        <w:t>Banque mondiale</w:t>
      </w:r>
      <w:r w:rsidRPr="001C13D2">
        <w:rPr>
          <w:szCs w:val="24"/>
          <w:lang w:val="fr-FR"/>
        </w:rPr>
        <w:t xml:space="preserve"> 2009c).</w:t>
      </w:r>
    </w:p>
    <w:p w:rsidR="004E3139" w:rsidRPr="001C13D2" w:rsidRDefault="004E3139" w:rsidP="004E3139">
      <w:pPr>
        <w:keepNext/>
        <w:rPr>
          <w:b/>
          <w:szCs w:val="24"/>
          <w:lang w:val="fr-FR"/>
        </w:rPr>
      </w:pPr>
      <w:r w:rsidRPr="001C13D2">
        <w:rPr>
          <w:b/>
          <w:szCs w:val="24"/>
          <w:lang w:val="fr-FR"/>
        </w:rPr>
        <w:t xml:space="preserve">Programme de transferts monétaires du Malawi </w:t>
      </w:r>
    </w:p>
    <w:p w:rsidR="004E3139" w:rsidRPr="001C13D2" w:rsidRDefault="004E3139" w:rsidP="004E3139">
      <w:pPr>
        <w:tabs>
          <w:tab w:val="clear" w:pos="709"/>
          <w:tab w:val="left" w:pos="284"/>
        </w:tabs>
        <w:rPr>
          <w:szCs w:val="24"/>
          <w:lang w:val="fr-FR"/>
        </w:rPr>
      </w:pPr>
      <w:r w:rsidRPr="001C13D2">
        <w:rPr>
          <w:szCs w:val="24"/>
          <w:lang w:val="fr-FR"/>
        </w:rPr>
        <w:t>Le programme de transferts sociaux monétaires a commencé en 2006</w:t>
      </w:r>
      <w:r>
        <w:rPr>
          <w:szCs w:val="24"/>
          <w:lang w:val="fr-FR"/>
        </w:rPr>
        <w:t>,</w:t>
      </w:r>
      <w:r w:rsidRPr="001C13D2">
        <w:rPr>
          <w:szCs w:val="24"/>
          <w:lang w:val="fr-FR"/>
        </w:rPr>
        <w:t xml:space="preserve"> </w:t>
      </w:r>
      <w:r>
        <w:rPr>
          <w:szCs w:val="24"/>
          <w:lang w:val="fr-FR"/>
        </w:rPr>
        <w:t>en tant que</w:t>
      </w:r>
      <w:r w:rsidRPr="001C13D2">
        <w:rPr>
          <w:szCs w:val="24"/>
          <w:lang w:val="fr-FR"/>
        </w:rPr>
        <w:t xml:space="preserve"> programme pilote </w:t>
      </w:r>
      <w:r>
        <w:rPr>
          <w:szCs w:val="24"/>
          <w:lang w:val="fr-FR"/>
        </w:rPr>
        <w:t>dans le d</w:t>
      </w:r>
      <w:r w:rsidRPr="001C13D2">
        <w:rPr>
          <w:szCs w:val="24"/>
          <w:lang w:val="fr-FR"/>
        </w:rPr>
        <w:t>istrict de Mchinji</w:t>
      </w:r>
      <w:r>
        <w:rPr>
          <w:szCs w:val="24"/>
          <w:lang w:val="fr-FR"/>
        </w:rPr>
        <w:t>,</w:t>
      </w:r>
      <w:r w:rsidRPr="001C13D2">
        <w:rPr>
          <w:szCs w:val="24"/>
          <w:lang w:val="fr-FR"/>
        </w:rPr>
        <w:t xml:space="preserve"> avec le soutien de l’UNICEF</w:t>
      </w:r>
      <w:r>
        <w:rPr>
          <w:szCs w:val="24"/>
          <w:lang w:val="fr-FR"/>
        </w:rPr>
        <w:t>,</w:t>
      </w:r>
      <w:r w:rsidRPr="001C13D2">
        <w:rPr>
          <w:szCs w:val="24"/>
          <w:lang w:val="fr-FR"/>
        </w:rPr>
        <w:t xml:space="preserve"> avec pour but de devenir éventuellement un programme national. Son objectif est de réduire la pauvreté, la faim et la famine chez les personnes extrêmement pauvres et celles qui </w:t>
      </w:r>
      <w:r>
        <w:rPr>
          <w:szCs w:val="24"/>
          <w:lang w:val="fr-FR"/>
        </w:rPr>
        <w:t xml:space="preserve">dont aucun membre n’est </w:t>
      </w:r>
      <w:r w:rsidRPr="001C13D2">
        <w:rPr>
          <w:szCs w:val="24"/>
          <w:lang w:val="fr-FR"/>
        </w:rPr>
        <w:t xml:space="preserve">capable de </w:t>
      </w:r>
      <w:r>
        <w:rPr>
          <w:szCs w:val="24"/>
          <w:lang w:val="fr-FR"/>
        </w:rPr>
        <w:t>travailler</w:t>
      </w:r>
      <w:r w:rsidRPr="001C13D2">
        <w:rPr>
          <w:szCs w:val="24"/>
          <w:lang w:val="fr-FR"/>
        </w:rPr>
        <w:t xml:space="preserve">. </w:t>
      </w:r>
      <w:r>
        <w:rPr>
          <w:szCs w:val="24"/>
          <w:lang w:val="fr-FR"/>
        </w:rPr>
        <w:t>Cela inclut</w:t>
      </w:r>
      <w:r w:rsidRPr="001C13D2">
        <w:rPr>
          <w:szCs w:val="24"/>
          <w:lang w:val="fr-FR"/>
        </w:rPr>
        <w:t xml:space="preserve"> de nombreux ménages ayant des orphelins et enfants vulnérables (OEV). </w:t>
      </w:r>
    </w:p>
    <w:p w:rsidR="004E3139" w:rsidRPr="001C13D2" w:rsidRDefault="004E3139" w:rsidP="004E3139">
      <w:pPr>
        <w:widowControl w:val="0"/>
        <w:rPr>
          <w:szCs w:val="24"/>
          <w:lang w:val="fr-FR"/>
        </w:rPr>
      </w:pPr>
      <w:r w:rsidRPr="001C13D2">
        <w:rPr>
          <w:i/>
          <w:szCs w:val="24"/>
          <w:lang w:val="fr-FR"/>
        </w:rPr>
        <w:t>Caractéristiques du programme</w:t>
      </w:r>
    </w:p>
    <w:p w:rsidR="004E3139" w:rsidRPr="001C13D2" w:rsidRDefault="004E3139" w:rsidP="004E3139">
      <w:pPr>
        <w:tabs>
          <w:tab w:val="clear" w:pos="709"/>
          <w:tab w:val="left" w:pos="284"/>
        </w:tabs>
        <w:rPr>
          <w:szCs w:val="24"/>
          <w:lang w:val="fr-FR"/>
        </w:rPr>
      </w:pPr>
      <w:r w:rsidRPr="001C13D2">
        <w:rPr>
          <w:szCs w:val="24"/>
          <w:lang w:val="fr-FR"/>
        </w:rPr>
        <w:t xml:space="preserve">L’objectif du programme pilote de transferts sociaux monétaires de Mchinji </w:t>
      </w:r>
      <w:r>
        <w:rPr>
          <w:szCs w:val="24"/>
          <w:lang w:val="fr-FR"/>
        </w:rPr>
        <w:t>visait</w:t>
      </w:r>
      <w:r w:rsidRPr="001C13D2">
        <w:rPr>
          <w:szCs w:val="24"/>
          <w:lang w:val="fr-FR"/>
        </w:rPr>
        <w:t xml:space="preserve"> l’extrême pauvreté. Schubert et Huijbregts (2006) indiquent qu’environ 10</w:t>
      </w:r>
      <w:r>
        <w:rPr>
          <w:szCs w:val="24"/>
          <w:lang w:val="fr-FR"/>
        </w:rPr>
        <w:t> </w:t>
      </w:r>
      <w:r w:rsidRPr="001C13D2">
        <w:rPr>
          <w:szCs w:val="24"/>
          <w:lang w:val="fr-FR"/>
        </w:rPr>
        <w:t>% des ménages malawiens (250</w:t>
      </w:r>
      <w:r>
        <w:rPr>
          <w:szCs w:val="24"/>
          <w:lang w:val="fr-FR"/>
        </w:rPr>
        <w:t> </w:t>
      </w:r>
      <w:r w:rsidRPr="001C13D2">
        <w:rPr>
          <w:szCs w:val="24"/>
          <w:lang w:val="fr-FR"/>
        </w:rPr>
        <w:t>000) sont extrêmement pauvres</w:t>
      </w:r>
      <w:r>
        <w:rPr>
          <w:szCs w:val="24"/>
          <w:lang w:val="fr-FR"/>
        </w:rPr>
        <w:t xml:space="preserve"> </w:t>
      </w:r>
      <w:r w:rsidRPr="001C13D2">
        <w:rPr>
          <w:szCs w:val="24"/>
          <w:lang w:val="fr-FR"/>
        </w:rPr>
        <w:t>et incapables de travailler (empêchés ou incapables de travailler). Il a été suggéré que si ces 10</w:t>
      </w:r>
      <w:r>
        <w:rPr>
          <w:szCs w:val="24"/>
          <w:lang w:val="fr-FR"/>
        </w:rPr>
        <w:t> </w:t>
      </w:r>
      <w:r w:rsidRPr="001C13D2">
        <w:rPr>
          <w:szCs w:val="24"/>
          <w:lang w:val="fr-FR"/>
        </w:rPr>
        <w:t>% de ménages recevaient tous des transferts sociaux monétaires, le taux national d’extrême pauvreté baisserait de 22</w:t>
      </w:r>
      <w:r>
        <w:rPr>
          <w:szCs w:val="24"/>
          <w:lang w:val="fr-FR"/>
        </w:rPr>
        <w:t> </w:t>
      </w:r>
      <w:r w:rsidRPr="001C13D2">
        <w:rPr>
          <w:szCs w:val="24"/>
          <w:lang w:val="fr-FR"/>
        </w:rPr>
        <w:t>% à 12</w:t>
      </w:r>
      <w:r>
        <w:rPr>
          <w:szCs w:val="24"/>
          <w:lang w:val="fr-FR"/>
        </w:rPr>
        <w:t> </w:t>
      </w:r>
      <w:r w:rsidRPr="001C13D2">
        <w:rPr>
          <w:szCs w:val="24"/>
          <w:lang w:val="fr-FR"/>
        </w:rPr>
        <w:t xml:space="preserve">%, </w:t>
      </w:r>
      <w:r>
        <w:rPr>
          <w:szCs w:val="24"/>
          <w:lang w:val="fr-FR"/>
        </w:rPr>
        <w:t>pour</w:t>
      </w:r>
      <w:r w:rsidRPr="001C13D2">
        <w:rPr>
          <w:szCs w:val="24"/>
          <w:lang w:val="fr-FR"/>
        </w:rPr>
        <w:t xml:space="preserve"> un coût de 41 </w:t>
      </w:r>
      <w:r>
        <w:rPr>
          <w:szCs w:val="24"/>
          <w:lang w:val="fr-FR"/>
        </w:rPr>
        <w:t>millions de</w:t>
      </w:r>
      <w:r w:rsidRPr="001C13D2">
        <w:rPr>
          <w:szCs w:val="24"/>
          <w:lang w:val="fr-FR"/>
        </w:rPr>
        <w:t xml:space="preserve"> dollars EU par an. Cette analyse a contribué à la décision de cibler 10</w:t>
      </w:r>
      <w:r>
        <w:rPr>
          <w:szCs w:val="24"/>
          <w:lang w:val="fr-FR"/>
        </w:rPr>
        <w:t> </w:t>
      </w:r>
      <w:r w:rsidRPr="001C13D2">
        <w:rPr>
          <w:szCs w:val="24"/>
          <w:lang w:val="fr-FR"/>
        </w:rPr>
        <w:t xml:space="preserve">% des ménages extrêmement pauvres dans la zone </w:t>
      </w:r>
      <w:r>
        <w:rPr>
          <w:szCs w:val="24"/>
          <w:lang w:val="fr-FR"/>
        </w:rPr>
        <w:t>du</w:t>
      </w:r>
      <w:r w:rsidRPr="001C13D2">
        <w:rPr>
          <w:szCs w:val="24"/>
          <w:lang w:val="fr-FR"/>
        </w:rPr>
        <w:t xml:space="preserve"> projet pilote de Mchinji, soit approximativement 3</w:t>
      </w:r>
      <w:r>
        <w:rPr>
          <w:szCs w:val="24"/>
          <w:lang w:val="fr-FR"/>
        </w:rPr>
        <w:t> </w:t>
      </w:r>
      <w:r w:rsidRPr="001C13D2">
        <w:rPr>
          <w:szCs w:val="24"/>
          <w:lang w:val="fr-FR"/>
        </w:rPr>
        <w:t>000 ménages</w:t>
      </w:r>
      <w:r>
        <w:rPr>
          <w:szCs w:val="24"/>
          <w:lang w:val="fr-FR"/>
        </w:rPr>
        <w:t xml:space="preserve"> ou </w:t>
      </w:r>
      <w:r w:rsidRPr="001C13D2">
        <w:rPr>
          <w:szCs w:val="24"/>
          <w:lang w:val="fr-FR"/>
        </w:rPr>
        <w:t>15</w:t>
      </w:r>
      <w:r>
        <w:rPr>
          <w:szCs w:val="24"/>
          <w:lang w:val="fr-FR"/>
        </w:rPr>
        <w:t> </w:t>
      </w:r>
      <w:r w:rsidRPr="001C13D2">
        <w:rPr>
          <w:szCs w:val="24"/>
          <w:lang w:val="fr-FR"/>
        </w:rPr>
        <w:t xml:space="preserve">000 individus (Chipata et Mwamlima 2007). En plus de son objectif de réduction de la pauvreté, le programme vise à améliorer le taux d’inscription et </w:t>
      </w:r>
      <w:r>
        <w:rPr>
          <w:szCs w:val="24"/>
          <w:lang w:val="fr-FR"/>
        </w:rPr>
        <w:t>de</w:t>
      </w:r>
      <w:r w:rsidRPr="001C13D2">
        <w:rPr>
          <w:szCs w:val="24"/>
          <w:lang w:val="fr-FR"/>
        </w:rPr>
        <w:t xml:space="preserve"> fréquentation scolaires des enfants bénéficiaires, </w:t>
      </w:r>
      <w:r>
        <w:rPr>
          <w:szCs w:val="24"/>
          <w:lang w:val="fr-FR"/>
        </w:rPr>
        <w:t xml:space="preserve">à </w:t>
      </w:r>
      <w:r w:rsidRPr="001C13D2">
        <w:rPr>
          <w:szCs w:val="24"/>
          <w:lang w:val="fr-FR"/>
        </w:rPr>
        <w:t xml:space="preserve">démontrer comment un programme de transferts monétaires pourrait s’intégrer </w:t>
      </w:r>
      <w:r>
        <w:rPr>
          <w:szCs w:val="24"/>
          <w:lang w:val="fr-FR"/>
        </w:rPr>
        <w:t>dans</w:t>
      </w:r>
      <w:r w:rsidRPr="001C13D2">
        <w:rPr>
          <w:szCs w:val="24"/>
          <w:lang w:val="fr-FR"/>
        </w:rPr>
        <w:t xml:space="preserve"> l’agenda de protection sociale du Malawi (Chipata et Mwamlima 2007)</w:t>
      </w:r>
      <w:r>
        <w:rPr>
          <w:szCs w:val="24"/>
          <w:lang w:val="fr-FR"/>
        </w:rPr>
        <w:t>,</w:t>
      </w:r>
      <w:r w:rsidRPr="001C13D2">
        <w:rPr>
          <w:szCs w:val="24"/>
          <w:lang w:val="fr-FR"/>
        </w:rPr>
        <w:t xml:space="preserve"> et</w:t>
      </w:r>
      <w:r>
        <w:rPr>
          <w:szCs w:val="24"/>
          <w:lang w:val="fr-FR"/>
        </w:rPr>
        <w:t xml:space="preserve"> à </w:t>
      </w:r>
      <w:r w:rsidRPr="001C13D2">
        <w:rPr>
          <w:szCs w:val="24"/>
          <w:lang w:val="fr-FR"/>
        </w:rPr>
        <w:t xml:space="preserve">vérifier si les </w:t>
      </w:r>
      <w:r>
        <w:rPr>
          <w:szCs w:val="24"/>
          <w:lang w:val="fr-FR"/>
        </w:rPr>
        <w:t>a</w:t>
      </w:r>
      <w:r w:rsidRPr="001C13D2">
        <w:rPr>
          <w:szCs w:val="24"/>
          <w:lang w:val="fr-FR"/>
        </w:rPr>
        <w:t xml:space="preserve">ssemblées de district pourraient mettre en place des programmes de transferts monétaires </w:t>
      </w:r>
      <w:r>
        <w:rPr>
          <w:szCs w:val="24"/>
          <w:lang w:val="fr-FR"/>
        </w:rPr>
        <w:t>efficients</w:t>
      </w:r>
      <w:r w:rsidRPr="001C13D2">
        <w:rPr>
          <w:szCs w:val="24"/>
          <w:lang w:val="fr-FR"/>
        </w:rPr>
        <w:t xml:space="preserve"> et capables d’atteindre les groupes de ménages ciblés (Schubert </w:t>
      </w:r>
      <w:r>
        <w:rPr>
          <w:szCs w:val="24"/>
          <w:lang w:val="fr-FR"/>
        </w:rPr>
        <w:t>et</w:t>
      </w:r>
      <w:r w:rsidRPr="001C13D2">
        <w:rPr>
          <w:szCs w:val="24"/>
          <w:lang w:val="fr-FR"/>
        </w:rPr>
        <w:t xml:space="preserve"> Huijbregts 2006).</w:t>
      </w:r>
      <w:r>
        <w:rPr>
          <w:szCs w:val="24"/>
          <w:lang w:val="fr-FR"/>
        </w:rPr>
        <w:t xml:space="preserve"> </w:t>
      </w:r>
      <w:r w:rsidRPr="001C13D2">
        <w:rPr>
          <w:szCs w:val="24"/>
          <w:lang w:val="fr-FR"/>
        </w:rPr>
        <w:t>Mchinji a été choisi pour le</w:t>
      </w:r>
      <w:r>
        <w:rPr>
          <w:szCs w:val="24"/>
          <w:lang w:val="fr-FR"/>
        </w:rPr>
        <w:t xml:space="preserve"> </w:t>
      </w:r>
      <w:r w:rsidRPr="001C13D2">
        <w:rPr>
          <w:szCs w:val="24"/>
          <w:lang w:val="fr-FR"/>
        </w:rPr>
        <w:t xml:space="preserve">pilote à cause de sa </w:t>
      </w:r>
      <w:r>
        <w:rPr>
          <w:szCs w:val="24"/>
          <w:lang w:val="fr-FR"/>
        </w:rPr>
        <w:t>solide</w:t>
      </w:r>
      <w:r w:rsidRPr="001C13D2">
        <w:rPr>
          <w:szCs w:val="24"/>
          <w:lang w:val="fr-FR"/>
        </w:rPr>
        <w:t xml:space="preserve"> équipe de district, de ses niveaux de pauvreté moyens et de sa proximité relative </w:t>
      </w:r>
      <w:r>
        <w:rPr>
          <w:szCs w:val="24"/>
          <w:lang w:val="fr-FR"/>
        </w:rPr>
        <w:t>de</w:t>
      </w:r>
      <w:r w:rsidRPr="001C13D2">
        <w:rPr>
          <w:szCs w:val="24"/>
          <w:lang w:val="fr-FR"/>
        </w:rPr>
        <w:t xml:space="preserve"> la capitale Lilongwe.</w:t>
      </w:r>
    </w:p>
    <w:p w:rsidR="004E3139" w:rsidRPr="001C13D2" w:rsidRDefault="004E3139" w:rsidP="004E3139">
      <w:pPr>
        <w:widowControl w:val="0"/>
        <w:rPr>
          <w:i/>
          <w:szCs w:val="24"/>
          <w:lang w:val="fr-FR"/>
        </w:rPr>
      </w:pPr>
      <w:r w:rsidRPr="001C13D2">
        <w:rPr>
          <w:i/>
          <w:szCs w:val="24"/>
          <w:lang w:val="fr-FR"/>
        </w:rPr>
        <w:t xml:space="preserve">Le ciblage du pilote de Mchinji inclut les comités villageois élus </w:t>
      </w:r>
    </w:p>
    <w:p w:rsidR="004E3139" w:rsidRPr="001C13D2" w:rsidRDefault="004E3139" w:rsidP="004E3139">
      <w:pPr>
        <w:tabs>
          <w:tab w:val="clear" w:pos="709"/>
          <w:tab w:val="left" w:pos="284"/>
        </w:tabs>
        <w:rPr>
          <w:szCs w:val="24"/>
          <w:lang w:val="fr-FR"/>
        </w:rPr>
      </w:pPr>
      <w:r w:rsidRPr="001C13D2">
        <w:rPr>
          <w:szCs w:val="24"/>
          <w:lang w:val="fr-FR"/>
        </w:rPr>
        <w:t xml:space="preserve">Les critères de ciblage </w:t>
      </w:r>
      <w:r>
        <w:rPr>
          <w:szCs w:val="24"/>
          <w:lang w:val="fr-FR"/>
        </w:rPr>
        <w:t>définissent</w:t>
      </w:r>
      <w:r w:rsidRPr="001C13D2">
        <w:rPr>
          <w:szCs w:val="24"/>
          <w:lang w:val="fr-FR"/>
        </w:rPr>
        <w:t xml:space="preserve"> les personnes </w:t>
      </w:r>
      <w:r>
        <w:rPr>
          <w:szCs w:val="24"/>
          <w:lang w:val="fr-FR"/>
        </w:rPr>
        <w:t xml:space="preserve">extrêmement </w:t>
      </w:r>
      <w:r w:rsidRPr="001C13D2">
        <w:rPr>
          <w:szCs w:val="24"/>
          <w:lang w:val="fr-FR"/>
        </w:rPr>
        <w:t xml:space="preserve">pauvres comme celles qui </w:t>
      </w:r>
      <w:r>
        <w:rPr>
          <w:szCs w:val="24"/>
          <w:lang w:val="fr-FR"/>
        </w:rPr>
        <w:t>font partie du</w:t>
      </w:r>
      <w:r w:rsidRPr="001C13D2">
        <w:rPr>
          <w:szCs w:val="24"/>
          <w:lang w:val="fr-FR"/>
        </w:rPr>
        <w:t xml:space="preserve"> quintile de dépenses inférieur et qui se </w:t>
      </w:r>
      <w:r>
        <w:rPr>
          <w:szCs w:val="24"/>
          <w:lang w:val="fr-FR"/>
        </w:rPr>
        <w:t>situent</w:t>
      </w:r>
      <w:r w:rsidRPr="001C13D2">
        <w:rPr>
          <w:szCs w:val="24"/>
          <w:lang w:val="fr-FR"/>
        </w:rPr>
        <w:t xml:space="preserve"> en-dessous du seuil </w:t>
      </w:r>
      <w:r>
        <w:rPr>
          <w:szCs w:val="24"/>
          <w:lang w:val="fr-FR"/>
        </w:rPr>
        <w:t xml:space="preserve">national </w:t>
      </w:r>
      <w:r w:rsidRPr="001C13D2">
        <w:rPr>
          <w:szCs w:val="24"/>
          <w:lang w:val="fr-FR"/>
        </w:rPr>
        <w:t>de pauvreté</w:t>
      </w:r>
      <w:r>
        <w:rPr>
          <w:szCs w:val="24"/>
          <w:lang w:val="fr-FR"/>
        </w:rPr>
        <w:t xml:space="preserve"> extrême</w:t>
      </w:r>
      <w:r w:rsidRPr="001C13D2">
        <w:rPr>
          <w:szCs w:val="24"/>
          <w:lang w:val="fr-FR"/>
        </w:rPr>
        <w:t xml:space="preserve">. </w:t>
      </w:r>
      <w:r>
        <w:rPr>
          <w:szCs w:val="24"/>
          <w:lang w:val="fr-FR"/>
        </w:rPr>
        <w:t>D’après</w:t>
      </w:r>
      <w:r w:rsidRPr="001C13D2">
        <w:rPr>
          <w:szCs w:val="24"/>
          <w:lang w:val="fr-FR"/>
        </w:rPr>
        <w:t xml:space="preserve"> cette définition, les ménages bénéficiaires devraient être incapables de se procurer les produits non alimentaires dont ils ont besoin. Les ménages qui ne peuvent pas travailler sont ceux </w:t>
      </w:r>
      <w:r>
        <w:rPr>
          <w:szCs w:val="24"/>
          <w:lang w:val="fr-FR"/>
        </w:rPr>
        <w:t>dont le</w:t>
      </w:r>
      <w:r w:rsidRPr="001C13D2">
        <w:rPr>
          <w:szCs w:val="24"/>
          <w:lang w:val="fr-FR"/>
        </w:rPr>
        <w:t xml:space="preserve"> taux de dépendance </w:t>
      </w:r>
      <w:r>
        <w:rPr>
          <w:szCs w:val="24"/>
          <w:lang w:val="fr-FR"/>
        </w:rPr>
        <w:t>est supérieur</w:t>
      </w:r>
      <w:r w:rsidRPr="001C13D2">
        <w:rPr>
          <w:szCs w:val="24"/>
          <w:lang w:val="fr-FR"/>
        </w:rPr>
        <w:t xml:space="preserve"> </w:t>
      </w:r>
      <w:r>
        <w:rPr>
          <w:szCs w:val="24"/>
          <w:lang w:val="fr-FR"/>
        </w:rPr>
        <w:t xml:space="preserve">à </w:t>
      </w:r>
      <w:r w:rsidRPr="001C13D2">
        <w:rPr>
          <w:szCs w:val="24"/>
          <w:lang w:val="fr-FR"/>
        </w:rPr>
        <w:t xml:space="preserve">trois (Schubert et Huijbregts 2006). Pour les sélectionner, les comités locaux, </w:t>
      </w:r>
      <w:r>
        <w:rPr>
          <w:szCs w:val="24"/>
          <w:lang w:val="fr-FR"/>
        </w:rPr>
        <w:t xml:space="preserve">les </w:t>
      </w:r>
      <w:r w:rsidRPr="001C13D2">
        <w:rPr>
          <w:i/>
          <w:iCs/>
          <w:szCs w:val="24"/>
          <w:lang w:val="fr-FR"/>
        </w:rPr>
        <w:t>Community Social Protection Committees</w:t>
      </w:r>
      <w:r>
        <w:rPr>
          <w:iCs/>
          <w:szCs w:val="24"/>
          <w:lang w:val="fr-FR"/>
        </w:rPr>
        <w:t>,</w:t>
      </w:r>
      <w:r w:rsidRPr="001C13D2">
        <w:rPr>
          <w:szCs w:val="24"/>
          <w:lang w:val="fr-FR"/>
        </w:rPr>
        <w:t xml:space="preserve"> </w:t>
      </w:r>
      <w:r>
        <w:rPr>
          <w:szCs w:val="24"/>
          <w:lang w:val="fr-FR"/>
        </w:rPr>
        <w:t>établissent</w:t>
      </w:r>
      <w:r w:rsidRPr="001C13D2">
        <w:rPr>
          <w:szCs w:val="24"/>
          <w:lang w:val="fr-FR"/>
        </w:rPr>
        <w:t xml:space="preserve"> d’abord une liste de tous les ménages qui d’après eux peuvent satisfaire l’exigence du programme </w:t>
      </w:r>
      <w:r>
        <w:rPr>
          <w:szCs w:val="24"/>
          <w:lang w:val="fr-FR"/>
        </w:rPr>
        <w:t>d’être</w:t>
      </w:r>
      <w:r w:rsidRPr="001C13D2">
        <w:rPr>
          <w:szCs w:val="24"/>
          <w:lang w:val="fr-FR"/>
        </w:rPr>
        <w:t xml:space="preserve"> «</w:t>
      </w:r>
      <w:r>
        <w:rPr>
          <w:szCs w:val="24"/>
          <w:lang w:val="fr-FR"/>
        </w:rPr>
        <w:t> </w:t>
      </w:r>
      <w:r w:rsidRPr="001C13D2">
        <w:rPr>
          <w:szCs w:val="24"/>
          <w:lang w:val="fr-FR"/>
        </w:rPr>
        <w:t>ultra pauvres</w:t>
      </w:r>
      <w:r>
        <w:rPr>
          <w:szCs w:val="24"/>
          <w:lang w:val="fr-FR"/>
        </w:rPr>
        <w:t> </w:t>
      </w:r>
      <w:r w:rsidRPr="001C13D2">
        <w:rPr>
          <w:szCs w:val="24"/>
          <w:lang w:val="fr-FR"/>
        </w:rPr>
        <w:t>» ou «</w:t>
      </w:r>
      <w:r>
        <w:rPr>
          <w:szCs w:val="24"/>
          <w:lang w:val="fr-FR"/>
        </w:rPr>
        <w:t> </w:t>
      </w:r>
      <w:r w:rsidRPr="001C13D2">
        <w:rPr>
          <w:szCs w:val="24"/>
          <w:lang w:val="fr-FR"/>
        </w:rPr>
        <w:t>empêchés de travailler</w:t>
      </w:r>
      <w:r>
        <w:rPr>
          <w:szCs w:val="24"/>
          <w:lang w:val="fr-FR"/>
        </w:rPr>
        <w:t> </w:t>
      </w:r>
      <w:r w:rsidRPr="001C13D2">
        <w:rPr>
          <w:szCs w:val="24"/>
          <w:lang w:val="fr-FR"/>
        </w:rPr>
        <w:t xml:space="preserve">». </w:t>
      </w:r>
      <w:r>
        <w:rPr>
          <w:szCs w:val="24"/>
          <w:lang w:val="fr-FR"/>
        </w:rPr>
        <w:t>L</w:t>
      </w:r>
      <w:r w:rsidRPr="001C13D2">
        <w:rPr>
          <w:szCs w:val="24"/>
          <w:lang w:val="fr-FR"/>
        </w:rPr>
        <w:t xml:space="preserve">es comités sont sélectionnés </w:t>
      </w:r>
      <w:r>
        <w:rPr>
          <w:szCs w:val="24"/>
          <w:lang w:val="fr-FR"/>
        </w:rPr>
        <w:t>à travers des</w:t>
      </w:r>
      <w:r w:rsidRPr="001C13D2">
        <w:rPr>
          <w:szCs w:val="24"/>
          <w:lang w:val="fr-FR"/>
        </w:rPr>
        <w:t xml:space="preserve"> élections communautaires au cours de la réunion initiale du programme</w:t>
      </w:r>
      <w:r>
        <w:rPr>
          <w:szCs w:val="24"/>
          <w:lang w:val="fr-FR"/>
        </w:rPr>
        <w:t xml:space="preserve"> </w:t>
      </w:r>
      <w:r w:rsidRPr="001C13D2">
        <w:rPr>
          <w:szCs w:val="24"/>
          <w:lang w:val="fr-FR"/>
        </w:rPr>
        <w:t>(Schubert 2007b). Les chefs d</w:t>
      </w:r>
      <w:r>
        <w:rPr>
          <w:szCs w:val="24"/>
          <w:lang w:val="fr-FR"/>
        </w:rPr>
        <w:t>e</w:t>
      </w:r>
      <w:r w:rsidRPr="001C13D2">
        <w:rPr>
          <w:szCs w:val="24"/>
          <w:lang w:val="fr-FR"/>
        </w:rPr>
        <w:t xml:space="preserve"> village ne sont pas autorisés à en faire partie. Les comités doivent ensuite </w:t>
      </w:r>
      <w:r>
        <w:rPr>
          <w:szCs w:val="24"/>
          <w:lang w:val="fr-FR"/>
        </w:rPr>
        <w:t>rencontrer</w:t>
      </w:r>
      <w:r w:rsidRPr="001C13D2">
        <w:rPr>
          <w:szCs w:val="24"/>
          <w:lang w:val="fr-FR"/>
        </w:rPr>
        <w:t xml:space="preserve"> et interroger tous les ménages </w:t>
      </w:r>
      <w:r>
        <w:rPr>
          <w:szCs w:val="24"/>
          <w:lang w:val="fr-FR"/>
        </w:rPr>
        <w:t xml:space="preserve">potentiellement </w:t>
      </w:r>
      <w:r w:rsidRPr="001C13D2">
        <w:rPr>
          <w:szCs w:val="24"/>
          <w:lang w:val="fr-FR"/>
        </w:rPr>
        <w:t>bénéficiaires</w:t>
      </w:r>
      <w:r>
        <w:rPr>
          <w:szCs w:val="24"/>
          <w:lang w:val="fr-FR"/>
        </w:rPr>
        <w:t> </w:t>
      </w:r>
      <w:r w:rsidRPr="001C13D2">
        <w:rPr>
          <w:szCs w:val="24"/>
          <w:lang w:val="fr-FR"/>
        </w:rPr>
        <w:t xml:space="preserve">; le chef du village doit vérifier cette information et les comités doivent classer les ménages identifiés d’après leur niveau d’indigence. Le classement est </w:t>
      </w:r>
      <w:r>
        <w:rPr>
          <w:szCs w:val="24"/>
          <w:lang w:val="fr-FR"/>
        </w:rPr>
        <w:t>discuté</w:t>
      </w:r>
      <w:r w:rsidRPr="001C13D2">
        <w:rPr>
          <w:szCs w:val="24"/>
          <w:lang w:val="fr-FR"/>
        </w:rPr>
        <w:t xml:space="preserve"> et approuvé ou </w:t>
      </w:r>
      <w:r>
        <w:rPr>
          <w:szCs w:val="24"/>
          <w:lang w:val="fr-FR"/>
        </w:rPr>
        <w:t>modifié</w:t>
      </w:r>
      <w:r w:rsidRPr="001C13D2">
        <w:rPr>
          <w:szCs w:val="24"/>
          <w:lang w:val="fr-FR"/>
        </w:rPr>
        <w:t xml:space="preserve"> au cours d’une réunion du comité. L’information est transmise au Secrétariat et à un </w:t>
      </w:r>
      <w:r>
        <w:rPr>
          <w:szCs w:val="24"/>
          <w:lang w:val="fr-FR"/>
        </w:rPr>
        <w:t>s</w:t>
      </w:r>
      <w:r w:rsidRPr="001C13D2">
        <w:rPr>
          <w:szCs w:val="24"/>
          <w:lang w:val="fr-FR"/>
        </w:rPr>
        <w:t>ous-comité de la protection sociale (</w:t>
      </w:r>
      <w:r w:rsidRPr="001C13D2">
        <w:rPr>
          <w:i/>
          <w:iCs/>
          <w:szCs w:val="24"/>
          <w:lang w:val="fr-FR"/>
        </w:rPr>
        <w:t>Social Protection Sub-Committee</w:t>
      </w:r>
      <w:r w:rsidRPr="001C13D2">
        <w:rPr>
          <w:szCs w:val="24"/>
          <w:lang w:val="fr-FR"/>
        </w:rPr>
        <w:t xml:space="preserve">) qui doit approuver ou rejeter la liste. Les listes sont supposées </w:t>
      </w:r>
      <w:r>
        <w:rPr>
          <w:szCs w:val="24"/>
          <w:lang w:val="fr-FR"/>
        </w:rPr>
        <w:t>reprendre</w:t>
      </w:r>
      <w:r w:rsidRPr="001C13D2">
        <w:rPr>
          <w:szCs w:val="24"/>
          <w:lang w:val="fr-FR"/>
        </w:rPr>
        <w:t xml:space="preserve"> les 10</w:t>
      </w:r>
      <w:r>
        <w:rPr>
          <w:szCs w:val="24"/>
          <w:lang w:val="fr-FR"/>
        </w:rPr>
        <w:t> </w:t>
      </w:r>
      <w:r w:rsidRPr="001C13D2">
        <w:rPr>
          <w:szCs w:val="24"/>
          <w:lang w:val="fr-FR"/>
        </w:rPr>
        <w:t xml:space="preserve">% de ménages de la communauté jugés les plus nécessiteux. </w:t>
      </w:r>
    </w:p>
    <w:p w:rsidR="004E3139" w:rsidRPr="001C13D2" w:rsidRDefault="004E3139" w:rsidP="004E3139">
      <w:pPr>
        <w:widowControl w:val="0"/>
        <w:rPr>
          <w:i/>
          <w:szCs w:val="24"/>
          <w:lang w:val="fr-FR"/>
        </w:rPr>
      </w:pPr>
      <w:r w:rsidRPr="001C13D2">
        <w:rPr>
          <w:i/>
          <w:szCs w:val="24"/>
          <w:lang w:val="fr-FR"/>
        </w:rPr>
        <w:t>Conception et exécution des transferts</w:t>
      </w:r>
    </w:p>
    <w:p w:rsidR="004E3139" w:rsidRPr="001C13D2" w:rsidRDefault="004E3139" w:rsidP="004E3139">
      <w:pPr>
        <w:tabs>
          <w:tab w:val="clear" w:pos="709"/>
          <w:tab w:val="left" w:pos="284"/>
        </w:tabs>
        <w:rPr>
          <w:szCs w:val="24"/>
          <w:lang w:val="fr-FR"/>
        </w:rPr>
      </w:pPr>
      <w:r w:rsidRPr="001C13D2">
        <w:rPr>
          <w:szCs w:val="24"/>
          <w:lang w:val="fr-FR"/>
        </w:rPr>
        <w:t xml:space="preserve">Les transferts mensuels à Mchinji, tous inconditionnels, étaient </w:t>
      </w:r>
      <w:r>
        <w:rPr>
          <w:szCs w:val="24"/>
          <w:lang w:val="fr-FR"/>
        </w:rPr>
        <w:t>proportionnels à</w:t>
      </w:r>
      <w:r w:rsidRPr="001C13D2">
        <w:rPr>
          <w:szCs w:val="24"/>
          <w:lang w:val="fr-FR"/>
        </w:rPr>
        <w:t xml:space="preserve"> la taille des ménages et </w:t>
      </w:r>
      <w:r>
        <w:rPr>
          <w:szCs w:val="24"/>
          <w:lang w:val="fr-FR"/>
        </w:rPr>
        <w:t>au</w:t>
      </w:r>
      <w:r w:rsidRPr="001C13D2">
        <w:rPr>
          <w:szCs w:val="24"/>
          <w:lang w:val="fr-FR"/>
        </w:rPr>
        <w:t xml:space="preserve"> nombre d’enfants scolarisés. Les ménages d’une personne recevaient 600 </w:t>
      </w:r>
      <w:r>
        <w:rPr>
          <w:szCs w:val="24"/>
          <w:lang w:val="fr-FR"/>
        </w:rPr>
        <w:t>kwachas</w:t>
      </w:r>
      <w:r w:rsidRPr="001C13D2">
        <w:rPr>
          <w:szCs w:val="24"/>
          <w:lang w:val="fr-FR"/>
        </w:rPr>
        <w:t xml:space="preserve"> (environ 4</w:t>
      </w:r>
      <w:r>
        <w:rPr>
          <w:szCs w:val="24"/>
          <w:lang w:val="fr-FR"/>
        </w:rPr>
        <w:t xml:space="preserve"> dollars </w:t>
      </w:r>
      <w:r w:rsidRPr="001C13D2">
        <w:rPr>
          <w:szCs w:val="24"/>
          <w:lang w:val="fr-FR"/>
        </w:rPr>
        <w:t>EU), les ménages de deux personnes 1</w:t>
      </w:r>
      <w:r>
        <w:rPr>
          <w:szCs w:val="24"/>
          <w:lang w:val="fr-FR"/>
        </w:rPr>
        <w:t> </w:t>
      </w:r>
      <w:r w:rsidRPr="001C13D2">
        <w:rPr>
          <w:szCs w:val="24"/>
          <w:lang w:val="fr-FR"/>
        </w:rPr>
        <w:t xml:space="preserve">000 </w:t>
      </w:r>
      <w:r>
        <w:rPr>
          <w:szCs w:val="24"/>
          <w:lang w:val="fr-FR"/>
        </w:rPr>
        <w:t xml:space="preserve">kwachas </w:t>
      </w:r>
      <w:r w:rsidRPr="001C13D2">
        <w:rPr>
          <w:szCs w:val="24"/>
          <w:lang w:val="fr-FR"/>
        </w:rPr>
        <w:t xml:space="preserve"> (6,67 </w:t>
      </w:r>
      <w:r>
        <w:rPr>
          <w:szCs w:val="24"/>
          <w:lang w:val="fr-FR"/>
        </w:rPr>
        <w:t xml:space="preserve">dollars </w:t>
      </w:r>
      <w:r w:rsidRPr="001C13D2">
        <w:rPr>
          <w:szCs w:val="24"/>
          <w:lang w:val="fr-FR"/>
        </w:rPr>
        <w:t xml:space="preserve"> EU), les ménages de trois personnes 1</w:t>
      </w:r>
      <w:r>
        <w:rPr>
          <w:szCs w:val="24"/>
          <w:lang w:val="fr-FR"/>
        </w:rPr>
        <w:t> </w:t>
      </w:r>
      <w:r w:rsidRPr="001C13D2">
        <w:rPr>
          <w:szCs w:val="24"/>
          <w:lang w:val="fr-FR"/>
        </w:rPr>
        <w:t xml:space="preserve">400 </w:t>
      </w:r>
      <w:r>
        <w:rPr>
          <w:szCs w:val="24"/>
          <w:lang w:val="fr-FR"/>
        </w:rPr>
        <w:t xml:space="preserve">kwachas </w:t>
      </w:r>
      <w:r w:rsidRPr="001C13D2">
        <w:rPr>
          <w:szCs w:val="24"/>
          <w:lang w:val="fr-FR"/>
        </w:rPr>
        <w:t xml:space="preserve"> (9,33 </w:t>
      </w:r>
      <w:r>
        <w:rPr>
          <w:szCs w:val="24"/>
          <w:lang w:val="fr-FR"/>
        </w:rPr>
        <w:t xml:space="preserve">dollars </w:t>
      </w:r>
      <w:r w:rsidRPr="001C13D2">
        <w:rPr>
          <w:szCs w:val="24"/>
          <w:lang w:val="fr-FR"/>
        </w:rPr>
        <w:t>EU)</w:t>
      </w:r>
      <w:r>
        <w:rPr>
          <w:szCs w:val="24"/>
          <w:lang w:val="fr-FR"/>
        </w:rPr>
        <w:t>,</w:t>
      </w:r>
      <w:r w:rsidRPr="001C13D2">
        <w:rPr>
          <w:szCs w:val="24"/>
          <w:lang w:val="fr-FR"/>
        </w:rPr>
        <w:t xml:space="preserve"> et ceux de 4 personnes ou plus, 1</w:t>
      </w:r>
      <w:r>
        <w:rPr>
          <w:szCs w:val="24"/>
          <w:lang w:val="fr-FR"/>
        </w:rPr>
        <w:t> </w:t>
      </w:r>
      <w:r w:rsidRPr="001C13D2">
        <w:rPr>
          <w:szCs w:val="24"/>
          <w:lang w:val="fr-FR"/>
        </w:rPr>
        <w:t>800</w:t>
      </w:r>
      <w:r>
        <w:rPr>
          <w:szCs w:val="24"/>
          <w:lang w:val="fr-FR"/>
        </w:rPr>
        <w:t xml:space="preserve"> kwachas </w:t>
      </w:r>
      <w:r w:rsidRPr="001C13D2">
        <w:rPr>
          <w:szCs w:val="24"/>
          <w:lang w:val="fr-FR"/>
        </w:rPr>
        <w:t xml:space="preserve"> (12 </w:t>
      </w:r>
      <w:r>
        <w:rPr>
          <w:szCs w:val="24"/>
          <w:lang w:val="fr-FR"/>
        </w:rPr>
        <w:t xml:space="preserve">dollars </w:t>
      </w:r>
      <w:r w:rsidRPr="001C13D2">
        <w:rPr>
          <w:szCs w:val="24"/>
          <w:lang w:val="fr-FR"/>
        </w:rPr>
        <w:t xml:space="preserve"> EU) (Schubert et Huijbregts 2006).</w:t>
      </w:r>
      <w:r>
        <w:rPr>
          <w:szCs w:val="24"/>
          <w:lang w:val="fr-FR"/>
        </w:rPr>
        <w:t xml:space="preserve"> </w:t>
      </w:r>
      <w:r w:rsidRPr="001C13D2">
        <w:rPr>
          <w:szCs w:val="24"/>
          <w:lang w:val="fr-FR"/>
        </w:rPr>
        <w:t xml:space="preserve">Les ménages ayant des enfants à l’école primaire recevaient </w:t>
      </w:r>
      <w:r>
        <w:rPr>
          <w:szCs w:val="24"/>
          <w:lang w:val="fr-FR"/>
        </w:rPr>
        <w:t>2</w:t>
      </w:r>
      <w:r w:rsidRPr="001C13D2">
        <w:rPr>
          <w:szCs w:val="24"/>
          <w:lang w:val="fr-FR"/>
        </w:rPr>
        <w:t>00</w:t>
      </w:r>
      <w:r>
        <w:rPr>
          <w:szCs w:val="24"/>
          <w:lang w:val="fr-FR"/>
        </w:rPr>
        <w:t xml:space="preserve"> kwachas </w:t>
      </w:r>
      <w:r w:rsidRPr="001C13D2">
        <w:rPr>
          <w:szCs w:val="24"/>
          <w:lang w:val="fr-FR"/>
        </w:rPr>
        <w:t xml:space="preserve"> (1,33 </w:t>
      </w:r>
      <w:r>
        <w:rPr>
          <w:szCs w:val="24"/>
          <w:lang w:val="fr-FR"/>
        </w:rPr>
        <w:t xml:space="preserve">dollars </w:t>
      </w:r>
      <w:r w:rsidRPr="001C13D2">
        <w:rPr>
          <w:szCs w:val="24"/>
          <w:lang w:val="fr-FR"/>
        </w:rPr>
        <w:t xml:space="preserve"> EU) supplémentaires</w:t>
      </w:r>
      <w:r>
        <w:rPr>
          <w:szCs w:val="24"/>
          <w:lang w:val="fr-FR"/>
        </w:rPr>
        <w:t xml:space="preserve"> par enfant,</w:t>
      </w:r>
      <w:r w:rsidRPr="001C13D2">
        <w:rPr>
          <w:szCs w:val="24"/>
          <w:lang w:val="fr-FR"/>
        </w:rPr>
        <w:t xml:space="preserve"> et les ménages ayant des enfants à l’école secondaire recevaient 400</w:t>
      </w:r>
      <w:r>
        <w:rPr>
          <w:szCs w:val="24"/>
          <w:lang w:val="fr-FR"/>
        </w:rPr>
        <w:t xml:space="preserve"> kwachas </w:t>
      </w:r>
      <w:r w:rsidRPr="001C13D2">
        <w:rPr>
          <w:szCs w:val="24"/>
          <w:lang w:val="fr-FR"/>
        </w:rPr>
        <w:t xml:space="preserve"> supplémentaires (2.67 </w:t>
      </w:r>
      <w:r>
        <w:rPr>
          <w:szCs w:val="24"/>
          <w:lang w:val="fr-FR"/>
        </w:rPr>
        <w:t xml:space="preserve">dollars </w:t>
      </w:r>
      <w:r w:rsidRPr="001C13D2">
        <w:rPr>
          <w:szCs w:val="24"/>
          <w:lang w:val="fr-FR"/>
        </w:rPr>
        <w:t xml:space="preserve"> EU)</w:t>
      </w:r>
      <w:r w:rsidRPr="00F07997">
        <w:rPr>
          <w:szCs w:val="24"/>
          <w:lang w:val="fr-FR"/>
        </w:rPr>
        <w:t xml:space="preserve"> </w:t>
      </w:r>
      <w:r>
        <w:rPr>
          <w:szCs w:val="24"/>
          <w:lang w:val="fr-FR"/>
        </w:rPr>
        <w:t>par enfant</w:t>
      </w:r>
      <w:r w:rsidRPr="001C13D2">
        <w:rPr>
          <w:szCs w:val="24"/>
          <w:lang w:val="fr-FR"/>
        </w:rPr>
        <w:t xml:space="preserve">. Cette prime n’était pas conditionnée à la fréquentation scolaire, elle était simplement donnée quand il y avait des enfants </w:t>
      </w:r>
      <w:r>
        <w:rPr>
          <w:szCs w:val="24"/>
          <w:lang w:val="fr-FR"/>
        </w:rPr>
        <w:t xml:space="preserve">en </w:t>
      </w:r>
      <w:r w:rsidRPr="001C13D2">
        <w:rPr>
          <w:szCs w:val="24"/>
          <w:lang w:val="fr-FR"/>
        </w:rPr>
        <w:t xml:space="preserve">âge </w:t>
      </w:r>
      <w:r>
        <w:rPr>
          <w:szCs w:val="24"/>
          <w:lang w:val="fr-FR"/>
        </w:rPr>
        <w:t>d’école</w:t>
      </w:r>
      <w:r w:rsidRPr="001C13D2">
        <w:rPr>
          <w:szCs w:val="24"/>
          <w:lang w:val="fr-FR"/>
        </w:rPr>
        <w:t xml:space="preserve"> dans un ménage. La valeur moyenne d’un transfert</w:t>
      </w:r>
      <w:r>
        <w:rPr>
          <w:szCs w:val="24"/>
          <w:lang w:val="fr-FR"/>
        </w:rPr>
        <w:t xml:space="preserve"> </w:t>
      </w:r>
      <w:r w:rsidRPr="001C13D2">
        <w:rPr>
          <w:szCs w:val="24"/>
          <w:lang w:val="fr-FR"/>
        </w:rPr>
        <w:t>était</w:t>
      </w:r>
      <w:r>
        <w:rPr>
          <w:szCs w:val="24"/>
          <w:lang w:val="fr-FR"/>
        </w:rPr>
        <w:t xml:space="preserve"> </w:t>
      </w:r>
      <w:r w:rsidRPr="001C13D2">
        <w:rPr>
          <w:szCs w:val="24"/>
          <w:lang w:val="fr-FR"/>
        </w:rPr>
        <w:t>de 1</w:t>
      </w:r>
      <w:r>
        <w:rPr>
          <w:szCs w:val="24"/>
          <w:lang w:val="fr-FR"/>
        </w:rPr>
        <w:t> </w:t>
      </w:r>
      <w:r w:rsidRPr="001C13D2">
        <w:rPr>
          <w:szCs w:val="24"/>
          <w:lang w:val="fr-FR"/>
        </w:rPr>
        <w:t xml:space="preserve">700 </w:t>
      </w:r>
      <w:r>
        <w:rPr>
          <w:szCs w:val="24"/>
          <w:lang w:val="fr-FR"/>
        </w:rPr>
        <w:t xml:space="preserve">kwachas </w:t>
      </w:r>
      <w:r w:rsidRPr="001C13D2">
        <w:rPr>
          <w:szCs w:val="24"/>
          <w:lang w:val="fr-FR"/>
        </w:rPr>
        <w:t xml:space="preserve"> (11</w:t>
      </w:r>
      <w:r>
        <w:rPr>
          <w:szCs w:val="24"/>
          <w:lang w:val="fr-FR"/>
        </w:rPr>
        <w:t>,</w:t>
      </w:r>
      <w:r w:rsidRPr="001C13D2">
        <w:rPr>
          <w:szCs w:val="24"/>
          <w:lang w:val="fr-FR"/>
        </w:rPr>
        <w:t xml:space="preserve">33 </w:t>
      </w:r>
      <w:r>
        <w:rPr>
          <w:szCs w:val="24"/>
          <w:lang w:val="fr-FR"/>
        </w:rPr>
        <w:t xml:space="preserve">dollars </w:t>
      </w:r>
      <w:r w:rsidRPr="001C13D2">
        <w:rPr>
          <w:szCs w:val="24"/>
          <w:lang w:val="fr-FR"/>
        </w:rPr>
        <w:t xml:space="preserve"> EU)</w:t>
      </w:r>
      <w:r w:rsidRPr="001C13D2">
        <w:rPr>
          <w:rStyle w:val="FootnoteReference"/>
          <w:szCs w:val="24"/>
          <w:lang w:val="fr-FR"/>
        </w:rPr>
        <w:footnoteReference w:id="57"/>
      </w:r>
      <w:r w:rsidRPr="001C13D2">
        <w:rPr>
          <w:szCs w:val="24"/>
          <w:lang w:val="fr-FR"/>
        </w:rPr>
        <w:t xml:space="preserve"> par ménage </w:t>
      </w:r>
      <w:r>
        <w:rPr>
          <w:szCs w:val="24"/>
          <w:lang w:val="fr-FR"/>
        </w:rPr>
        <w:t xml:space="preserve">et </w:t>
      </w:r>
      <w:r w:rsidRPr="001C13D2">
        <w:rPr>
          <w:szCs w:val="24"/>
          <w:lang w:val="fr-FR"/>
        </w:rPr>
        <w:t>par mois</w:t>
      </w:r>
      <w:r>
        <w:rPr>
          <w:szCs w:val="24"/>
          <w:lang w:val="fr-FR"/>
        </w:rPr>
        <w:t>,</w:t>
      </w:r>
      <w:r w:rsidRPr="001C13D2">
        <w:rPr>
          <w:szCs w:val="24"/>
          <w:lang w:val="fr-FR"/>
        </w:rPr>
        <w:t xml:space="preserve"> ce qui était jugé suffisant pour combler écart </w:t>
      </w:r>
      <w:r>
        <w:rPr>
          <w:szCs w:val="24"/>
          <w:lang w:val="fr-FR"/>
        </w:rPr>
        <w:t>d’extrême</w:t>
      </w:r>
      <w:r w:rsidRPr="001C13D2">
        <w:rPr>
          <w:szCs w:val="24"/>
          <w:lang w:val="fr-FR"/>
        </w:rPr>
        <w:t xml:space="preserve"> pauvreté des ménages ciblés (Schubert et Huijbregts 2006). Il y avait 3</w:t>
      </w:r>
      <w:r>
        <w:rPr>
          <w:szCs w:val="24"/>
          <w:lang w:val="fr-FR"/>
        </w:rPr>
        <w:t> </w:t>
      </w:r>
      <w:r w:rsidRPr="001C13D2">
        <w:rPr>
          <w:szCs w:val="24"/>
          <w:lang w:val="fr-FR"/>
        </w:rPr>
        <w:t xml:space="preserve">000 ménages bénéficiaires </w:t>
      </w:r>
      <w:r>
        <w:rPr>
          <w:szCs w:val="24"/>
          <w:lang w:val="fr-FR"/>
        </w:rPr>
        <w:t>au</w:t>
      </w:r>
      <w:r w:rsidRPr="001C13D2">
        <w:rPr>
          <w:szCs w:val="24"/>
          <w:lang w:val="fr-FR"/>
        </w:rPr>
        <w:t xml:space="preserve"> début de 2008</w:t>
      </w:r>
      <w:r>
        <w:rPr>
          <w:szCs w:val="24"/>
          <w:lang w:val="fr-FR"/>
        </w:rPr>
        <w:t>,</w:t>
      </w:r>
      <w:r w:rsidRPr="001C13D2">
        <w:rPr>
          <w:szCs w:val="24"/>
          <w:lang w:val="fr-FR"/>
        </w:rPr>
        <w:t xml:space="preserve"> et les dépenses étaient de 43</w:t>
      </w:r>
      <w:r>
        <w:rPr>
          <w:szCs w:val="24"/>
          <w:lang w:val="fr-FR"/>
        </w:rPr>
        <w:t> </w:t>
      </w:r>
      <w:r w:rsidRPr="001C13D2">
        <w:rPr>
          <w:szCs w:val="24"/>
          <w:lang w:val="fr-FR"/>
        </w:rPr>
        <w:t xml:space="preserve">000 </w:t>
      </w:r>
      <w:r>
        <w:rPr>
          <w:szCs w:val="24"/>
          <w:lang w:val="fr-FR"/>
        </w:rPr>
        <w:t xml:space="preserve">dollars </w:t>
      </w:r>
      <w:r w:rsidRPr="001C13D2">
        <w:rPr>
          <w:szCs w:val="24"/>
          <w:lang w:val="fr-FR"/>
        </w:rPr>
        <w:t xml:space="preserve">EU par mois (Miller et </w:t>
      </w:r>
      <w:r w:rsidR="005E551A">
        <w:rPr>
          <w:szCs w:val="24"/>
          <w:lang w:val="fr-FR"/>
        </w:rPr>
        <w:t>coll</w:t>
      </w:r>
      <w:r w:rsidRPr="001C13D2">
        <w:rPr>
          <w:szCs w:val="24"/>
          <w:lang w:val="fr-FR"/>
        </w:rPr>
        <w:t>. 2008). L’expansion du pilote a été retardée à cause de retards de financement</w:t>
      </w:r>
      <w:r>
        <w:rPr>
          <w:szCs w:val="24"/>
          <w:lang w:val="fr-FR"/>
        </w:rPr>
        <w:t>. Il</w:t>
      </w:r>
      <w:r w:rsidRPr="001C13D2">
        <w:rPr>
          <w:szCs w:val="24"/>
          <w:lang w:val="fr-FR"/>
        </w:rPr>
        <w:t xml:space="preserve"> atteignait </w:t>
      </w:r>
      <w:r>
        <w:rPr>
          <w:szCs w:val="24"/>
          <w:lang w:val="fr-FR"/>
        </w:rPr>
        <w:t>néanmoins</w:t>
      </w:r>
      <w:r w:rsidRPr="001C13D2">
        <w:rPr>
          <w:szCs w:val="24"/>
          <w:lang w:val="fr-FR"/>
        </w:rPr>
        <w:t xml:space="preserve"> sept districts </w:t>
      </w:r>
      <w:r>
        <w:rPr>
          <w:szCs w:val="24"/>
          <w:lang w:val="fr-FR"/>
        </w:rPr>
        <w:t>à</w:t>
      </w:r>
      <w:r w:rsidRPr="001C13D2">
        <w:rPr>
          <w:szCs w:val="24"/>
          <w:lang w:val="fr-FR"/>
        </w:rPr>
        <w:t xml:space="preserve"> la fin 2008 (Horvath et </w:t>
      </w:r>
      <w:r>
        <w:rPr>
          <w:szCs w:val="24"/>
          <w:lang w:val="fr-FR"/>
        </w:rPr>
        <w:t>col</w:t>
      </w:r>
      <w:r w:rsidRPr="001C13D2">
        <w:rPr>
          <w:szCs w:val="24"/>
          <w:lang w:val="fr-FR"/>
        </w:rPr>
        <w:t xml:space="preserve">l. 2008). En avril 2009, le pilote </w:t>
      </w:r>
      <w:r>
        <w:rPr>
          <w:szCs w:val="24"/>
          <w:lang w:val="fr-FR"/>
        </w:rPr>
        <w:t>couvrait</w:t>
      </w:r>
      <w:r w:rsidRPr="001C13D2">
        <w:rPr>
          <w:szCs w:val="24"/>
          <w:lang w:val="fr-FR"/>
        </w:rPr>
        <w:t xml:space="preserve"> 92</w:t>
      </w:r>
      <w:r>
        <w:rPr>
          <w:szCs w:val="24"/>
          <w:lang w:val="fr-FR"/>
        </w:rPr>
        <w:t> </w:t>
      </w:r>
      <w:r w:rsidRPr="001C13D2">
        <w:rPr>
          <w:szCs w:val="24"/>
          <w:lang w:val="fr-FR"/>
        </w:rPr>
        <w:t>786 bénéficiaires dans 23</w:t>
      </w:r>
      <w:r>
        <w:rPr>
          <w:szCs w:val="24"/>
          <w:lang w:val="fr-FR"/>
        </w:rPr>
        <w:t> </w:t>
      </w:r>
      <w:r w:rsidRPr="001C13D2">
        <w:rPr>
          <w:szCs w:val="24"/>
          <w:lang w:val="fr-FR"/>
        </w:rPr>
        <w:t>651 ménages de sept districts (UNICEF/GOM 2009).</w:t>
      </w:r>
    </w:p>
    <w:p w:rsidR="004E3139" w:rsidRPr="001C13D2" w:rsidRDefault="004E3139" w:rsidP="004E3139">
      <w:pPr>
        <w:tabs>
          <w:tab w:val="clear" w:pos="709"/>
          <w:tab w:val="left" w:pos="284"/>
        </w:tabs>
        <w:rPr>
          <w:i/>
          <w:szCs w:val="24"/>
          <w:lang w:val="fr-FR"/>
        </w:rPr>
      </w:pPr>
      <w:r w:rsidRPr="001C13D2">
        <w:rPr>
          <w:i/>
          <w:szCs w:val="24"/>
          <w:lang w:val="fr-FR"/>
        </w:rPr>
        <w:t xml:space="preserve">Mécanismes de mise en œuvre et financement </w:t>
      </w:r>
    </w:p>
    <w:p w:rsidR="004E3139" w:rsidRPr="001C13D2" w:rsidRDefault="004E3139" w:rsidP="004E3139">
      <w:pPr>
        <w:tabs>
          <w:tab w:val="clear" w:pos="709"/>
          <w:tab w:val="left" w:pos="284"/>
        </w:tabs>
        <w:rPr>
          <w:szCs w:val="24"/>
          <w:lang w:val="fr-FR"/>
        </w:rPr>
      </w:pPr>
      <w:r w:rsidRPr="001C13D2">
        <w:rPr>
          <w:iCs/>
          <w:szCs w:val="24"/>
          <w:lang w:val="fr-FR"/>
        </w:rPr>
        <w:t xml:space="preserve">Le Programme de transferts sociaux monétaires a été mis en œuvre localement. Le </w:t>
      </w:r>
      <w:r>
        <w:rPr>
          <w:iCs/>
          <w:szCs w:val="24"/>
          <w:lang w:val="fr-FR"/>
        </w:rPr>
        <w:t>m</w:t>
      </w:r>
      <w:r w:rsidRPr="001C13D2">
        <w:rPr>
          <w:iCs/>
          <w:szCs w:val="24"/>
          <w:lang w:val="fr-FR"/>
        </w:rPr>
        <w:t xml:space="preserve">inistère du </w:t>
      </w:r>
      <w:r>
        <w:rPr>
          <w:iCs/>
          <w:szCs w:val="24"/>
          <w:lang w:val="fr-FR"/>
        </w:rPr>
        <w:t>D</w:t>
      </w:r>
      <w:r w:rsidRPr="001C13D2">
        <w:rPr>
          <w:iCs/>
          <w:szCs w:val="24"/>
          <w:lang w:val="fr-FR"/>
        </w:rPr>
        <w:t xml:space="preserve">éveloppement de la femme et de l’enfant et le Département de la gestion de la pauvreté et des catastrophes en ont assuré la coordination avec le concours de l’UNICEF </w:t>
      </w:r>
      <w:r w:rsidRPr="001C13D2">
        <w:rPr>
          <w:szCs w:val="24"/>
          <w:lang w:val="fr-FR"/>
        </w:rPr>
        <w:t>(Chipata et Mwamlima 2007).</w:t>
      </w:r>
      <w:r>
        <w:rPr>
          <w:szCs w:val="24"/>
          <w:lang w:val="fr-FR"/>
        </w:rPr>
        <w:t xml:space="preserve"> </w:t>
      </w:r>
      <w:r w:rsidRPr="001C13D2">
        <w:rPr>
          <w:szCs w:val="24"/>
          <w:lang w:val="fr-FR"/>
        </w:rPr>
        <w:t xml:space="preserve">Le pilote de Mchinji a été </w:t>
      </w:r>
      <w:r>
        <w:rPr>
          <w:szCs w:val="24"/>
          <w:lang w:val="fr-FR"/>
        </w:rPr>
        <w:t>mis en œuvre</w:t>
      </w:r>
      <w:r w:rsidRPr="001C13D2">
        <w:rPr>
          <w:szCs w:val="24"/>
          <w:lang w:val="fr-FR"/>
        </w:rPr>
        <w:t xml:space="preserve"> par l’Assemblée locale</w:t>
      </w:r>
      <w:r>
        <w:rPr>
          <w:szCs w:val="24"/>
          <w:lang w:val="fr-FR"/>
        </w:rPr>
        <w:t>,</w:t>
      </w:r>
      <w:r w:rsidRPr="001C13D2">
        <w:rPr>
          <w:szCs w:val="24"/>
          <w:lang w:val="fr-FR"/>
        </w:rPr>
        <w:t xml:space="preserve"> dont le Comité exécutif de district avait un sous-comité de la protection sociale </w:t>
      </w:r>
      <w:r>
        <w:rPr>
          <w:szCs w:val="24"/>
          <w:lang w:val="fr-FR"/>
        </w:rPr>
        <w:t>rassemblant</w:t>
      </w:r>
      <w:r w:rsidRPr="001C13D2">
        <w:rPr>
          <w:szCs w:val="24"/>
          <w:lang w:val="fr-FR"/>
        </w:rPr>
        <w:t xml:space="preserve"> des représentants du ministère </w:t>
      </w:r>
      <w:r>
        <w:rPr>
          <w:szCs w:val="24"/>
          <w:lang w:val="fr-FR"/>
        </w:rPr>
        <w:t>technique</w:t>
      </w:r>
      <w:r w:rsidRPr="001C13D2">
        <w:rPr>
          <w:szCs w:val="24"/>
          <w:lang w:val="fr-FR"/>
        </w:rPr>
        <w:t xml:space="preserve">. Ce sous-comité approuvait les demandes de participation au programme. La structure de district du Malawi inclut des </w:t>
      </w:r>
      <w:r>
        <w:rPr>
          <w:szCs w:val="24"/>
          <w:lang w:val="fr-FR"/>
        </w:rPr>
        <w:t>fonctionnaires</w:t>
      </w:r>
      <w:r w:rsidRPr="001C13D2">
        <w:rPr>
          <w:szCs w:val="24"/>
          <w:lang w:val="fr-FR"/>
        </w:rPr>
        <w:t xml:space="preserve"> </w:t>
      </w:r>
      <w:r>
        <w:rPr>
          <w:szCs w:val="24"/>
          <w:lang w:val="fr-FR"/>
        </w:rPr>
        <w:t>issus</w:t>
      </w:r>
      <w:r w:rsidRPr="001C13D2">
        <w:rPr>
          <w:szCs w:val="24"/>
          <w:lang w:val="fr-FR"/>
        </w:rPr>
        <w:t xml:space="preserve"> de divers départements et capables d’appuyer</w:t>
      </w:r>
      <w:r>
        <w:rPr>
          <w:szCs w:val="24"/>
          <w:lang w:val="fr-FR"/>
        </w:rPr>
        <w:t xml:space="preserve"> </w:t>
      </w:r>
      <w:r w:rsidRPr="001C13D2">
        <w:rPr>
          <w:szCs w:val="24"/>
          <w:lang w:val="fr-FR"/>
        </w:rPr>
        <w:t xml:space="preserve">le programme. La capacité est limitée au niveau du district mais pas </w:t>
      </w:r>
      <w:r>
        <w:rPr>
          <w:szCs w:val="24"/>
          <w:lang w:val="fr-FR"/>
        </w:rPr>
        <w:t>autant</w:t>
      </w:r>
      <w:r w:rsidRPr="001C13D2">
        <w:rPr>
          <w:szCs w:val="24"/>
          <w:lang w:val="fr-FR"/>
        </w:rPr>
        <w:t xml:space="preserve"> que dans d’autres pays qui mettent en œuvre des programmes similaires (la Zambie, par exemple) (Schubert et Huijbregts 2006). </w:t>
      </w:r>
      <w:r>
        <w:rPr>
          <w:szCs w:val="24"/>
          <w:lang w:val="fr-FR"/>
        </w:rPr>
        <w:t xml:space="preserve">En dessous du </w:t>
      </w:r>
      <w:r w:rsidRPr="001C13D2">
        <w:rPr>
          <w:szCs w:val="24"/>
          <w:lang w:val="fr-FR"/>
        </w:rPr>
        <w:t>sous-comité</w:t>
      </w:r>
      <w:r>
        <w:rPr>
          <w:szCs w:val="24"/>
          <w:lang w:val="fr-FR"/>
        </w:rPr>
        <w:t>, on trouve le</w:t>
      </w:r>
      <w:r w:rsidRPr="001C13D2">
        <w:rPr>
          <w:szCs w:val="24"/>
          <w:lang w:val="fr-FR"/>
        </w:rPr>
        <w:t xml:space="preserve"> Secrétariat du </w:t>
      </w:r>
      <w:r>
        <w:rPr>
          <w:szCs w:val="24"/>
          <w:lang w:val="fr-FR"/>
        </w:rPr>
        <w:t>système</w:t>
      </w:r>
      <w:r w:rsidRPr="001C13D2">
        <w:rPr>
          <w:szCs w:val="24"/>
          <w:lang w:val="fr-FR"/>
        </w:rPr>
        <w:t xml:space="preserve"> de transferts sociaux monétaires</w:t>
      </w:r>
      <w:r>
        <w:rPr>
          <w:szCs w:val="24"/>
          <w:lang w:val="fr-FR"/>
        </w:rPr>
        <w:t>,</w:t>
      </w:r>
      <w:r w:rsidRPr="001C13D2">
        <w:rPr>
          <w:szCs w:val="24"/>
          <w:lang w:val="fr-FR"/>
        </w:rPr>
        <w:t xml:space="preserve"> </w:t>
      </w:r>
      <w:r>
        <w:rPr>
          <w:szCs w:val="24"/>
          <w:lang w:val="fr-FR"/>
        </w:rPr>
        <w:t>avec le</w:t>
      </w:r>
      <w:r w:rsidRPr="001C13D2">
        <w:rPr>
          <w:szCs w:val="24"/>
          <w:lang w:val="fr-FR"/>
        </w:rPr>
        <w:t xml:space="preserve"> personnel </w:t>
      </w:r>
      <w:r>
        <w:rPr>
          <w:szCs w:val="24"/>
          <w:lang w:val="fr-FR"/>
        </w:rPr>
        <w:t xml:space="preserve">chargé de </w:t>
      </w:r>
      <w:r w:rsidRPr="001C13D2">
        <w:rPr>
          <w:szCs w:val="24"/>
          <w:lang w:val="fr-FR"/>
        </w:rPr>
        <w:t xml:space="preserve">la mise en œuvre du programme, </w:t>
      </w:r>
      <w:r>
        <w:rPr>
          <w:szCs w:val="24"/>
          <w:lang w:val="fr-FR"/>
        </w:rPr>
        <w:t>du</w:t>
      </w:r>
      <w:r w:rsidRPr="001C13D2">
        <w:rPr>
          <w:szCs w:val="24"/>
          <w:lang w:val="fr-FR"/>
        </w:rPr>
        <w:t xml:space="preserve"> contrôle du budget et </w:t>
      </w:r>
      <w:r>
        <w:rPr>
          <w:szCs w:val="24"/>
          <w:lang w:val="fr-FR"/>
        </w:rPr>
        <w:t>du</w:t>
      </w:r>
      <w:r w:rsidRPr="001C13D2">
        <w:rPr>
          <w:szCs w:val="24"/>
          <w:lang w:val="fr-FR"/>
        </w:rPr>
        <w:t xml:space="preserve"> suivi périodique. </w:t>
      </w:r>
      <w:r>
        <w:rPr>
          <w:szCs w:val="24"/>
          <w:lang w:val="fr-FR"/>
        </w:rPr>
        <w:t xml:space="preserve">En </w:t>
      </w:r>
      <w:r w:rsidRPr="001C13D2">
        <w:rPr>
          <w:szCs w:val="24"/>
          <w:lang w:val="fr-FR"/>
        </w:rPr>
        <w:t xml:space="preserve">dessous </w:t>
      </w:r>
      <w:r>
        <w:rPr>
          <w:szCs w:val="24"/>
          <w:lang w:val="fr-FR"/>
        </w:rPr>
        <w:t>du s</w:t>
      </w:r>
      <w:r w:rsidRPr="001C13D2">
        <w:rPr>
          <w:szCs w:val="24"/>
          <w:lang w:val="fr-FR"/>
        </w:rPr>
        <w:t xml:space="preserve">ecrétariat, le Comité villageois de développement </w:t>
      </w:r>
      <w:r>
        <w:rPr>
          <w:szCs w:val="24"/>
          <w:lang w:val="fr-FR"/>
        </w:rPr>
        <w:t>supervise le</w:t>
      </w:r>
      <w:r w:rsidRPr="001C13D2">
        <w:rPr>
          <w:szCs w:val="24"/>
          <w:lang w:val="fr-FR"/>
        </w:rPr>
        <w:t xml:space="preserve"> </w:t>
      </w:r>
      <w:r>
        <w:rPr>
          <w:szCs w:val="24"/>
          <w:lang w:val="fr-FR"/>
        </w:rPr>
        <w:t>c</w:t>
      </w:r>
      <w:r w:rsidRPr="001C13D2">
        <w:rPr>
          <w:szCs w:val="24"/>
          <w:lang w:val="fr-FR"/>
        </w:rPr>
        <w:t>omité communautaire de protection sociale</w:t>
      </w:r>
      <w:r>
        <w:rPr>
          <w:szCs w:val="24"/>
          <w:lang w:val="fr-FR"/>
        </w:rPr>
        <w:t>,</w:t>
      </w:r>
      <w:r w:rsidRPr="001C13D2">
        <w:rPr>
          <w:szCs w:val="24"/>
          <w:lang w:val="fr-FR"/>
        </w:rPr>
        <w:t xml:space="preserve"> et </w:t>
      </w:r>
      <w:r>
        <w:rPr>
          <w:szCs w:val="24"/>
          <w:lang w:val="fr-FR"/>
        </w:rPr>
        <w:t>ensemble, ils</w:t>
      </w:r>
      <w:r w:rsidRPr="001C13D2">
        <w:rPr>
          <w:szCs w:val="24"/>
          <w:lang w:val="fr-FR"/>
        </w:rPr>
        <w:t xml:space="preserve"> ciblent et </w:t>
      </w:r>
      <w:r>
        <w:rPr>
          <w:szCs w:val="24"/>
          <w:lang w:val="fr-FR"/>
        </w:rPr>
        <w:t>suivent</w:t>
      </w:r>
      <w:r w:rsidRPr="001C13D2">
        <w:rPr>
          <w:szCs w:val="24"/>
          <w:lang w:val="fr-FR"/>
        </w:rPr>
        <w:t xml:space="preserve"> les bénéficiaires (Schubert et Huijbregts 2006). Les équipes du </w:t>
      </w:r>
      <w:r>
        <w:rPr>
          <w:szCs w:val="24"/>
          <w:lang w:val="fr-FR"/>
        </w:rPr>
        <w:t>c</w:t>
      </w:r>
      <w:r w:rsidRPr="001C13D2">
        <w:rPr>
          <w:szCs w:val="24"/>
          <w:lang w:val="fr-FR"/>
        </w:rPr>
        <w:t>omité communautaire de protection sociale</w:t>
      </w:r>
      <w:r>
        <w:rPr>
          <w:szCs w:val="24"/>
          <w:lang w:val="fr-FR"/>
        </w:rPr>
        <w:t xml:space="preserve"> perçoivent</w:t>
      </w:r>
      <w:r w:rsidRPr="001C13D2">
        <w:rPr>
          <w:szCs w:val="24"/>
          <w:lang w:val="fr-FR"/>
        </w:rPr>
        <w:t xml:space="preserve"> une rémunération </w:t>
      </w:r>
      <w:r>
        <w:rPr>
          <w:szCs w:val="24"/>
          <w:lang w:val="fr-FR"/>
        </w:rPr>
        <w:t>pour</w:t>
      </w:r>
      <w:r w:rsidRPr="001C13D2">
        <w:rPr>
          <w:szCs w:val="24"/>
          <w:lang w:val="fr-FR"/>
        </w:rPr>
        <w:t xml:space="preserve"> certaines </w:t>
      </w:r>
      <w:r>
        <w:rPr>
          <w:szCs w:val="24"/>
          <w:lang w:val="fr-FR"/>
        </w:rPr>
        <w:t xml:space="preserve">des </w:t>
      </w:r>
      <w:r w:rsidRPr="001C13D2">
        <w:rPr>
          <w:szCs w:val="24"/>
          <w:lang w:val="fr-FR"/>
        </w:rPr>
        <w:t>activités qu’elles effectuent. (Schubert 2007b).</w:t>
      </w:r>
    </w:p>
    <w:p w:rsidR="004E3139" w:rsidRPr="001C13D2" w:rsidRDefault="004E3139" w:rsidP="004E3139">
      <w:pPr>
        <w:tabs>
          <w:tab w:val="clear" w:pos="709"/>
          <w:tab w:val="left" w:pos="284"/>
        </w:tabs>
        <w:rPr>
          <w:szCs w:val="24"/>
          <w:lang w:val="fr-FR"/>
        </w:rPr>
      </w:pPr>
      <w:r w:rsidRPr="001C13D2">
        <w:rPr>
          <w:szCs w:val="24"/>
          <w:lang w:val="fr-FR"/>
        </w:rPr>
        <w:t xml:space="preserve">Pour le pilote, l’UNICEF a fourni l’assistance technique, </w:t>
      </w:r>
      <w:r>
        <w:rPr>
          <w:szCs w:val="24"/>
          <w:lang w:val="fr-FR"/>
        </w:rPr>
        <w:t>soutenu</w:t>
      </w:r>
      <w:r w:rsidRPr="001C13D2">
        <w:rPr>
          <w:szCs w:val="24"/>
          <w:lang w:val="fr-FR"/>
        </w:rPr>
        <w:t xml:space="preserve"> l’organisation du programme, financé les transferts jusqu’en décembre 2006 et </w:t>
      </w:r>
      <w:r>
        <w:rPr>
          <w:szCs w:val="24"/>
          <w:lang w:val="fr-FR"/>
        </w:rPr>
        <w:t>appuyé</w:t>
      </w:r>
      <w:r w:rsidRPr="001C13D2">
        <w:rPr>
          <w:szCs w:val="24"/>
          <w:lang w:val="fr-FR"/>
        </w:rPr>
        <w:t xml:space="preserve"> </w:t>
      </w:r>
      <w:r>
        <w:rPr>
          <w:szCs w:val="24"/>
          <w:lang w:val="fr-FR"/>
        </w:rPr>
        <w:t>la défense des politiques</w:t>
      </w:r>
      <w:r w:rsidRPr="001C13D2">
        <w:rPr>
          <w:szCs w:val="24"/>
          <w:lang w:val="fr-FR"/>
        </w:rPr>
        <w:t xml:space="preserve"> et le renforcement des capacités au Malawi. Ceci comprenait le financement des visites de représentants des pouvoirs publics au Brésil et en Zambie, l’organisation d’ateliers et de visites </w:t>
      </w:r>
      <w:r>
        <w:rPr>
          <w:szCs w:val="24"/>
          <w:lang w:val="fr-FR"/>
        </w:rPr>
        <w:t>sur le</w:t>
      </w:r>
      <w:r w:rsidRPr="001C13D2">
        <w:rPr>
          <w:szCs w:val="24"/>
          <w:lang w:val="fr-FR"/>
        </w:rPr>
        <w:t xml:space="preserve"> terrain à Mchinji. Le financement supplémentaire pour l’expansion du programme en 2008 et 2009 a été fourni par la Commission nationale de lutte contre le SIDA à travers le Fonds mondial de lutte contre le SIDA, la tuberculose et le paludisme. Les contributions octroyées à l’expansion par le</w:t>
      </w:r>
      <w:r>
        <w:rPr>
          <w:szCs w:val="24"/>
          <w:lang w:val="fr-FR"/>
        </w:rPr>
        <w:t xml:space="preserve"> </w:t>
      </w:r>
      <w:r w:rsidRPr="001C13D2">
        <w:rPr>
          <w:szCs w:val="24"/>
          <w:lang w:val="fr-FR"/>
        </w:rPr>
        <w:t>Fonds mondial étaient d’environ 8,8 millions de dollars EU et les fonds de la Commission nationale de lutte contre le SIDA ont été utilisés puisqu’approximativement 70</w:t>
      </w:r>
      <w:r>
        <w:rPr>
          <w:szCs w:val="24"/>
          <w:lang w:val="fr-FR"/>
        </w:rPr>
        <w:t> </w:t>
      </w:r>
      <w:r w:rsidRPr="001C13D2">
        <w:rPr>
          <w:szCs w:val="24"/>
          <w:lang w:val="fr-FR"/>
        </w:rPr>
        <w:t xml:space="preserve">% des ménages bénéficiaires étaient affectés par le VIH/SIDA (Schubert 2007a). L’Union européenne a prévu de financer le S&amp;E externe. Le pays a </w:t>
      </w:r>
      <w:r>
        <w:rPr>
          <w:szCs w:val="24"/>
          <w:lang w:val="fr-FR"/>
        </w:rPr>
        <w:t>marqué son intérêt pour l’obtention</w:t>
      </w:r>
      <w:r w:rsidRPr="001C13D2">
        <w:rPr>
          <w:szCs w:val="24"/>
          <w:lang w:val="fr-FR"/>
        </w:rPr>
        <w:t xml:space="preserve"> d’autres fonds des partenaires au développement</w:t>
      </w:r>
      <w:r>
        <w:rPr>
          <w:szCs w:val="24"/>
          <w:lang w:val="fr-FR"/>
        </w:rPr>
        <w:t>,</w:t>
      </w:r>
      <w:r w:rsidRPr="001C13D2">
        <w:rPr>
          <w:szCs w:val="24"/>
          <w:lang w:val="fr-FR"/>
        </w:rPr>
        <w:t xml:space="preserve"> à travers un </w:t>
      </w:r>
      <w:r>
        <w:rPr>
          <w:szCs w:val="24"/>
          <w:lang w:val="fr-FR"/>
        </w:rPr>
        <w:t>panier</w:t>
      </w:r>
      <w:r w:rsidRPr="001C13D2">
        <w:rPr>
          <w:szCs w:val="24"/>
          <w:lang w:val="fr-FR"/>
        </w:rPr>
        <w:t xml:space="preserve"> commun de financement</w:t>
      </w:r>
      <w:r>
        <w:rPr>
          <w:szCs w:val="24"/>
          <w:lang w:val="fr-FR"/>
        </w:rPr>
        <w:t>,</w:t>
      </w:r>
      <w:r w:rsidRPr="001C13D2">
        <w:rPr>
          <w:szCs w:val="24"/>
          <w:lang w:val="fr-FR"/>
        </w:rPr>
        <w:t xml:space="preserve"> </w:t>
      </w:r>
      <w:r>
        <w:rPr>
          <w:szCs w:val="24"/>
          <w:lang w:val="fr-FR"/>
        </w:rPr>
        <w:t>dès</w:t>
      </w:r>
      <w:r w:rsidRPr="001C13D2">
        <w:rPr>
          <w:szCs w:val="24"/>
          <w:lang w:val="fr-FR"/>
        </w:rPr>
        <w:t xml:space="preserve"> que le Transfert social monétaire </w:t>
      </w:r>
      <w:r>
        <w:rPr>
          <w:szCs w:val="24"/>
          <w:lang w:val="fr-FR"/>
        </w:rPr>
        <w:t>aura</w:t>
      </w:r>
      <w:r w:rsidRPr="001C13D2">
        <w:rPr>
          <w:szCs w:val="24"/>
          <w:lang w:val="fr-FR"/>
        </w:rPr>
        <w:t xml:space="preserve"> été intégré dans la Stratégie nationale de protection sociale et </w:t>
      </w:r>
      <w:r>
        <w:rPr>
          <w:szCs w:val="24"/>
          <w:lang w:val="fr-FR"/>
        </w:rPr>
        <w:t>aura reçu</w:t>
      </w:r>
      <w:r w:rsidRPr="001C13D2">
        <w:rPr>
          <w:szCs w:val="24"/>
          <w:lang w:val="fr-FR"/>
        </w:rPr>
        <w:t xml:space="preserve"> l’appui total du Cabinet (Schubert et Huijbergts 2006). </w:t>
      </w:r>
      <w:r>
        <w:rPr>
          <w:szCs w:val="24"/>
          <w:lang w:val="fr-FR"/>
        </w:rPr>
        <w:t>L</w:t>
      </w:r>
      <w:r w:rsidRPr="001C13D2">
        <w:rPr>
          <w:szCs w:val="24"/>
          <w:lang w:val="fr-FR"/>
        </w:rPr>
        <w:t xml:space="preserve">es autres </w:t>
      </w:r>
      <w:r w:rsidR="005D6182">
        <w:rPr>
          <w:szCs w:val="24"/>
          <w:lang w:val="fr-FR"/>
        </w:rPr>
        <w:t>bailleurs de fond</w:t>
      </w:r>
      <w:r>
        <w:rPr>
          <w:szCs w:val="24"/>
          <w:lang w:val="fr-FR"/>
        </w:rPr>
        <w:t xml:space="preserve"> du</w:t>
      </w:r>
      <w:r w:rsidRPr="001C13D2">
        <w:rPr>
          <w:szCs w:val="24"/>
          <w:lang w:val="fr-FR"/>
        </w:rPr>
        <w:t xml:space="preserve"> financement commun </w:t>
      </w:r>
      <w:r>
        <w:rPr>
          <w:szCs w:val="24"/>
          <w:lang w:val="fr-FR"/>
        </w:rPr>
        <w:t>devaient être la</w:t>
      </w:r>
      <w:r w:rsidRPr="001C13D2">
        <w:rPr>
          <w:szCs w:val="24"/>
          <w:lang w:val="fr-FR"/>
        </w:rPr>
        <w:t xml:space="preserve"> Banque mondiale, le D</w:t>
      </w:r>
      <w:r>
        <w:rPr>
          <w:szCs w:val="24"/>
          <w:lang w:val="fr-FR"/>
        </w:rPr>
        <w:t>f</w:t>
      </w:r>
      <w:r w:rsidRPr="001C13D2">
        <w:rPr>
          <w:szCs w:val="24"/>
          <w:lang w:val="fr-FR"/>
        </w:rPr>
        <w:t xml:space="preserve">ID, </w:t>
      </w:r>
      <w:r>
        <w:rPr>
          <w:szCs w:val="24"/>
          <w:lang w:val="fr-FR"/>
        </w:rPr>
        <w:t>l’ACDI</w:t>
      </w:r>
      <w:r w:rsidRPr="001C13D2">
        <w:rPr>
          <w:szCs w:val="24"/>
          <w:lang w:val="fr-FR"/>
        </w:rPr>
        <w:t xml:space="preserve"> et </w:t>
      </w:r>
      <w:r>
        <w:rPr>
          <w:szCs w:val="24"/>
          <w:lang w:val="fr-FR"/>
        </w:rPr>
        <w:t xml:space="preserve">la </w:t>
      </w:r>
      <w:r w:rsidRPr="001C13D2">
        <w:rPr>
          <w:szCs w:val="24"/>
          <w:lang w:val="fr-FR"/>
        </w:rPr>
        <w:t xml:space="preserve">NORAD (Horvath et </w:t>
      </w:r>
      <w:r>
        <w:rPr>
          <w:szCs w:val="24"/>
          <w:lang w:val="fr-FR"/>
        </w:rPr>
        <w:t>col</w:t>
      </w:r>
      <w:r w:rsidRPr="001C13D2">
        <w:rPr>
          <w:szCs w:val="24"/>
          <w:lang w:val="fr-FR"/>
        </w:rPr>
        <w:t>l. 2008).</w:t>
      </w:r>
    </w:p>
    <w:p w:rsidR="004E3139" w:rsidRPr="001C13D2" w:rsidRDefault="004E3139" w:rsidP="004E3139">
      <w:pPr>
        <w:widowControl w:val="0"/>
        <w:rPr>
          <w:i/>
          <w:szCs w:val="24"/>
          <w:lang w:val="fr-FR"/>
        </w:rPr>
      </w:pPr>
      <w:r w:rsidRPr="008B13A4">
        <w:rPr>
          <w:i/>
          <w:szCs w:val="24"/>
          <w:lang w:val="fr-FR"/>
        </w:rPr>
        <w:t xml:space="preserve">Défis de la </w:t>
      </w:r>
      <w:r>
        <w:rPr>
          <w:i/>
          <w:szCs w:val="24"/>
          <w:lang w:val="fr-FR"/>
        </w:rPr>
        <w:t>conception</w:t>
      </w:r>
      <w:r w:rsidRPr="008B13A4">
        <w:rPr>
          <w:i/>
          <w:szCs w:val="24"/>
          <w:lang w:val="fr-FR"/>
        </w:rPr>
        <w:t xml:space="preserve"> d</w:t>
      </w:r>
      <w:r>
        <w:rPr>
          <w:i/>
          <w:szCs w:val="24"/>
          <w:lang w:val="fr-FR"/>
        </w:rPr>
        <w:t>e l</w:t>
      </w:r>
      <w:r w:rsidRPr="008B13A4">
        <w:rPr>
          <w:i/>
          <w:szCs w:val="24"/>
          <w:lang w:val="fr-FR"/>
        </w:rPr>
        <w:t>’évaluation</w:t>
      </w:r>
      <w:r w:rsidRPr="001C13D2">
        <w:rPr>
          <w:i/>
          <w:szCs w:val="24"/>
          <w:lang w:val="fr-FR"/>
        </w:rPr>
        <w:t xml:space="preserve"> </w:t>
      </w:r>
    </w:p>
    <w:p w:rsidR="004E3139" w:rsidRPr="001C13D2" w:rsidRDefault="004E3139" w:rsidP="004E3139">
      <w:pPr>
        <w:tabs>
          <w:tab w:val="clear" w:pos="709"/>
          <w:tab w:val="left" w:pos="284"/>
        </w:tabs>
        <w:rPr>
          <w:szCs w:val="24"/>
          <w:lang w:val="fr-FR"/>
        </w:rPr>
      </w:pPr>
      <w:r w:rsidRPr="001C13D2">
        <w:rPr>
          <w:szCs w:val="24"/>
          <w:lang w:val="fr-FR"/>
        </w:rPr>
        <w:t xml:space="preserve">Le suivi interne est </w:t>
      </w:r>
      <w:r>
        <w:rPr>
          <w:szCs w:val="24"/>
          <w:lang w:val="fr-FR"/>
        </w:rPr>
        <w:t>effectué</w:t>
      </w:r>
      <w:r w:rsidRPr="001C13D2">
        <w:rPr>
          <w:szCs w:val="24"/>
          <w:lang w:val="fr-FR"/>
        </w:rPr>
        <w:t xml:space="preserve"> </w:t>
      </w:r>
      <w:r>
        <w:rPr>
          <w:szCs w:val="24"/>
          <w:lang w:val="fr-FR"/>
        </w:rPr>
        <w:t>à travers</w:t>
      </w:r>
      <w:r w:rsidRPr="001C13D2">
        <w:rPr>
          <w:szCs w:val="24"/>
          <w:lang w:val="fr-FR"/>
        </w:rPr>
        <w:t xml:space="preserve"> la production de rapports mensuels sur les coûts, les activités, les résultats, et autres. L’UNICEF et l’USAID financent un programme conjoint d’évaluation externe conduit par l’Université de Boston et le Centre de recherche sociale </w:t>
      </w:r>
      <w:r>
        <w:rPr>
          <w:szCs w:val="24"/>
          <w:lang w:val="fr-FR"/>
        </w:rPr>
        <w:t>du</w:t>
      </w:r>
      <w:r w:rsidRPr="001C13D2">
        <w:rPr>
          <w:szCs w:val="24"/>
          <w:lang w:val="fr-FR"/>
        </w:rPr>
        <w:t xml:space="preserve"> Malawi (Miller et </w:t>
      </w:r>
      <w:r>
        <w:rPr>
          <w:szCs w:val="24"/>
          <w:lang w:val="fr-FR"/>
        </w:rPr>
        <w:t>col</w:t>
      </w:r>
      <w:r w:rsidRPr="001C13D2">
        <w:rPr>
          <w:szCs w:val="24"/>
          <w:lang w:val="fr-FR"/>
        </w:rPr>
        <w:t>l. 2008). Les évaluations du ciblage ont été effectuées en mars et juin 2007 et une évaluation des systèmes en octobre 2007. L’enquête de référence auprès des ménages a été conduite dans les groupes villageois de traitement et témoins en mars 2007</w:t>
      </w:r>
      <w:r>
        <w:rPr>
          <w:szCs w:val="24"/>
          <w:lang w:val="fr-FR"/>
        </w:rPr>
        <w:t>,</w:t>
      </w:r>
      <w:r w:rsidRPr="001C13D2">
        <w:rPr>
          <w:szCs w:val="24"/>
          <w:lang w:val="fr-FR"/>
        </w:rPr>
        <w:t xml:space="preserve"> avant que les ménages </w:t>
      </w:r>
      <w:r>
        <w:rPr>
          <w:szCs w:val="24"/>
          <w:lang w:val="fr-FR"/>
        </w:rPr>
        <w:t xml:space="preserve">du groupe </w:t>
      </w:r>
      <w:r w:rsidRPr="001C13D2">
        <w:rPr>
          <w:szCs w:val="24"/>
          <w:lang w:val="fr-FR"/>
        </w:rPr>
        <w:t>de traitement reçoivent une subvention. Des enquêtes de suivi ont été</w:t>
      </w:r>
      <w:r>
        <w:rPr>
          <w:szCs w:val="24"/>
          <w:lang w:val="fr-FR"/>
        </w:rPr>
        <w:t xml:space="preserve"> </w:t>
      </w:r>
      <w:r w:rsidRPr="001C13D2">
        <w:rPr>
          <w:szCs w:val="24"/>
          <w:lang w:val="fr-FR"/>
        </w:rPr>
        <w:t xml:space="preserve">effectuées en août-septembre 2007 et mars 2008 et les données qualitatives </w:t>
      </w:r>
      <w:r>
        <w:rPr>
          <w:szCs w:val="24"/>
          <w:lang w:val="fr-FR"/>
        </w:rPr>
        <w:t xml:space="preserve">ont été </w:t>
      </w:r>
      <w:r w:rsidRPr="001C13D2">
        <w:rPr>
          <w:szCs w:val="24"/>
          <w:lang w:val="fr-FR"/>
        </w:rPr>
        <w:t xml:space="preserve">saisies en octobre-novembre 2007. Il semble, cependant, que les méthodes expérimentales </w:t>
      </w:r>
      <w:r>
        <w:rPr>
          <w:szCs w:val="24"/>
          <w:lang w:val="fr-FR"/>
        </w:rPr>
        <w:t>aient</w:t>
      </w:r>
      <w:r w:rsidRPr="001C13D2">
        <w:rPr>
          <w:szCs w:val="24"/>
          <w:lang w:val="fr-FR"/>
        </w:rPr>
        <w:t xml:space="preserve"> été compromises au cours de l’évaluation. Le </w:t>
      </w:r>
      <w:r>
        <w:rPr>
          <w:szCs w:val="24"/>
          <w:lang w:val="fr-FR"/>
        </w:rPr>
        <w:t>s</w:t>
      </w:r>
      <w:r w:rsidRPr="001C13D2">
        <w:rPr>
          <w:szCs w:val="24"/>
          <w:lang w:val="fr-FR"/>
        </w:rPr>
        <w:t xml:space="preserve">ecrétariat du district de Mchinji a choisi les groupes villageois </w:t>
      </w:r>
      <w:r>
        <w:rPr>
          <w:szCs w:val="24"/>
          <w:lang w:val="fr-FR"/>
        </w:rPr>
        <w:t>constituant les</w:t>
      </w:r>
      <w:r w:rsidRPr="001C13D2">
        <w:rPr>
          <w:szCs w:val="24"/>
          <w:lang w:val="fr-FR"/>
        </w:rPr>
        <w:t xml:space="preserve"> groupes de traitement et témoins, les ménages de traitement et témoins </w:t>
      </w:r>
      <w:r>
        <w:rPr>
          <w:szCs w:val="24"/>
          <w:lang w:val="fr-FR"/>
        </w:rPr>
        <w:t>ont été</w:t>
      </w:r>
      <w:r w:rsidRPr="001C13D2">
        <w:rPr>
          <w:szCs w:val="24"/>
          <w:lang w:val="fr-FR"/>
        </w:rPr>
        <w:t xml:space="preserve"> sélectionnés </w:t>
      </w:r>
      <w:r>
        <w:rPr>
          <w:szCs w:val="24"/>
          <w:lang w:val="fr-FR"/>
        </w:rPr>
        <w:t>en appliquant</w:t>
      </w:r>
      <w:r w:rsidRPr="001C13D2">
        <w:rPr>
          <w:szCs w:val="24"/>
          <w:lang w:val="fr-FR"/>
        </w:rPr>
        <w:t xml:space="preserve"> les méthodes de ciblage communautaires</w:t>
      </w:r>
      <w:r>
        <w:rPr>
          <w:szCs w:val="24"/>
          <w:lang w:val="fr-FR"/>
        </w:rPr>
        <w:t>,</w:t>
      </w:r>
      <w:r w:rsidRPr="001C13D2">
        <w:rPr>
          <w:szCs w:val="24"/>
          <w:lang w:val="fr-FR"/>
        </w:rPr>
        <w:t xml:space="preserve"> et les ménages témoins n’</w:t>
      </w:r>
      <w:r>
        <w:rPr>
          <w:szCs w:val="24"/>
          <w:lang w:val="fr-FR"/>
        </w:rPr>
        <w:t>ont</w:t>
      </w:r>
      <w:r w:rsidRPr="001C13D2">
        <w:rPr>
          <w:szCs w:val="24"/>
          <w:lang w:val="fr-FR"/>
        </w:rPr>
        <w:t xml:space="preserve"> pas compris que la recherche n’avait rien à voir avec </w:t>
      </w:r>
      <w:r>
        <w:rPr>
          <w:szCs w:val="24"/>
          <w:lang w:val="fr-FR"/>
        </w:rPr>
        <w:t>la réception de la subvention</w:t>
      </w:r>
      <w:r w:rsidRPr="001C13D2">
        <w:rPr>
          <w:szCs w:val="24"/>
          <w:lang w:val="fr-FR"/>
        </w:rPr>
        <w:t>.</w:t>
      </w:r>
    </w:p>
    <w:p w:rsidR="004E3139" w:rsidRPr="001C13D2" w:rsidRDefault="004E3139" w:rsidP="004E3139">
      <w:pPr>
        <w:keepNext/>
        <w:keepLines/>
        <w:rPr>
          <w:i/>
          <w:szCs w:val="24"/>
          <w:lang w:val="fr-FR"/>
        </w:rPr>
      </w:pPr>
      <w:r w:rsidRPr="001C13D2">
        <w:rPr>
          <w:i/>
          <w:szCs w:val="24"/>
          <w:lang w:val="fr-FR"/>
        </w:rPr>
        <w:t>Enseignements tirés</w:t>
      </w:r>
    </w:p>
    <w:p w:rsidR="004E3139" w:rsidRPr="001C13D2" w:rsidRDefault="004E3139" w:rsidP="004E3139">
      <w:pPr>
        <w:keepNext/>
        <w:keepLines/>
        <w:tabs>
          <w:tab w:val="clear" w:pos="709"/>
          <w:tab w:val="left" w:pos="284"/>
        </w:tabs>
        <w:rPr>
          <w:szCs w:val="24"/>
          <w:lang w:val="fr-FR"/>
        </w:rPr>
      </w:pPr>
      <w:r w:rsidRPr="001C13D2">
        <w:rPr>
          <w:szCs w:val="24"/>
          <w:lang w:val="fr-FR"/>
        </w:rPr>
        <w:t xml:space="preserve">L’évaluation du ciblage du </w:t>
      </w:r>
      <w:r>
        <w:rPr>
          <w:szCs w:val="24"/>
          <w:lang w:val="fr-FR"/>
        </w:rPr>
        <w:t>p</w:t>
      </w:r>
      <w:r w:rsidRPr="001C13D2">
        <w:rPr>
          <w:szCs w:val="24"/>
          <w:lang w:val="fr-FR"/>
        </w:rPr>
        <w:t>rogramme de Mchinji a révélé un grand besoin d’amélioration</w:t>
      </w:r>
      <w:r>
        <w:rPr>
          <w:szCs w:val="24"/>
          <w:lang w:val="fr-FR"/>
        </w:rPr>
        <w:t xml:space="preserve">. </w:t>
      </w:r>
    </w:p>
    <w:p w:rsidR="004E3139" w:rsidRPr="001C13D2" w:rsidRDefault="004E3139" w:rsidP="00E52A30">
      <w:pPr>
        <w:numPr>
          <w:ilvl w:val="0"/>
          <w:numId w:val="9"/>
        </w:numPr>
        <w:tabs>
          <w:tab w:val="clear" w:pos="709"/>
          <w:tab w:val="left" w:pos="284"/>
        </w:tabs>
        <w:ind w:left="284" w:hanging="284"/>
        <w:rPr>
          <w:szCs w:val="24"/>
          <w:lang w:val="fr-FR"/>
        </w:rPr>
      </w:pPr>
      <w:r w:rsidRPr="001C13D2">
        <w:rPr>
          <w:szCs w:val="24"/>
          <w:lang w:val="fr-FR"/>
        </w:rPr>
        <w:t xml:space="preserve">Près d’un tiers des membres de la communauté des zones du programme ont trouvé que le ciblage n’était pas juste. L’évaluation a suggéré que des indicateurs moins subjectifs soient utilisés pour déterminer les bénéficiaires du programme : le ciblage devrait être plus objectif, normalisé et transparent (Miller et </w:t>
      </w:r>
      <w:r>
        <w:rPr>
          <w:szCs w:val="24"/>
          <w:lang w:val="fr-FR"/>
        </w:rPr>
        <w:t>col</w:t>
      </w:r>
      <w:r w:rsidRPr="001C13D2">
        <w:rPr>
          <w:szCs w:val="24"/>
          <w:lang w:val="fr-FR"/>
        </w:rPr>
        <w:t xml:space="preserve">l. 2008). </w:t>
      </w:r>
      <w:r>
        <w:rPr>
          <w:szCs w:val="24"/>
          <w:lang w:val="fr-FR"/>
        </w:rPr>
        <w:t>Suivant</w:t>
      </w:r>
      <w:r w:rsidRPr="001C13D2">
        <w:rPr>
          <w:szCs w:val="24"/>
          <w:lang w:val="fr-FR"/>
        </w:rPr>
        <w:t xml:space="preserve"> leur définition d</w:t>
      </w:r>
      <w:r>
        <w:rPr>
          <w:szCs w:val="24"/>
          <w:lang w:val="fr-FR"/>
        </w:rPr>
        <w:t>e l</w:t>
      </w:r>
      <w:r w:rsidRPr="001C13D2">
        <w:rPr>
          <w:szCs w:val="24"/>
          <w:lang w:val="fr-FR"/>
        </w:rPr>
        <w:t xml:space="preserve">’éligibilité, les erreurs d’exclusion </w:t>
      </w:r>
      <w:r>
        <w:rPr>
          <w:szCs w:val="24"/>
          <w:lang w:val="fr-FR"/>
        </w:rPr>
        <w:t>commises dans</w:t>
      </w:r>
      <w:r w:rsidRPr="001C13D2">
        <w:rPr>
          <w:szCs w:val="24"/>
          <w:lang w:val="fr-FR"/>
        </w:rPr>
        <w:t xml:space="preserve"> les communautés variaient de 37 à 68</w:t>
      </w:r>
      <w:r>
        <w:rPr>
          <w:szCs w:val="24"/>
          <w:lang w:val="fr-FR"/>
        </w:rPr>
        <w:t> </w:t>
      </w:r>
      <w:r w:rsidRPr="001C13D2">
        <w:rPr>
          <w:szCs w:val="24"/>
          <w:lang w:val="fr-FR"/>
        </w:rPr>
        <w:t xml:space="preserve">%. </w:t>
      </w:r>
    </w:p>
    <w:p w:rsidR="004E3139" w:rsidRPr="001C13D2" w:rsidRDefault="004E3139" w:rsidP="00E52A30">
      <w:pPr>
        <w:numPr>
          <w:ilvl w:val="0"/>
          <w:numId w:val="9"/>
        </w:numPr>
        <w:tabs>
          <w:tab w:val="clear" w:pos="709"/>
          <w:tab w:val="left" w:pos="284"/>
        </w:tabs>
        <w:ind w:left="284" w:hanging="284"/>
        <w:rPr>
          <w:szCs w:val="24"/>
          <w:lang w:val="fr-FR"/>
        </w:rPr>
      </w:pPr>
      <w:r w:rsidRPr="001C13D2">
        <w:rPr>
          <w:szCs w:val="24"/>
          <w:lang w:val="fr-FR"/>
        </w:rPr>
        <w:t>La consommation alimentaire des bénéficiaires et leur diversité se sont améliorées par rapport au groupe témoin. De plus, la santé des enfants et des adultes s’est améliorée</w:t>
      </w:r>
      <w:r>
        <w:rPr>
          <w:szCs w:val="24"/>
          <w:lang w:val="fr-FR"/>
        </w:rPr>
        <w:t>,</w:t>
      </w:r>
      <w:r w:rsidRPr="001C13D2">
        <w:rPr>
          <w:szCs w:val="24"/>
          <w:lang w:val="fr-FR"/>
        </w:rPr>
        <w:t xml:space="preserve"> et la fréquentation scolaire et la capacité </w:t>
      </w:r>
      <w:r>
        <w:rPr>
          <w:szCs w:val="24"/>
          <w:lang w:val="fr-FR"/>
        </w:rPr>
        <w:t>d’apprentissage</w:t>
      </w:r>
      <w:r w:rsidRPr="001C13D2">
        <w:rPr>
          <w:szCs w:val="24"/>
          <w:lang w:val="fr-FR"/>
        </w:rPr>
        <w:t xml:space="preserve"> des enfants rapportées </w:t>
      </w:r>
      <w:r>
        <w:rPr>
          <w:szCs w:val="24"/>
          <w:lang w:val="fr-FR"/>
        </w:rPr>
        <w:t xml:space="preserve">par eux-mêmes </w:t>
      </w:r>
      <w:r w:rsidRPr="001C13D2">
        <w:rPr>
          <w:szCs w:val="24"/>
          <w:lang w:val="fr-FR"/>
        </w:rPr>
        <w:t xml:space="preserve">auraient augmenté. </w:t>
      </w:r>
      <w:r>
        <w:rPr>
          <w:szCs w:val="24"/>
          <w:lang w:val="fr-FR"/>
        </w:rPr>
        <w:t>Le travail des enfants</w:t>
      </w:r>
      <w:r w:rsidRPr="001C13D2">
        <w:rPr>
          <w:szCs w:val="24"/>
          <w:lang w:val="fr-FR"/>
        </w:rPr>
        <w:t xml:space="preserve"> a considérablement baissé dans les groupes de traitement alors qu’</w:t>
      </w:r>
      <w:r>
        <w:rPr>
          <w:szCs w:val="24"/>
          <w:lang w:val="fr-FR"/>
        </w:rPr>
        <w:t>il</w:t>
      </w:r>
      <w:r w:rsidRPr="001C13D2">
        <w:rPr>
          <w:szCs w:val="24"/>
          <w:lang w:val="fr-FR"/>
        </w:rPr>
        <w:t xml:space="preserve"> n’a pas changé dans les groupes témoins. L’évaluation a également conclu que la productivité des ménages avait augmenté </w:t>
      </w:r>
      <w:r>
        <w:rPr>
          <w:szCs w:val="24"/>
          <w:lang w:val="fr-FR"/>
        </w:rPr>
        <w:t>depuis</w:t>
      </w:r>
      <w:r w:rsidRPr="001C13D2">
        <w:rPr>
          <w:szCs w:val="24"/>
          <w:lang w:val="fr-FR"/>
        </w:rPr>
        <w:t xml:space="preserve"> la réception des transferts.</w:t>
      </w:r>
    </w:p>
    <w:p w:rsidR="004E3139" w:rsidRPr="001C13D2" w:rsidRDefault="004E3139" w:rsidP="00E52A30">
      <w:pPr>
        <w:numPr>
          <w:ilvl w:val="0"/>
          <w:numId w:val="9"/>
        </w:numPr>
        <w:tabs>
          <w:tab w:val="clear" w:pos="709"/>
          <w:tab w:val="left" w:pos="284"/>
        </w:tabs>
        <w:ind w:left="284" w:hanging="284"/>
        <w:rPr>
          <w:szCs w:val="24"/>
          <w:lang w:val="fr-FR"/>
        </w:rPr>
      </w:pPr>
      <w:r w:rsidRPr="001C13D2">
        <w:rPr>
          <w:szCs w:val="24"/>
          <w:lang w:val="fr-FR"/>
        </w:rPr>
        <w:t>Le coût prévu pour l’expansion du programme à 273</w:t>
      </w:r>
      <w:r>
        <w:rPr>
          <w:szCs w:val="24"/>
          <w:lang w:val="fr-FR"/>
        </w:rPr>
        <w:t> </w:t>
      </w:r>
      <w:r w:rsidRPr="001C13D2">
        <w:rPr>
          <w:szCs w:val="24"/>
          <w:lang w:val="fr-FR"/>
        </w:rPr>
        <w:t xml:space="preserve">000 ménages </w:t>
      </w:r>
      <w:r>
        <w:rPr>
          <w:szCs w:val="24"/>
          <w:lang w:val="fr-FR"/>
        </w:rPr>
        <w:t xml:space="preserve">à travers le pays </w:t>
      </w:r>
      <w:r w:rsidRPr="001C13D2">
        <w:rPr>
          <w:szCs w:val="24"/>
          <w:lang w:val="fr-FR"/>
        </w:rPr>
        <w:t>(1,2 millions d’individus dont 60</w:t>
      </w:r>
      <w:r>
        <w:rPr>
          <w:szCs w:val="24"/>
          <w:lang w:val="fr-FR"/>
        </w:rPr>
        <w:t> </w:t>
      </w:r>
      <w:r w:rsidRPr="001C13D2">
        <w:rPr>
          <w:szCs w:val="24"/>
          <w:lang w:val="fr-FR"/>
        </w:rPr>
        <w:t xml:space="preserve">% </w:t>
      </w:r>
      <w:r>
        <w:rPr>
          <w:szCs w:val="24"/>
          <w:lang w:val="fr-FR"/>
        </w:rPr>
        <w:t>devraient être</w:t>
      </w:r>
      <w:r w:rsidRPr="001C13D2">
        <w:rPr>
          <w:szCs w:val="24"/>
          <w:lang w:val="fr-FR"/>
        </w:rPr>
        <w:t xml:space="preserve"> des OEV) est d’environ 55 millions de dollars EU par an ou 1,4</w:t>
      </w:r>
      <w:r>
        <w:rPr>
          <w:szCs w:val="24"/>
          <w:lang w:val="fr-FR"/>
        </w:rPr>
        <w:t> </w:t>
      </w:r>
      <w:r w:rsidRPr="001C13D2">
        <w:rPr>
          <w:szCs w:val="24"/>
          <w:lang w:val="fr-FR"/>
        </w:rPr>
        <w:t xml:space="preserve">% du PIB (Schubert 2009). En juin 2007, </w:t>
      </w:r>
      <w:r>
        <w:rPr>
          <w:szCs w:val="24"/>
          <w:lang w:val="fr-FR"/>
        </w:rPr>
        <w:t xml:space="preserve">la mise en œuvre </w:t>
      </w:r>
      <w:r w:rsidRPr="001C13D2">
        <w:rPr>
          <w:szCs w:val="24"/>
          <w:lang w:val="fr-FR"/>
        </w:rPr>
        <w:t>des transferts a coûté moins que 2,2</w:t>
      </w:r>
      <w:r>
        <w:rPr>
          <w:szCs w:val="24"/>
          <w:lang w:val="fr-FR"/>
        </w:rPr>
        <w:t> </w:t>
      </w:r>
      <w:r w:rsidRPr="001C13D2">
        <w:rPr>
          <w:szCs w:val="24"/>
          <w:lang w:val="fr-FR"/>
        </w:rPr>
        <w:t xml:space="preserve">% des coûts du programme et les couts administratifs </w:t>
      </w:r>
      <w:r>
        <w:rPr>
          <w:szCs w:val="24"/>
          <w:lang w:val="fr-FR"/>
        </w:rPr>
        <w:t>atteignaient</w:t>
      </w:r>
      <w:r w:rsidRPr="001C13D2">
        <w:rPr>
          <w:szCs w:val="24"/>
          <w:lang w:val="fr-FR"/>
        </w:rPr>
        <w:t xml:space="preserve"> moins </w:t>
      </w:r>
      <w:r>
        <w:rPr>
          <w:szCs w:val="24"/>
          <w:lang w:val="fr-FR"/>
        </w:rPr>
        <w:t>de</w:t>
      </w:r>
      <w:r w:rsidRPr="001C13D2">
        <w:rPr>
          <w:szCs w:val="24"/>
          <w:lang w:val="fr-FR"/>
        </w:rPr>
        <w:t xml:space="preserve"> 15</w:t>
      </w:r>
      <w:r>
        <w:rPr>
          <w:szCs w:val="24"/>
          <w:lang w:val="fr-FR"/>
        </w:rPr>
        <w:t> </w:t>
      </w:r>
      <w:r w:rsidRPr="001C13D2">
        <w:rPr>
          <w:szCs w:val="24"/>
          <w:lang w:val="fr-FR"/>
        </w:rPr>
        <w:t xml:space="preserve">% des mêmes coûts (Horvath et </w:t>
      </w:r>
      <w:r>
        <w:rPr>
          <w:szCs w:val="24"/>
          <w:lang w:val="fr-FR"/>
        </w:rPr>
        <w:t>col</w:t>
      </w:r>
      <w:r w:rsidRPr="001C13D2">
        <w:rPr>
          <w:szCs w:val="24"/>
          <w:lang w:val="fr-FR"/>
        </w:rPr>
        <w:t>l. 2008).</w:t>
      </w:r>
    </w:p>
    <w:p w:rsidR="004E3139" w:rsidRPr="001C13D2" w:rsidRDefault="004E3139" w:rsidP="00E52A30">
      <w:pPr>
        <w:numPr>
          <w:ilvl w:val="0"/>
          <w:numId w:val="9"/>
        </w:numPr>
        <w:tabs>
          <w:tab w:val="clear" w:pos="709"/>
          <w:tab w:val="left" w:pos="284"/>
        </w:tabs>
        <w:ind w:left="284" w:hanging="284"/>
        <w:rPr>
          <w:szCs w:val="24"/>
          <w:lang w:val="fr-FR"/>
        </w:rPr>
      </w:pPr>
      <w:r w:rsidRPr="001C13D2">
        <w:rPr>
          <w:szCs w:val="24"/>
          <w:lang w:val="fr-FR"/>
        </w:rPr>
        <w:t xml:space="preserve">Le programme a </w:t>
      </w:r>
      <w:r>
        <w:rPr>
          <w:szCs w:val="24"/>
          <w:lang w:val="fr-FR"/>
        </w:rPr>
        <w:t xml:space="preserve">été </w:t>
      </w:r>
      <w:r w:rsidRPr="001C13D2">
        <w:rPr>
          <w:szCs w:val="24"/>
          <w:lang w:val="fr-FR"/>
        </w:rPr>
        <w:t xml:space="preserve">confronté </w:t>
      </w:r>
      <w:r>
        <w:rPr>
          <w:szCs w:val="24"/>
          <w:lang w:val="fr-FR"/>
        </w:rPr>
        <w:t xml:space="preserve">à </w:t>
      </w:r>
      <w:r w:rsidRPr="001C13D2">
        <w:rPr>
          <w:szCs w:val="24"/>
          <w:lang w:val="fr-FR"/>
        </w:rPr>
        <w:t>des défis importants, notamment</w:t>
      </w:r>
      <w:r>
        <w:rPr>
          <w:szCs w:val="24"/>
          <w:lang w:val="fr-FR"/>
        </w:rPr>
        <w:t> :</w:t>
      </w:r>
      <w:r w:rsidRPr="001C13D2">
        <w:rPr>
          <w:szCs w:val="24"/>
          <w:lang w:val="fr-FR"/>
        </w:rPr>
        <w:t xml:space="preserve"> i) le besoin d’un personnel de district plus nombreux et mieux formé</w:t>
      </w:r>
      <w:r>
        <w:rPr>
          <w:szCs w:val="24"/>
          <w:lang w:val="fr-FR"/>
        </w:rPr>
        <w:t> </w:t>
      </w:r>
      <w:r w:rsidRPr="001C13D2">
        <w:rPr>
          <w:szCs w:val="24"/>
          <w:lang w:val="fr-FR"/>
        </w:rPr>
        <w:t xml:space="preserve">; ii) les </w:t>
      </w:r>
      <w:r>
        <w:rPr>
          <w:szCs w:val="24"/>
          <w:lang w:val="fr-FR"/>
        </w:rPr>
        <w:t xml:space="preserve">préoccupations permanentes liées à </w:t>
      </w:r>
      <w:r w:rsidRPr="001C13D2">
        <w:rPr>
          <w:szCs w:val="24"/>
          <w:lang w:val="fr-FR"/>
        </w:rPr>
        <w:t xml:space="preserve">la dépendance des ménages et </w:t>
      </w:r>
      <w:r>
        <w:rPr>
          <w:szCs w:val="24"/>
          <w:lang w:val="fr-FR"/>
        </w:rPr>
        <w:t>à</w:t>
      </w:r>
      <w:r w:rsidRPr="001C13D2">
        <w:rPr>
          <w:szCs w:val="24"/>
          <w:lang w:val="fr-FR"/>
        </w:rPr>
        <w:t xml:space="preserve"> la corruption au sein du programme (Chipeta et Mwamlima 2007)</w:t>
      </w:r>
      <w:r>
        <w:rPr>
          <w:szCs w:val="24"/>
          <w:lang w:val="fr-FR"/>
        </w:rPr>
        <w:t> </w:t>
      </w:r>
      <w:r w:rsidRPr="001C13D2">
        <w:rPr>
          <w:szCs w:val="24"/>
          <w:lang w:val="fr-FR"/>
        </w:rPr>
        <w:t xml:space="preserve">; iii) </w:t>
      </w:r>
      <w:r>
        <w:rPr>
          <w:szCs w:val="24"/>
          <w:lang w:val="fr-FR"/>
        </w:rPr>
        <w:t xml:space="preserve">le taux de rotation élevé </w:t>
      </w:r>
      <w:r w:rsidRPr="001C13D2">
        <w:rPr>
          <w:szCs w:val="24"/>
          <w:lang w:val="fr-FR"/>
        </w:rPr>
        <w:t>des fonctionnaires</w:t>
      </w:r>
      <w:r>
        <w:rPr>
          <w:szCs w:val="24"/>
          <w:lang w:val="fr-FR"/>
        </w:rPr>
        <w:t> </w:t>
      </w:r>
      <w:r w:rsidRPr="001C13D2">
        <w:rPr>
          <w:szCs w:val="24"/>
          <w:lang w:val="fr-FR"/>
        </w:rPr>
        <w:t xml:space="preserve">; iv) le besoin de </w:t>
      </w:r>
      <w:r>
        <w:rPr>
          <w:szCs w:val="24"/>
          <w:lang w:val="fr-FR"/>
        </w:rPr>
        <w:t xml:space="preserve">meilleurs </w:t>
      </w:r>
      <w:r w:rsidRPr="001C13D2">
        <w:rPr>
          <w:szCs w:val="24"/>
          <w:lang w:val="fr-FR"/>
        </w:rPr>
        <w:t>mécanismes de financement pour le transfert de fonds à hauts niveaux</w:t>
      </w:r>
      <w:r>
        <w:rPr>
          <w:szCs w:val="24"/>
          <w:lang w:val="fr-FR"/>
        </w:rPr>
        <w:t>,</w:t>
      </w:r>
      <w:r w:rsidRPr="001C13D2">
        <w:rPr>
          <w:szCs w:val="24"/>
          <w:lang w:val="fr-FR"/>
        </w:rPr>
        <w:t xml:space="preserve"> et un système </w:t>
      </w:r>
      <w:r w:rsidRPr="00E03DCF">
        <w:rPr>
          <w:iCs/>
          <w:szCs w:val="24"/>
          <w:lang w:val="fr-FR"/>
        </w:rPr>
        <w:t>SIG</w:t>
      </w:r>
      <w:r w:rsidRPr="001C13D2">
        <w:rPr>
          <w:szCs w:val="24"/>
          <w:lang w:val="fr-FR"/>
        </w:rPr>
        <w:t xml:space="preserve"> amélioré pour </w:t>
      </w:r>
      <w:r>
        <w:rPr>
          <w:szCs w:val="24"/>
          <w:lang w:val="fr-FR"/>
        </w:rPr>
        <w:t>la consolidation des</w:t>
      </w:r>
      <w:r w:rsidRPr="001C13D2">
        <w:rPr>
          <w:szCs w:val="24"/>
          <w:lang w:val="fr-FR"/>
        </w:rPr>
        <w:t xml:space="preserve"> données au</w:t>
      </w:r>
      <w:r>
        <w:rPr>
          <w:szCs w:val="24"/>
          <w:lang w:val="fr-FR"/>
        </w:rPr>
        <w:t>x</w:t>
      </w:r>
      <w:r w:rsidRPr="001C13D2">
        <w:rPr>
          <w:szCs w:val="24"/>
          <w:lang w:val="fr-FR"/>
        </w:rPr>
        <w:t xml:space="preserve"> niveau</w:t>
      </w:r>
      <w:r>
        <w:rPr>
          <w:szCs w:val="24"/>
          <w:lang w:val="fr-FR"/>
        </w:rPr>
        <w:t>x</w:t>
      </w:r>
      <w:r w:rsidRPr="001C13D2">
        <w:rPr>
          <w:szCs w:val="24"/>
          <w:lang w:val="fr-FR"/>
        </w:rPr>
        <w:t xml:space="preserve"> du district </w:t>
      </w:r>
      <w:r>
        <w:rPr>
          <w:szCs w:val="24"/>
          <w:lang w:val="fr-FR"/>
        </w:rPr>
        <w:t xml:space="preserve">et </w:t>
      </w:r>
      <w:r w:rsidRPr="001C13D2">
        <w:rPr>
          <w:szCs w:val="24"/>
          <w:lang w:val="fr-FR"/>
        </w:rPr>
        <w:t>national</w:t>
      </w:r>
      <w:r>
        <w:rPr>
          <w:szCs w:val="24"/>
          <w:lang w:val="fr-FR"/>
        </w:rPr>
        <w:t> </w:t>
      </w:r>
      <w:r w:rsidRPr="001C13D2">
        <w:rPr>
          <w:szCs w:val="24"/>
          <w:lang w:val="fr-FR"/>
        </w:rPr>
        <w:t>; v) la nécessité de mettre en place une procédure de plaintes/appel (UNICEF/GOM 2009)</w:t>
      </w:r>
      <w:r>
        <w:rPr>
          <w:szCs w:val="24"/>
          <w:lang w:val="fr-FR"/>
        </w:rPr>
        <w:t> </w:t>
      </w:r>
      <w:r w:rsidRPr="001C13D2">
        <w:rPr>
          <w:szCs w:val="24"/>
          <w:lang w:val="fr-FR"/>
        </w:rPr>
        <w:t>; et vi) le fait que l</w:t>
      </w:r>
      <w:r>
        <w:rPr>
          <w:szCs w:val="24"/>
          <w:lang w:val="fr-FR"/>
        </w:rPr>
        <w:t>’</w:t>
      </w:r>
      <w:r w:rsidRPr="001C13D2">
        <w:rPr>
          <w:szCs w:val="24"/>
          <w:lang w:val="fr-FR"/>
        </w:rPr>
        <w:t xml:space="preserve">expansion du programme nécessitera un engagement accru des pouvoirs publics, particulièrement du </w:t>
      </w:r>
      <w:r>
        <w:rPr>
          <w:szCs w:val="24"/>
          <w:lang w:val="fr-FR"/>
        </w:rPr>
        <w:t>m</w:t>
      </w:r>
      <w:r w:rsidRPr="001C13D2">
        <w:rPr>
          <w:szCs w:val="24"/>
          <w:lang w:val="fr-FR"/>
        </w:rPr>
        <w:t xml:space="preserve">inistère des Finances, et un renforcement </w:t>
      </w:r>
      <w:r>
        <w:rPr>
          <w:szCs w:val="24"/>
          <w:lang w:val="fr-FR"/>
        </w:rPr>
        <w:t>supplémentaire</w:t>
      </w:r>
      <w:r w:rsidRPr="001C13D2">
        <w:rPr>
          <w:szCs w:val="24"/>
          <w:lang w:val="fr-FR"/>
        </w:rPr>
        <w:t xml:space="preserve"> des capacités à tous les niveaux des pouvoirs publics.</w:t>
      </w:r>
    </w:p>
    <w:p w:rsidR="004E3139" w:rsidRPr="001C13D2" w:rsidRDefault="004E3139" w:rsidP="004E3139">
      <w:pPr>
        <w:keepNext/>
        <w:tabs>
          <w:tab w:val="left" w:pos="8505"/>
        </w:tabs>
        <w:rPr>
          <w:lang w:val="fr-FR"/>
        </w:rPr>
      </w:pPr>
    </w:p>
    <w:sectPr w:rsidR="004E3139" w:rsidRPr="001C13D2" w:rsidSect="00590AA6">
      <w:headerReference w:type="default" r:id="rId36"/>
      <w:footerReference w:type="default" r:id="rId37"/>
      <w:pgSz w:w="11906" w:h="16838"/>
      <w:pgMar w:top="1417" w:right="1700"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AD9" w:rsidRDefault="003B6AD9" w:rsidP="00D65B70">
      <w:r>
        <w:separator/>
      </w:r>
    </w:p>
  </w:endnote>
  <w:endnote w:type="continuationSeparator" w:id="0">
    <w:p w:rsidR="003B6AD9" w:rsidRDefault="003B6AD9" w:rsidP="00D65B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POHNCD+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etaNormal-Roman">
    <w:altName w:val="Times New Roman"/>
    <w:charset w:val="00"/>
    <w:family w:val="auto"/>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IULOEL+DIN-Bold">
    <w:altName w:val="Cambria"/>
    <w:panose1 w:val="00000000000000000000"/>
    <w:charset w:val="00"/>
    <w:family w:val="swiss"/>
    <w:notTrueType/>
    <w:pitch w:val="default"/>
    <w:sig w:usb0="00000003" w:usb1="00000000" w:usb2="00000000" w:usb3="00000000" w:csb0="00000001" w:csb1="00000000"/>
  </w:font>
  <w:font w:name="Times New Roman Bold">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AdvPECF93C">
    <w:altName w:val="Cambria"/>
    <w:panose1 w:val="00000000000000000000"/>
    <w:charset w:val="00"/>
    <w:family w:val="swiss"/>
    <w:notTrueType/>
    <w:pitch w:val="default"/>
    <w:sig w:usb0="00000003" w:usb1="00000000" w:usb2="00000000" w:usb3="00000000" w:csb0="00000001" w:csb1="00000000"/>
  </w:font>
  <w:font w:name="HelveticaNeueLTStd-C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3F" w:rsidRDefault="00725419" w:rsidP="00D66D65">
    <w:pPr>
      <w:pStyle w:val="Footer"/>
      <w:rPr>
        <w:rStyle w:val="PageNumber"/>
      </w:rPr>
    </w:pPr>
    <w:r>
      <w:rPr>
        <w:rStyle w:val="PageNumber"/>
      </w:rPr>
      <w:fldChar w:fldCharType="begin"/>
    </w:r>
    <w:r w:rsidR="00BB0D3F">
      <w:rPr>
        <w:rStyle w:val="PageNumber"/>
      </w:rPr>
      <w:instrText xml:space="preserve">PAGE  </w:instrText>
    </w:r>
    <w:r>
      <w:rPr>
        <w:rStyle w:val="PageNumber"/>
      </w:rPr>
      <w:fldChar w:fldCharType="end"/>
    </w:r>
  </w:p>
  <w:p w:rsidR="00BB0D3F" w:rsidRDefault="00BB0D3F" w:rsidP="00D66D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3F" w:rsidRDefault="00BB0D3F" w:rsidP="007D6A4E">
    <w:pPr>
      <w:pStyle w:val="Footer"/>
      <w:spacing w:af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3F" w:rsidRDefault="00BB0D3F" w:rsidP="00D66D65">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3F" w:rsidRPr="007D6A4E" w:rsidRDefault="00BB0D3F" w:rsidP="007D6A4E">
    <w:pPr>
      <w:pStyle w:val="Footer"/>
      <w:spacing w:after="0"/>
      <w:jc w:val="center"/>
      <w:rPr>
        <w:color w:val="808080"/>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3F" w:rsidRDefault="00725419">
    <w:pPr>
      <w:pStyle w:val="Footer"/>
      <w:spacing w:after="0"/>
      <w:jc w:val="center"/>
      <w:rPr>
        <w:color w:val="808080"/>
        <w:sz w:val="22"/>
        <w:szCs w:val="24"/>
      </w:rPr>
    </w:pPr>
    <w:r>
      <w:rPr>
        <w:rStyle w:val="PageNumber"/>
        <w:szCs w:val="24"/>
      </w:rPr>
      <w:fldChar w:fldCharType="begin"/>
    </w:r>
    <w:r w:rsidR="00BB0D3F">
      <w:rPr>
        <w:rStyle w:val="PageNumber"/>
        <w:szCs w:val="24"/>
      </w:rPr>
      <w:instrText xml:space="preserve"> PAGE </w:instrText>
    </w:r>
    <w:r>
      <w:rPr>
        <w:rStyle w:val="PageNumber"/>
        <w:szCs w:val="24"/>
      </w:rPr>
      <w:fldChar w:fldCharType="separate"/>
    </w:r>
    <w:r w:rsidR="00EF56B2">
      <w:rPr>
        <w:rStyle w:val="PageNumber"/>
        <w:noProof/>
        <w:szCs w:val="24"/>
      </w:rPr>
      <w:t>i</w:t>
    </w:r>
    <w:r>
      <w:rPr>
        <w:rStyle w:val="PageNumber"/>
        <w:szCs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3F" w:rsidRDefault="00725419">
    <w:pPr>
      <w:pStyle w:val="Footer"/>
      <w:shd w:val="clear" w:color="auto" w:fill="FFFFFF"/>
      <w:spacing w:after="0"/>
      <w:jc w:val="center"/>
      <w:rPr>
        <w:color w:val="808080"/>
        <w:sz w:val="22"/>
      </w:rPr>
    </w:pPr>
    <w:r w:rsidRPr="008045CC">
      <w:rPr>
        <w:rStyle w:val="PageNumber"/>
        <w:sz w:val="22"/>
      </w:rPr>
      <w:fldChar w:fldCharType="begin"/>
    </w:r>
    <w:r w:rsidR="00BB0D3F" w:rsidRPr="008045CC">
      <w:rPr>
        <w:rStyle w:val="PageNumber"/>
        <w:sz w:val="22"/>
      </w:rPr>
      <w:instrText xml:space="preserve"> PAGE </w:instrText>
    </w:r>
    <w:r w:rsidRPr="008045CC">
      <w:rPr>
        <w:rStyle w:val="PageNumber"/>
        <w:sz w:val="22"/>
      </w:rPr>
      <w:fldChar w:fldCharType="separate"/>
    </w:r>
    <w:r w:rsidR="00EF56B2">
      <w:rPr>
        <w:rStyle w:val="PageNumber"/>
        <w:noProof/>
        <w:sz w:val="22"/>
      </w:rPr>
      <w:t>45</w:t>
    </w:r>
    <w:r w:rsidRPr="008045CC">
      <w:rPr>
        <w:rStyle w:val="PageNumber"/>
        <w:sz w:val="2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3F" w:rsidRDefault="00725419">
    <w:pPr>
      <w:pStyle w:val="Footer"/>
      <w:shd w:val="clear" w:color="auto" w:fill="FFFFFF" w:themeFill="background1"/>
      <w:spacing w:after="0"/>
      <w:jc w:val="center"/>
      <w:rPr>
        <w:color w:val="808080"/>
        <w:sz w:val="22"/>
      </w:rPr>
    </w:pPr>
    <w:r w:rsidRPr="008045CC">
      <w:rPr>
        <w:rStyle w:val="PageNumber"/>
        <w:sz w:val="22"/>
      </w:rPr>
      <w:fldChar w:fldCharType="begin"/>
    </w:r>
    <w:r w:rsidR="00BB0D3F" w:rsidRPr="008045CC">
      <w:rPr>
        <w:rStyle w:val="PageNumber"/>
        <w:sz w:val="22"/>
      </w:rPr>
      <w:instrText xml:space="preserve"> PAGE </w:instrText>
    </w:r>
    <w:r w:rsidRPr="008045CC">
      <w:rPr>
        <w:rStyle w:val="PageNumber"/>
        <w:sz w:val="22"/>
      </w:rPr>
      <w:fldChar w:fldCharType="separate"/>
    </w:r>
    <w:r w:rsidR="00EF56B2">
      <w:rPr>
        <w:rStyle w:val="PageNumber"/>
        <w:noProof/>
        <w:sz w:val="22"/>
      </w:rPr>
      <w:t>124</w:t>
    </w:r>
    <w:r w:rsidRPr="008045CC">
      <w:rPr>
        <w:rStyle w:val="PageNumbe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AD9" w:rsidRDefault="003B6AD9" w:rsidP="00A54EB6">
      <w:pPr>
        <w:spacing w:after="0"/>
      </w:pPr>
      <w:r>
        <w:separator/>
      </w:r>
    </w:p>
  </w:footnote>
  <w:footnote w:type="continuationSeparator" w:id="0">
    <w:p w:rsidR="003B6AD9" w:rsidRDefault="003B6AD9" w:rsidP="00D65B70">
      <w:r>
        <w:continuationSeparator/>
      </w:r>
    </w:p>
  </w:footnote>
  <w:footnote w:id="1">
    <w:p w:rsidR="00BB0D3F" w:rsidRPr="00407F23" w:rsidRDefault="00BB0D3F" w:rsidP="0065207E">
      <w:pPr>
        <w:pStyle w:val="FootnoteText"/>
        <w:rPr>
          <w:lang w:val="fr-BE"/>
        </w:rPr>
      </w:pPr>
      <w:r>
        <w:rPr>
          <w:rStyle w:val="FootnoteReference"/>
        </w:rPr>
        <w:footnoteRef/>
      </w:r>
      <w:r w:rsidRPr="00407F23">
        <w:rPr>
          <w:lang w:val="fr-BE"/>
        </w:rPr>
        <w:t xml:space="preserve"> Source</w:t>
      </w:r>
      <w:r>
        <w:rPr>
          <w:lang w:val="fr-BE"/>
        </w:rPr>
        <w:t xml:space="preserve"> </w:t>
      </w:r>
      <w:r w:rsidRPr="00407F23">
        <w:rPr>
          <w:lang w:val="fr-BE"/>
        </w:rPr>
        <w:t>Bureau de r</w:t>
      </w:r>
      <w:r>
        <w:rPr>
          <w:lang w:val="fr-BE"/>
        </w:rPr>
        <w:t>é</w:t>
      </w:r>
      <w:r w:rsidRPr="00407F23">
        <w:rPr>
          <w:lang w:val="fr-BE"/>
        </w:rPr>
        <w:t>f</w:t>
      </w:r>
      <w:r>
        <w:rPr>
          <w:lang w:val="fr-BE"/>
        </w:rPr>
        <w:t>é</w:t>
      </w:r>
      <w:r w:rsidRPr="00407F23">
        <w:rPr>
          <w:lang w:val="fr-BE"/>
        </w:rPr>
        <w:t>rence de la population, 2009</w:t>
      </w:r>
      <w:r>
        <w:rPr>
          <w:lang w:val="fr-BE"/>
        </w:rPr>
        <w:t>, feuille de données</w:t>
      </w:r>
      <w:r w:rsidRPr="00407F23">
        <w:rPr>
          <w:lang w:val="fr-BE"/>
        </w:rPr>
        <w:t xml:space="preserve"> Population.</w:t>
      </w:r>
    </w:p>
  </w:footnote>
  <w:footnote w:id="2">
    <w:p w:rsidR="00BB0D3F" w:rsidRPr="004176CD" w:rsidRDefault="00BB0D3F" w:rsidP="0065207E">
      <w:pPr>
        <w:pStyle w:val="FootnoteText"/>
        <w:jc w:val="both"/>
      </w:pPr>
      <w:r>
        <w:rPr>
          <w:rStyle w:val="FootnoteReference"/>
        </w:rPr>
        <w:footnoteRef/>
      </w:r>
      <w:r w:rsidRPr="004176CD">
        <w:tab/>
        <w:t>L</w:t>
      </w:r>
      <w:r>
        <w:t>’A</w:t>
      </w:r>
      <w:r w:rsidRPr="004176CD">
        <w:t>nnexe 1 précise les principaux concepts de politique sociale utili</w:t>
      </w:r>
      <w:r>
        <w:t xml:space="preserve">sés dans ce rapport pour </w:t>
      </w:r>
      <w:r w:rsidRPr="004176CD">
        <w:t>ass</w:t>
      </w:r>
      <w:r>
        <w:t xml:space="preserve">urer </w:t>
      </w:r>
      <w:r w:rsidRPr="004176CD">
        <w:t xml:space="preserve">une compréhension commune </w:t>
      </w:r>
      <w:r>
        <w:t>de la terminologie et des idées clés</w:t>
      </w:r>
      <w:r w:rsidRPr="004176CD">
        <w:t xml:space="preserve">. </w:t>
      </w:r>
    </w:p>
  </w:footnote>
  <w:footnote w:id="3">
    <w:p w:rsidR="00BB0D3F" w:rsidRPr="004C0404" w:rsidRDefault="00BB0D3F" w:rsidP="004B1FC7">
      <w:pPr>
        <w:pStyle w:val="FootnoteText"/>
        <w:rPr>
          <w:lang w:val="fr-BE"/>
        </w:rPr>
      </w:pPr>
      <w:r>
        <w:rPr>
          <w:rStyle w:val="FootnoteReference"/>
        </w:rPr>
        <w:footnoteRef/>
      </w:r>
      <w:r w:rsidRPr="00A129F5">
        <w:rPr>
          <w:lang w:val="fr-BE"/>
        </w:rPr>
        <w:t xml:space="preserve"> En 2008, la population</w:t>
      </w:r>
      <w:r>
        <w:rPr>
          <w:lang w:val="fr-BE"/>
        </w:rPr>
        <w:t xml:space="preserve"> totale était de</w:t>
      </w:r>
      <w:r w:rsidRPr="00A129F5">
        <w:rPr>
          <w:lang w:val="fr-BE"/>
        </w:rPr>
        <w:t xml:space="preserve"> 14</w:t>
      </w:r>
      <w:r>
        <w:rPr>
          <w:lang w:val="fr-BE"/>
        </w:rPr>
        <w:t>,</w:t>
      </w:r>
      <w:r w:rsidRPr="00A129F5">
        <w:rPr>
          <w:lang w:val="fr-BE"/>
        </w:rPr>
        <w:t>7 million</w:t>
      </w:r>
      <w:r>
        <w:rPr>
          <w:lang w:val="fr-BE"/>
        </w:rPr>
        <w:t>s</w:t>
      </w:r>
      <w:r w:rsidRPr="00A129F5">
        <w:rPr>
          <w:lang w:val="fr-BE"/>
        </w:rPr>
        <w:t xml:space="preserve">. Avec une croissance démographique de 3,1 % par an, </w:t>
      </w:r>
      <w:r>
        <w:rPr>
          <w:lang w:val="fr-BE"/>
        </w:rPr>
        <w:t xml:space="preserve">on estime que </w:t>
      </w:r>
      <w:r w:rsidRPr="00A129F5">
        <w:rPr>
          <w:lang w:val="fr-BE"/>
        </w:rPr>
        <w:t xml:space="preserve">la population </w:t>
      </w:r>
      <w:r>
        <w:rPr>
          <w:lang w:val="fr-BE"/>
        </w:rPr>
        <w:t>atteignait</w:t>
      </w:r>
      <w:r w:rsidRPr="00A129F5">
        <w:rPr>
          <w:lang w:val="fr-BE"/>
        </w:rPr>
        <w:t xml:space="preserve"> un total </w:t>
      </w:r>
      <w:r>
        <w:rPr>
          <w:lang w:val="fr-BE"/>
        </w:rPr>
        <w:t>de</w:t>
      </w:r>
      <w:r w:rsidRPr="00A129F5">
        <w:rPr>
          <w:lang w:val="fr-BE"/>
        </w:rPr>
        <w:t xml:space="preserve"> 15</w:t>
      </w:r>
      <w:r>
        <w:rPr>
          <w:lang w:val="fr-BE"/>
        </w:rPr>
        <w:t>,</w:t>
      </w:r>
      <w:r w:rsidRPr="00A129F5">
        <w:rPr>
          <w:lang w:val="fr-BE"/>
        </w:rPr>
        <w:t>8 million</w:t>
      </w:r>
      <w:r>
        <w:rPr>
          <w:lang w:val="fr-BE"/>
        </w:rPr>
        <w:t>s</w:t>
      </w:r>
      <w:r w:rsidRPr="00A129F5">
        <w:rPr>
          <w:lang w:val="fr-BE"/>
        </w:rPr>
        <w:t xml:space="preserve"> in 2009.</w:t>
      </w:r>
    </w:p>
  </w:footnote>
  <w:footnote w:id="4">
    <w:p w:rsidR="00BB0D3F" w:rsidRPr="00A65071" w:rsidRDefault="00BB0D3F" w:rsidP="004B1FC7">
      <w:pPr>
        <w:pStyle w:val="FootnoteText"/>
        <w:jc w:val="both"/>
        <w:rPr>
          <w:lang w:val="fr-BE"/>
        </w:rPr>
      </w:pPr>
      <w:r>
        <w:rPr>
          <w:rStyle w:val="FootnoteReference"/>
          <w:szCs w:val="24"/>
        </w:rPr>
        <w:footnoteRef/>
      </w:r>
      <w:r w:rsidRPr="00A129F5">
        <w:rPr>
          <w:szCs w:val="24"/>
          <w:lang w:val="fr-BE"/>
        </w:rPr>
        <w:t xml:space="preserve"> Rapporté dans la SAP </w:t>
      </w:r>
      <w:r w:rsidRPr="00A129F5">
        <w:rPr>
          <w:noProof/>
          <w:szCs w:val="24"/>
          <w:lang w:val="fr-BE"/>
        </w:rPr>
        <w:t xml:space="preserve">2009 et dans </w:t>
      </w:r>
      <w:r>
        <w:rPr>
          <w:noProof/>
          <w:szCs w:val="24"/>
          <w:lang w:val="fr-BE"/>
        </w:rPr>
        <w:t>le CEM</w:t>
      </w:r>
      <w:r w:rsidRPr="00A129F5">
        <w:rPr>
          <w:noProof/>
          <w:szCs w:val="24"/>
          <w:lang w:val="fr-BE"/>
        </w:rPr>
        <w:t xml:space="preserve"> 2009.</w:t>
      </w:r>
      <w:r w:rsidRPr="00A129F5">
        <w:rPr>
          <w:szCs w:val="24"/>
          <w:lang w:val="fr-BE"/>
        </w:rPr>
        <w:t xml:space="preserve"> </w:t>
      </w:r>
      <w:r>
        <w:rPr>
          <w:noProof/>
          <w:szCs w:val="24"/>
        </w:rPr>
        <w:t>Cependant, aucune source n’est citée et il est très difficile de déterminer si cette hausse est vraiment due à la crise ou simplement à l’utilisation de méthodes différentes pour le calcul de l’incidence de la pauvreté.</w:t>
      </w:r>
      <w:r w:rsidRPr="00F02BED">
        <w:rPr>
          <w:szCs w:val="24"/>
          <w:lang w:val="fr-BE"/>
        </w:rPr>
        <w:t xml:space="preserve"> </w:t>
      </w:r>
      <w:r w:rsidRPr="00A129F5">
        <w:rPr>
          <w:noProof/>
          <w:szCs w:val="24"/>
          <w:lang w:val="fr-BE"/>
        </w:rPr>
        <w:t>En faite, la question</w:t>
      </w:r>
      <w:r>
        <w:rPr>
          <w:noProof/>
          <w:szCs w:val="24"/>
          <w:lang w:val="fr-BE"/>
        </w:rPr>
        <w:t xml:space="preserve"> </w:t>
      </w:r>
      <w:r w:rsidRPr="00A129F5">
        <w:rPr>
          <w:noProof/>
          <w:szCs w:val="24"/>
          <w:lang w:val="fr-BE"/>
        </w:rPr>
        <w:t xml:space="preserve">de la comparabilité des données a déjà été </w:t>
      </w:r>
      <w:r>
        <w:rPr>
          <w:noProof/>
          <w:szCs w:val="24"/>
          <w:lang w:val="fr-BE"/>
        </w:rPr>
        <w:t>évoquée</w:t>
      </w:r>
      <w:r w:rsidRPr="00A129F5">
        <w:rPr>
          <w:noProof/>
          <w:szCs w:val="24"/>
          <w:lang w:val="fr-BE"/>
        </w:rPr>
        <w:t xml:space="preserve"> dans l’évaluation 2003 des risques et de la vulnérabilité </w:t>
      </w:r>
      <w:r>
        <w:rPr>
          <w:noProof/>
          <w:szCs w:val="24"/>
          <w:lang w:val="fr-BE"/>
        </w:rPr>
        <w:t>a</w:t>
      </w:r>
      <w:r w:rsidRPr="00A129F5">
        <w:rPr>
          <w:noProof/>
          <w:szCs w:val="24"/>
          <w:lang w:val="fr-BE"/>
        </w:rPr>
        <w:t>u Burkina Faso (</w:t>
      </w:r>
      <w:r>
        <w:rPr>
          <w:noProof/>
          <w:szCs w:val="24"/>
          <w:lang w:val="fr-BE"/>
        </w:rPr>
        <w:t>voir</w:t>
      </w:r>
      <w:r w:rsidRPr="00A129F5">
        <w:rPr>
          <w:noProof/>
          <w:szCs w:val="24"/>
          <w:lang w:val="fr-BE"/>
        </w:rPr>
        <w:t xml:space="preserve"> se</w:t>
      </w:r>
      <w:r>
        <w:rPr>
          <w:noProof/>
          <w:szCs w:val="24"/>
          <w:lang w:val="fr-BE"/>
        </w:rPr>
        <w:t>cti</w:t>
      </w:r>
      <w:r w:rsidRPr="00A129F5">
        <w:rPr>
          <w:noProof/>
          <w:szCs w:val="24"/>
          <w:lang w:val="fr-BE"/>
        </w:rPr>
        <w:t xml:space="preserve">on </w:t>
      </w:r>
      <w:r>
        <w:rPr>
          <w:noProof/>
          <w:szCs w:val="24"/>
          <w:lang w:val="fr-BE"/>
        </w:rPr>
        <w:t>sur les tendances de la pauvreté</w:t>
      </w:r>
      <w:r w:rsidRPr="00A129F5">
        <w:rPr>
          <w:noProof/>
          <w:szCs w:val="24"/>
          <w:lang w:val="fr-BE"/>
        </w:rPr>
        <w:t>).</w:t>
      </w:r>
      <w:r w:rsidRPr="00A129F5">
        <w:rPr>
          <w:szCs w:val="24"/>
          <w:lang w:val="fr-BE"/>
        </w:rPr>
        <w:t xml:space="preserve"> </w:t>
      </w:r>
    </w:p>
  </w:footnote>
  <w:footnote w:id="5">
    <w:p w:rsidR="00BB0D3F" w:rsidRPr="00931C21" w:rsidRDefault="00BB0D3F" w:rsidP="004B1FC7">
      <w:pPr>
        <w:pStyle w:val="FootnoteText"/>
        <w:rPr>
          <w:lang w:val="fr-BE"/>
        </w:rPr>
      </w:pPr>
      <w:r>
        <w:rPr>
          <w:rStyle w:val="FootnoteReference"/>
          <w:szCs w:val="24"/>
        </w:rPr>
        <w:footnoteRef/>
      </w:r>
      <w:r w:rsidRPr="00A129F5">
        <w:rPr>
          <w:szCs w:val="24"/>
          <w:lang w:val="fr-BE"/>
        </w:rPr>
        <w:t xml:space="preserve"> </w:t>
      </w:r>
      <w:r w:rsidRPr="00A129F5">
        <w:rPr>
          <w:i/>
          <w:noProof/>
          <w:szCs w:val="24"/>
          <w:lang w:val="fr-BE"/>
        </w:rPr>
        <w:t>Dynamique de la pauvreté et de la précarité au Burkina Faso</w:t>
      </w:r>
      <w:r w:rsidRPr="00A129F5">
        <w:rPr>
          <w:noProof/>
          <w:szCs w:val="24"/>
          <w:lang w:val="fr-BE"/>
        </w:rPr>
        <w:t xml:space="preserve"> (2003-2007) </w:t>
      </w:r>
      <w:r>
        <w:rPr>
          <w:noProof/>
          <w:szCs w:val="24"/>
          <w:lang w:val="fr-BE"/>
        </w:rPr>
        <w:t>réalisé</w:t>
      </w:r>
      <w:r w:rsidRPr="00A129F5">
        <w:rPr>
          <w:noProof/>
          <w:szCs w:val="24"/>
          <w:lang w:val="fr-BE"/>
        </w:rPr>
        <w:t xml:space="preserve"> par une équipe conjointe du ministère de l’</w:t>
      </w:r>
      <w:r>
        <w:rPr>
          <w:noProof/>
          <w:szCs w:val="24"/>
          <w:lang w:val="fr-BE"/>
        </w:rPr>
        <w:t xml:space="preserve">Économie et des Finances du </w:t>
      </w:r>
      <w:r w:rsidRPr="00A129F5">
        <w:rPr>
          <w:noProof/>
          <w:szCs w:val="24"/>
          <w:lang w:val="fr-BE"/>
        </w:rPr>
        <w:t xml:space="preserve">Burkina Faso </w:t>
      </w:r>
      <w:r>
        <w:rPr>
          <w:noProof/>
          <w:szCs w:val="24"/>
          <w:lang w:val="fr-BE"/>
        </w:rPr>
        <w:t xml:space="preserve">et de la Banque mondiale </w:t>
      </w:r>
      <w:r w:rsidRPr="00A129F5">
        <w:rPr>
          <w:noProof/>
          <w:szCs w:val="24"/>
          <w:lang w:val="fr-BE"/>
        </w:rPr>
        <w:t xml:space="preserve">(2009 </w:t>
      </w:r>
      <w:r>
        <w:rPr>
          <w:noProof/>
          <w:szCs w:val="24"/>
          <w:lang w:val="fr-BE"/>
        </w:rPr>
        <w:t>non publié</w:t>
      </w:r>
      <w:r w:rsidRPr="00A129F5">
        <w:rPr>
          <w:noProof/>
          <w:szCs w:val="24"/>
          <w:lang w:val="fr-BE"/>
        </w:rPr>
        <w:t>).</w:t>
      </w:r>
    </w:p>
  </w:footnote>
  <w:footnote w:id="6">
    <w:p w:rsidR="00BB0D3F" w:rsidRPr="00CD3FDA" w:rsidRDefault="00BB0D3F" w:rsidP="004B1FC7">
      <w:pPr>
        <w:pStyle w:val="FootnoteText"/>
        <w:rPr>
          <w:lang w:val="fr-BE"/>
        </w:rPr>
      </w:pPr>
      <w:r>
        <w:rPr>
          <w:rStyle w:val="FootnoteReference"/>
          <w:szCs w:val="24"/>
        </w:rPr>
        <w:footnoteRef/>
      </w:r>
      <w:r w:rsidRPr="00A129F5">
        <w:rPr>
          <w:szCs w:val="24"/>
          <w:lang w:val="fr-BE"/>
        </w:rPr>
        <w:t xml:space="preserve"> Cette section s’appuie largement sur </w:t>
      </w:r>
      <w:r>
        <w:rPr>
          <w:szCs w:val="24"/>
          <w:lang w:val="fr-BE"/>
        </w:rPr>
        <w:t xml:space="preserve">le travail d’analyse de Nouvé et coll. (2009) cité plus haut. Elle utilise une approche cohérente à travers trois enquêtes </w:t>
      </w:r>
      <w:r w:rsidRPr="00A129F5">
        <w:rPr>
          <w:noProof/>
          <w:szCs w:val="24"/>
          <w:lang w:val="fr-BE"/>
        </w:rPr>
        <w:t>(2003, 2005</w:t>
      </w:r>
      <w:r>
        <w:rPr>
          <w:noProof/>
          <w:szCs w:val="24"/>
          <w:lang w:val="fr-BE"/>
        </w:rPr>
        <w:t xml:space="preserve"> et</w:t>
      </w:r>
      <w:r w:rsidRPr="00A129F5">
        <w:rPr>
          <w:noProof/>
          <w:szCs w:val="24"/>
          <w:lang w:val="fr-BE"/>
        </w:rPr>
        <w:t xml:space="preserve"> 2007)</w:t>
      </w:r>
      <w:r>
        <w:rPr>
          <w:noProof/>
          <w:szCs w:val="24"/>
          <w:lang w:val="fr-BE"/>
        </w:rPr>
        <w:t xml:space="preserve"> pour déterminer les tendances non seulement au cours du temps mais aussi à travers les zones géographiques et les groupes socioéconomiques.</w:t>
      </w:r>
    </w:p>
  </w:footnote>
  <w:footnote w:id="7">
    <w:p w:rsidR="00BB0D3F" w:rsidRPr="0061465E" w:rsidRDefault="00BB0D3F" w:rsidP="00A54EB6">
      <w:pPr>
        <w:tabs>
          <w:tab w:val="clear" w:pos="709"/>
          <w:tab w:val="left" w:pos="284"/>
        </w:tabs>
        <w:autoSpaceDE w:val="0"/>
        <w:autoSpaceDN w:val="0"/>
        <w:adjustRightInd w:val="0"/>
        <w:spacing w:after="0"/>
        <w:rPr>
          <w:lang w:val="fr-FR"/>
        </w:rPr>
      </w:pPr>
      <w:r>
        <w:rPr>
          <w:rStyle w:val="FootnoteReference"/>
        </w:rPr>
        <w:footnoteRef/>
      </w:r>
      <w:r w:rsidRPr="0061465E">
        <w:rPr>
          <w:sz w:val="20"/>
          <w:lang w:val="fr-FR"/>
        </w:rPr>
        <w:t xml:space="preserve"> </w:t>
      </w:r>
      <w:r w:rsidRPr="0061465E">
        <w:rPr>
          <w:sz w:val="20"/>
          <w:lang w:val="fr-FR"/>
        </w:rPr>
        <w:tab/>
        <w:t>La lettre d’intention sur la politique de développement humain durable (</w:t>
      </w:r>
      <w:r w:rsidRPr="0061465E">
        <w:rPr>
          <w:sz w:val="20"/>
          <w:szCs w:val="20"/>
          <w:lang w:val="fr-FR" w:eastAsia="fr-FR"/>
        </w:rPr>
        <w:t xml:space="preserve">LIPDHD) adoptée en 1995 a servi de base </w:t>
      </w:r>
      <w:r>
        <w:rPr>
          <w:sz w:val="20"/>
          <w:szCs w:val="20"/>
          <w:lang w:val="fr-FR" w:eastAsia="fr-FR"/>
        </w:rPr>
        <w:t>au</w:t>
      </w:r>
      <w:r w:rsidRPr="0061465E">
        <w:rPr>
          <w:sz w:val="20"/>
          <w:szCs w:val="20"/>
          <w:lang w:val="fr-FR" w:eastAsia="fr-FR"/>
        </w:rPr>
        <w:t xml:space="preserve"> Document de stratégie pour l</w:t>
      </w:r>
      <w:r>
        <w:rPr>
          <w:sz w:val="20"/>
          <w:szCs w:val="20"/>
          <w:lang w:val="fr-FR" w:eastAsia="fr-FR"/>
        </w:rPr>
        <w:t>a</w:t>
      </w:r>
      <w:r w:rsidRPr="0061465E">
        <w:rPr>
          <w:sz w:val="20"/>
          <w:szCs w:val="20"/>
          <w:lang w:val="fr-FR" w:eastAsia="fr-FR"/>
        </w:rPr>
        <w:t xml:space="preserve"> réduction de la pauvreté. </w:t>
      </w:r>
    </w:p>
  </w:footnote>
  <w:footnote w:id="8">
    <w:p w:rsidR="00BB0D3F" w:rsidRPr="0061465E" w:rsidRDefault="00BB0D3F" w:rsidP="00A54EB6">
      <w:pPr>
        <w:pStyle w:val="FootnoteText"/>
        <w:jc w:val="both"/>
      </w:pPr>
      <w:r>
        <w:rPr>
          <w:rStyle w:val="FootnoteReference"/>
        </w:rPr>
        <w:footnoteRef/>
      </w:r>
      <w:r w:rsidRPr="0061465E">
        <w:t xml:space="preserve"> </w:t>
      </w:r>
      <w:r w:rsidRPr="0061465E">
        <w:tab/>
      </w:r>
      <w:r>
        <w:t>Les autres piliers du DSRP so</w:t>
      </w:r>
      <w:r w:rsidRPr="0061465E">
        <w:t>nt</w:t>
      </w:r>
      <w:r>
        <w:t xml:space="preserve"> </w:t>
      </w:r>
      <w:r w:rsidRPr="0061465E">
        <w:t>1</w:t>
      </w:r>
      <w:r>
        <w:t>)</w:t>
      </w:r>
      <w:r w:rsidRPr="0061465E">
        <w:t xml:space="preserve"> l’accélération de la croissance </w:t>
      </w:r>
      <w:r>
        <w:t xml:space="preserve">généralisée </w:t>
      </w:r>
      <w:r w:rsidRPr="0061465E">
        <w:t>3</w:t>
      </w:r>
      <w:r>
        <w:t>)</w:t>
      </w:r>
      <w:r w:rsidRPr="0061465E">
        <w:t xml:space="preserve"> </w:t>
      </w:r>
      <w:r>
        <w:t>l’augmentation de l’emploi et des activités génératrices de revenus et 4) la promotion de la bonne gouvernance.</w:t>
      </w:r>
    </w:p>
  </w:footnote>
  <w:footnote w:id="9">
    <w:p w:rsidR="00BB0D3F" w:rsidRPr="0061465E" w:rsidRDefault="00BB0D3F" w:rsidP="00A54EB6">
      <w:pPr>
        <w:pStyle w:val="FootnoteText"/>
        <w:jc w:val="both"/>
      </w:pPr>
      <w:r>
        <w:rPr>
          <w:rStyle w:val="FootnoteReference"/>
        </w:rPr>
        <w:footnoteRef/>
      </w:r>
      <w:r w:rsidRPr="0061465E">
        <w:t xml:space="preserve"> </w:t>
      </w:r>
      <w:r w:rsidRPr="0061465E">
        <w:tab/>
        <w:t>Les stratégies identifi</w:t>
      </w:r>
      <w:r>
        <w:t>é</w:t>
      </w:r>
      <w:r w:rsidRPr="0061465E">
        <w:t xml:space="preserve">es dans la vision à long terme de la société </w:t>
      </w:r>
      <w:r>
        <w:t>«</w:t>
      </w:r>
      <w:r w:rsidRPr="0061465E">
        <w:t>Burkina 2025</w:t>
      </w:r>
      <w:r>
        <w:t xml:space="preserve">» pour une </w:t>
      </w:r>
      <w:r w:rsidRPr="0061465E">
        <w:t xml:space="preserve">solidarité </w:t>
      </w:r>
      <w:r>
        <w:t xml:space="preserve">effective </w:t>
      </w:r>
      <w:r w:rsidRPr="0061465E">
        <w:t>sont les suivantes</w:t>
      </w:r>
      <w:r>
        <w:t xml:space="preserve"> redistribution équitable des richesses lutte contre les discriminations sociales éducation et emploi développement territorial équilibré et harmonieux et mobilisation des citoyens et </w:t>
      </w:r>
      <w:r>
        <w:rPr>
          <w:rFonts w:ascii="Times-Roman" w:hAnsi="Times-Roman" w:cs="Times-Roman"/>
          <w:szCs w:val="24"/>
        </w:rPr>
        <w:t xml:space="preserve">réarmement moral </w:t>
      </w:r>
      <w:r w:rsidRPr="0061465E">
        <w:rPr>
          <w:rFonts w:ascii="Times-Roman" w:hAnsi="Times-Roman" w:cs="Times-Roman"/>
          <w:szCs w:val="24"/>
        </w:rPr>
        <w:t>[MEDEV 2005].</w:t>
      </w:r>
    </w:p>
  </w:footnote>
  <w:footnote w:id="10">
    <w:p w:rsidR="00BB0D3F" w:rsidRPr="00AB6FE2" w:rsidRDefault="00BB0D3F" w:rsidP="00A54EB6">
      <w:pPr>
        <w:pStyle w:val="FootnoteText"/>
        <w:jc w:val="both"/>
      </w:pPr>
      <w:r>
        <w:rPr>
          <w:rStyle w:val="FootnoteReference"/>
        </w:rPr>
        <w:footnoteRef/>
      </w:r>
      <w:r w:rsidRPr="00F762F6">
        <w:t xml:space="preserve"> </w:t>
      </w:r>
      <w:r>
        <w:rPr>
          <w:rStyle w:val="longtext"/>
        </w:rPr>
        <w:t xml:space="preserve">La solidarité, qui est définie comme une action « humaniste » dans la Charte de la solidarité nationale récemment adoptée, est au cœur de l'action du MASSN. </w:t>
      </w:r>
      <w:r>
        <w:rPr>
          <w:rStyle w:val="longtext"/>
          <w:shd w:val="clear" w:color="auto" w:fill="FFFFFF"/>
        </w:rPr>
        <w:t>Cette approche de la solidarité peut être quelque peu différente des notions de redistribution des revenus et d’investissements sociaux nécessaires soutenues par les filets sociaux, tels que définis ici.</w:t>
      </w:r>
    </w:p>
  </w:footnote>
  <w:footnote w:id="11">
    <w:p w:rsidR="00BB0D3F" w:rsidRPr="00A54EB6" w:rsidRDefault="00BB0D3F" w:rsidP="00A54EB6">
      <w:pPr>
        <w:pStyle w:val="FootnoteText"/>
        <w:jc w:val="both"/>
        <w:rPr>
          <w:lang w:val="fr-BE"/>
        </w:rPr>
      </w:pPr>
      <w:r>
        <w:rPr>
          <w:rStyle w:val="FootnoteReference"/>
        </w:rPr>
        <w:footnoteRef/>
      </w:r>
      <w:r w:rsidRPr="00F762F6">
        <w:t xml:space="preserve"> </w:t>
      </w:r>
      <w:r w:rsidRPr="00F762F6">
        <w:tab/>
      </w:r>
      <w:r>
        <w:t xml:space="preserve">Le MASSN a proposé en 2009, </w:t>
      </w:r>
      <w:r>
        <w:rPr>
          <w:rStyle w:val="longtext"/>
          <w:shd w:val="clear" w:color="auto" w:fill="FFFFFF"/>
        </w:rPr>
        <w:t xml:space="preserve">un nouveau programme intitulé « Filets sociaux » [MASSN, 2009a] mais l’avant-projet proposé s’est cependant heurté à des critiques sévères d’intervenants nationaux et internationaux. Il a été jugé trop mal conçu pour être un filet social efficace, et trop ambitieux pour les ressources financières, techniques, et humaines actuelles du MASSN. </w:t>
      </w:r>
      <w:r w:rsidRPr="00A377AF">
        <w:rPr>
          <w:rStyle w:val="longtext"/>
        </w:rPr>
        <w:t xml:space="preserve">Le programme n'a donc pas été pris en compte dans le budget 2010. </w:t>
      </w:r>
    </w:p>
  </w:footnote>
  <w:footnote w:id="12">
    <w:p w:rsidR="00BB0D3F" w:rsidRPr="00C7292A" w:rsidRDefault="00BB0D3F" w:rsidP="00A54EB6">
      <w:pPr>
        <w:pStyle w:val="FootnoteText"/>
      </w:pPr>
      <w:r>
        <w:rPr>
          <w:rStyle w:val="FootnoteReference"/>
        </w:rPr>
        <w:footnoteRef/>
      </w:r>
      <w:r w:rsidRPr="00C7292A">
        <w:t xml:space="preserve"> </w:t>
      </w:r>
      <w:r w:rsidRPr="00C7292A">
        <w:tab/>
        <w:t xml:space="preserve">Contribution </w:t>
      </w:r>
      <w:r>
        <w:t>faite par</w:t>
      </w:r>
      <w:r w:rsidRPr="00C7292A">
        <w:t xml:space="preserve"> l’Association de</w:t>
      </w:r>
      <w:r>
        <w:t>s p</w:t>
      </w:r>
      <w:r w:rsidRPr="00C7292A">
        <w:t>arents d’</w:t>
      </w:r>
      <w:r>
        <w:t>é</w:t>
      </w:r>
      <w:r w:rsidRPr="00C7292A">
        <w:t>lèves (APE).</w:t>
      </w:r>
    </w:p>
  </w:footnote>
  <w:footnote w:id="13">
    <w:p w:rsidR="00BB0D3F" w:rsidRPr="00463005" w:rsidRDefault="00BB0D3F" w:rsidP="00A54EB6">
      <w:pPr>
        <w:tabs>
          <w:tab w:val="clear" w:pos="709"/>
          <w:tab w:val="left" w:pos="284"/>
        </w:tabs>
        <w:spacing w:after="0"/>
        <w:rPr>
          <w:lang w:val="fr-FR"/>
        </w:rPr>
      </w:pPr>
      <w:r>
        <w:rPr>
          <w:rStyle w:val="FootnoteReference"/>
        </w:rPr>
        <w:footnoteRef/>
      </w:r>
      <w:r w:rsidRPr="00463005">
        <w:rPr>
          <w:lang w:val="fr-FR"/>
        </w:rPr>
        <w:t xml:space="preserve"> </w:t>
      </w:r>
      <w:r w:rsidRPr="00463005">
        <w:rPr>
          <w:sz w:val="20"/>
          <w:szCs w:val="20"/>
          <w:lang w:val="fr-FR"/>
        </w:rPr>
        <w:tab/>
        <w:t>Le</w:t>
      </w:r>
      <w:r w:rsidRPr="00463005">
        <w:rPr>
          <w:sz w:val="20"/>
          <w:lang w:val="fr-FR"/>
        </w:rPr>
        <w:t xml:space="preserve"> MASSN a six domaine</w:t>
      </w:r>
      <w:r>
        <w:rPr>
          <w:sz w:val="20"/>
          <w:lang w:val="fr-FR"/>
        </w:rPr>
        <w:t>s</w:t>
      </w:r>
      <w:r w:rsidRPr="00463005">
        <w:rPr>
          <w:sz w:val="20"/>
          <w:lang w:val="fr-FR"/>
        </w:rPr>
        <w:t xml:space="preserve"> d’intervention</w:t>
      </w:r>
      <w:r>
        <w:rPr>
          <w:sz w:val="20"/>
          <w:lang w:val="fr-FR"/>
        </w:rPr>
        <w:t xml:space="preserve"> la protection et la promotion de</w:t>
      </w:r>
      <w:r w:rsidRPr="00463005">
        <w:rPr>
          <w:sz w:val="20"/>
          <w:lang w:val="fr-FR"/>
        </w:rPr>
        <w:t>s enfants et adolescents</w:t>
      </w:r>
      <w:r>
        <w:rPr>
          <w:sz w:val="20"/>
          <w:lang w:val="fr-FR"/>
        </w:rPr>
        <w:t xml:space="preserve"> </w:t>
      </w:r>
      <w:r w:rsidRPr="00463005">
        <w:rPr>
          <w:sz w:val="20"/>
          <w:lang w:val="fr-FR"/>
        </w:rPr>
        <w:t>la protection familiale et la promotion sociale</w:t>
      </w:r>
      <w:r>
        <w:rPr>
          <w:sz w:val="20"/>
          <w:lang w:val="fr-FR"/>
        </w:rPr>
        <w:t xml:space="preserve"> la </w:t>
      </w:r>
      <w:r w:rsidRPr="00463005">
        <w:rPr>
          <w:sz w:val="20"/>
          <w:lang w:val="fr-FR"/>
        </w:rPr>
        <w:t xml:space="preserve">promotion </w:t>
      </w:r>
      <w:r>
        <w:rPr>
          <w:sz w:val="20"/>
          <w:lang w:val="fr-FR"/>
        </w:rPr>
        <w:t>de la solidarité nationale la protection et la promotion sociale de groupes spécifiques</w:t>
      </w:r>
      <w:r w:rsidRPr="00463005">
        <w:rPr>
          <w:sz w:val="20"/>
          <w:lang w:val="fr-FR"/>
        </w:rPr>
        <w:t xml:space="preserve"> (</w:t>
      </w:r>
      <w:r>
        <w:rPr>
          <w:sz w:val="20"/>
          <w:lang w:val="fr-FR"/>
        </w:rPr>
        <w:t>personnes handicapées, âgées et socialement exclues</w:t>
      </w:r>
      <w:r w:rsidRPr="00463005">
        <w:rPr>
          <w:sz w:val="20"/>
          <w:lang w:val="fr-FR"/>
        </w:rPr>
        <w:t>)</w:t>
      </w:r>
      <w:r>
        <w:rPr>
          <w:sz w:val="20"/>
          <w:lang w:val="fr-FR"/>
        </w:rPr>
        <w:t xml:space="preserve"> la </w:t>
      </w:r>
      <w:r w:rsidRPr="00463005">
        <w:rPr>
          <w:sz w:val="20"/>
          <w:lang w:val="fr-FR"/>
        </w:rPr>
        <w:t xml:space="preserve">promotion </w:t>
      </w:r>
      <w:r>
        <w:rPr>
          <w:sz w:val="20"/>
          <w:lang w:val="fr-FR"/>
        </w:rPr>
        <w:t>et l’appui socioéconomique et psychosocial aux personnes infectées et affectées par le VIH/SIDA et le renforcement des compétences et des capacités institutionnelles.</w:t>
      </w:r>
    </w:p>
  </w:footnote>
  <w:footnote w:id="14">
    <w:p w:rsidR="00BB0D3F" w:rsidRPr="005D50A2" w:rsidRDefault="00BB0D3F" w:rsidP="00A54EB6">
      <w:pPr>
        <w:pStyle w:val="FootnoteText"/>
        <w:jc w:val="both"/>
      </w:pPr>
      <w:r w:rsidRPr="008045CC">
        <w:rPr>
          <w:rStyle w:val="FootnoteReference"/>
          <w:sz w:val="20"/>
        </w:rPr>
        <w:footnoteRef/>
      </w:r>
      <w:r>
        <w:t xml:space="preserve"> </w:t>
      </w:r>
      <w:r>
        <w:tab/>
        <w:t>Il ne s’agit</w:t>
      </w:r>
      <w:r w:rsidRPr="005D50A2">
        <w:t xml:space="preserve"> que de cinq ministères</w:t>
      </w:r>
      <w:r>
        <w:t xml:space="preserve"> </w:t>
      </w:r>
      <w:r w:rsidRPr="005D50A2">
        <w:t xml:space="preserve">le </w:t>
      </w:r>
      <w:r>
        <w:t>m</w:t>
      </w:r>
      <w:r w:rsidRPr="005D50A2">
        <w:t xml:space="preserve">inistère de l’Action </w:t>
      </w:r>
      <w:r>
        <w:t>s</w:t>
      </w:r>
      <w:r w:rsidRPr="005D50A2">
        <w:t xml:space="preserve">ociale et de la Solidarité </w:t>
      </w:r>
      <w:r>
        <w:t>n</w:t>
      </w:r>
      <w:r w:rsidRPr="005D50A2">
        <w:t>ationa</w:t>
      </w:r>
      <w:r>
        <w:t>le (</w:t>
      </w:r>
      <w:r w:rsidRPr="005D50A2">
        <w:t xml:space="preserve">MASSN), </w:t>
      </w:r>
      <w:r>
        <w:t>le m</w:t>
      </w:r>
      <w:r w:rsidRPr="005D50A2">
        <w:t xml:space="preserve">inistère de la Promotion de la </w:t>
      </w:r>
      <w:r>
        <w:t>f</w:t>
      </w:r>
      <w:r w:rsidRPr="005D50A2">
        <w:t xml:space="preserve">emme </w:t>
      </w:r>
      <w:r>
        <w:t>(</w:t>
      </w:r>
      <w:r w:rsidRPr="005D50A2">
        <w:t xml:space="preserve">MPF), </w:t>
      </w:r>
      <w:r>
        <w:t>le m</w:t>
      </w:r>
      <w:r w:rsidRPr="005D50A2">
        <w:t xml:space="preserve">inistère du Travail et de la Sécurité </w:t>
      </w:r>
      <w:r>
        <w:t>s</w:t>
      </w:r>
      <w:r w:rsidRPr="005D50A2">
        <w:t xml:space="preserve">ociale </w:t>
      </w:r>
      <w:r>
        <w:t>(</w:t>
      </w:r>
      <w:r w:rsidRPr="005D50A2">
        <w:t>MTSS),</w:t>
      </w:r>
      <w:r>
        <w:t xml:space="preserve"> le m</w:t>
      </w:r>
      <w:r w:rsidRPr="005D50A2">
        <w:t xml:space="preserve">inistère de l’Emploi et de la Jeunesse </w:t>
      </w:r>
      <w:r>
        <w:t>(</w:t>
      </w:r>
      <w:r w:rsidRPr="005D50A2">
        <w:t xml:space="preserve">MEJ), </w:t>
      </w:r>
      <w:r>
        <w:t>et le m</w:t>
      </w:r>
      <w:r w:rsidRPr="005D50A2">
        <w:t>inistère des Sports et Loisirs</w:t>
      </w:r>
      <w:r>
        <w:t xml:space="preserve"> (</w:t>
      </w:r>
      <w:r w:rsidRPr="005D50A2">
        <w:t>MSL).</w:t>
      </w:r>
    </w:p>
  </w:footnote>
  <w:footnote w:id="15">
    <w:p w:rsidR="00BB0D3F" w:rsidRPr="005D50A2" w:rsidRDefault="00BB0D3F" w:rsidP="00A54EB6">
      <w:pPr>
        <w:pStyle w:val="FootnoteText"/>
        <w:jc w:val="both"/>
      </w:pPr>
      <w:r w:rsidRPr="008045CC">
        <w:rPr>
          <w:rStyle w:val="FootnoteReference"/>
          <w:sz w:val="20"/>
        </w:rPr>
        <w:footnoteRef/>
      </w:r>
      <w:r w:rsidRPr="005D50A2">
        <w:t xml:space="preserve"> </w:t>
      </w:r>
      <w:r w:rsidRPr="005D50A2">
        <w:tab/>
        <w:t xml:space="preserve">Le Comité </w:t>
      </w:r>
      <w:r>
        <w:t>i</w:t>
      </w:r>
      <w:r w:rsidRPr="005D50A2">
        <w:t xml:space="preserve">nterministériel de </w:t>
      </w:r>
      <w:r>
        <w:t>s</w:t>
      </w:r>
      <w:r w:rsidRPr="005D50A2">
        <w:t xml:space="preserve">uivi de la </w:t>
      </w:r>
      <w:r>
        <w:t>c</w:t>
      </w:r>
      <w:r w:rsidRPr="005D50A2">
        <w:t>onjoncture (CISC)</w:t>
      </w:r>
      <w:r>
        <w:t xml:space="preserve">, </w:t>
      </w:r>
      <w:r w:rsidRPr="005D50A2">
        <w:t xml:space="preserve">mis en place en juillet 2009 pour coordonner le plan d’action </w:t>
      </w:r>
      <w:r>
        <w:t xml:space="preserve">de réponse aux effets de la </w:t>
      </w:r>
      <w:r w:rsidRPr="005D50A2">
        <w:t>crise</w:t>
      </w:r>
      <w:r>
        <w:t xml:space="preserve">, se réunit </w:t>
      </w:r>
      <w:r w:rsidRPr="005D50A2">
        <w:t xml:space="preserve">au niveau ministériel sous </w:t>
      </w:r>
      <w:r>
        <w:t>la conduite</w:t>
      </w:r>
      <w:r w:rsidRPr="005D50A2">
        <w:t xml:space="preserve"> du </w:t>
      </w:r>
      <w:r>
        <w:t>P</w:t>
      </w:r>
      <w:r w:rsidRPr="005D50A2">
        <w:t xml:space="preserve">remier ministre. </w:t>
      </w:r>
    </w:p>
  </w:footnote>
  <w:footnote w:id="16">
    <w:p w:rsidR="00BB0D3F" w:rsidRPr="009B10AA" w:rsidRDefault="00BB0D3F" w:rsidP="00A54EB6">
      <w:pPr>
        <w:pStyle w:val="FootnoteText"/>
      </w:pPr>
      <w:r w:rsidRPr="0056725B">
        <w:rPr>
          <w:rStyle w:val="FootnoteReference"/>
          <w:lang w:val="en-US"/>
        </w:rPr>
        <w:footnoteRef/>
      </w:r>
      <w:r w:rsidRPr="0056725B">
        <w:t xml:space="preserve"> </w:t>
      </w:r>
      <w:r w:rsidRPr="0056725B">
        <w:tab/>
      </w:r>
      <w:r>
        <w:t xml:space="preserve">Par exemple, le </w:t>
      </w:r>
      <w:r w:rsidRPr="005826BE">
        <w:t xml:space="preserve">Conseil </w:t>
      </w:r>
      <w:r w:rsidRPr="005826BE">
        <w:rPr>
          <w:szCs w:val="24"/>
        </w:rPr>
        <w:t>national de secours d'urgence et de réhabilitation</w:t>
      </w:r>
      <w:r w:rsidRPr="0056725B">
        <w:rPr>
          <w:szCs w:val="24"/>
        </w:rPr>
        <w:t xml:space="preserve"> o</w:t>
      </w:r>
      <w:r>
        <w:rPr>
          <w:szCs w:val="24"/>
        </w:rPr>
        <w:t>u</w:t>
      </w:r>
      <w:r w:rsidRPr="0056725B">
        <w:rPr>
          <w:szCs w:val="24"/>
        </w:rPr>
        <w:t xml:space="preserve"> CONASUR </w:t>
      </w:r>
      <w:r w:rsidRPr="0039580F">
        <w:rPr>
          <w:szCs w:val="24"/>
        </w:rPr>
        <w:t>a</w:t>
      </w:r>
      <w:r>
        <w:rPr>
          <w:szCs w:val="24"/>
        </w:rPr>
        <w:t>u niveau national</w:t>
      </w:r>
      <w:r w:rsidRPr="0056725B">
        <w:rPr>
          <w:szCs w:val="24"/>
        </w:rPr>
        <w:t>.</w:t>
      </w:r>
      <w:r>
        <w:rPr>
          <w:szCs w:val="24"/>
        </w:rPr>
        <w:t xml:space="preserve"> </w:t>
      </w:r>
      <w:r w:rsidRPr="009B10AA">
        <w:rPr>
          <w:szCs w:val="24"/>
        </w:rPr>
        <w:t xml:space="preserve">Le </w:t>
      </w:r>
      <w:r w:rsidRPr="009B10AA">
        <w:t xml:space="preserve">CONASUR est une structure interministérielle composée d’une quinzaine de départements ministériels, d’ONG et de la société </w:t>
      </w:r>
      <w:r>
        <w:t xml:space="preserve">nationale </w:t>
      </w:r>
      <w:r w:rsidRPr="009B10AA">
        <w:t xml:space="preserve">de la Croix Rouge, </w:t>
      </w:r>
      <w:r>
        <w:t xml:space="preserve">qui relève </w:t>
      </w:r>
      <w:r w:rsidRPr="009B10AA">
        <w:t>du MASSN.</w:t>
      </w:r>
    </w:p>
  </w:footnote>
  <w:footnote w:id="17">
    <w:p w:rsidR="00BB0D3F" w:rsidRPr="008A5459" w:rsidRDefault="00BB0D3F" w:rsidP="00A54EB6">
      <w:pPr>
        <w:pStyle w:val="FootnoteText"/>
        <w:jc w:val="both"/>
      </w:pPr>
      <w:r>
        <w:rPr>
          <w:rStyle w:val="FootnoteReference"/>
        </w:rPr>
        <w:footnoteRef/>
      </w:r>
      <w:r w:rsidRPr="009B10AA">
        <w:t xml:space="preserve"> Cette initiative bénéficie de l’appui de l’OIT et </w:t>
      </w:r>
      <w:r>
        <w:t>d’</w:t>
      </w:r>
      <w:r w:rsidRPr="009B10AA">
        <w:t>un projet de</w:t>
      </w:r>
      <w:r>
        <w:t xml:space="preserve"> l’Union européenne, géré</w:t>
      </w:r>
      <w:r w:rsidRPr="009B10AA">
        <w:t xml:space="preserve"> depuis Genève et </w:t>
      </w:r>
      <w:r>
        <w:t>dont l’objectif est d’</w:t>
      </w:r>
      <w:r w:rsidRPr="009B10AA">
        <w:t xml:space="preserve">offrir une plateforme de sensibilisation et d’échanges </w:t>
      </w:r>
      <w:r>
        <w:t>de</w:t>
      </w:r>
      <w:r w:rsidRPr="009B10AA">
        <w:t xml:space="preserve"> b</w:t>
      </w:r>
      <w:r>
        <w:t>onne</w:t>
      </w:r>
      <w:r w:rsidRPr="009B10AA">
        <w:t xml:space="preserve">s pratiques </w:t>
      </w:r>
      <w:r>
        <w:t>en matière de protection sociale et d</w:t>
      </w:r>
      <w:r w:rsidRPr="009B10AA">
        <w:t>’emploi.</w:t>
      </w:r>
      <w:r>
        <w:rPr>
          <w:szCs w:val="24"/>
        </w:rPr>
        <w:t xml:space="preserve"> </w:t>
      </w:r>
    </w:p>
  </w:footnote>
  <w:footnote w:id="18">
    <w:p w:rsidR="00BB0D3F" w:rsidRDefault="00BB0D3F" w:rsidP="00A66260">
      <w:pPr>
        <w:pStyle w:val="FootnoteText"/>
      </w:pPr>
      <w:r>
        <w:rPr>
          <w:rStyle w:val="FootnoteReference"/>
        </w:rPr>
        <w:footnoteRef/>
      </w:r>
      <w:r w:rsidRPr="00B43919">
        <w:t xml:space="preserve"> Mali</w:t>
      </w:r>
      <w:r>
        <w:t xml:space="preserve"> </w:t>
      </w:r>
      <w:r w:rsidRPr="00B43919">
        <w:t xml:space="preserve">: </w:t>
      </w:r>
      <w:r>
        <w:t>Filets</w:t>
      </w:r>
      <w:r w:rsidRPr="00B43919">
        <w:t xml:space="preserve"> sociaux, Banque mondiale 2010. </w:t>
      </w:r>
    </w:p>
  </w:footnote>
  <w:footnote w:id="19">
    <w:p w:rsidR="00BB0D3F" w:rsidRPr="00CB2E09" w:rsidRDefault="00BB0D3F" w:rsidP="00A66260">
      <w:pPr>
        <w:pStyle w:val="FootnoteText"/>
        <w:jc w:val="both"/>
      </w:pPr>
      <w:r>
        <w:rPr>
          <w:rStyle w:val="FootnoteReference"/>
        </w:rPr>
        <w:footnoteRef/>
      </w:r>
      <w:r w:rsidRPr="00CB2E09">
        <w:t xml:space="preserve"> En dehors de la santé et de l</w:t>
      </w:r>
      <w:r>
        <w:t>’</w:t>
      </w:r>
      <w:r w:rsidRPr="00CB2E09">
        <w:t xml:space="preserve">enseignement </w:t>
      </w:r>
      <w:r>
        <w:t>fondamental</w:t>
      </w:r>
      <w:r w:rsidRPr="00CB2E09">
        <w:t xml:space="preserve">, ceux-ci incluent les programmes sociaux du </w:t>
      </w:r>
      <w:r>
        <w:t>ministère</w:t>
      </w:r>
      <w:r w:rsidRPr="00CB2E09">
        <w:t xml:space="preserve"> de la Promotion d</w:t>
      </w:r>
      <w:r>
        <w:t>e la femme, du ministère de la Jeunesse, du T</w:t>
      </w:r>
      <w:r w:rsidRPr="00CB2E09">
        <w:t>ravail et de l</w:t>
      </w:r>
      <w:r>
        <w:t>’E</w:t>
      </w:r>
      <w:r w:rsidRPr="00CB2E09">
        <w:t xml:space="preserve">mploi, </w:t>
      </w:r>
      <w:r>
        <w:t xml:space="preserve">de celui </w:t>
      </w:r>
      <w:r w:rsidRPr="00CB2E09">
        <w:t xml:space="preserve">des </w:t>
      </w:r>
      <w:r>
        <w:t>I</w:t>
      </w:r>
      <w:r w:rsidRPr="00CB2E09">
        <w:t xml:space="preserve">nfrastructures (routes rurales), </w:t>
      </w:r>
      <w:r>
        <w:t>du ministère de l’</w:t>
      </w:r>
      <w:r w:rsidRPr="00CB2E09">
        <w:t xml:space="preserve">Agriculture, </w:t>
      </w:r>
      <w:r>
        <w:t>su ministère des Ressources a</w:t>
      </w:r>
      <w:r w:rsidRPr="00CB2E09">
        <w:t xml:space="preserve">nimales, </w:t>
      </w:r>
      <w:r>
        <w:t>du ministère de l’</w:t>
      </w:r>
      <w:r w:rsidRPr="00CB2E09">
        <w:t>Environ</w:t>
      </w:r>
      <w:r>
        <w:t>ne</w:t>
      </w:r>
      <w:r w:rsidRPr="00CB2E09">
        <w:t xml:space="preserve">ment, </w:t>
      </w:r>
      <w:r>
        <w:t>du ministère de l’</w:t>
      </w:r>
      <w:r w:rsidRPr="00CB2E09">
        <w:t xml:space="preserve">Information, </w:t>
      </w:r>
      <w:r>
        <w:t xml:space="preserve">du ministère de la </w:t>
      </w:r>
      <w:r w:rsidRPr="00CB2E09">
        <w:t xml:space="preserve">Justice, </w:t>
      </w:r>
      <w:r>
        <w:t xml:space="preserve">du ministère des Mines et de l’Énergie, le ministère de l’Économie et des </w:t>
      </w:r>
      <w:r w:rsidRPr="00CB2E09">
        <w:t>Finance</w:t>
      </w:r>
      <w:r>
        <w:t>s</w:t>
      </w:r>
      <w:r w:rsidRPr="00CB2E09">
        <w:t xml:space="preserve">, </w:t>
      </w:r>
      <w:r>
        <w:t>ainsi que certaines dépenses courantes.</w:t>
      </w:r>
    </w:p>
  </w:footnote>
  <w:footnote w:id="20">
    <w:p w:rsidR="00BB0D3F" w:rsidRPr="00E02E8F" w:rsidRDefault="00BB0D3F" w:rsidP="00A66260">
      <w:pPr>
        <w:pStyle w:val="FootnoteText"/>
        <w:jc w:val="both"/>
      </w:pPr>
      <w:r>
        <w:rPr>
          <w:rStyle w:val="FootnoteReference"/>
        </w:rPr>
        <w:footnoteRef/>
      </w:r>
      <w:r>
        <w:t xml:space="preserve"> PPTE (</w:t>
      </w:r>
      <w:r w:rsidRPr="001F0DD0">
        <w:t>Pays pauvres très endettés)</w:t>
      </w:r>
      <w:r w:rsidRPr="0028271E">
        <w:t xml:space="preserve">. </w:t>
      </w:r>
      <w:r>
        <w:t xml:space="preserve">Les montants dépensés sous cette rubrique correspondent aux dépenses publiques équivalentes à l’allègement de la dette au titre de l’Initiative PPTE. </w:t>
      </w:r>
    </w:p>
  </w:footnote>
  <w:footnote w:id="21">
    <w:p w:rsidR="00BB0D3F" w:rsidRPr="00A37C80" w:rsidRDefault="00BB0D3F" w:rsidP="00A66260">
      <w:pPr>
        <w:pStyle w:val="FootnoteText"/>
      </w:pPr>
      <w:r>
        <w:rPr>
          <w:rStyle w:val="FootnoteReference"/>
        </w:rPr>
        <w:footnoteRef/>
      </w:r>
      <w:r>
        <w:t xml:space="preserve"> </w:t>
      </w:r>
      <w:r w:rsidRPr="00A37C80">
        <w:t>Sur la base d</w:t>
      </w:r>
      <w:r>
        <w:t>’</w:t>
      </w:r>
      <w:r w:rsidRPr="00A37C80">
        <w:t>une population totale de 15,8 millions d</w:t>
      </w:r>
      <w:r>
        <w:t>’</w:t>
      </w:r>
      <w:r w:rsidRPr="00A37C80">
        <w:t>habitants (</w:t>
      </w:r>
      <w:r>
        <w:t>à la</w:t>
      </w:r>
      <w:r w:rsidRPr="00A37C80">
        <w:t xml:space="preserve"> mi-2009)</w:t>
      </w:r>
    </w:p>
  </w:footnote>
  <w:footnote w:id="22">
    <w:p w:rsidR="00BB0D3F" w:rsidRPr="003F1AFE" w:rsidRDefault="00BB0D3F" w:rsidP="00A66260">
      <w:pPr>
        <w:pStyle w:val="FootnoteText"/>
        <w:jc w:val="both"/>
      </w:pPr>
      <w:r w:rsidRPr="00C55A0C">
        <w:rPr>
          <w:rStyle w:val="FootnoteReference"/>
          <w:sz w:val="18"/>
          <w:szCs w:val="18"/>
        </w:rPr>
        <w:footnoteRef/>
      </w:r>
      <w:r w:rsidRPr="00876C9E">
        <w:tab/>
      </w:r>
      <w:r w:rsidRPr="00876C9E">
        <w:rPr>
          <w:lang w:eastAsia="en-US"/>
        </w:rPr>
        <w:t xml:space="preserve">En effet, comme </w:t>
      </w:r>
      <w:r>
        <w:rPr>
          <w:lang w:eastAsia="en-US"/>
        </w:rPr>
        <w:t xml:space="preserve">l’a récemment souligné </w:t>
      </w:r>
      <w:r w:rsidRPr="00876C9E">
        <w:rPr>
          <w:lang w:eastAsia="en-US"/>
        </w:rPr>
        <w:t>un rapport de la Banque mondiale [Document d</w:t>
      </w:r>
      <w:r>
        <w:rPr>
          <w:lang w:eastAsia="en-US"/>
        </w:rPr>
        <w:t>’</w:t>
      </w:r>
      <w:r w:rsidRPr="00876C9E">
        <w:rPr>
          <w:lang w:eastAsia="en-US"/>
        </w:rPr>
        <w:t xml:space="preserve">information </w:t>
      </w:r>
      <w:r>
        <w:rPr>
          <w:lang w:eastAsia="en-US"/>
        </w:rPr>
        <w:t xml:space="preserve">préparé </w:t>
      </w:r>
      <w:r w:rsidRPr="00876C9E">
        <w:rPr>
          <w:lang w:eastAsia="en-US"/>
        </w:rPr>
        <w:t>par l</w:t>
      </w:r>
      <w:r>
        <w:rPr>
          <w:lang w:eastAsia="en-US"/>
        </w:rPr>
        <w:t>e personnel du Groupe de l</w:t>
      </w:r>
      <w:r w:rsidRPr="00876C9E">
        <w:rPr>
          <w:lang w:eastAsia="en-US"/>
        </w:rPr>
        <w:t xml:space="preserve">a Banque mondiale </w:t>
      </w:r>
      <w:r>
        <w:rPr>
          <w:lang w:eastAsia="en-US"/>
        </w:rPr>
        <w:t xml:space="preserve">pour la rencontre des dirigeants du G-20 à </w:t>
      </w:r>
      <w:r w:rsidRPr="00876C9E">
        <w:rPr>
          <w:lang w:eastAsia="en-US"/>
        </w:rPr>
        <w:t xml:space="preserve">Pittsburgh, </w:t>
      </w:r>
      <w:r>
        <w:rPr>
          <w:lang w:eastAsia="en-US"/>
        </w:rPr>
        <w:t>États-Unis</w:t>
      </w:r>
      <w:r w:rsidRPr="00876C9E">
        <w:rPr>
          <w:lang w:eastAsia="en-US"/>
        </w:rPr>
        <w:t xml:space="preserve">, </w:t>
      </w:r>
      <w:r>
        <w:rPr>
          <w:lang w:eastAsia="en-US"/>
        </w:rPr>
        <w:t xml:space="preserve">du </w:t>
      </w:r>
      <w:r w:rsidRPr="00876C9E">
        <w:rPr>
          <w:lang w:eastAsia="en-US"/>
        </w:rPr>
        <w:t xml:space="preserve">24-25 </w:t>
      </w:r>
      <w:r>
        <w:rPr>
          <w:lang w:eastAsia="en-US"/>
        </w:rPr>
        <w:t>s</w:t>
      </w:r>
      <w:r w:rsidRPr="00876C9E">
        <w:rPr>
          <w:lang w:eastAsia="en-US"/>
        </w:rPr>
        <w:t xml:space="preserve">eptembre 2009]: </w:t>
      </w:r>
      <w:r w:rsidRPr="00633E98">
        <w:rPr>
          <w:lang w:eastAsia="en-US"/>
        </w:rPr>
        <w:t>« </w:t>
      </w:r>
      <w:r w:rsidRPr="00CA52BC">
        <w:rPr>
          <w:i/>
          <w:lang w:eastAsia="en-US"/>
        </w:rPr>
        <w:t xml:space="preserve">Même </w:t>
      </w:r>
      <w:r>
        <w:rPr>
          <w:i/>
          <w:lang w:eastAsia="en-US"/>
        </w:rPr>
        <w:t xml:space="preserve">un léger repli </w:t>
      </w:r>
      <w:r w:rsidRPr="00CA52BC">
        <w:rPr>
          <w:i/>
          <w:lang w:eastAsia="en-US"/>
        </w:rPr>
        <w:t xml:space="preserve">peut avoir </w:t>
      </w:r>
      <w:r>
        <w:rPr>
          <w:i/>
          <w:lang w:eastAsia="en-US"/>
        </w:rPr>
        <w:t xml:space="preserve">un impact coûteux et de </w:t>
      </w:r>
      <w:r w:rsidRPr="00CA52BC">
        <w:rPr>
          <w:i/>
          <w:lang w:eastAsia="en-US"/>
        </w:rPr>
        <w:t xml:space="preserve">longue durée sur le bien-être </w:t>
      </w:r>
      <w:r>
        <w:rPr>
          <w:i/>
          <w:lang w:eastAsia="en-US"/>
        </w:rPr>
        <w:t xml:space="preserve">des personnes, étant donné que les </w:t>
      </w:r>
      <w:r w:rsidRPr="00CA52BC">
        <w:rPr>
          <w:i/>
          <w:lang w:eastAsia="en-US"/>
        </w:rPr>
        <w:t xml:space="preserve">familles </w:t>
      </w:r>
      <w:r>
        <w:rPr>
          <w:i/>
          <w:lang w:eastAsia="en-US"/>
        </w:rPr>
        <w:t xml:space="preserve">qui ont peu d’opportunités </w:t>
      </w:r>
      <w:r w:rsidRPr="00CA52BC">
        <w:rPr>
          <w:i/>
          <w:lang w:eastAsia="en-US"/>
        </w:rPr>
        <w:t>d</w:t>
      </w:r>
      <w:r>
        <w:rPr>
          <w:i/>
          <w:lang w:eastAsia="en-US"/>
        </w:rPr>
        <w:t>’</w:t>
      </w:r>
      <w:r w:rsidRPr="00CA52BC">
        <w:rPr>
          <w:i/>
          <w:lang w:eastAsia="en-US"/>
        </w:rPr>
        <w:t>emploi</w:t>
      </w:r>
      <w:r>
        <w:rPr>
          <w:i/>
          <w:lang w:eastAsia="en-US"/>
        </w:rPr>
        <w:t xml:space="preserve"> alternatif et peu ou pas d’accès au c</w:t>
      </w:r>
      <w:r w:rsidRPr="00CA52BC">
        <w:rPr>
          <w:i/>
          <w:lang w:eastAsia="en-US"/>
        </w:rPr>
        <w:t>rédit sont obligé</w:t>
      </w:r>
      <w:r>
        <w:rPr>
          <w:i/>
          <w:lang w:eastAsia="en-US"/>
        </w:rPr>
        <w:t>e</w:t>
      </w:r>
      <w:r w:rsidRPr="00CA52BC">
        <w:rPr>
          <w:i/>
          <w:lang w:eastAsia="en-US"/>
        </w:rPr>
        <w:t>s de réduire l</w:t>
      </w:r>
      <w:r>
        <w:rPr>
          <w:i/>
          <w:lang w:eastAsia="en-US"/>
        </w:rPr>
        <w:t xml:space="preserve">eur consommation alimentaire, </w:t>
      </w:r>
      <w:r w:rsidRPr="00CA52BC">
        <w:rPr>
          <w:i/>
          <w:lang w:eastAsia="en-US"/>
        </w:rPr>
        <w:t xml:space="preserve">même </w:t>
      </w:r>
      <w:r>
        <w:rPr>
          <w:i/>
          <w:lang w:eastAsia="en-US"/>
        </w:rPr>
        <w:t>celle des</w:t>
      </w:r>
      <w:r w:rsidRPr="00CA52BC">
        <w:rPr>
          <w:i/>
          <w:lang w:eastAsia="en-US"/>
        </w:rPr>
        <w:t xml:space="preserve"> </w:t>
      </w:r>
      <w:r>
        <w:rPr>
          <w:i/>
          <w:lang w:eastAsia="en-US"/>
        </w:rPr>
        <w:t>enfants en bas âge</w:t>
      </w:r>
      <w:r w:rsidRPr="00CA52BC">
        <w:rPr>
          <w:i/>
          <w:lang w:eastAsia="en-US"/>
        </w:rPr>
        <w:t>, ou de retirer le</w:t>
      </w:r>
      <w:r>
        <w:rPr>
          <w:i/>
          <w:lang w:eastAsia="en-US"/>
        </w:rPr>
        <w:t>ur</w:t>
      </w:r>
      <w:r w:rsidRPr="00CA52BC">
        <w:rPr>
          <w:i/>
          <w:lang w:eastAsia="en-US"/>
        </w:rPr>
        <w:t>s enfants de l</w:t>
      </w:r>
      <w:r>
        <w:rPr>
          <w:i/>
          <w:lang w:eastAsia="en-US"/>
        </w:rPr>
        <w:t>’</w:t>
      </w:r>
      <w:r w:rsidRPr="00CA52BC">
        <w:rPr>
          <w:i/>
          <w:lang w:eastAsia="en-US"/>
        </w:rPr>
        <w:t xml:space="preserve">école. </w:t>
      </w:r>
      <w:r>
        <w:rPr>
          <w:i/>
          <w:lang w:eastAsia="en-US"/>
        </w:rPr>
        <w:t xml:space="preserve">Les crises passées ont montré </w:t>
      </w:r>
      <w:r w:rsidRPr="00CA52BC">
        <w:rPr>
          <w:i/>
          <w:lang w:eastAsia="en-US"/>
        </w:rPr>
        <w:t xml:space="preserve">que les enfants </w:t>
      </w:r>
      <w:r>
        <w:rPr>
          <w:i/>
          <w:lang w:eastAsia="en-US"/>
        </w:rPr>
        <w:t>privés de nourriture</w:t>
      </w:r>
      <w:r w:rsidRPr="00B933E9">
        <w:rPr>
          <w:i/>
          <w:lang w:eastAsia="en-US"/>
        </w:rPr>
        <w:t xml:space="preserve"> </w:t>
      </w:r>
      <w:r>
        <w:rPr>
          <w:i/>
          <w:lang w:eastAsia="en-US"/>
        </w:rPr>
        <w:t xml:space="preserve">à court terme </w:t>
      </w:r>
      <w:r w:rsidRPr="00CA52BC">
        <w:rPr>
          <w:i/>
          <w:lang w:eastAsia="en-US"/>
        </w:rPr>
        <w:t>peuvent subir des dommages à long terme. Ces</w:t>
      </w:r>
      <w:r>
        <w:rPr>
          <w:i/>
          <w:lang w:eastAsia="en-US"/>
        </w:rPr>
        <w:t xml:space="preserve"> éventuels</w:t>
      </w:r>
      <w:r w:rsidRPr="00CA52BC">
        <w:rPr>
          <w:i/>
          <w:lang w:eastAsia="en-US"/>
        </w:rPr>
        <w:t xml:space="preserve"> effets indésirables soulign</w:t>
      </w:r>
      <w:r>
        <w:rPr>
          <w:i/>
          <w:lang w:eastAsia="en-US"/>
        </w:rPr>
        <w:t xml:space="preserve">ent </w:t>
      </w:r>
      <w:r w:rsidRPr="00CA52BC">
        <w:rPr>
          <w:i/>
          <w:lang w:eastAsia="en-US"/>
        </w:rPr>
        <w:t>l</w:t>
      </w:r>
      <w:r>
        <w:rPr>
          <w:i/>
          <w:lang w:eastAsia="en-US"/>
        </w:rPr>
        <w:t>’</w:t>
      </w:r>
      <w:r w:rsidRPr="00CA52BC">
        <w:rPr>
          <w:i/>
          <w:lang w:eastAsia="en-US"/>
        </w:rPr>
        <w:t xml:space="preserve">importance </w:t>
      </w:r>
      <w:r>
        <w:rPr>
          <w:i/>
          <w:lang w:eastAsia="en-US"/>
        </w:rPr>
        <w:t>d’une protection d</w:t>
      </w:r>
      <w:r w:rsidRPr="00CA52BC">
        <w:rPr>
          <w:i/>
          <w:lang w:eastAsia="en-US"/>
        </w:rPr>
        <w:t xml:space="preserve">es dépenses de base, y compris </w:t>
      </w:r>
      <w:r>
        <w:rPr>
          <w:i/>
          <w:lang w:eastAsia="en-US"/>
        </w:rPr>
        <w:t xml:space="preserve">dans </w:t>
      </w:r>
      <w:r w:rsidRPr="00CA52BC">
        <w:rPr>
          <w:i/>
          <w:lang w:eastAsia="en-US"/>
        </w:rPr>
        <w:t>la santé et l</w:t>
      </w:r>
      <w:r>
        <w:rPr>
          <w:i/>
          <w:lang w:eastAsia="en-US"/>
        </w:rPr>
        <w:t>’</w:t>
      </w:r>
      <w:r w:rsidRPr="00CA52BC">
        <w:rPr>
          <w:i/>
          <w:lang w:eastAsia="en-US"/>
        </w:rPr>
        <w:t>éducation,</w:t>
      </w:r>
      <w:r>
        <w:rPr>
          <w:i/>
          <w:lang w:eastAsia="en-US"/>
        </w:rPr>
        <w:t xml:space="preserve"> </w:t>
      </w:r>
      <w:r w:rsidRPr="00CA52BC">
        <w:rPr>
          <w:i/>
          <w:lang w:eastAsia="en-US"/>
        </w:rPr>
        <w:t xml:space="preserve">face </w:t>
      </w:r>
      <w:r>
        <w:rPr>
          <w:i/>
          <w:lang w:eastAsia="en-US"/>
        </w:rPr>
        <w:t>à la baisse brutale des revenus. </w:t>
      </w:r>
      <w:r w:rsidRPr="00633E98">
        <w:rPr>
          <w:lang w:eastAsia="en-US"/>
        </w:rPr>
        <w:t xml:space="preserve">» </w:t>
      </w:r>
    </w:p>
  </w:footnote>
  <w:footnote w:id="23">
    <w:p w:rsidR="00BB0D3F" w:rsidRPr="009965EF" w:rsidRDefault="00BB0D3F" w:rsidP="00A66260">
      <w:pPr>
        <w:pStyle w:val="FootnoteText"/>
      </w:pPr>
      <w:r>
        <w:rPr>
          <w:rStyle w:val="FootnoteReference"/>
        </w:rPr>
        <w:footnoteRef/>
      </w:r>
      <w:r w:rsidRPr="009965EF">
        <w:t xml:space="preserve"> </w:t>
      </w:r>
      <w:r w:rsidRPr="009965EF">
        <w:rPr>
          <w:rFonts w:ascii="TimesNewRomanPSMT" w:hAnsi="TimesNewRomanPSMT" w:cs="TimesNewRomanPSMT"/>
          <w:szCs w:val="24"/>
        </w:rPr>
        <w:t>Maquette de simulation des objectifs d</w:t>
      </w:r>
      <w:r>
        <w:rPr>
          <w:rFonts w:ascii="TimesNewRomanPSMT" w:hAnsi="TimesNewRomanPSMT" w:cs="TimesNewRomanPSMT"/>
          <w:szCs w:val="24"/>
        </w:rPr>
        <w:t>u Millénaire pour le développement</w:t>
      </w:r>
      <w:r w:rsidRPr="009965EF">
        <w:rPr>
          <w:rFonts w:ascii="TimesNewRomanPSMT" w:hAnsi="TimesNewRomanPSMT" w:cs="TimesNewRomanPSMT"/>
          <w:szCs w:val="24"/>
        </w:rPr>
        <w:t>.</w:t>
      </w:r>
    </w:p>
  </w:footnote>
  <w:footnote w:id="24">
    <w:p w:rsidR="00BB0D3F" w:rsidRPr="00564537" w:rsidRDefault="00BB0D3F" w:rsidP="00A66260">
      <w:pPr>
        <w:pStyle w:val="FootnoteText"/>
        <w:jc w:val="both"/>
      </w:pPr>
      <w:r>
        <w:rPr>
          <w:rStyle w:val="FootnoteReference"/>
        </w:rPr>
        <w:footnoteRef/>
      </w:r>
      <w:r w:rsidRPr="00564537">
        <w:rPr>
          <w:sz w:val="18"/>
          <w:szCs w:val="18"/>
        </w:rPr>
        <w:tab/>
      </w:r>
      <w:r>
        <w:rPr>
          <w:sz w:val="18"/>
          <w:szCs w:val="18"/>
        </w:rPr>
        <w:t>Nous partons de l’hypothèse d’</w:t>
      </w:r>
      <w:r w:rsidRPr="00564537">
        <w:rPr>
          <w:sz w:val="18"/>
          <w:szCs w:val="18"/>
        </w:rPr>
        <w:t>un coût moyen de 12 000</w:t>
      </w:r>
      <w:r>
        <w:rPr>
          <w:sz w:val="18"/>
          <w:szCs w:val="18"/>
        </w:rPr>
        <w:t xml:space="preserve"> francs</w:t>
      </w:r>
      <w:r w:rsidRPr="00564537">
        <w:rPr>
          <w:sz w:val="18"/>
          <w:szCs w:val="18"/>
        </w:rPr>
        <w:t xml:space="preserve"> CFA/an par bénéficiaire </w:t>
      </w:r>
      <w:r>
        <w:rPr>
          <w:sz w:val="18"/>
          <w:szCs w:val="18"/>
        </w:rPr>
        <w:t>pour les</w:t>
      </w:r>
      <w:r w:rsidRPr="00564537">
        <w:rPr>
          <w:sz w:val="18"/>
          <w:szCs w:val="18"/>
        </w:rPr>
        <w:t xml:space="preserve"> programmes nutritionnels en fav</w:t>
      </w:r>
      <w:r>
        <w:rPr>
          <w:sz w:val="18"/>
          <w:szCs w:val="18"/>
        </w:rPr>
        <w:t>eur des enfants de moins de 5 an</w:t>
      </w:r>
      <w:r w:rsidRPr="00564537">
        <w:rPr>
          <w:sz w:val="18"/>
          <w:szCs w:val="18"/>
        </w:rPr>
        <w:t>s et des mères.</w:t>
      </w:r>
    </w:p>
  </w:footnote>
  <w:footnote w:id="25">
    <w:p w:rsidR="00BB0D3F" w:rsidRPr="00E12BBF" w:rsidRDefault="00BB0D3F" w:rsidP="00A66260">
      <w:pPr>
        <w:tabs>
          <w:tab w:val="clear" w:pos="709"/>
        </w:tabs>
        <w:autoSpaceDE w:val="0"/>
        <w:autoSpaceDN w:val="0"/>
        <w:adjustRightInd w:val="0"/>
        <w:spacing w:after="0"/>
        <w:jc w:val="left"/>
        <w:rPr>
          <w:lang w:val="fr-FR"/>
        </w:rPr>
      </w:pPr>
      <w:r w:rsidRPr="004C6A06">
        <w:rPr>
          <w:rStyle w:val="FootnoteReference"/>
          <w:sz w:val="20"/>
          <w:szCs w:val="20"/>
        </w:rPr>
        <w:footnoteRef/>
      </w:r>
      <w:r w:rsidRPr="00E12BBF">
        <w:rPr>
          <w:sz w:val="20"/>
          <w:szCs w:val="20"/>
          <w:lang w:val="fr-FR"/>
        </w:rPr>
        <w:t xml:space="preserve"> </w:t>
      </w:r>
      <w:r w:rsidRPr="00C06FC0">
        <w:rPr>
          <w:rFonts w:ascii="TimesNewRomanPS-BoldMT" w:hAnsi="TimesNewRomanPS-BoldMT" w:cs="TimesNewRomanPS-BoldMT"/>
          <w:bCs/>
          <w:sz w:val="20"/>
          <w:szCs w:val="20"/>
          <w:lang w:val="fr-FR" w:eastAsia="fr-FR"/>
        </w:rPr>
        <w:t>Burkina Faso</w:t>
      </w:r>
      <w:r>
        <w:rPr>
          <w:rFonts w:ascii="TimesNewRomanPS-BoldMT" w:hAnsi="TimesNewRomanPS-BoldMT" w:cs="TimesNewRomanPS-BoldMT"/>
          <w:bCs/>
          <w:sz w:val="20"/>
          <w:szCs w:val="20"/>
          <w:lang w:val="fr-FR" w:eastAsia="fr-FR"/>
        </w:rPr>
        <w:t xml:space="preserve"> </w:t>
      </w:r>
      <w:r w:rsidRPr="00C06FC0">
        <w:rPr>
          <w:rFonts w:ascii="TimesNewRomanPS-BoldMT" w:hAnsi="TimesNewRomanPS-BoldMT" w:cs="TimesNewRomanPS-BoldMT"/>
          <w:bCs/>
          <w:sz w:val="20"/>
          <w:szCs w:val="20"/>
          <w:lang w:val="fr-FR" w:eastAsia="fr-FR"/>
        </w:rPr>
        <w:t>Rapport des services du FMI pour les consultations de 2009 au titre de</w:t>
      </w:r>
      <w:r>
        <w:rPr>
          <w:rFonts w:ascii="TimesNewRomanPS-BoldMT" w:hAnsi="TimesNewRomanPS-BoldMT" w:cs="TimesNewRomanPS-BoldMT"/>
          <w:bCs/>
          <w:sz w:val="20"/>
          <w:szCs w:val="20"/>
          <w:lang w:val="fr-FR" w:eastAsia="fr-FR"/>
        </w:rPr>
        <w:t xml:space="preserve"> </w:t>
      </w:r>
      <w:r w:rsidRPr="00C06FC0">
        <w:rPr>
          <w:rFonts w:ascii="TimesNewRomanPS-BoldMT" w:hAnsi="TimesNewRomanPS-BoldMT" w:cs="TimesNewRomanPS-BoldMT"/>
          <w:bCs/>
          <w:sz w:val="20"/>
          <w:szCs w:val="20"/>
          <w:lang w:val="fr-FR" w:eastAsia="fr-FR"/>
        </w:rPr>
        <w:t>l</w:t>
      </w:r>
      <w:r>
        <w:rPr>
          <w:rFonts w:ascii="TimesNewRomanPS-BoldMT" w:hAnsi="TimesNewRomanPS-BoldMT" w:cs="TimesNewRomanPS-BoldMT"/>
          <w:bCs/>
          <w:sz w:val="20"/>
          <w:szCs w:val="20"/>
          <w:lang w:val="fr-FR" w:eastAsia="fr-FR"/>
        </w:rPr>
        <w:t>’A</w:t>
      </w:r>
      <w:r w:rsidRPr="00C06FC0">
        <w:rPr>
          <w:rFonts w:ascii="TimesNewRomanPS-BoldMT" w:hAnsi="TimesNewRomanPS-BoldMT" w:cs="TimesNewRomanPS-BoldMT"/>
          <w:bCs/>
          <w:sz w:val="20"/>
          <w:szCs w:val="20"/>
          <w:lang w:val="fr-FR" w:eastAsia="fr-FR"/>
        </w:rPr>
        <w:t xml:space="preserve">rticle IV, cinquième </w:t>
      </w:r>
      <w:r>
        <w:rPr>
          <w:rFonts w:ascii="TimesNewRomanPS-BoldMT" w:hAnsi="TimesNewRomanPS-BoldMT" w:cs="TimesNewRomanPS-BoldMT"/>
          <w:bCs/>
          <w:sz w:val="20"/>
          <w:szCs w:val="20"/>
          <w:lang w:val="fr-FR" w:eastAsia="fr-FR"/>
        </w:rPr>
        <w:t>examen</w:t>
      </w:r>
      <w:r w:rsidRPr="00C06FC0">
        <w:rPr>
          <w:rFonts w:ascii="TimesNewRomanPS-BoldMT" w:hAnsi="TimesNewRomanPS-BoldMT" w:cs="TimesNewRomanPS-BoldMT"/>
          <w:bCs/>
          <w:sz w:val="20"/>
          <w:szCs w:val="20"/>
          <w:lang w:val="fr-FR" w:eastAsia="fr-FR"/>
        </w:rPr>
        <w:t xml:space="preserve"> au titre de la Facilité pour la réduction de</w:t>
      </w:r>
      <w:r>
        <w:rPr>
          <w:rFonts w:ascii="TimesNewRomanPS-BoldMT" w:hAnsi="TimesNewRomanPS-BoldMT" w:cs="TimesNewRomanPS-BoldMT"/>
          <w:bCs/>
          <w:sz w:val="20"/>
          <w:szCs w:val="20"/>
          <w:lang w:val="fr-FR" w:eastAsia="fr-FR"/>
        </w:rPr>
        <w:t xml:space="preserve"> </w:t>
      </w:r>
      <w:r w:rsidRPr="00C06FC0">
        <w:rPr>
          <w:rFonts w:ascii="TimesNewRomanPS-BoldMT" w:hAnsi="TimesNewRomanPS-BoldMT" w:cs="TimesNewRomanPS-BoldMT"/>
          <w:bCs/>
          <w:sz w:val="20"/>
          <w:szCs w:val="20"/>
          <w:lang w:val="fr-FR" w:eastAsia="fr-FR"/>
        </w:rPr>
        <w:t>la pauvreté et pour la croissance et demandes d</w:t>
      </w:r>
      <w:r>
        <w:rPr>
          <w:rFonts w:ascii="TimesNewRomanPS-BoldMT" w:hAnsi="TimesNewRomanPS-BoldMT" w:cs="TimesNewRomanPS-BoldMT"/>
          <w:bCs/>
          <w:sz w:val="20"/>
          <w:szCs w:val="20"/>
          <w:lang w:val="fr-FR" w:eastAsia="fr-FR"/>
        </w:rPr>
        <w:t>’</w:t>
      </w:r>
      <w:r w:rsidRPr="00C06FC0">
        <w:rPr>
          <w:rFonts w:ascii="TimesNewRomanPS-BoldMT" w:hAnsi="TimesNewRomanPS-BoldMT" w:cs="TimesNewRomanPS-BoldMT"/>
          <w:bCs/>
          <w:sz w:val="20"/>
          <w:szCs w:val="20"/>
          <w:lang w:val="fr-FR" w:eastAsia="fr-FR"/>
        </w:rPr>
        <w:t>augmentation d</w:t>
      </w:r>
      <w:r>
        <w:rPr>
          <w:rFonts w:ascii="TimesNewRomanPS-BoldMT" w:hAnsi="TimesNewRomanPS-BoldMT" w:cs="TimesNewRomanPS-BoldMT"/>
          <w:bCs/>
          <w:sz w:val="20"/>
          <w:szCs w:val="20"/>
          <w:lang w:val="fr-FR" w:eastAsia="fr-FR"/>
        </w:rPr>
        <w:t>e l’</w:t>
      </w:r>
      <w:r w:rsidRPr="00C06FC0">
        <w:rPr>
          <w:rFonts w:ascii="TimesNewRomanPS-BoldMT" w:hAnsi="TimesNewRomanPS-BoldMT" w:cs="TimesNewRomanPS-BoldMT"/>
          <w:bCs/>
          <w:sz w:val="20"/>
          <w:szCs w:val="20"/>
          <w:lang w:val="fr-FR" w:eastAsia="fr-FR"/>
        </w:rPr>
        <w:t>accès et de</w:t>
      </w:r>
      <w:r>
        <w:rPr>
          <w:rFonts w:ascii="TimesNewRomanPS-BoldMT" w:hAnsi="TimesNewRomanPS-BoldMT" w:cs="TimesNewRomanPS-BoldMT"/>
          <w:bCs/>
          <w:sz w:val="20"/>
          <w:szCs w:val="20"/>
          <w:lang w:val="fr-FR" w:eastAsia="fr-FR"/>
        </w:rPr>
        <w:t xml:space="preserve"> </w:t>
      </w:r>
      <w:r w:rsidRPr="00C06FC0">
        <w:rPr>
          <w:rFonts w:ascii="TimesNewRomanPS-BoldMT" w:hAnsi="TimesNewRomanPS-BoldMT" w:cs="TimesNewRomanPS-BoldMT"/>
          <w:bCs/>
          <w:sz w:val="20"/>
          <w:szCs w:val="20"/>
          <w:lang w:val="fr-FR" w:eastAsia="fr-FR"/>
        </w:rPr>
        <w:t>modifica</w:t>
      </w:r>
      <w:r>
        <w:rPr>
          <w:rFonts w:ascii="TimesNewRomanPS-BoldMT" w:hAnsi="TimesNewRomanPS-BoldMT" w:cs="TimesNewRomanPS-BoldMT"/>
          <w:bCs/>
          <w:sz w:val="20"/>
          <w:szCs w:val="20"/>
          <w:lang w:val="fr-FR" w:eastAsia="fr-FR"/>
        </w:rPr>
        <w:t>tion des critères de performance, j</w:t>
      </w:r>
      <w:r w:rsidRPr="00E12BBF">
        <w:rPr>
          <w:bCs/>
          <w:sz w:val="20"/>
          <w:szCs w:val="20"/>
          <w:lang w:val="fr-FR"/>
        </w:rPr>
        <w:t>anvier 2010.</w:t>
      </w:r>
    </w:p>
  </w:footnote>
  <w:footnote w:id="26">
    <w:p w:rsidR="00BB0D3F" w:rsidRPr="00E12BBF" w:rsidRDefault="00BB0D3F" w:rsidP="00A66260">
      <w:pPr>
        <w:tabs>
          <w:tab w:val="clear" w:pos="709"/>
        </w:tabs>
        <w:autoSpaceDE w:val="0"/>
        <w:autoSpaceDN w:val="0"/>
        <w:adjustRightInd w:val="0"/>
        <w:spacing w:after="0"/>
        <w:jc w:val="left"/>
        <w:rPr>
          <w:lang w:val="fr-FR"/>
        </w:rPr>
      </w:pPr>
    </w:p>
  </w:footnote>
  <w:footnote w:id="27">
    <w:p w:rsidR="00BB0D3F" w:rsidRPr="00703A5D" w:rsidRDefault="00BB0D3F" w:rsidP="00CF3516">
      <w:pPr>
        <w:pStyle w:val="FootnoteText"/>
      </w:pPr>
      <w:r>
        <w:rPr>
          <w:rStyle w:val="FootnoteReference"/>
        </w:rPr>
        <w:footnoteRef/>
      </w:r>
      <w:r>
        <w:t xml:space="preserve"> Pour le</w:t>
      </w:r>
      <w:r w:rsidRPr="00703A5D">
        <w:t xml:space="preserve"> CNLS-IST</w:t>
      </w:r>
      <w:r>
        <w:t>, un</w:t>
      </w:r>
      <w:r w:rsidRPr="00703A5D">
        <w:t xml:space="preserve"> orphelin </w:t>
      </w:r>
      <w:r>
        <w:t xml:space="preserve">est </w:t>
      </w:r>
      <w:r w:rsidRPr="00703A5D">
        <w:t xml:space="preserve">un enfant de moins de 15 </w:t>
      </w:r>
      <w:r>
        <w:t xml:space="preserve">ans ayant </w:t>
      </w:r>
      <w:r w:rsidRPr="00703A5D">
        <w:t>perdu au moins</w:t>
      </w:r>
      <w:r>
        <w:t xml:space="preserve"> l’</w:t>
      </w:r>
      <w:r w:rsidRPr="00703A5D">
        <w:t>un de</w:t>
      </w:r>
      <w:r>
        <w:t xml:space="preserve"> ses parents biologiques.</w:t>
      </w:r>
    </w:p>
  </w:footnote>
  <w:footnote w:id="28">
    <w:p w:rsidR="00BB0D3F" w:rsidRPr="00703A5D" w:rsidRDefault="00BB0D3F" w:rsidP="00CF3516">
      <w:pPr>
        <w:pStyle w:val="FootnoteText"/>
        <w:jc w:val="both"/>
      </w:pPr>
      <w:r>
        <w:rPr>
          <w:rStyle w:val="FootnoteReference"/>
        </w:rPr>
        <w:footnoteRef/>
      </w:r>
      <w:r>
        <w:t xml:space="preserve"> Pour le</w:t>
      </w:r>
      <w:r w:rsidRPr="00703A5D">
        <w:t xml:space="preserve"> CNLS-IST</w:t>
      </w:r>
      <w:r>
        <w:t>,</w:t>
      </w:r>
      <w:r w:rsidRPr="00703A5D">
        <w:t xml:space="preserve"> </w:t>
      </w:r>
      <w:r>
        <w:t>un</w:t>
      </w:r>
      <w:r w:rsidRPr="00703A5D">
        <w:t xml:space="preserve"> enfant vulnérable </w:t>
      </w:r>
      <w:r>
        <w:t xml:space="preserve">est </w:t>
      </w:r>
      <w:r w:rsidRPr="00703A5D">
        <w:t>un enfant vivan</w:t>
      </w:r>
      <w:r>
        <w:t>t dans un ménage dont le revenu</w:t>
      </w:r>
      <w:r w:rsidRPr="00703A5D">
        <w:t xml:space="preserve"> par personne est </w:t>
      </w:r>
      <w:r>
        <w:t>inférieur au seuil de pauvreté ou dans un ménage dont au moins un des membres est séropositif</w:t>
      </w:r>
      <w:r w:rsidRPr="00703A5D">
        <w:t>.</w:t>
      </w:r>
    </w:p>
  </w:footnote>
  <w:footnote w:id="29">
    <w:p w:rsidR="00BB0D3F" w:rsidRPr="001E4A3C" w:rsidRDefault="00BB0D3F" w:rsidP="00CF3516">
      <w:pPr>
        <w:pStyle w:val="FootnoteText"/>
        <w:jc w:val="both"/>
      </w:pPr>
      <w:r>
        <w:rPr>
          <w:rStyle w:val="FootnoteReference"/>
        </w:rPr>
        <w:footnoteRef/>
      </w:r>
      <w:r>
        <w:t xml:space="preserve"> </w:t>
      </w:r>
      <w:r w:rsidRPr="001E4A3C">
        <w:t>L’</w:t>
      </w:r>
      <w:r>
        <w:t>é</w:t>
      </w:r>
      <w:r w:rsidRPr="001E4A3C">
        <w:t>quipe a en outr</w:t>
      </w:r>
      <w:r>
        <w:t>e</w:t>
      </w:r>
      <w:r w:rsidRPr="001E4A3C">
        <w:t xml:space="preserve"> recommandé </w:t>
      </w:r>
      <w:r>
        <w:t>un certain nombre</w:t>
      </w:r>
      <w:r w:rsidRPr="001E4A3C">
        <w:t xml:space="preserve"> d’activités complém</w:t>
      </w:r>
      <w:r>
        <w:t>entaires, comprenant le dépistage de la malnutrition et la possible expansion des programmes de nutrition du PAM et de l’UNICEF à</w:t>
      </w:r>
      <w:r>
        <w:rPr>
          <w:i/>
        </w:rPr>
        <w:t xml:space="preserve"> </w:t>
      </w:r>
      <w:r w:rsidRPr="001E4A3C">
        <w:t>Ouagadougou et Bobo-Dioulasso</w:t>
      </w:r>
      <w:r>
        <w:t xml:space="preserve"> des activités de cantines scolaires (éventuellement avec des chèques ciblant expressément les écoliers indigents) des activités génératrices de revenu (en particulier pour les femmes) des programmes de formation professionnelle et de microcrédit pour les jeunes l’appui aux petites industries à Bobo l’appui à la production agricole et l’exemption des frais de santé. Elle a également suggéré de conditionner les chèques à l’assiduité scolaire dans une deuxième phase du programme, tout en reconnaissant que des écoles supplémentaires devraient être construites (il y a actuellement 100 à 200 élèves par classe dans les écoles publiques). Elle a aussi demandé une évaluation de la situation dans d’autres villes du pays. </w:t>
      </w:r>
    </w:p>
  </w:footnote>
  <w:footnote w:id="30">
    <w:p w:rsidR="00BB0D3F" w:rsidRDefault="00BB0D3F" w:rsidP="00CF3516">
      <w:pPr>
        <w:pStyle w:val="FootnoteText"/>
      </w:pPr>
      <w:r>
        <w:rPr>
          <w:rStyle w:val="FootnoteReference"/>
        </w:rPr>
        <w:footnoteRef/>
      </w:r>
      <w:r w:rsidRPr="004A22ED">
        <w:t xml:space="preserve"> Au 30 juin 2009, le niveau du Stock d’intervention était de 10</w:t>
      </w:r>
      <w:r>
        <w:t> </w:t>
      </w:r>
      <w:r w:rsidRPr="004A22ED">
        <w:t xml:space="preserve">404,14 </w:t>
      </w:r>
      <w:r>
        <w:t>tonnes métriques</w:t>
      </w:r>
      <w:r w:rsidRPr="004A22ED">
        <w:t xml:space="preserve">, </w:t>
      </w:r>
      <w:r>
        <w:t>ce qui est conforme à</w:t>
      </w:r>
      <w:r w:rsidRPr="004A22ED">
        <w:t xml:space="preserve"> son niveau habituel </w:t>
      </w:r>
      <w:r>
        <w:t xml:space="preserve">de </w:t>
      </w:r>
      <w:r w:rsidRPr="004A22ED">
        <w:t>10</w:t>
      </w:r>
      <w:r>
        <w:t> </w:t>
      </w:r>
      <w:r w:rsidRPr="004A22ED">
        <w:t>000</w:t>
      </w:r>
      <w:r>
        <w:t xml:space="preserve"> tonnes métriques</w:t>
      </w:r>
      <w:r w:rsidRPr="004A22ED">
        <w:t xml:space="preserve">, </w:t>
      </w:r>
      <w:r>
        <w:t>et était constitué de 91 % de maïs, millet, sorgho, 5 % de niébé et 4 % de riz local.</w:t>
      </w:r>
    </w:p>
  </w:footnote>
  <w:footnote w:id="31">
    <w:p w:rsidR="00BB0D3F" w:rsidRDefault="00BB0D3F" w:rsidP="00CF3516">
      <w:pPr>
        <w:pStyle w:val="FootnoteText"/>
      </w:pPr>
      <w:r>
        <w:rPr>
          <w:rStyle w:val="FootnoteReference"/>
        </w:rPr>
        <w:footnoteRef/>
      </w:r>
      <w:r>
        <w:t xml:space="preserve"> </w:t>
      </w:r>
      <w:r w:rsidRPr="004A22ED">
        <w:t xml:space="preserve">Le COPROSUR </w:t>
      </w:r>
      <w:r>
        <w:t>n</w:t>
      </w:r>
      <w:r w:rsidRPr="004A22ED">
        <w:t>e reçoit que 100</w:t>
      </w:r>
      <w:r>
        <w:t> </w:t>
      </w:r>
      <w:r w:rsidRPr="004A22ED">
        <w:t xml:space="preserve">000 </w:t>
      </w:r>
      <w:r>
        <w:t>francs CFA</w:t>
      </w:r>
      <w:r w:rsidRPr="004A22ED">
        <w:t xml:space="preserve"> par </w:t>
      </w:r>
      <w:r>
        <w:t>mois pour les activités de suivi et évaluation</w:t>
      </w:r>
      <w:r w:rsidRPr="004A22ED">
        <w:t>.</w:t>
      </w:r>
    </w:p>
  </w:footnote>
  <w:footnote w:id="32">
    <w:p w:rsidR="00BB0D3F" w:rsidRDefault="00BB0D3F" w:rsidP="00CF3516">
      <w:pPr>
        <w:pStyle w:val="FootnoteText"/>
      </w:pPr>
      <w:r>
        <w:rPr>
          <w:rStyle w:val="FootnoteReference"/>
        </w:rPr>
        <w:footnoteRef/>
      </w:r>
      <w:r w:rsidRPr="004C16B2">
        <w:t xml:space="preserve"> </w:t>
      </w:r>
      <w:r>
        <w:t>En considérant un ménage de 6 personnes et une ration journalière de 400 grammes de céréales par personne.</w:t>
      </w:r>
    </w:p>
  </w:footnote>
  <w:footnote w:id="33">
    <w:p w:rsidR="00BB0D3F" w:rsidRDefault="00BB0D3F">
      <w:pPr>
        <w:pStyle w:val="FootnoteText"/>
      </w:pPr>
      <w:r>
        <w:rPr>
          <w:rStyle w:val="FootnoteReference"/>
        </w:rPr>
        <w:footnoteRef/>
      </w:r>
      <w:r>
        <w:t xml:space="preserve">  Le CNSA a estimé</w:t>
      </w:r>
      <w:r w:rsidRPr="00577EB1">
        <w:t xml:space="preserve"> que pendant la période 2002-2008 le nombre de rations alimentaires journalières supplémentaires (400 g de céréales) distribuées à la fois à travers les ventes subventionnées et les distributions de vivres gratuits ont dépassé 100 millions, c</w:t>
      </w:r>
      <w:r>
        <w:t>e qui laisse à supposer qu’un total de (seulement) 40 000 tonnes de céréales a été distribué au cours de la période</w:t>
      </w:r>
      <w:r w:rsidRPr="00577EB1">
        <w:t xml:space="preserve"> [SE-CNSA 2009]</w:t>
      </w:r>
      <w:r>
        <w:t>.</w:t>
      </w:r>
    </w:p>
  </w:footnote>
  <w:footnote w:id="34">
    <w:p w:rsidR="00BB0D3F" w:rsidRPr="00CD173A" w:rsidRDefault="00BB0D3F">
      <w:pPr>
        <w:pStyle w:val="FootnoteText"/>
      </w:pPr>
      <w:r>
        <w:rPr>
          <w:rStyle w:val="FootnoteReference"/>
        </w:rPr>
        <w:footnoteRef/>
      </w:r>
      <w:r w:rsidRPr="00CD173A">
        <w:t xml:space="preserve"> Le CONASUR </w:t>
      </w:r>
      <w:r w:rsidRPr="00EB214A">
        <w:t>a rapport</w:t>
      </w:r>
      <w:r>
        <w:t>é</w:t>
      </w:r>
      <w:r w:rsidRPr="00EB214A">
        <w:t xml:space="preserve"> qu’en 2005</w:t>
      </w:r>
      <w:r>
        <w:t xml:space="preserve"> un total de 13 342,5 tonnes avait été distribué </w:t>
      </w:r>
      <w:r w:rsidRPr="00577EB1">
        <w:t>à travers les ventes subventionnées</w:t>
      </w:r>
      <w:r>
        <w:t xml:space="preserve"> à un total de 552 611 ménages </w:t>
      </w:r>
      <w:r w:rsidRPr="00EB214A">
        <w:t>[CONASUR 2008a]</w:t>
      </w:r>
      <w:r>
        <w:t xml:space="preserve">. Ceci ne représenterait que 24 Kg par ménage soit les besoins moyens d’un ménage pour 10 jours seulement. Aucune donnée sur les tonnages et bénéficiaires des ventes subventionnées n’ait fournit pour les années 2006, 2007 et 2008 </w:t>
      </w:r>
      <w:r w:rsidRPr="00EB214A">
        <w:t>[CONASUR 2008a and 2008b]</w:t>
      </w:r>
      <w:r>
        <w:t>.</w:t>
      </w:r>
    </w:p>
  </w:footnote>
  <w:footnote w:id="35">
    <w:p w:rsidR="00BB0D3F" w:rsidRDefault="00BB0D3F" w:rsidP="00CF3516">
      <w:pPr>
        <w:pStyle w:val="FootnoteText"/>
      </w:pPr>
      <w:r>
        <w:rPr>
          <w:rStyle w:val="FootnoteReference"/>
        </w:rPr>
        <w:footnoteRef/>
      </w:r>
      <w:r w:rsidRPr="004A22ED">
        <w:t xml:space="preserve"> Le niveau de 70</w:t>
      </w:r>
      <w:r>
        <w:t> </w:t>
      </w:r>
      <w:r w:rsidRPr="004A22ED">
        <w:t xml:space="preserve">000 </w:t>
      </w:r>
      <w:r>
        <w:t>tonnes métriques</w:t>
      </w:r>
      <w:r w:rsidRPr="004A22ED">
        <w:t xml:space="preserve"> défini il y a 10 ans n’a jama</w:t>
      </w:r>
      <w:r>
        <w:t xml:space="preserve">is été revu malgré l’énorme croissance démographique. </w:t>
      </w:r>
    </w:p>
  </w:footnote>
  <w:footnote w:id="36">
    <w:p w:rsidR="00BB0D3F" w:rsidRDefault="00BB0D3F" w:rsidP="003203FB">
      <w:pPr>
        <w:tabs>
          <w:tab w:val="left" w:pos="284"/>
        </w:tabs>
        <w:spacing w:after="0"/>
        <w:rPr>
          <w:lang w:val="fr-FR"/>
        </w:rPr>
      </w:pPr>
      <w:r>
        <w:rPr>
          <w:rStyle w:val="FootnoteReference"/>
        </w:rPr>
        <w:footnoteRef/>
      </w:r>
      <w:r w:rsidRPr="00450714">
        <w:rPr>
          <w:lang w:val="fr-FR"/>
        </w:rPr>
        <w:t xml:space="preserve"> </w:t>
      </w:r>
      <w:r w:rsidRPr="00450714">
        <w:rPr>
          <w:sz w:val="20"/>
          <w:szCs w:val="20"/>
          <w:lang w:val="fr-FR"/>
        </w:rPr>
        <w:t>Le plan</w:t>
      </w:r>
      <w:r>
        <w:rPr>
          <w:sz w:val="20"/>
          <w:szCs w:val="20"/>
          <w:lang w:val="fr-FR"/>
        </w:rPr>
        <w:t xml:space="preserve"> </w:t>
      </w:r>
      <w:r w:rsidRPr="00450714">
        <w:rPr>
          <w:sz w:val="20"/>
          <w:szCs w:val="20"/>
          <w:lang w:val="fr-FR"/>
        </w:rPr>
        <w:t xml:space="preserve">d’urgence de sécurité alimentaire développé pour la période 2008-2012 comprend </w:t>
      </w:r>
      <w:r>
        <w:rPr>
          <w:sz w:val="20"/>
          <w:szCs w:val="20"/>
          <w:lang w:val="fr-FR"/>
        </w:rPr>
        <w:t>à</w:t>
      </w:r>
      <w:r w:rsidRPr="00450714">
        <w:rPr>
          <w:sz w:val="20"/>
          <w:szCs w:val="20"/>
          <w:lang w:val="fr-FR"/>
        </w:rPr>
        <w:t xml:space="preserve"> court terme</w:t>
      </w:r>
      <w:r>
        <w:rPr>
          <w:sz w:val="20"/>
          <w:szCs w:val="20"/>
          <w:lang w:val="fr-FR"/>
        </w:rPr>
        <w:t xml:space="preserve"> </w:t>
      </w:r>
      <w:r w:rsidRPr="00450714">
        <w:rPr>
          <w:sz w:val="20"/>
          <w:szCs w:val="20"/>
          <w:lang w:val="fr-FR"/>
        </w:rPr>
        <w:t>des distributions alimentaires ciblées</w:t>
      </w:r>
      <w:r>
        <w:rPr>
          <w:sz w:val="20"/>
          <w:szCs w:val="20"/>
          <w:lang w:val="fr-FR"/>
        </w:rPr>
        <w:t xml:space="preserve"> </w:t>
      </w:r>
      <w:r w:rsidRPr="00450714">
        <w:rPr>
          <w:sz w:val="20"/>
          <w:szCs w:val="20"/>
          <w:lang w:val="fr-FR"/>
        </w:rPr>
        <w:t>l</w:t>
      </w:r>
      <w:r>
        <w:rPr>
          <w:sz w:val="20"/>
          <w:szCs w:val="20"/>
          <w:lang w:val="fr-FR"/>
        </w:rPr>
        <w:t>es cantines scolaires</w:t>
      </w:r>
      <w:r w:rsidRPr="00450714">
        <w:rPr>
          <w:sz w:val="20"/>
          <w:szCs w:val="20"/>
          <w:lang w:val="fr-FR"/>
        </w:rPr>
        <w:t>, la nutri</w:t>
      </w:r>
      <w:r>
        <w:rPr>
          <w:sz w:val="20"/>
          <w:szCs w:val="20"/>
          <w:lang w:val="fr-FR"/>
        </w:rPr>
        <w:t>tion, les soins de santé de la mè</w:t>
      </w:r>
      <w:r w:rsidRPr="00450714">
        <w:rPr>
          <w:sz w:val="20"/>
          <w:szCs w:val="20"/>
          <w:lang w:val="fr-FR"/>
        </w:rPr>
        <w:t xml:space="preserve">re et </w:t>
      </w:r>
      <w:r>
        <w:rPr>
          <w:sz w:val="20"/>
          <w:szCs w:val="20"/>
          <w:lang w:val="fr-FR"/>
        </w:rPr>
        <w:t>de</w:t>
      </w:r>
      <w:r w:rsidRPr="00450714">
        <w:rPr>
          <w:sz w:val="20"/>
          <w:szCs w:val="20"/>
          <w:lang w:val="fr-FR"/>
        </w:rPr>
        <w:t xml:space="preserve"> l’enfant</w:t>
      </w:r>
      <w:r>
        <w:rPr>
          <w:sz w:val="20"/>
          <w:szCs w:val="20"/>
          <w:lang w:val="fr-FR"/>
        </w:rPr>
        <w:t xml:space="preserve"> </w:t>
      </w:r>
      <w:r w:rsidRPr="00450714">
        <w:rPr>
          <w:sz w:val="20"/>
          <w:szCs w:val="20"/>
          <w:lang w:val="fr-FR"/>
        </w:rPr>
        <w:t xml:space="preserve">et </w:t>
      </w:r>
      <w:r>
        <w:rPr>
          <w:sz w:val="20"/>
          <w:szCs w:val="20"/>
          <w:lang w:val="fr-FR"/>
        </w:rPr>
        <w:t xml:space="preserve">à moyen et long terme </w:t>
      </w:r>
      <w:r w:rsidRPr="00450714">
        <w:rPr>
          <w:sz w:val="20"/>
          <w:szCs w:val="20"/>
          <w:lang w:val="fr-FR"/>
        </w:rPr>
        <w:t>des banq</w:t>
      </w:r>
      <w:r>
        <w:rPr>
          <w:sz w:val="20"/>
          <w:szCs w:val="20"/>
          <w:lang w:val="fr-FR"/>
        </w:rPr>
        <w:t xml:space="preserve">ues de céréales un programme d’achat public pour augmenter la demande du marché en aliments nutritifs l’expansion des programmes de cantines scolaires basés sur la production locale des investissements dans la nutrition des mères l’intégration de la nutrition dans les programmes de promotion de la santé infantile (au titre du volet « Améliorer l’utilisation des denrées alimentaires ») l’accroissement des opportunités d’emploi, en particulier pour les femmes la construction de 10 156 kilomètres de voies ferrées rurales </w:t>
      </w:r>
      <w:r w:rsidRPr="00450714">
        <w:rPr>
          <w:sz w:val="20"/>
          <w:lang w:val="fr-FR"/>
        </w:rPr>
        <w:t>(MID, 210</w:t>
      </w:r>
      <w:r>
        <w:rPr>
          <w:sz w:val="20"/>
          <w:lang w:val="fr-FR"/>
        </w:rPr>
        <w:t> </w:t>
      </w:r>
      <w:r w:rsidRPr="00450714">
        <w:rPr>
          <w:sz w:val="20"/>
          <w:lang w:val="fr-FR"/>
        </w:rPr>
        <w:t>720</w:t>
      </w:r>
      <w:r>
        <w:rPr>
          <w:sz w:val="20"/>
          <w:lang w:val="fr-FR"/>
        </w:rPr>
        <w:t xml:space="preserve"> millions</w:t>
      </w:r>
      <w:r w:rsidRPr="00450714">
        <w:rPr>
          <w:sz w:val="20"/>
          <w:lang w:val="fr-FR"/>
        </w:rPr>
        <w:t xml:space="preserve"> </w:t>
      </w:r>
      <w:r>
        <w:rPr>
          <w:sz w:val="20"/>
          <w:lang w:val="fr-FR"/>
        </w:rPr>
        <w:t>de francs CFA</w:t>
      </w:r>
      <w:r w:rsidRPr="00450714">
        <w:rPr>
          <w:sz w:val="20"/>
          <w:lang w:val="fr-FR"/>
        </w:rPr>
        <w:t xml:space="preserve"> 2009-2012).</w:t>
      </w:r>
    </w:p>
  </w:footnote>
  <w:footnote w:id="37">
    <w:p w:rsidR="00BB0D3F" w:rsidRPr="00712B6B" w:rsidRDefault="00BB0D3F" w:rsidP="003203FB">
      <w:pPr>
        <w:pStyle w:val="FootnoteText"/>
        <w:jc w:val="both"/>
      </w:pPr>
      <w:r>
        <w:rPr>
          <w:rStyle w:val="FootnoteReference"/>
        </w:rPr>
        <w:footnoteRef/>
      </w:r>
      <w:r>
        <w:t xml:space="preserve"> Au titre de l</w:t>
      </w:r>
      <w:r w:rsidRPr="00712B6B">
        <w:t>’aide alimentaire, sur la p</w:t>
      </w:r>
      <w:r>
        <w:t>é</w:t>
      </w:r>
      <w:r w:rsidRPr="00712B6B">
        <w:t>riode 2006-2009, le pays a enregistré 18</w:t>
      </w:r>
      <w:r>
        <w:t> </w:t>
      </w:r>
      <w:r w:rsidRPr="00712B6B">
        <w:t xml:space="preserve">324 </w:t>
      </w:r>
      <w:r>
        <w:t xml:space="preserve">tonnes métriques de sorgho et de maïs, 5 003,1 tonnes métriques de niébé du PAM, et 14 532.484 tonnes métriques de riz du Japon. </w:t>
      </w:r>
      <w:r w:rsidRPr="00712B6B">
        <w:t xml:space="preserve">La majorité a été distribuée </w:t>
      </w:r>
      <w:r>
        <w:t>à travers des distributions gratuites ou des programmes Vivres contre travail.</w:t>
      </w:r>
    </w:p>
  </w:footnote>
  <w:footnote w:id="38">
    <w:p w:rsidR="00BB0D3F" w:rsidRDefault="00BB0D3F" w:rsidP="00CF3516">
      <w:pPr>
        <w:pStyle w:val="FootnoteText"/>
      </w:pPr>
      <w:r>
        <w:rPr>
          <w:rStyle w:val="FootnoteReference"/>
        </w:rPr>
        <w:footnoteRef/>
      </w:r>
      <w:r>
        <w:t xml:space="preserve"> </w:t>
      </w:r>
      <w:r w:rsidRPr="00343885">
        <w:t>Ceci n’inclut pas les transferts aliment</w:t>
      </w:r>
      <w:r>
        <w:t>aire</w:t>
      </w:r>
      <w:r w:rsidRPr="00343885">
        <w:t xml:space="preserve">s </w:t>
      </w:r>
      <w:r>
        <w:t>réalisés</w:t>
      </w:r>
      <w:r w:rsidRPr="00343885">
        <w:t xml:space="preserve"> dans le cadre d</w:t>
      </w:r>
      <w:r>
        <w:t>’interventions nutritionnelles et du type Vivres contre travail.</w:t>
      </w:r>
    </w:p>
  </w:footnote>
  <w:footnote w:id="39">
    <w:p w:rsidR="00BB0D3F" w:rsidRDefault="00BB0D3F" w:rsidP="0050199E">
      <w:pPr>
        <w:pStyle w:val="FootnoteText"/>
      </w:pPr>
      <w:r>
        <w:rPr>
          <w:rStyle w:val="FootnoteReference"/>
        </w:rPr>
        <w:footnoteRef/>
      </w:r>
      <w:r>
        <w:t xml:space="preserve"> </w:t>
      </w:r>
      <w:r w:rsidRPr="0043637C">
        <w:t>Le DAF/MESSRS procure aux écoles bénéficiaires</w:t>
      </w:r>
      <w:r>
        <w:t xml:space="preserve"> </w:t>
      </w:r>
      <w:r w:rsidRPr="0043637C">
        <w:t xml:space="preserve">les écoles </w:t>
      </w:r>
      <w:r>
        <w:t xml:space="preserve">tant </w:t>
      </w:r>
      <w:r w:rsidRPr="0043637C">
        <w:t xml:space="preserve">publiques </w:t>
      </w:r>
      <w:r>
        <w:t>que</w:t>
      </w:r>
      <w:r w:rsidRPr="0043637C">
        <w:t xml:space="preserve"> privées désignées peuvent soumettre une demande</w:t>
      </w:r>
      <w:r>
        <w:t xml:space="preserve"> </w:t>
      </w:r>
      <w:r w:rsidRPr="0043637C">
        <w:t xml:space="preserve">des kits et des denrées alimentaires </w:t>
      </w:r>
      <w:r>
        <w:t>(</w:t>
      </w:r>
      <w:r w:rsidRPr="0043637C">
        <w:t>riz, p</w:t>
      </w:r>
      <w:r>
        <w:t>â</w:t>
      </w:r>
      <w:r w:rsidRPr="0043637C">
        <w:t>tes, sardines, tomates</w:t>
      </w:r>
      <w:r>
        <w:t xml:space="preserve"> quatre</w:t>
      </w:r>
      <w:r w:rsidRPr="0043637C">
        <w:t xml:space="preserve"> produits importés</w:t>
      </w:r>
      <w:r w:rsidRPr="009A5E2C">
        <w:rPr>
          <w:rFonts w:ascii="Calibri" w:hAnsi="Calibri"/>
        </w:rPr>
        <w:t>–</w:t>
      </w:r>
      <w:r>
        <w:t xml:space="preserve"> </w:t>
      </w:r>
      <w:r w:rsidRPr="0043637C">
        <w:t>niébé et igname</w:t>
      </w:r>
      <w:r>
        <w:t>s)</w:t>
      </w:r>
      <w:r w:rsidRPr="0043637C">
        <w:t xml:space="preserve"> pour un tiers des é</w:t>
      </w:r>
      <w:r>
        <w:t>lèves</w:t>
      </w:r>
      <w:r w:rsidRPr="0043637C">
        <w:t xml:space="preserve">. </w:t>
      </w:r>
      <w:r w:rsidRPr="003026F7">
        <w:t xml:space="preserve">Les écoles sont </w:t>
      </w:r>
      <w:r>
        <w:t>chargées de</w:t>
      </w:r>
      <w:r w:rsidRPr="003026F7">
        <w:t xml:space="preserve"> transporter les denrées et de </w:t>
      </w:r>
      <w:r>
        <w:t>servir les repas au</w:t>
      </w:r>
      <w:r w:rsidRPr="003026F7">
        <w:t xml:space="preserve"> prix subventionn</w:t>
      </w:r>
      <w:r>
        <w:t>é</w:t>
      </w:r>
      <w:r w:rsidRPr="003026F7">
        <w:t xml:space="preserve"> de</w:t>
      </w:r>
      <w:r>
        <w:t> </w:t>
      </w:r>
      <w:r w:rsidRPr="003026F7">
        <w:t xml:space="preserve">100 </w:t>
      </w:r>
      <w:r>
        <w:t xml:space="preserve">francs </w:t>
      </w:r>
      <w:r w:rsidRPr="003026F7">
        <w:t>CFA</w:t>
      </w:r>
      <w:r>
        <w:t xml:space="preserve"> à </w:t>
      </w:r>
      <w:r w:rsidRPr="003026F7">
        <w:t xml:space="preserve">Ouagadougou </w:t>
      </w:r>
      <w:r>
        <w:t>et</w:t>
      </w:r>
      <w:r w:rsidRPr="003026F7">
        <w:t xml:space="preserve"> Bobo-Dioulasso, </w:t>
      </w:r>
      <w:r>
        <w:t>50 francs C</w:t>
      </w:r>
      <w:r w:rsidRPr="003026F7">
        <w:t xml:space="preserve">AF </w:t>
      </w:r>
      <w:r>
        <w:t xml:space="preserve">au Sahel et </w:t>
      </w:r>
      <w:r w:rsidRPr="003026F7">
        <w:t>75</w:t>
      </w:r>
      <w:r>
        <w:t xml:space="preserve"> francs CFA</w:t>
      </w:r>
      <w:r w:rsidRPr="003026F7">
        <w:t xml:space="preserve"> </w:t>
      </w:r>
      <w:r>
        <w:t>ailleurs</w:t>
      </w:r>
      <w:r w:rsidRPr="003026F7">
        <w:t>.</w:t>
      </w:r>
      <w:r>
        <w:t xml:space="preserve"> </w:t>
      </w:r>
      <w:r w:rsidRPr="008E1B74">
        <w:t xml:space="preserve">Les écoles doivent verser </w:t>
      </w:r>
      <w:r>
        <w:t>au</w:t>
      </w:r>
      <w:r w:rsidRPr="008E1B74">
        <w:t xml:space="preserve"> Trésor 35 </w:t>
      </w:r>
      <w:r>
        <w:t>francs CFA</w:t>
      </w:r>
      <w:r w:rsidRPr="008E1B74">
        <w:t xml:space="preserve"> par repas pour les </w:t>
      </w:r>
      <w:r>
        <w:t>coût</w:t>
      </w:r>
      <w:r w:rsidRPr="008E1B74">
        <w:t>s administratifs.</w:t>
      </w:r>
    </w:p>
  </w:footnote>
  <w:footnote w:id="40">
    <w:p w:rsidR="00BB0D3F" w:rsidRDefault="00BB0D3F" w:rsidP="0075722A">
      <w:pPr>
        <w:pStyle w:val="FootnoteText"/>
      </w:pPr>
      <w:r>
        <w:rPr>
          <w:rStyle w:val="FootnoteReference"/>
        </w:rPr>
        <w:footnoteRef/>
      </w:r>
      <w:r>
        <w:t xml:space="preserve"> </w:t>
      </w:r>
      <w:r w:rsidRPr="008E1B74">
        <w:t>À titre indicati</w:t>
      </w:r>
      <w:r>
        <w:t>f</w:t>
      </w:r>
      <w:r w:rsidRPr="008E1B74">
        <w:t xml:space="preserve">, entre 2006 et 2010, le </w:t>
      </w:r>
      <w:r>
        <w:t>coût</w:t>
      </w:r>
      <w:r w:rsidRPr="008E1B74">
        <w:t xml:space="preserve"> moyen du programme de cantines scolaires du PAM</w:t>
      </w:r>
      <w:r>
        <w:t xml:space="preserve"> était de 21 000 francs CFA par élève et par an</w:t>
      </w:r>
      <w:r w:rsidRPr="008E1B74">
        <w:t>.</w:t>
      </w:r>
    </w:p>
  </w:footnote>
  <w:footnote w:id="41">
    <w:p w:rsidR="00BB0D3F" w:rsidRDefault="00BB0D3F" w:rsidP="0050199E">
      <w:pPr>
        <w:widowControl w:val="0"/>
        <w:tabs>
          <w:tab w:val="left" w:pos="284"/>
        </w:tabs>
        <w:rPr>
          <w:lang w:val="fr-FR"/>
        </w:rPr>
      </w:pPr>
      <w:r>
        <w:rPr>
          <w:rStyle w:val="FootnoteReference"/>
        </w:rPr>
        <w:footnoteRef/>
      </w:r>
      <w:r>
        <w:rPr>
          <w:lang w:val="fr-FR"/>
        </w:rPr>
        <w:t xml:space="preserve"> </w:t>
      </w:r>
      <w:r w:rsidRPr="00C12FB7">
        <w:rPr>
          <w:sz w:val="20"/>
          <w:lang w:val="fr-FR"/>
        </w:rPr>
        <w:t>L</w:t>
      </w:r>
      <w:r>
        <w:rPr>
          <w:sz w:val="20"/>
          <w:lang w:val="fr-FR"/>
        </w:rPr>
        <w:t>’</w:t>
      </w:r>
      <w:r w:rsidRPr="00C12FB7">
        <w:rPr>
          <w:sz w:val="20"/>
          <w:lang w:val="fr-FR"/>
        </w:rPr>
        <w:t xml:space="preserve">initiative Achats pour le </w:t>
      </w:r>
      <w:r>
        <w:rPr>
          <w:sz w:val="20"/>
          <w:lang w:val="fr-FR"/>
        </w:rPr>
        <w:t>p</w:t>
      </w:r>
      <w:r w:rsidRPr="00C12FB7">
        <w:rPr>
          <w:sz w:val="20"/>
          <w:lang w:val="fr-FR"/>
        </w:rPr>
        <w:t>rogrès (</w:t>
      </w:r>
      <w:r w:rsidRPr="000F5D4A">
        <w:rPr>
          <w:sz w:val="20"/>
          <w:lang w:val="fr-FR"/>
        </w:rPr>
        <w:t>P4P</w:t>
      </w:r>
      <w:r w:rsidRPr="00C12FB7">
        <w:rPr>
          <w:sz w:val="20"/>
          <w:lang w:val="fr-FR"/>
        </w:rPr>
        <w:t>) du PAM a pour but d</w:t>
      </w:r>
      <w:r>
        <w:rPr>
          <w:sz w:val="20"/>
          <w:lang w:val="fr-FR"/>
        </w:rPr>
        <w:t>’</w:t>
      </w:r>
      <w:r w:rsidRPr="00C12FB7">
        <w:rPr>
          <w:sz w:val="20"/>
          <w:lang w:val="fr-FR"/>
        </w:rPr>
        <w:t>assurer que 10 à 15</w:t>
      </w:r>
      <w:r>
        <w:rPr>
          <w:sz w:val="20"/>
          <w:lang w:val="fr-FR"/>
        </w:rPr>
        <w:t> </w:t>
      </w:r>
      <w:r w:rsidRPr="00C12FB7">
        <w:rPr>
          <w:sz w:val="20"/>
          <w:lang w:val="fr-FR"/>
        </w:rPr>
        <w:t xml:space="preserve">% des produits </w:t>
      </w:r>
      <w:r>
        <w:rPr>
          <w:sz w:val="20"/>
          <w:lang w:val="fr-FR"/>
        </w:rPr>
        <w:t xml:space="preserve">alimentaires </w:t>
      </w:r>
      <w:r w:rsidRPr="00C12FB7">
        <w:rPr>
          <w:sz w:val="20"/>
          <w:lang w:val="fr-FR"/>
        </w:rPr>
        <w:t xml:space="preserve">sont achetés aux exploitants agricoles locaux. Cette initiative a été lancée en </w:t>
      </w:r>
      <w:r>
        <w:rPr>
          <w:sz w:val="20"/>
          <w:lang w:val="fr-FR"/>
        </w:rPr>
        <w:t xml:space="preserve">janvier </w:t>
      </w:r>
      <w:r w:rsidRPr="00C12FB7">
        <w:rPr>
          <w:sz w:val="20"/>
          <w:lang w:val="fr-FR"/>
        </w:rPr>
        <w:t>2009 avec l</w:t>
      </w:r>
      <w:r>
        <w:rPr>
          <w:sz w:val="20"/>
          <w:lang w:val="fr-FR"/>
        </w:rPr>
        <w:t>’</w:t>
      </w:r>
      <w:r w:rsidRPr="00C12FB7">
        <w:rPr>
          <w:sz w:val="20"/>
          <w:lang w:val="fr-FR"/>
        </w:rPr>
        <w:t>appui de la Fondation Bill et Melinda Gates et elle vise à renforcer les chaines de production</w:t>
      </w:r>
      <w:r w:rsidRPr="00FC0992">
        <w:rPr>
          <w:sz w:val="20"/>
          <w:lang w:val="fr-FR"/>
        </w:rPr>
        <w:t>.</w:t>
      </w:r>
    </w:p>
  </w:footnote>
  <w:footnote w:id="42">
    <w:p w:rsidR="00BB0D3F" w:rsidRDefault="00BB0D3F" w:rsidP="0050199E">
      <w:pPr>
        <w:pStyle w:val="FootnoteText"/>
      </w:pPr>
      <w:r>
        <w:rPr>
          <w:rStyle w:val="FootnoteReference"/>
        </w:rPr>
        <w:footnoteRef/>
      </w:r>
      <w:r>
        <w:t xml:space="preserve"> </w:t>
      </w:r>
      <w:r w:rsidRPr="000C7DFA">
        <w:t>Une subvention explicite du LPG a</w:t>
      </w:r>
      <w:r>
        <w:t>vait</w:t>
      </w:r>
      <w:r w:rsidRPr="000C7DFA">
        <w:t xml:space="preserve"> été introduite avant 2007</w:t>
      </w:r>
      <w:r>
        <w:t xml:space="preserve"> en tant que mesure à long terme. D’autres mesures pour compenser la hausse des prix pétroliers ont été introduites en juillet 2007, janvier 2008 et juillet 2008. </w:t>
      </w:r>
    </w:p>
  </w:footnote>
  <w:footnote w:id="43">
    <w:p w:rsidR="00BB0D3F" w:rsidRDefault="00BB0D3F" w:rsidP="0050199E">
      <w:pPr>
        <w:pStyle w:val="FootnoteText"/>
      </w:pPr>
      <w:r>
        <w:rPr>
          <w:rStyle w:val="FootnoteReference"/>
        </w:rPr>
        <w:footnoteRef/>
      </w:r>
      <w:r w:rsidRPr="000F5D4A">
        <w:t xml:space="preserve"> Selon le FMI, en tenant compte des pertes sur les taxes à la cons</w:t>
      </w:r>
      <w:r>
        <w:t>o</w:t>
      </w:r>
      <w:r w:rsidRPr="000F5D4A">
        <w:t>mmation dues à ce</w:t>
      </w:r>
      <w:r>
        <w:t>s mesures, le coût total de la subvention des produits pétroliers peut être estimé à 2,9 % du PIB.</w:t>
      </w:r>
    </w:p>
  </w:footnote>
  <w:footnote w:id="44">
    <w:p w:rsidR="00BB0D3F" w:rsidRDefault="00BB0D3F" w:rsidP="0050199E">
      <w:pPr>
        <w:pStyle w:val="FootnoteText"/>
      </w:pPr>
      <w:r>
        <w:rPr>
          <w:rStyle w:val="FootnoteReference"/>
        </w:rPr>
        <w:footnoteRef/>
      </w:r>
      <w:r>
        <w:t xml:space="preserve"> En 2009, le MJE a octroyé</w:t>
      </w:r>
      <w:r w:rsidRPr="00286F9D">
        <w:t xml:space="preserve"> un budget de 10 </w:t>
      </w:r>
      <w:r>
        <w:t>millions de</w:t>
      </w:r>
      <w:r w:rsidRPr="00286F9D">
        <w:t xml:space="preserve"> </w:t>
      </w:r>
      <w:r>
        <w:t>francs CFA</w:t>
      </w:r>
      <w:r w:rsidRPr="00286F9D">
        <w:t xml:space="preserve"> </w:t>
      </w:r>
      <w:r>
        <w:t>pour une telle</w:t>
      </w:r>
      <w:r w:rsidRPr="00286F9D">
        <w:t xml:space="preserve"> activité et </w:t>
      </w:r>
      <w:r>
        <w:t>a mis en place</w:t>
      </w:r>
      <w:r w:rsidRPr="00286F9D">
        <w:t xml:space="preserve"> un comit</w:t>
      </w:r>
      <w:r>
        <w:t>é</w:t>
      </w:r>
      <w:r w:rsidRPr="00286F9D">
        <w:t xml:space="preserve"> intermin</w:t>
      </w:r>
      <w:r>
        <w:t>istériel pour superviser l’étude.</w:t>
      </w:r>
    </w:p>
  </w:footnote>
  <w:footnote w:id="45">
    <w:p w:rsidR="00BB0D3F" w:rsidRDefault="00BB0D3F" w:rsidP="0050199E">
      <w:pPr>
        <w:pStyle w:val="FootnoteText"/>
      </w:pPr>
      <w:r>
        <w:rPr>
          <w:rStyle w:val="FootnoteReference"/>
        </w:rPr>
        <w:footnoteRef/>
      </w:r>
      <w:r>
        <w:t xml:space="preserve"> </w:t>
      </w:r>
      <w:r w:rsidRPr="005753B7">
        <w:rPr>
          <w:bCs/>
          <w:i/>
        </w:rPr>
        <w:t>Program</w:t>
      </w:r>
      <w:r>
        <w:rPr>
          <w:bCs/>
          <w:i/>
        </w:rPr>
        <w:t>me</w:t>
      </w:r>
      <w:r w:rsidRPr="005753B7">
        <w:rPr>
          <w:bCs/>
          <w:i/>
        </w:rPr>
        <w:t xml:space="preserve"> </w:t>
      </w:r>
      <w:r>
        <w:rPr>
          <w:bCs/>
          <w:i/>
        </w:rPr>
        <w:t>de p</w:t>
      </w:r>
      <w:r w:rsidRPr="005753B7">
        <w:rPr>
          <w:bCs/>
          <w:i/>
        </w:rPr>
        <w:t xml:space="preserve">istes </w:t>
      </w:r>
      <w:r>
        <w:rPr>
          <w:bCs/>
          <w:i/>
        </w:rPr>
        <w:t>r</w:t>
      </w:r>
      <w:r w:rsidRPr="005753B7">
        <w:rPr>
          <w:bCs/>
          <w:i/>
        </w:rPr>
        <w:t>urales</w:t>
      </w:r>
      <w:r>
        <w:rPr>
          <w:bCs/>
          <w:i/>
        </w:rPr>
        <w:t xml:space="preserve"> </w:t>
      </w:r>
      <w:r w:rsidRPr="005753B7">
        <w:rPr>
          <w:bCs/>
          <w:i/>
        </w:rPr>
        <w:t>Désenclavement à l</w:t>
      </w:r>
      <w:r>
        <w:rPr>
          <w:bCs/>
          <w:i/>
        </w:rPr>
        <w:t>’</w:t>
      </w:r>
      <w:r w:rsidRPr="005753B7">
        <w:rPr>
          <w:bCs/>
          <w:i/>
        </w:rPr>
        <w:t>Est.</w:t>
      </w:r>
    </w:p>
  </w:footnote>
  <w:footnote w:id="46">
    <w:p w:rsidR="00BB0D3F" w:rsidRDefault="00BB0D3F" w:rsidP="0050199E">
      <w:pPr>
        <w:pStyle w:val="FootnoteText"/>
      </w:pPr>
      <w:r w:rsidRPr="001D1D2E">
        <w:rPr>
          <w:rStyle w:val="FootnoteReference"/>
        </w:rPr>
        <w:footnoteRef/>
      </w:r>
      <w:r>
        <w:rPr>
          <w:sz w:val="28"/>
        </w:rPr>
        <w:t xml:space="preserve"> </w:t>
      </w:r>
      <w:r w:rsidRPr="00286F9D">
        <w:t xml:space="preserve">Le projet contribue </w:t>
      </w:r>
      <w:r>
        <w:t>à</w:t>
      </w:r>
      <w:r w:rsidRPr="00286F9D">
        <w:t xml:space="preserve"> la Stratégie nationale de transport rural </w:t>
      </w:r>
      <w:r>
        <w:t xml:space="preserve">2003 </w:t>
      </w:r>
      <w:r w:rsidRPr="00286F9D">
        <w:t>qui a pour objectif la réhabilitation de 10</w:t>
      </w:r>
      <w:r>
        <w:t> </w:t>
      </w:r>
      <w:r w:rsidRPr="00286F9D">
        <w:t>7</w:t>
      </w:r>
      <w:r>
        <w:t>0</w:t>
      </w:r>
      <w:r w:rsidRPr="00286F9D">
        <w:t>0</w:t>
      </w:r>
      <w:r>
        <w:t xml:space="preserve"> kilomètres de pistes rurales pour</w:t>
      </w:r>
      <w:r w:rsidRPr="00286F9D">
        <w:t xml:space="preserve"> </w:t>
      </w:r>
      <w:r>
        <w:t>un coût total de 58 milliards de francs CFA sur 10 ans.</w:t>
      </w:r>
    </w:p>
  </w:footnote>
  <w:footnote w:id="47">
    <w:p w:rsidR="00BB0D3F" w:rsidRDefault="00BB0D3F" w:rsidP="0050199E">
      <w:pPr>
        <w:pStyle w:val="FootnoteText"/>
      </w:pPr>
      <w:r>
        <w:rPr>
          <w:rStyle w:val="FootnoteReference"/>
        </w:rPr>
        <w:footnoteRef/>
      </w:r>
      <w:r>
        <w:t xml:space="preserve"> </w:t>
      </w:r>
      <w:r w:rsidRPr="00126A9E">
        <w:t xml:space="preserve">À Ouagadougou, environ 500 femmes sont employées par les </w:t>
      </w:r>
      <w:r w:rsidRPr="00126A9E">
        <w:rPr>
          <w:i/>
        </w:rPr>
        <w:t xml:space="preserve">Brigades </w:t>
      </w:r>
      <w:r>
        <w:rPr>
          <w:i/>
        </w:rPr>
        <w:t>v</w:t>
      </w:r>
      <w:r w:rsidRPr="00126A9E">
        <w:rPr>
          <w:i/>
        </w:rPr>
        <w:t>ertes</w:t>
      </w:r>
      <w:r w:rsidRPr="00126A9E">
        <w:t xml:space="preserve"> et </w:t>
      </w:r>
      <w:r>
        <w:t>sont payées en dessous du salaire minimum.</w:t>
      </w:r>
    </w:p>
  </w:footnote>
  <w:footnote w:id="48">
    <w:p w:rsidR="00BB0D3F" w:rsidRDefault="00BB0D3F" w:rsidP="0050199E">
      <w:pPr>
        <w:pStyle w:val="FootnoteText"/>
      </w:pPr>
      <w:r>
        <w:rPr>
          <w:rStyle w:val="FootnoteReference"/>
        </w:rPr>
        <w:footnoteRef/>
      </w:r>
      <w:r w:rsidRPr="000D5471">
        <w:t xml:space="preserve"> Quand la politique de s</w:t>
      </w:r>
      <w:r>
        <w:t xml:space="preserve">ubvention SONU a été définie en juin 2006, l’option de subvention de 80 % a été retenue contre 60 ou 100 % non pour des raisons financières mais par crainte que la gratuité encourage la population à utiliser les services de manière irresponsable [AI 2009]. En février 2010, le Président du Burkina Faso s’est engagé à éliminer toutes les barrières financières aux soins obstétricaux d’urgence et à l’accès au planning familial dans la stratégie de lutte contre la mortalité maternelle [AI 2009]. Il est intéressant de noter que la subvention à 100 % des soins obstétricaux d’urgence pour tous ne nécessiterait pas réellement de ressources financières supplémentaires. Un mauvais calcul du coût de l’intervention (estimé à 4 500 francs CFA au lieu de 2 000 francs CFA) lors de l’élaboration de la politique de subvention SONU fait que quand le MdS rembourse 3 900 francs CFA (80%) et que les usagers paient 900 francs CFA, les centres de santé font en fait des bénéfices sans compter que le personnel de santé reçoit 20 % du coût de chaque intervention [Ridde et Bicaba 2009b]. Les 30 milliards de francs CFA alloués aux subventions du SONU pour la période 2006-2015 suffiraient à offrir des subventions complètes pour tous. </w:t>
      </w:r>
    </w:p>
  </w:footnote>
  <w:footnote w:id="49">
    <w:p w:rsidR="00BB0D3F" w:rsidRDefault="00BB0D3F" w:rsidP="0050199E">
      <w:pPr>
        <w:pStyle w:val="FootnoteText"/>
      </w:pPr>
      <w:r>
        <w:rPr>
          <w:rStyle w:val="FootnoteReference"/>
        </w:rPr>
        <w:footnoteRef/>
      </w:r>
      <w:r>
        <w:t xml:space="preserve"> </w:t>
      </w:r>
      <w:r w:rsidRPr="00751DF1">
        <w:t>Le Programme d</w:t>
      </w:r>
      <w:r>
        <w:t>’</w:t>
      </w:r>
      <w:r w:rsidRPr="00751DF1">
        <w:t>appui au dé</w:t>
      </w:r>
      <w:r>
        <w:t xml:space="preserve">veloppement sanitaire (PADS) est un mécanisme de financement commun visant à appuyer le plan national de développement de la santé. </w:t>
      </w:r>
      <w:r w:rsidRPr="00751DF1">
        <w:t xml:space="preserve">Le PADS est défini comme </w:t>
      </w:r>
      <w:r>
        <w:t>« </w:t>
      </w:r>
      <w:r w:rsidRPr="00751DF1">
        <w:t>une initiative conjointe</w:t>
      </w:r>
      <w:r>
        <w:t xml:space="preserve"> du ministère de la Santé et de certains partenaires pour le développement du secteur de la santé, visant une meilleure coordination et une gestion rationnelle des ressources mobilisées pour la mise en œuvre du PNDS ». </w:t>
      </w:r>
      <w:r w:rsidRPr="00751DF1">
        <w:t>En septembre 2009, les bailleurs de fonds qui appuient ce mécanisme de financement commun étaient les Pays-Bas (</w:t>
      </w:r>
      <w:r>
        <w:t>assumant</w:t>
      </w:r>
      <w:r w:rsidRPr="00751DF1">
        <w:t xml:space="preserve"> le rôle de </w:t>
      </w:r>
      <w:r>
        <w:t xml:space="preserve">donateur chef de file pour la coordination du mécanisme de financement), la Suède, la France, la Banque mondiale, le </w:t>
      </w:r>
      <w:r w:rsidRPr="00E57830">
        <w:t>FNUAP</w:t>
      </w:r>
      <w:r>
        <w:t xml:space="preserve">, l’UNICEF, l’Alliance mondiale pour les vaccins et l’immunisation (GAVI) et le Fonds mondial de lutte contre le SIDA, la tuberculose et le paludisme. </w:t>
      </w:r>
      <w:r w:rsidRPr="009810D5">
        <w:t xml:space="preserve">Ce </w:t>
      </w:r>
      <w:r>
        <w:t>« </w:t>
      </w:r>
      <w:r w:rsidRPr="009810D5">
        <w:t>p</w:t>
      </w:r>
      <w:r>
        <w:t>ot commun</w:t>
      </w:r>
      <w:r w:rsidRPr="009810D5">
        <w:t xml:space="preserve"> de financement</w:t>
      </w:r>
      <w:r>
        <w:t> »</w:t>
      </w:r>
      <w:r w:rsidRPr="009810D5">
        <w:t xml:space="preserve"> est géré </w:t>
      </w:r>
      <w:r>
        <w:t>pa</w:t>
      </w:r>
      <w:r w:rsidRPr="009810D5">
        <w:t xml:space="preserve">r le </w:t>
      </w:r>
      <w:r>
        <w:t>m</w:t>
      </w:r>
      <w:r w:rsidRPr="009810D5">
        <w:t>inistère de la Santé</w:t>
      </w:r>
      <w:r w:rsidRPr="009810D5">
        <w:rPr>
          <w:lang w:eastAsia="en-US"/>
        </w:rPr>
        <w:t>.</w:t>
      </w:r>
    </w:p>
  </w:footnote>
  <w:footnote w:id="50">
    <w:p w:rsidR="00BB0D3F" w:rsidRPr="00965D17" w:rsidRDefault="00BB0D3F" w:rsidP="00D6364C">
      <w:pPr>
        <w:pStyle w:val="FootnoteText"/>
      </w:pPr>
      <w:r>
        <w:rPr>
          <w:rStyle w:val="FootnoteReference"/>
        </w:rPr>
        <w:footnoteRef/>
      </w:r>
      <w:r w:rsidRPr="00965D17">
        <w:t xml:space="preserve"> 46,6 % de la population </w:t>
      </w:r>
      <w:r>
        <w:t>a entre</w:t>
      </w:r>
      <w:r w:rsidRPr="00965D17">
        <w:t xml:space="preserve"> 0 </w:t>
      </w:r>
      <w:r>
        <w:t>et</w:t>
      </w:r>
      <w:r w:rsidRPr="00965D17">
        <w:t xml:space="preserve"> 15 ans. [INSD 2006].</w:t>
      </w:r>
    </w:p>
  </w:footnote>
  <w:footnote w:id="51">
    <w:p w:rsidR="00BB0D3F" w:rsidRPr="00965D17" w:rsidRDefault="00BB0D3F" w:rsidP="00D6364C">
      <w:pPr>
        <w:pStyle w:val="FootnoteText"/>
        <w:jc w:val="both"/>
      </w:pPr>
      <w:r>
        <w:rPr>
          <w:rStyle w:val="FootnoteReference"/>
        </w:rPr>
        <w:footnoteRef/>
      </w:r>
      <w:r w:rsidRPr="00D33F4B">
        <w:rPr>
          <w:lang w:val="fr-BE"/>
        </w:rPr>
        <w:t xml:space="preserve"> </w:t>
      </w:r>
      <w:r w:rsidRPr="00965D17">
        <w:t xml:space="preserve">Le recensement général de la population et du logement de 2006 a révélé un taux de croissance démographique de 3,1 %, contre 2,4 % au cours de la période précédente, </w:t>
      </w:r>
      <w:r>
        <w:t xml:space="preserve">ce qui </w:t>
      </w:r>
      <w:r w:rsidRPr="00965D17">
        <w:t xml:space="preserve">rend encore plus difficile de satisfaire les besoins en services </w:t>
      </w:r>
      <w:r>
        <w:t>de base</w:t>
      </w:r>
      <w:r w:rsidRPr="00965D17">
        <w:t>.</w:t>
      </w:r>
    </w:p>
  </w:footnote>
  <w:footnote w:id="52">
    <w:p w:rsidR="00BB0D3F" w:rsidRPr="00965D17" w:rsidRDefault="00BB0D3F" w:rsidP="00D6364C">
      <w:pPr>
        <w:pStyle w:val="FootnoteText"/>
        <w:jc w:val="both"/>
      </w:pPr>
      <w:r>
        <w:rPr>
          <w:rStyle w:val="FootnoteReference"/>
        </w:rPr>
        <w:footnoteRef/>
      </w:r>
      <w:r w:rsidRPr="00965D17">
        <w:t xml:space="preserve"> </w:t>
      </w:r>
      <w:r>
        <w:t>« </w:t>
      </w:r>
      <w:r w:rsidRPr="00965D17">
        <w:t xml:space="preserve">Toutes choses </w:t>
      </w:r>
      <w:r>
        <w:t>restant</w:t>
      </w:r>
      <w:r w:rsidRPr="00965D17">
        <w:t xml:space="preserve"> par ailleurs</w:t>
      </w:r>
      <w:r w:rsidRPr="00BD58CB">
        <w:t xml:space="preserve"> </w:t>
      </w:r>
      <w:r w:rsidRPr="00965D17">
        <w:t>égales, le taux de rendement d</w:t>
      </w:r>
      <w:r>
        <w:t>’</w:t>
      </w:r>
      <w:r w:rsidRPr="00965D17">
        <w:t xml:space="preserve">un dollar investi </w:t>
      </w:r>
      <w:r>
        <w:t>lors</w:t>
      </w:r>
      <w:r w:rsidRPr="00965D17">
        <w:t>qu</w:t>
      </w:r>
      <w:r>
        <w:t>’</w:t>
      </w:r>
      <w:r w:rsidRPr="00965D17">
        <w:t xml:space="preserve">une personne est encore jeune est plus élevé que </w:t>
      </w:r>
      <w:r>
        <w:t>celui</w:t>
      </w:r>
      <w:r w:rsidRPr="00965D17">
        <w:t xml:space="preserve"> </w:t>
      </w:r>
      <w:r>
        <w:t>du même</w:t>
      </w:r>
      <w:r w:rsidRPr="00965D17">
        <w:t xml:space="preserve"> dollar investi à un âge plus avancé. Les fruits des investissements précoces sont </w:t>
      </w:r>
      <w:r>
        <w:t>récoltés</w:t>
      </w:r>
      <w:r w:rsidRPr="00965D17">
        <w:t xml:space="preserve"> sur une plus longue période que ceux des investissements effectués plus tard au cours du cycle de vie. De plus, comme les investissements précoces accroissent la productivité (</w:t>
      </w:r>
      <w:r>
        <w:t>diminuent</w:t>
      </w:r>
      <w:r w:rsidRPr="00965D17">
        <w:t xml:space="preserve"> les coûts) des investissements ultérieurs,</w:t>
      </w:r>
      <w:r w:rsidRPr="00965D17">
        <w:rPr>
          <w:i/>
          <w:iCs/>
        </w:rPr>
        <w:t xml:space="preserve"> </w:t>
      </w:r>
      <w:r w:rsidRPr="00965D17">
        <w:t xml:space="preserve">le capital humain </w:t>
      </w:r>
      <w:r>
        <w:t>est</w:t>
      </w:r>
      <w:r w:rsidRPr="00965D17">
        <w:t xml:space="preserve"> synergétique.</w:t>
      </w:r>
      <w:r>
        <w:t> »</w:t>
      </w:r>
      <w:r w:rsidRPr="00965D17">
        <w:t xml:space="preserve"> [Carneiro et Heickman, 2003:7].</w:t>
      </w:r>
    </w:p>
  </w:footnote>
  <w:footnote w:id="53">
    <w:p w:rsidR="00BB0D3F" w:rsidRPr="00965D17" w:rsidRDefault="00BB0D3F" w:rsidP="00D6364C">
      <w:pPr>
        <w:pStyle w:val="FootnoteText"/>
        <w:jc w:val="both"/>
      </w:pPr>
      <w:r>
        <w:rPr>
          <w:rStyle w:val="FootnoteReference"/>
        </w:rPr>
        <w:footnoteRef/>
      </w:r>
      <w:r w:rsidRPr="00965D17">
        <w:t xml:space="preserve"> </w:t>
      </w:r>
      <w:r w:rsidRPr="00965D17">
        <w:tab/>
        <w:t xml:space="preserve">En janvier 2010, un séminaire de formation </w:t>
      </w:r>
      <w:r>
        <w:t>soutenu</w:t>
      </w:r>
      <w:r w:rsidRPr="00965D17">
        <w:t xml:space="preserve"> par l</w:t>
      </w:r>
      <w:r>
        <w:t>’</w:t>
      </w:r>
      <w:r w:rsidRPr="00965D17">
        <w:t xml:space="preserve">UNICEF a permis de familiariser 30 techniciens issus de 11 ministères aux notions </w:t>
      </w:r>
      <w:r>
        <w:t>de base</w:t>
      </w:r>
      <w:r w:rsidRPr="00965D17">
        <w:t xml:space="preserve"> de </w:t>
      </w:r>
      <w:r>
        <w:t xml:space="preserve">la </w:t>
      </w:r>
      <w:r w:rsidRPr="00965D17">
        <w:t>protection sociale et de</w:t>
      </w:r>
      <w:r>
        <w:t>s</w:t>
      </w:r>
      <w:r w:rsidRPr="00965D17">
        <w:t xml:space="preserve"> filets </w:t>
      </w:r>
      <w:r>
        <w:t>sociaux</w:t>
      </w:r>
      <w:r w:rsidRPr="00965D17">
        <w:t>.</w:t>
      </w:r>
    </w:p>
  </w:footnote>
  <w:footnote w:id="54">
    <w:p w:rsidR="00BB0D3F" w:rsidRPr="00965D17" w:rsidRDefault="00BB0D3F" w:rsidP="00D6364C">
      <w:pPr>
        <w:pStyle w:val="FootnoteText"/>
      </w:pPr>
      <w:r>
        <w:rPr>
          <w:rStyle w:val="FootnoteReference"/>
          <w:sz w:val="20"/>
        </w:rPr>
        <w:footnoteRef/>
      </w:r>
      <w:r w:rsidRPr="00965D17">
        <w:t xml:space="preserve"> </w:t>
      </w:r>
      <w:r w:rsidRPr="00965D17">
        <w:tab/>
      </w:r>
      <w:r w:rsidRPr="00965D17">
        <w:rPr>
          <w:i/>
          <w:iCs/>
        </w:rPr>
        <w:t xml:space="preserve">Enquête </w:t>
      </w:r>
      <w:r>
        <w:rPr>
          <w:i/>
          <w:iCs/>
        </w:rPr>
        <w:t>i</w:t>
      </w:r>
      <w:r w:rsidRPr="00965D17">
        <w:rPr>
          <w:i/>
          <w:iCs/>
        </w:rPr>
        <w:t xml:space="preserve">ntégrale sur les </w:t>
      </w:r>
      <w:r>
        <w:rPr>
          <w:i/>
          <w:iCs/>
        </w:rPr>
        <w:t>c</w:t>
      </w:r>
      <w:r w:rsidRPr="00965D17">
        <w:rPr>
          <w:i/>
          <w:iCs/>
        </w:rPr>
        <w:t xml:space="preserve">onditions de </w:t>
      </w:r>
      <w:r>
        <w:rPr>
          <w:i/>
          <w:iCs/>
        </w:rPr>
        <w:t>v</w:t>
      </w:r>
      <w:r w:rsidRPr="00965D17">
        <w:rPr>
          <w:i/>
          <w:iCs/>
        </w:rPr>
        <w:t xml:space="preserve">ie des </w:t>
      </w:r>
      <w:r>
        <w:rPr>
          <w:i/>
          <w:iCs/>
        </w:rPr>
        <w:t>m</w:t>
      </w:r>
      <w:r w:rsidRPr="00965D17">
        <w:rPr>
          <w:i/>
          <w:iCs/>
        </w:rPr>
        <w:t>énages.</w:t>
      </w:r>
    </w:p>
  </w:footnote>
  <w:footnote w:id="55">
    <w:p w:rsidR="00BB0D3F" w:rsidRPr="00965D17" w:rsidRDefault="00BB0D3F" w:rsidP="00D6364C">
      <w:pPr>
        <w:pStyle w:val="Style4"/>
        <w:tabs>
          <w:tab w:val="clear" w:pos="709"/>
          <w:tab w:val="clear" w:pos="851"/>
          <w:tab w:val="left" w:pos="284"/>
        </w:tabs>
        <w:spacing w:after="0"/>
        <w:rPr>
          <w:lang w:val="fr-FR"/>
        </w:rPr>
      </w:pPr>
      <w:r>
        <w:rPr>
          <w:rStyle w:val="FootnoteReference"/>
          <w:sz w:val="20"/>
          <w:szCs w:val="20"/>
        </w:rPr>
        <w:footnoteRef/>
      </w:r>
      <w:r w:rsidRPr="00965D17">
        <w:rPr>
          <w:sz w:val="20"/>
          <w:szCs w:val="20"/>
          <w:lang w:val="fr-FR"/>
        </w:rPr>
        <w:t xml:space="preserve"> </w:t>
      </w:r>
      <w:r w:rsidRPr="00965D17">
        <w:rPr>
          <w:b w:val="0"/>
          <w:bCs/>
          <w:i w:val="0"/>
          <w:iCs/>
          <w:sz w:val="20"/>
          <w:szCs w:val="20"/>
          <w:lang w:val="fr-FR"/>
        </w:rPr>
        <w:tab/>
        <w:t>Le système d</w:t>
      </w:r>
      <w:r>
        <w:rPr>
          <w:b w:val="0"/>
          <w:bCs/>
          <w:i w:val="0"/>
          <w:iCs/>
          <w:sz w:val="20"/>
          <w:szCs w:val="20"/>
          <w:lang w:val="fr-FR"/>
        </w:rPr>
        <w:t>’</w:t>
      </w:r>
      <w:r w:rsidRPr="00965D17">
        <w:rPr>
          <w:b w:val="0"/>
          <w:bCs/>
          <w:i w:val="0"/>
          <w:iCs/>
          <w:sz w:val="20"/>
          <w:szCs w:val="20"/>
          <w:lang w:val="fr-FR"/>
        </w:rPr>
        <w:t>alerte précoce (SAP) est alimenté par plusieurs systèmes d</w:t>
      </w:r>
      <w:r>
        <w:rPr>
          <w:b w:val="0"/>
          <w:bCs/>
          <w:i w:val="0"/>
          <w:iCs/>
          <w:sz w:val="20"/>
          <w:szCs w:val="20"/>
          <w:lang w:val="fr-FR"/>
        </w:rPr>
        <w:t>’</w:t>
      </w:r>
      <w:r w:rsidRPr="00965D17">
        <w:rPr>
          <w:b w:val="0"/>
          <w:bCs/>
          <w:i w:val="0"/>
          <w:iCs/>
          <w:sz w:val="20"/>
          <w:szCs w:val="20"/>
          <w:lang w:val="fr-FR"/>
        </w:rPr>
        <w:t xml:space="preserve">information sectoriels centralisés au DGPER. Chaque année, une enquête sur </w:t>
      </w:r>
      <w:r>
        <w:rPr>
          <w:b w:val="0"/>
          <w:bCs/>
          <w:i w:val="0"/>
          <w:iCs/>
          <w:sz w:val="20"/>
          <w:szCs w:val="20"/>
          <w:lang w:val="fr-FR"/>
        </w:rPr>
        <w:t>la sécurité</w:t>
      </w:r>
      <w:r w:rsidRPr="00965D17">
        <w:rPr>
          <w:b w:val="0"/>
          <w:bCs/>
          <w:i w:val="0"/>
          <w:iCs/>
          <w:sz w:val="20"/>
          <w:szCs w:val="20"/>
          <w:lang w:val="fr-FR"/>
        </w:rPr>
        <w:t xml:space="preserve"> agricole est menée auprès de 1 000 personnes, afin de déterminer le niveau de vulnérabilité et le nombre de personnes concernées.</w:t>
      </w:r>
    </w:p>
  </w:footnote>
  <w:footnote w:id="56">
    <w:p w:rsidR="00BB0D3F" w:rsidRDefault="00BB0D3F" w:rsidP="004E3139">
      <w:pPr>
        <w:pStyle w:val="FootnoteText"/>
      </w:pPr>
      <w:r>
        <w:rPr>
          <w:rStyle w:val="FootnoteReference"/>
        </w:rPr>
        <w:footnoteRef/>
      </w:r>
      <w:r w:rsidRPr="005A38CF">
        <w:t xml:space="preserve"> </w:t>
      </w:r>
      <w:r>
        <w:t>Pour une compréhension plus approfondie des techniques et des applications de l’évaluation d’impact, visiter le site de la Banque mondiale consacré à l’évaluation d’impact :</w:t>
      </w:r>
    </w:p>
    <w:p w:rsidR="00BB0D3F" w:rsidRPr="005A38CF" w:rsidRDefault="00725419" w:rsidP="004E3139">
      <w:pPr>
        <w:pStyle w:val="FootnoteText"/>
      </w:pPr>
      <w:hyperlink r:id="rId1" w:history="1">
        <w:r w:rsidR="00BB0D3F" w:rsidRPr="00CC4F3B">
          <w:rPr>
            <w:rStyle w:val="Hyperlink"/>
          </w:rPr>
          <w:t>http://web.worldbank.org/WBSITE/EXTERNAL/TOPICS/EXTPOVERTY/EXTISPMA/0,,menuPK:384336~pagePK:149018~piPK:149093~theSitePK:384329,00.html</w:t>
        </w:r>
      </w:hyperlink>
    </w:p>
  </w:footnote>
  <w:footnote w:id="57">
    <w:p w:rsidR="00BB0D3F" w:rsidRPr="009B6785" w:rsidRDefault="00BB0D3F" w:rsidP="004E3139">
      <w:pPr>
        <w:pStyle w:val="FootnoteText"/>
      </w:pPr>
      <w:r>
        <w:rPr>
          <w:rStyle w:val="FootnoteReference"/>
        </w:rPr>
        <w:footnoteRef/>
      </w:r>
      <w:r w:rsidRPr="009B6785">
        <w:t xml:space="preserve"> </w:t>
      </w:r>
      <w:r>
        <w:t>S</w:t>
      </w:r>
      <w:r w:rsidRPr="009B6785">
        <w:t xml:space="preserve">tandardisant le taux de change </w:t>
      </w:r>
      <w:r>
        <w:t>par rapport à celui indiqué préalablement ; ceci est légèrement différent du rapport de 2006 de Schubert et Huijbregts.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3F" w:rsidRDefault="00725419" w:rsidP="00D66D65">
    <w:pPr>
      <w:pStyle w:val="Header"/>
      <w:framePr w:wrap="around" w:vAnchor="text" w:hAnchor="margin" w:xAlign="center" w:y="1"/>
      <w:rPr>
        <w:rStyle w:val="PageNumber"/>
      </w:rPr>
    </w:pPr>
    <w:r>
      <w:rPr>
        <w:rStyle w:val="PageNumber"/>
      </w:rPr>
      <w:fldChar w:fldCharType="begin"/>
    </w:r>
    <w:r w:rsidR="00BB0D3F">
      <w:rPr>
        <w:rStyle w:val="PageNumber"/>
      </w:rPr>
      <w:instrText xml:space="preserve">PAGE  </w:instrText>
    </w:r>
    <w:r>
      <w:rPr>
        <w:rStyle w:val="PageNumber"/>
      </w:rPr>
      <w:fldChar w:fldCharType="end"/>
    </w:r>
  </w:p>
  <w:p w:rsidR="00BB0D3F" w:rsidRDefault="00BB0D3F" w:rsidP="00D66D65">
    <w:pPr>
      <w:pStyle w:val="Header"/>
      <w:rPr>
        <w:rStyle w:val="PageNumber"/>
      </w:rPr>
    </w:pPr>
  </w:p>
  <w:p w:rsidR="00BB0D3F" w:rsidRDefault="00BB0D3F" w:rsidP="00D66D6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3F" w:rsidRPr="007D6A4E" w:rsidRDefault="00BB0D3F" w:rsidP="007D6A4E">
    <w:pPr>
      <w:pStyle w:val="Header"/>
      <w:spacing w:after="0"/>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3F" w:rsidRPr="007D6A4E" w:rsidRDefault="00BB0D3F" w:rsidP="007D6A4E">
    <w:pPr>
      <w:pStyle w:val="Header"/>
      <w:spacing w:after="0"/>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3F" w:rsidRPr="00C0356B" w:rsidRDefault="00BB0D3F" w:rsidP="00C0356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3F" w:rsidRPr="002A56FB" w:rsidRDefault="00BB0D3F" w:rsidP="002A56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41649"/>
    <w:multiLevelType w:val="multilevel"/>
    <w:tmpl w:val="7E90D6A2"/>
    <w:lvl w:ilvl="0">
      <w:start w:val="1"/>
      <w:numFmt w:val="none"/>
      <w:pStyle w:val="Heading1"/>
      <w:suff w:val="nothing"/>
      <w:lvlText w:val=""/>
      <w:lvlJc w:val="left"/>
      <w:pPr>
        <w:ind w:left="0" w:firstLine="0"/>
      </w:pPr>
      <w:rPr>
        <w:rFonts w:hint="default"/>
        <w:b/>
        <w:i w:val="0"/>
        <w:sz w:val="28"/>
      </w:rPr>
    </w:lvl>
    <w:lvl w:ilvl="1">
      <w:start w:val="1"/>
      <w:numFmt w:val="upperLetter"/>
      <w:pStyle w:val="Heading2"/>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nsid w:val="07D22D6A"/>
    <w:multiLevelType w:val="hybridMultilevel"/>
    <w:tmpl w:val="D31A2D5E"/>
    <w:lvl w:ilvl="0" w:tplc="EAD8F484">
      <w:start w:val="1"/>
      <w:numFmt w:val="lowerLetter"/>
      <w:lvlText w:val="%1."/>
      <w:lvlJc w:val="left"/>
      <w:pPr>
        <w:ind w:left="1287" w:hanging="360"/>
      </w:pPr>
      <w:rPr>
        <w:rFonts w:hint="default"/>
        <w:sz w:val="20"/>
      </w:rPr>
    </w:lvl>
    <w:lvl w:ilvl="1" w:tplc="37263C50" w:tentative="1">
      <w:start w:val="1"/>
      <w:numFmt w:val="lowerLetter"/>
      <w:lvlText w:val="%2."/>
      <w:lvlJc w:val="left"/>
      <w:pPr>
        <w:ind w:left="1440" w:hanging="360"/>
      </w:pPr>
    </w:lvl>
    <w:lvl w:ilvl="2" w:tplc="5BC65016" w:tentative="1">
      <w:start w:val="1"/>
      <w:numFmt w:val="lowerRoman"/>
      <w:lvlText w:val="%3."/>
      <w:lvlJc w:val="right"/>
      <w:pPr>
        <w:ind w:left="2160" w:hanging="180"/>
      </w:pPr>
    </w:lvl>
    <w:lvl w:ilvl="3" w:tplc="EA648FD6" w:tentative="1">
      <w:start w:val="1"/>
      <w:numFmt w:val="decimal"/>
      <w:lvlText w:val="%4."/>
      <w:lvlJc w:val="left"/>
      <w:pPr>
        <w:ind w:left="2880" w:hanging="360"/>
      </w:pPr>
    </w:lvl>
    <w:lvl w:ilvl="4" w:tplc="730AB2B8" w:tentative="1">
      <w:start w:val="1"/>
      <w:numFmt w:val="lowerLetter"/>
      <w:lvlText w:val="%5."/>
      <w:lvlJc w:val="left"/>
      <w:pPr>
        <w:ind w:left="3600" w:hanging="360"/>
      </w:pPr>
    </w:lvl>
    <w:lvl w:ilvl="5" w:tplc="D7C07DD8" w:tentative="1">
      <w:start w:val="1"/>
      <w:numFmt w:val="lowerRoman"/>
      <w:lvlText w:val="%6."/>
      <w:lvlJc w:val="right"/>
      <w:pPr>
        <w:ind w:left="4320" w:hanging="180"/>
      </w:pPr>
    </w:lvl>
    <w:lvl w:ilvl="6" w:tplc="261C4BBA" w:tentative="1">
      <w:start w:val="1"/>
      <w:numFmt w:val="decimal"/>
      <w:lvlText w:val="%7."/>
      <w:lvlJc w:val="left"/>
      <w:pPr>
        <w:ind w:left="5040" w:hanging="360"/>
      </w:pPr>
    </w:lvl>
    <w:lvl w:ilvl="7" w:tplc="76762DF4" w:tentative="1">
      <w:start w:val="1"/>
      <w:numFmt w:val="lowerLetter"/>
      <w:lvlText w:val="%8."/>
      <w:lvlJc w:val="left"/>
      <w:pPr>
        <w:ind w:left="5760" w:hanging="360"/>
      </w:pPr>
    </w:lvl>
    <w:lvl w:ilvl="8" w:tplc="48206710" w:tentative="1">
      <w:start w:val="1"/>
      <w:numFmt w:val="lowerRoman"/>
      <w:lvlText w:val="%9."/>
      <w:lvlJc w:val="right"/>
      <w:pPr>
        <w:ind w:left="6480" w:hanging="180"/>
      </w:pPr>
    </w:lvl>
  </w:abstractNum>
  <w:abstractNum w:abstractNumId="2">
    <w:nsid w:val="0C70537B"/>
    <w:multiLevelType w:val="hybridMultilevel"/>
    <w:tmpl w:val="C550325C"/>
    <w:lvl w:ilvl="0" w:tplc="619AE516">
      <w:start w:val="1"/>
      <w:numFmt w:val="bullet"/>
      <w:lvlText w:val=""/>
      <w:lvlJc w:val="left"/>
      <w:pPr>
        <w:ind w:left="360" w:hanging="360"/>
      </w:pPr>
      <w:rPr>
        <w:rFonts w:ascii="Symbol" w:hAnsi="Symbol" w:hint="default"/>
      </w:rPr>
    </w:lvl>
    <w:lvl w:ilvl="1" w:tplc="FAC03322" w:tentative="1">
      <w:start w:val="1"/>
      <w:numFmt w:val="bullet"/>
      <w:lvlText w:val="o"/>
      <w:lvlJc w:val="left"/>
      <w:pPr>
        <w:ind w:left="1080" w:hanging="360"/>
      </w:pPr>
      <w:rPr>
        <w:rFonts w:ascii="Courier New" w:hAnsi="Courier New" w:cs="Courier New" w:hint="default"/>
      </w:rPr>
    </w:lvl>
    <w:lvl w:ilvl="2" w:tplc="0F6E38AC" w:tentative="1">
      <w:start w:val="1"/>
      <w:numFmt w:val="bullet"/>
      <w:lvlText w:val=""/>
      <w:lvlJc w:val="left"/>
      <w:pPr>
        <w:ind w:left="1800" w:hanging="360"/>
      </w:pPr>
      <w:rPr>
        <w:rFonts w:ascii="Wingdings" w:hAnsi="Wingdings" w:hint="default"/>
      </w:rPr>
    </w:lvl>
    <w:lvl w:ilvl="3" w:tplc="92C29318" w:tentative="1">
      <w:start w:val="1"/>
      <w:numFmt w:val="bullet"/>
      <w:lvlText w:val=""/>
      <w:lvlJc w:val="left"/>
      <w:pPr>
        <w:ind w:left="2520" w:hanging="360"/>
      </w:pPr>
      <w:rPr>
        <w:rFonts w:ascii="Symbol" w:hAnsi="Symbol" w:hint="default"/>
      </w:rPr>
    </w:lvl>
    <w:lvl w:ilvl="4" w:tplc="6AD01F3A" w:tentative="1">
      <w:start w:val="1"/>
      <w:numFmt w:val="bullet"/>
      <w:lvlText w:val="o"/>
      <w:lvlJc w:val="left"/>
      <w:pPr>
        <w:ind w:left="3240" w:hanging="360"/>
      </w:pPr>
      <w:rPr>
        <w:rFonts w:ascii="Courier New" w:hAnsi="Courier New" w:cs="Courier New" w:hint="default"/>
      </w:rPr>
    </w:lvl>
    <w:lvl w:ilvl="5" w:tplc="57F25F6A" w:tentative="1">
      <w:start w:val="1"/>
      <w:numFmt w:val="bullet"/>
      <w:lvlText w:val=""/>
      <w:lvlJc w:val="left"/>
      <w:pPr>
        <w:ind w:left="3960" w:hanging="360"/>
      </w:pPr>
      <w:rPr>
        <w:rFonts w:ascii="Wingdings" w:hAnsi="Wingdings" w:hint="default"/>
      </w:rPr>
    </w:lvl>
    <w:lvl w:ilvl="6" w:tplc="DB7A8BD2" w:tentative="1">
      <w:start w:val="1"/>
      <w:numFmt w:val="bullet"/>
      <w:lvlText w:val=""/>
      <w:lvlJc w:val="left"/>
      <w:pPr>
        <w:ind w:left="4680" w:hanging="360"/>
      </w:pPr>
      <w:rPr>
        <w:rFonts w:ascii="Symbol" w:hAnsi="Symbol" w:hint="default"/>
      </w:rPr>
    </w:lvl>
    <w:lvl w:ilvl="7" w:tplc="7AB2778C" w:tentative="1">
      <w:start w:val="1"/>
      <w:numFmt w:val="bullet"/>
      <w:lvlText w:val="o"/>
      <w:lvlJc w:val="left"/>
      <w:pPr>
        <w:ind w:left="5400" w:hanging="360"/>
      </w:pPr>
      <w:rPr>
        <w:rFonts w:ascii="Courier New" w:hAnsi="Courier New" w:cs="Courier New" w:hint="default"/>
      </w:rPr>
    </w:lvl>
    <w:lvl w:ilvl="8" w:tplc="D65AC050" w:tentative="1">
      <w:start w:val="1"/>
      <w:numFmt w:val="bullet"/>
      <w:lvlText w:val=""/>
      <w:lvlJc w:val="left"/>
      <w:pPr>
        <w:ind w:left="6120" w:hanging="360"/>
      </w:pPr>
      <w:rPr>
        <w:rFonts w:ascii="Wingdings" w:hAnsi="Wingdings" w:hint="default"/>
      </w:rPr>
    </w:lvl>
  </w:abstractNum>
  <w:abstractNum w:abstractNumId="3">
    <w:nsid w:val="0EFC085C"/>
    <w:multiLevelType w:val="hybridMultilevel"/>
    <w:tmpl w:val="D2269660"/>
    <w:lvl w:ilvl="0" w:tplc="87B804EE">
      <w:start w:val="1"/>
      <w:numFmt w:val="decimal"/>
      <w:lvlText w:val="%1."/>
      <w:lvlJc w:val="left"/>
      <w:pPr>
        <w:ind w:left="720" w:hanging="360"/>
      </w:pPr>
      <w:rPr>
        <w:rFonts w:ascii="Calibri" w:eastAsia="Times New Roman" w:hAnsi="Calibri" w:cs="Times New Roman" w:hint="default"/>
        <w:b/>
        <w:color w:val="000000"/>
      </w:rPr>
    </w:lvl>
    <w:lvl w:ilvl="1" w:tplc="67966D9E" w:tentative="1">
      <w:start w:val="1"/>
      <w:numFmt w:val="lowerLetter"/>
      <w:lvlText w:val="%2."/>
      <w:lvlJc w:val="left"/>
      <w:pPr>
        <w:ind w:left="1440" w:hanging="360"/>
      </w:pPr>
    </w:lvl>
    <w:lvl w:ilvl="2" w:tplc="C6D6A398" w:tentative="1">
      <w:start w:val="1"/>
      <w:numFmt w:val="lowerRoman"/>
      <w:lvlText w:val="%3."/>
      <w:lvlJc w:val="right"/>
      <w:pPr>
        <w:ind w:left="2160" w:hanging="180"/>
      </w:pPr>
    </w:lvl>
    <w:lvl w:ilvl="3" w:tplc="67FCBE46" w:tentative="1">
      <w:start w:val="1"/>
      <w:numFmt w:val="decimal"/>
      <w:lvlText w:val="%4."/>
      <w:lvlJc w:val="left"/>
      <w:pPr>
        <w:ind w:left="2880" w:hanging="360"/>
      </w:pPr>
    </w:lvl>
    <w:lvl w:ilvl="4" w:tplc="3D12278C" w:tentative="1">
      <w:start w:val="1"/>
      <w:numFmt w:val="lowerLetter"/>
      <w:lvlText w:val="%5."/>
      <w:lvlJc w:val="left"/>
      <w:pPr>
        <w:ind w:left="3600" w:hanging="360"/>
      </w:pPr>
    </w:lvl>
    <w:lvl w:ilvl="5" w:tplc="7B8E899A" w:tentative="1">
      <w:start w:val="1"/>
      <w:numFmt w:val="lowerRoman"/>
      <w:lvlText w:val="%6."/>
      <w:lvlJc w:val="right"/>
      <w:pPr>
        <w:ind w:left="4320" w:hanging="180"/>
      </w:pPr>
    </w:lvl>
    <w:lvl w:ilvl="6" w:tplc="6CD6CFD6" w:tentative="1">
      <w:start w:val="1"/>
      <w:numFmt w:val="decimal"/>
      <w:lvlText w:val="%7."/>
      <w:lvlJc w:val="left"/>
      <w:pPr>
        <w:ind w:left="5040" w:hanging="360"/>
      </w:pPr>
    </w:lvl>
    <w:lvl w:ilvl="7" w:tplc="FD9A9F96" w:tentative="1">
      <w:start w:val="1"/>
      <w:numFmt w:val="lowerLetter"/>
      <w:lvlText w:val="%8."/>
      <w:lvlJc w:val="left"/>
      <w:pPr>
        <w:ind w:left="5760" w:hanging="360"/>
      </w:pPr>
    </w:lvl>
    <w:lvl w:ilvl="8" w:tplc="D848DF72" w:tentative="1">
      <w:start w:val="1"/>
      <w:numFmt w:val="lowerRoman"/>
      <w:lvlText w:val="%9."/>
      <w:lvlJc w:val="right"/>
      <w:pPr>
        <w:ind w:left="6480" w:hanging="180"/>
      </w:pPr>
    </w:lvl>
  </w:abstractNum>
  <w:abstractNum w:abstractNumId="4">
    <w:nsid w:val="128C4AC8"/>
    <w:multiLevelType w:val="multilevel"/>
    <w:tmpl w:val="46A81B56"/>
    <w:lvl w:ilvl="0">
      <w:start w:val="1"/>
      <w:numFmt w:val="none"/>
      <w:suff w:val="nothing"/>
      <w:lvlText w:val=""/>
      <w:lvlJc w:val="left"/>
      <w:pPr>
        <w:ind w:left="0" w:firstLine="0"/>
      </w:pPr>
      <w:rPr>
        <w:rFonts w:hint="default"/>
        <w:b/>
        <w:i w:val="0"/>
        <w:sz w:val="28"/>
      </w:rPr>
    </w:lvl>
    <w:lvl w:ilvl="1">
      <w:start w:val="1"/>
      <w:numFmt w:val="upperLetter"/>
      <w:lvlText w:val="%2."/>
      <w:lvlJc w:val="left"/>
      <w:pPr>
        <w:ind w:left="0" w:firstLine="0"/>
      </w:pPr>
      <w:rPr>
        <w:rFonts w:hint="default"/>
      </w:rPr>
    </w:lvl>
    <w:lvl w:ilvl="2">
      <w:start w:val="1"/>
      <w:numFmt w:val="decimal"/>
      <w:lvlText w:val="%3."/>
      <w:lvlJc w:val="left"/>
      <w:pPr>
        <w:ind w:left="0" w:firstLine="0"/>
      </w:pPr>
      <w:rPr>
        <w:rFonts w:hint="default"/>
      </w:rPr>
    </w:lvl>
    <w:lvl w:ilvl="3">
      <w:start w:val="4"/>
      <w:numFmt w:val="lowerLetter"/>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cs="Times New Roman" w:hint="default"/>
      </w:rPr>
    </w:lvl>
    <w:lvl w:ilvl="6">
      <w:start w:val="2"/>
      <w:numFmt w:val="lowerRoman"/>
      <w:lvlText w:val="%7)"/>
      <w:lvlJc w:val="left"/>
      <w:pPr>
        <w:ind w:left="0" w:firstLine="0"/>
      </w:pPr>
      <w:rPr>
        <w:rFonts w:cs="Times New Roman"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cs="Times New Roman" w:hint="default"/>
      </w:rPr>
    </w:lvl>
  </w:abstractNum>
  <w:abstractNum w:abstractNumId="5">
    <w:nsid w:val="14F944E1"/>
    <w:multiLevelType w:val="hybridMultilevel"/>
    <w:tmpl w:val="1610D5AC"/>
    <w:name w:val="WW8Num2"/>
    <w:lvl w:ilvl="0" w:tplc="5C34C8D6">
      <w:start w:val="1"/>
      <w:numFmt w:val="bullet"/>
      <w:lvlText w:val=""/>
      <w:lvlJc w:val="left"/>
      <w:pPr>
        <w:ind w:left="720" w:hanging="360"/>
      </w:pPr>
      <w:rPr>
        <w:rFonts w:ascii="Symbol" w:hAnsi="Symbol" w:hint="default"/>
      </w:rPr>
    </w:lvl>
    <w:lvl w:ilvl="1" w:tplc="773A8352">
      <w:start w:val="1"/>
      <w:numFmt w:val="bullet"/>
      <w:lvlText w:val="o"/>
      <w:lvlJc w:val="left"/>
      <w:pPr>
        <w:ind w:left="1440" w:hanging="360"/>
      </w:pPr>
      <w:rPr>
        <w:rFonts w:ascii="Courier New" w:hAnsi="Courier New" w:cs="Arial" w:hint="default"/>
      </w:rPr>
    </w:lvl>
    <w:lvl w:ilvl="2" w:tplc="52B2E780" w:tentative="1">
      <w:start w:val="1"/>
      <w:numFmt w:val="bullet"/>
      <w:lvlText w:val=""/>
      <w:lvlJc w:val="left"/>
      <w:pPr>
        <w:ind w:left="2160" w:hanging="360"/>
      </w:pPr>
      <w:rPr>
        <w:rFonts w:ascii="Wingdings" w:hAnsi="Wingdings" w:hint="default"/>
      </w:rPr>
    </w:lvl>
    <w:lvl w:ilvl="3" w:tplc="CFE415E4" w:tentative="1">
      <w:start w:val="1"/>
      <w:numFmt w:val="bullet"/>
      <w:lvlText w:val=""/>
      <w:lvlJc w:val="left"/>
      <w:pPr>
        <w:ind w:left="2880" w:hanging="360"/>
      </w:pPr>
      <w:rPr>
        <w:rFonts w:ascii="Symbol" w:hAnsi="Symbol" w:hint="default"/>
      </w:rPr>
    </w:lvl>
    <w:lvl w:ilvl="4" w:tplc="3B244EBE" w:tentative="1">
      <w:start w:val="1"/>
      <w:numFmt w:val="bullet"/>
      <w:lvlText w:val="o"/>
      <w:lvlJc w:val="left"/>
      <w:pPr>
        <w:ind w:left="3600" w:hanging="360"/>
      </w:pPr>
      <w:rPr>
        <w:rFonts w:ascii="Courier New" w:hAnsi="Courier New" w:cs="Arial" w:hint="default"/>
      </w:rPr>
    </w:lvl>
    <w:lvl w:ilvl="5" w:tplc="3D44A422" w:tentative="1">
      <w:start w:val="1"/>
      <w:numFmt w:val="bullet"/>
      <w:lvlText w:val=""/>
      <w:lvlJc w:val="left"/>
      <w:pPr>
        <w:ind w:left="4320" w:hanging="360"/>
      </w:pPr>
      <w:rPr>
        <w:rFonts w:ascii="Wingdings" w:hAnsi="Wingdings" w:hint="default"/>
      </w:rPr>
    </w:lvl>
    <w:lvl w:ilvl="6" w:tplc="3154D6E2" w:tentative="1">
      <w:start w:val="1"/>
      <w:numFmt w:val="bullet"/>
      <w:lvlText w:val=""/>
      <w:lvlJc w:val="left"/>
      <w:pPr>
        <w:ind w:left="5040" w:hanging="360"/>
      </w:pPr>
      <w:rPr>
        <w:rFonts w:ascii="Symbol" w:hAnsi="Symbol" w:hint="default"/>
      </w:rPr>
    </w:lvl>
    <w:lvl w:ilvl="7" w:tplc="2F182FE8" w:tentative="1">
      <w:start w:val="1"/>
      <w:numFmt w:val="bullet"/>
      <w:lvlText w:val="o"/>
      <w:lvlJc w:val="left"/>
      <w:pPr>
        <w:ind w:left="5760" w:hanging="360"/>
      </w:pPr>
      <w:rPr>
        <w:rFonts w:ascii="Courier New" w:hAnsi="Courier New" w:cs="Arial" w:hint="default"/>
      </w:rPr>
    </w:lvl>
    <w:lvl w:ilvl="8" w:tplc="655E3B6A" w:tentative="1">
      <w:start w:val="1"/>
      <w:numFmt w:val="bullet"/>
      <w:lvlText w:val=""/>
      <w:lvlJc w:val="left"/>
      <w:pPr>
        <w:ind w:left="6480" w:hanging="360"/>
      </w:pPr>
      <w:rPr>
        <w:rFonts w:ascii="Wingdings" w:hAnsi="Wingdings" w:hint="default"/>
      </w:rPr>
    </w:lvl>
  </w:abstractNum>
  <w:abstractNum w:abstractNumId="6">
    <w:nsid w:val="151D3A48"/>
    <w:multiLevelType w:val="hybridMultilevel"/>
    <w:tmpl w:val="11A68D76"/>
    <w:name w:val="WW8Num3"/>
    <w:lvl w:ilvl="0" w:tplc="0C56836A">
      <w:start w:val="1"/>
      <w:numFmt w:val="bullet"/>
      <w:lvlText w:val="•"/>
      <w:lvlJc w:val="left"/>
      <w:pPr>
        <w:tabs>
          <w:tab w:val="num" w:pos="720"/>
        </w:tabs>
        <w:ind w:left="720" w:hanging="360"/>
      </w:pPr>
      <w:rPr>
        <w:rFonts w:ascii="Arial" w:hAnsi="Arial" w:hint="default"/>
      </w:rPr>
    </w:lvl>
    <w:lvl w:ilvl="1" w:tplc="0D6640A0" w:tentative="1">
      <w:start w:val="1"/>
      <w:numFmt w:val="bullet"/>
      <w:lvlText w:val="o"/>
      <w:lvlJc w:val="left"/>
      <w:pPr>
        <w:tabs>
          <w:tab w:val="num" w:pos="1440"/>
        </w:tabs>
        <w:ind w:left="1440" w:hanging="360"/>
      </w:pPr>
      <w:rPr>
        <w:rFonts w:ascii="Courier New" w:hAnsi="Courier New" w:hint="default"/>
      </w:rPr>
    </w:lvl>
    <w:lvl w:ilvl="2" w:tplc="C47EC7A2" w:tentative="1">
      <w:start w:val="1"/>
      <w:numFmt w:val="bullet"/>
      <w:lvlText w:val=""/>
      <w:lvlJc w:val="left"/>
      <w:pPr>
        <w:tabs>
          <w:tab w:val="num" w:pos="2160"/>
        </w:tabs>
        <w:ind w:left="2160" w:hanging="360"/>
      </w:pPr>
      <w:rPr>
        <w:rFonts w:ascii="Wingdings" w:hAnsi="Wingdings" w:hint="default"/>
      </w:rPr>
    </w:lvl>
    <w:lvl w:ilvl="3" w:tplc="27567266" w:tentative="1">
      <w:start w:val="1"/>
      <w:numFmt w:val="bullet"/>
      <w:lvlText w:val=""/>
      <w:lvlJc w:val="left"/>
      <w:pPr>
        <w:tabs>
          <w:tab w:val="num" w:pos="2880"/>
        </w:tabs>
        <w:ind w:left="2880" w:hanging="360"/>
      </w:pPr>
      <w:rPr>
        <w:rFonts w:ascii="Symbol" w:hAnsi="Symbol" w:hint="default"/>
      </w:rPr>
    </w:lvl>
    <w:lvl w:ilvl="4" w:tplc="1B06F4C2" w:tentative="1">
      <w:start w:val="1"/>
      <w:numFmt w:val="bullet"/>
      <w:lvlText w:val="o"/>
      <w:lvlJc w:val="left"/>
      <w:pPr>
        <w:tabs>
          <w:tab w:val="num" w:pos="3600"/>
        </w:tabs>
        <w:ind w:left="3600" w:hanging="360"/>
      </w:pPr>
      <w:rPr>
        <w:rFonts w:ascii="Courier New" w:hAnsi="Courier New" w:hint="default"/>
      </w:rPr>
    </w:lvl>
    <w:lvl w:ilvl="5" w:tplc="7C263718" w:tentative="1">
      <w:start w:val="1"/>
      <w:numFmt w:val="bullet"/>
      <w:lvlText w:val=""/>
      <w:lvlJc w:val="left"/>
      <w:pPr>
        <w:tabs>
          <w:tab w:val="num" w:pos="4320"/>
        </w:tabs>
        <w:ind w:left="4320" w:hanging="360"/>
      </w:pPr>
      <w:rPr>
        <w:rFonts w:ascii="Wingdings" w:hAnsi="Wingdings" w:hint="default"/>
      </w:rPr>
    </w:lvl>
    <w:lvl w:ilvl="6" w:tplc="024449B8" w:tentative="1">
      <w:start w:val="1"/>
      <w:numFmt w:val="bullet"/>
      <w:lvlText w:val=""/>
      <w:lvlJc w:val="left"/>
      <w:pPr>
        <w:tabs>
          <w:tab w:val="num" w:pos="5040"/>
        </w:tabs>
        <w:ind w:left="5040" w:hanging="360"/>
      </w:pPr>
      <w:rPr>
        <w:rFonts w:ascii="Symbol" w:hAnsi="Symbol" w:hint="default"/>
      </w:rPr>
    </w:lvl>
    <w:lvl w:ilvl="7" w:tplc="8794AA9E" w:tentative="1">
      <w:start w:val="1"/>
      <w:numFmt w:val="bullet"/>
      <w:lvlText w:val="o"/>
      <w:lvlJc w:val="left"/>
      <w:pPr>
        <w:tabs>
          <w:tab w:val="num" w:pos="5760"/>
        </w:tabs>
        <w:ind w:left="5760" w:hanging="360"/>
      </w:pPr>
      <w:rPr>
        <w:rFonts w:ascii="Courier New" w:hAnsi="Courier New" w:hint="default"/>
      </w:rPr>
    </w:lvl>
    <w:lvl w:ilvl="8" w:tplc="E0A83108" w:tentative="1">
      <w:start w:val="1"/>
      <w:numFmt w:val="bullet"/>
      <w:lvlText w:val=""/>
      <w:lvlJc w:val="left"/>
      <w:pPr>
        <w:tabs>
          <w:tab w:val="num" w:pos="6480"/>
        </w:tabs>
        <w:ind w:left="6480" w:hanging="360"/>
      </w:pPr>
      <w:rPr>
        <w:rFonts w:ascii="Wingdings" w:hAnsi="Wingdings" w:hint="default"/>
      </w:rPr>
    </w:lvl>
  </w:abstractNum>
  <w:abstractNum w:abstractNumId="7">
    <w:nsid w:val="165D22D7"/>
    <w:multiLevelType w:val="hybridMultilevel"/>
    <w:tmpl w:val="96A6F25E"/>
    <w:lvl w:ilvl="0" w:tplc="C546B5AA">
      <w:start w:val="147"/>
      <w:numFmt w:val="decimal"/>
      <w:lvlText w:val="%1."/>
      <w:lvlJc w:val="left"/>
      <w:pPr>
        <w:ind w:left="786" w:hanging="360"/>
      </w:pPr>
      <w:rPr>
        <w:rFonts w:hint="default"/>
        <w:b w:val="0"/>
        <w:i w:val="0"/>
        <w:sz w:val="24"/>
      </w:rPr>
    </w:lvl>
    <w:lvl w:ilvl="1" w:tplc="0FDE27E6" w:tentative="1">
      <w:start w:val="1"/>
      <w:numFmt w:val="lowerLetter"/>
      <w:lvlText w:val="%2."/>
      <w:lvlJc w:val="left"/>
      <w:pPr>
        <w:ind w:left="1440" w:hanging="360"/>
      </w:pPr>
    </w:lvl>
    <w:lvl w:ilvl="2" w:tplc="18E8E8CC" w:tentative="1">
      <w:start w:val="1"/>
      <w:numFmt w:val="lowerRoman"/>
      <w:lvlText w:val="%3."/>
      <w:lvlJc w:val="right"/>
      <w:pPr>
        <w:ind w:left="2160" w:hanging="180"/>
      </w:pPr>
    </w:lvl>
    <w:lvl w:ilvl="3" w:tplc="61021534" w:tentative="1">
      <w:start w:val="1"/>
      <w:numFmt w:val="decimal"/>
      <w:lvlText w:val="%4."/>
      <w:lvlJc w:val="left"/>
      <w:pPr>
        <w:ind w:left="2880" w:hanging="360"/>
      </w:pPr>
    </w:lvl>
    <w:lvl w:ilvl="4" w:tplc="C46E6582" w:tentative="1">
      <w:start w:val="1"/>
      <w:numFmt w:val="lowerLetter"/>
      <w:lvlText w:val="%5."/>
      <w:lvlJc w:val="left"/>
      <w:pPr>
        <w:ind w:left="3600" w:hanging="360"/>
      </w:pPr>
    </w:lvl>
    <w:lvl w:ilvl="5" w:tplc="96C23B52" w:tentative="1">
      <w:start w:val="1"/>
      <w:numFmt w:val="lowerRoman"/>
      <w:lvlText w:val="%6."/>
      <w:lvlJc w:val="right"/>
      <w:pPr>
        <w:ind w:left="4320" w:hanging="180"/>
      </w:pPr>
    </w:lvl>
    <w:lvl w:ilvl="6" w:tplc="25220040" w:tentative="1">
      <w:start w:val="1"/>
      <w:numFmt w:val="decimal"/>
      <w:lvlText w:val="%7."/>
      <w:lvlJc w:val="left"/>
      <w:pPr>
        <w:ind w:left="5040" w:hanging="360"/>
      </w:pPr>
    </w:lvl>
    <w:lvl w:ilvl="7" w:tplc="DC4868AC" w:tentative="1">
      <w:start w:val="1"/>
      <w:numFmt w:val="lowerLetter"/>
      <w:lvlText w:val="%8."/>
      <w:lvlJc w:val="left"/>
      <w:pPr>
        <w:ind w:left="5760" w:hanging="360"/>
      </w:pPr>
    </w:lvl>
    <w:lvl w:ilvl="8" w:tplc="02E2E4A4" w:tentative="1">
      <w:start w:val="1"/>
      <w:numFmt w:val="lowerRoman"/>
      <w:lvlText w:val="%9."/>
      <w:lvlJc w:val="right"/>
      <w:pPr>
        <w:ind w:left="6480" w:hanging="180"/>
      </w:pPr>
    </w:lvl>
  </w:abstractNum>
  <w:abstractNum w:abstractNumId="8">
    <w:nsid w:val="1D8D5C7D"/>
    <w:multiLevelType w:val="multilevel"/>
    <w:tmpl w:val="C6A06188"/>
    <w:lvl w:ilvl="0">
      <w:start w:val="1"/>
      <w:numFmt w:val="none"/>
      <w:suff w:val="nothing"/>
      <w:lvlText w:val=""/>
      <w:lvlJc w:val="left"/>
      <w:pPr>
        <w:ind w:left="0" w:firstLine="0"/>
      </w:pPr>
      <w:rPr>
        <w:rFonts w:hint="default"/>
        <w:b/>
        <w:i w:val="0"/>
        <w:sz w:val="28"/>
      </w:rPr>
    </w:lvl>
    <w:lvl w:ilvl="1">
      <w:start w:val="1"/>
      <w:numFmt w:val="upperLetter"/>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cs="Times New Roman" w:hint="default"/>
      </w:rPr>
    </w:lvl>
    <w:lvl w:ilvl="6">
      <w:start w:val="1"/>
      <w:numFmt w:val="lowerRoman"/>
      <w:lvlText w:val="%7)"/>
      <w:lvlJc w:val="left"/>
      <w:pPr>
        <w:ind w:left="0" w:firstLine="0"/>
      </w:pPr>
      <w:rPr>
        <w:rFonts w:cs="Times New Roman"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cs="Times New Roman" w:hint="default"/>
      </w:rPr>
    </w:lvl>
  </w:abstractNum>
  <w:abstractNum w:abstractNumId="9">
    <w:nsid w:val="218776EF"/>
    <w:multiLevelType w:val="hybridMultilevel"/>
    <w:tmpl w:val="F16658CE"/>
    <w:lvl w:ilvl="0" w:tplc="C7E2B7BA">
      <w:start w:val="1"/>
      <w:numFmt w:val="bullet"/>
      <w:lvlText w:val=""/>
      <w:lvlJc w:val="left"/>
      <w:pPr>
        <w:tabs>
          <w:tab w:val="num" w:pos="720"/>
        </w:tabs>
        <w:ind w:left="720" w:hanging="360"/>
      </w:pPr>
      <w:rPr>
        <w:rFonts w:ascii="Symbol" w:hAnsi="Symbol" w:hint="default"/>
      </w:rPr>
    </w:lvl>
    <w:lvl w:ilvl="1" w:tplc="EAA0ABEA" w:tentative="1">
      <w:start w:val="1"/>
      <w:numFmt w:val="bullet"/>
      <w:lvlText w:val="o"/>
      <w:lvlJc w:val="left"/>
      <w:pPr>
        <w:tabs>
          <w:tab w:val="num" w:pos="1440"/>
        </w:tabs>
        <w:ind w:left="1440" w:hanging="360"/>
      </w:pPr>
      <w:rPr>
        <w:rFonts w:ascii="Courier New" w:hAnsi="Courier New" w:hint="default"/>
      </w:rPr>
    </w:lvl>
    <w:lvl w:ilvl="2" w:tplc="E3F02522" w:tentative="1">
      <w:start w:val="1"/>
      <w:numFmt w:val="bullet"/>
      <w:lvlText w:val=""/>
      <w:lvlJc w:val="left"/>
      <w:pPr>
        <w:tabs>
          <w:tab w:val="num" w:pos="2160"/>
        </w:tabs>
        <w:ind w:left="2160" w:hanging="360"/>
      </w:pPr>
      <w:rPr>
        <w:rFonts w:ascii="Wingdings" w:hAnsi="Wingdings" w:hint="default"/>
      </w:rPr>
    </w:lvl>
    <w:lvl w:ilvl="3" w:tplc="D910C146" w:tentative="1">
      <w:start w:val="1"/>
      <w:numFmt w:val="bullet"/>
      <w:lvlText w:val=""/>
      <w:lvlJc w:val="left"/>
      <w:pPr>
        <w:tabs>
          <w:tab w:val="num" w:pos="2880"/>
        </w:tabs>
        <w:ind w:left="2880" w:hanging="360"/>
      </w:pPr>
      <w:rPr>
        <w:rFonts w:ascii="Symbol" w:hAnsi="Symbol" w:hint="default"/>
      </w:rPr>
    </w:lvl>
    <w:lvl w:ilvl="4" w:tplc="1CAA23D0" w:tentative="1">
      <w:start w:val="1"/>
      <w:numFmt w:val="bullet"/>
      <w:lvlText w:val="o"/>
      <w:lvlJc w:val="left"/>
      <w:pPr>
        <w:tabs>
          <w:tab w:val="num" w:pos="3600"/>
        </w:tabs>
        <w:ind w:left="3600" w:hanging="360"/>
      </w:pPr>
      <w:rPr>
        <w:rFonts w:ascii="Courier New" w:hAnsi="Courier New" w:hint="default"/>
      </w:rPr>
    </w:lvl>
    <w:lvl w:ilvl="5" w:tplc="4C0CF7D6" w:tentative="1">
      <w:start w:val="1"/>
      <w:numFmt w:val="bullet"/>
      <w:lvlText w:val=""/>
      <w:lvlJc w:val="left"/>
      <w:pPr>
        <w:tabs>
          <w:tab w:val="num" w:pos="4320"/>
        </w:tabs>
        <w:ind w:left="4320" w:hanging="360"/>
      </w:pPr>
      <w:rPr>
        <w:rFonts w:ascii="Wingdings" w:hAnsi="Wingdings" w:hint="default"/>
      </w:rPr>
    </w:lvl>
    <w:lvl w:ilvl="6" w:tplc="4E1CDD96" w:tentative="1">
      <w:start w:val="1"/>
      <w:numFmt w:val="bullet"/>
      <w:lvlText w:val=""/>
      <w:lvlJc w:val="left"/>
      <w:pPr>
        <w:tabs>
          <w:tab w:val="num" w:pos="5040"/>
        </w:tabs>
        <w:ind w:left="5040" w:hanging="360"/>
      </w:pPr>
      <w:rPr>
        <w:rFonts w:ascii="Symbol" w:hAnsi="Symbol" w:hint="default"/>
      </w:rPr>
    </w:lvl>
    <w:lvl w:ilvl="7" w:tplc="79B0F9A8" w:tentative="1">
      <w:start w:val="1"/>
      <w:numFmt w:val="bullet"/>
      <w:lvlText w:val="o"/>
      <w:lvlJc w:val="left"/>
      <w:pPr>
        <w:tabs>
          <w:tab w:val="num" w:pos="5760"/>
        </w:tabs>
        <w:ind w:left="5760" w:hanging="360"/>
      </w:pPr>
      <w:rPr>
        <w:rFonts w:ascii="Courier New" w:hAnsi="Courier New" w:hint="default"/>
      </w:rPr>
    </w:lvl>
    <w:lvl w:ilvl="8" w:tplc="64940B2A" w:tentative="1">
      <w:start w:val="1"/>
      <w:numFmt w:val="bullet"/>
      <w:lvlText w:val=""/>
      <w:lvlJc w:val="left"/>
      <w:pPr>
        <w:tabs>
          <w:tab w:val="num" w:pos="6480"/>
        </w:tabs>
        <w:ind w:left="6480" w:hanging="360"/>
      </w:pPr>
      <w:rPr>
        <w:rFonts w:ascii="Wingdings" w:hAnsi="Wingdings" w:hint="default"/>
      </w:rPr>
    </w:lvl>
  </w:abstractNum>
  <w:abstractNum w:abstractNumId="10">
    <w:nsid w:val="259334C4"/>
    <w:multiLevelType w:val="hybridMultilevel"/>
    <w:tmpl w:val="0E4E4902"/>
    <w:lvl w:ilvl="0" w:tplc="04090001">
      <w:start w:val="1"/>
      <w:numFmt w:val="bullet"/>
      <w:lvlText w:val=""/>
      <w:lvlJc w:val="left"/>
      <w:pPr>
        <w:tabs>
          <w:tab w:val="num" w:pos="720"/>
        </w:tabs>
        <w:ind w:left="720" w:hanging="360"/>
      </w:pPr>
      <w:rPr>
        <w:rFonts w:ascii="Symbol" w:hAnsi="Symbol" w:hint="default"/>
        <w:b w:val="0"/>
      </w:rPr>
    </w:lvl>
    <w:lvl w:ilvl="1" w:tplc="04090003">
      <w:start w:val="1"/>
      <w:numFmt w:val="bullet"/>
      <w:lvlText w:val=""/>
      <w:lvlJc w:val="left"/>
      <w:pPr>
        <w:tabs>
          <w:tab w:val="num" w:pos="1800"/>
        </w:tabs>
        <w:ind w:left="1800" w:hanging="360"/>
      </w:pPr>
      <w:rPr>
        <w:rFonts w:ascii="Symbol" w:hAnsi="Symbol" w:hint="default"/>
      </w:r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1">
    <w:nsid w:val="26276A17"/>
    <w:multiLevelType w:val="hybridMultilevel"/>
    <w:tmpl w:val="738A00FE"/>
    <w:lvl w:ilvl="0" w:tplc="6EF63DE4">
      <w:start w:val="1"/>
      <w:numFmt w:val="bullet"/>
      <w:lvlText w:val=""/>
      <w:lvlJc w:val="left"/>
      <w:pPr>
        <w:tabs>
          <w:tab w:val="num" w:pos="720"/>
        </w:tabs>
        <w:ind w:left="720" w:hanging="360"/>
      </w:pPr>
      <w:rPr>
        <w:rFonts w:ascii="Wingdings" w:hAnsi="Wingdings" w:hint="default"/>
        <w:color w:val="auto"/>
        <w:sz w:val="20"/>
      </w:rPr>
    </w:lvl>
    <w:lvl w:ilvl="1" w:tplc="04090019">
      <w:start w:val="1"/>
      <w:numFmt w:val="bullet"/>
      <w:lvlText w:val="o"/>
      <w:lvlJc w:val="left"/>
      <w:pPr>
        <w:tabs>
          <w:tab w:val="num" w:pos="1440"/>
        </w:tabs>
        <w:ind w:left="1440" w:hanging="360"/>
      </w:pPr>
      <w:rPr>
        <w:rFonts w:ascii="Courier New" w:hAnsi="Courier New" w:cs="POHNCD+Arial,Bold"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POHNCD+Arial,Bold"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POHNCD+Arial,Bold"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nsid w:val="28627A58"/>
    <w:multiLevelType w:val="hybridMultilevel"/>
    <w:tmpl w:val="C8BC5C0E"/>
    <w:lvl w:ilvl="0" w:tplc="21FAD4A4">
      <w:start w:val="1"/>
      <w:numFmt w:val="lowerLetter"/>
      <w:lvlText w:val="%1."/>
      <w:lvlJc w:val="left"/>
      <w:pPr>
        <w:ind w:left="1287" w:hanging="360"/>
      </w:pPr>
      <w:rPr>
        <w:rFonts w:hint="default"/>
        <w:sz w:val="20"/>
      </w:rPr>
    </w:lvl>
    <w:lvl w:ilvl="1" w:tplc="04090001">
      <w:start w:val="1"/>
      <w:numFmt w:val="lowerLetter"/>
      <w:lvlText w:val="%2."/>
      <w:lvlJc w:val="left"/>
      <w:pPr>
        <w:ind w:left="2007" w:hanging="360"/>
      </w:pPr>
    </w:lvl>
    <w:lvl w:ilvl="2" w:tplc="0409001B">
      <w:start w:val="1"/>
      <w:numFmt w:val="lowerRoman"/>
      <w:lvlText w:val="%3)"/>
      <w:lvlJc w:val="left"/>
      <w:pPr>
        <w:ind w:left="3267" w:hanging="720"/>
      </w:pPr>
      <w:rPr>
        <w:rFonts w:hint="default"/>
      </w:rPr>
    </w:lvl>
    <w:lvl w:ilvl="3" w:tplc="0409000F">
      <w:start w:val="166"/>
      <w:numFmt w:val="bullet"/>
      <w:lvlText w:val=""/>
      <w:lvlJc w:val="left"/>
      <w:pPr>
        <w:ind w:left="3447" w:hanging="360"/>
      </w:pPr>
      <w:rPr>
        <w:rFonts w:ascii="Wingdings" w:eastAsia="Calibri" w:hAnsi="Wingdings" w:cs="Times New Roman" w:hint="default"/>
      </w:rPr>
    </w:lvl>
    <w:lvl w:ilvl="4" w:tplc="04090019">
      <w:start w:val="97"/>
      <w:numFmt w:val="decimal"/>
      <w:lvlText w:val="%5."/>
      <w:lvlJc w:val="left"/>
      <w:pPr>
        <w:ind w:left="4167" w:hanging="360"/>
      </w:pPr>
      <w:rPr>
        <w:rFonts w:hint="default"/>
        <w:b/>
      </w:r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28AD3A5B"/>
    <w:multiLevelType w:val="hybridMultilevel"/>
    <w:tmpl w:val="946EB380"/>
    <w:lvl w:ilvl="0" w:tplc="04090001">
      <w:start w:val="1"/>
      <w:numFmt w:val="decimal"/>
      <w:lvlText w:val="%1."/>
      <w:lvlJc w:val="left"/>
      <w:pPr>
        <w:ind w:left="786"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nsid w:val="2CB725D3"/>
    <w:multiLevelType w:val="hybridMultilevel"/>
    <w:tmpl w:val="6F129A92"/>
    <w:lvl w:ilvl="0" w:tplc="56648D6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Aria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Arial"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313F02C3"/>
    <w:multiLevelType w:val="hybridMultilevel"/>
    <w:tmpl w:val="597C3C60"/>
    <w:lvl w:ilvl="0" w:tplc="622235B6">
      <w:start w:val="1"/>
      <w:numFmt w:val="bullet"/>
      <w:lvlText w:val=""/>
      <w:lvlJc w:val="left"/>
      <w:pPr>
        <w:ind w:left="720" w:hanging="360"/>
      </w:pPr>
      <w:rPr>
        <w:rFonts w:ascii="Wingdings" w:hAnsi="Wingdings" w:hint="default"/>
        <w:sz w:val="20"/>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391A655C"/>
    <w:multiLevelType w:val="hybridMultilevel"/>
    <w:tmpl w:val="7268A01A"/>
    <w:lvl w:ilvl="0" w:tplc="107CE682">
      <w:start w:val="1"/>
      <w:numFmt w:val="bullet"/>
      <w:lvlText w:val=""/>
      <w:lvlJc w:val="left"/>
      <w:pPr>
        <w:ind w:left="1287" w:hanging="360"/>
      </w:pPr>
      <w:rPr>
        <w:rFonts w:ascii="Wingdings" w:hAnsi="Wingdings" w:hint="default"/>
        <w:sz w:val="20"/>
      </w:rPr>
    </w:lvl>
    <w:lvl w:ilvl="1" w:tplc="8D7689B4">
      <w:start w:val="1"/>
      <w:numFmt w:val="lowerLetter"/>
      <w:lvlText w:val="%2."/>
      <w:lvlJc w:val="left"/>
      <w:pPr>
        <w:ind w:left="2007" w:hanging="360"/>
      </w:pPr>
    </w:lvl>
    <w:lvl w:ilvl="2" w:tplc="2542DAE2">
      <w:start w:val="1"/>
      <w:numFmt w:val="lowerRoman"/>
      <w:lvlText w:val="%3)"/>
      <w:lvlJc w:val="left"/>
      <w:pPr>
        <w:ind w:left="3267" w:hanging="720"/>
      </w:pPr>
      <w:rPr>
        <w:rFonts w:hint="default"/>
      </w:rPr>
    </w:lvl>
    <w:lvl w:ilvl="3" w:tplc="CEBC983C">
      <w:start w:val="166"/>
      <w:numFmt w:val="bullet"/>
      <w:lvlText w:val=""/>
      <w:lvlJc w:val="left"/>
      <w:pPr>
        <w:ind w:left="3447" w:hanging="360"/>
      </w:pPr>
      <w:rPr>
        <w:rFonts w:ascii="Wingdings" w:eastAsia="Calibri" w:hAnsi="Wingdings" w:cs="Times New Roman" w:hint="default"/>
      </w:rPr>
    </w:lvl>
    <w:lvl w:ilvl="4" w:tplc="D286E300">
      <w:start w:val="97"/>
      <w:numFmt w:val="decimal"/>
      <w:lvlText w:val="%5."/>
      <w:lvlJc w:val="left"/>
      <w:pPr>
        <w:ind w:left="4167" w:hanging="360"/>
      </w:pPr>
      <w:rPr>
        <w:rFonts w:hint="default"/>
        <w:b/>
      </w:rPr>
    </w:lvl>
    <w:lvl w:ilvl="5" w:tplc="111E2AB6" w:tentative="1">
      <w:start w:val="1"/>
      <w:numFmt w:val="lowerRoman"/>
      <w:lvlText w:val="%6."/>
      <w:lvlJc w:val="right"/>
      <w:pPr>
        <w:ind w:left="4887" w:hanging="180"/>
      </w:pPr>
    </w:lvl>
    <w:lvl w:ilvl="6" w:tplc="F0DA8EC0" w:tentative="1">
      <w:start w:val="1"/>
      <w:numFmt w:val="decimal"/>
      <w:lvlText w:val="%7."/>
      <w:lvlJc w:val="left"/>
      <w:pPr>
        <w:ind w:left="5607" w:hanging="360"/>
      </w:pPr>
    </w:lvl>
    <w:lvl w:ilvl="7" w:tplc="F0FA383E" w:tentative="1">
      <w:start w:val="1"/>
      <w:numFmt w:val="lowerLetter"/>
      <w:lvlText w:val="%8."/>
      <w:lvlJc w:val="left"/>
      <w:pPr>
        <w:ind w:left="6327" w:hanging="360"/>
      </w:pPr>
    </w:lvl>
    <w:lvl w:ilvl="8" w:tplc="2C366C1A" w:tentative="1">
      <w:start w:val="1"/>
      <w:numFmt w:val="lowerRoman"/>
      <w:lvlText w:val="%9."/>
      <w:lvlJc w:val="right"/>
      <w:pPr>
        <w:ind w:left="7047" w:hanging="180"/>
      </w:pPr>
    </w:lvl>
  </w:abstractNum>
  <w:abstractNum w:abstractNumId="17">
    <w:nsid w:val="3FC100BF"/>
    <w:multiLevelType w:val="hybridMultilevel"/>
    <w:tmpl w:val="80082326"/>
    <w:lvl w:ilvl="0" w:tplc="E618B40A">
      <w:start w:val="1"/>
      <w:numFmt w:val="bullet"/>
      <w:lvlText w:val=""/>
      <w:lvlJc w:val="left"/>
      <w:pPr>
        <w:ind w:left="720" w:hanging="360"/>
      </w:pPr>
      <w:rPr>
        <w:rFonts w:ascii="Wingdings" w:hAnsi="Wingdings" w:hint="default"/>
        <w:sz w:val="20"/>
      </w:rPr>
    </w:lvl>
    <w:lvl w:ilvl="1" w:tplc="846A400A" w:tentative="1">
      <w:start w:val="1"/>
      <w:numFmt w:val="bullet"/>
      <w:lvlText w:val="o"/>
      <w:lvlJc w:val="left"/>
      <w:pPr>
        <w:ind w:left="1440" w:hanging="360"/>
      </w:pPr>
      <w:rPr>
        <w:rFonts w:ascii="Courier New" w:hAnsi="Courier New" w:cs="POHNCD+Arial,Bold" w:hint="default"/>
      </w:rPr>
    </w:lvl>
    <w:lvl w:ilvl="2" w:tplc="04090001"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POHNCD+Arial,Bold"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POHNCD+Arial,Bold"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42EA5F82"/>
    <w:multiLevelType w:val="hybridMultilevel"/>
    <w:tmpl w:val="A8E254CE"/>
    <w:lvl w:ilvl="0" w:tplc="E618B40A">
      <w:start w:val="1"/>
      <w:numFmt w:val="bullet"/>
      <w:lvlText w:val=""/>
      <w:lvlJc w:val="left"/>
      <w:pPr>
        <w:ind w:left="720" w:hanging="360"/>
      </w:pPr>
      <w:rPr>
        <w:rFonts w:ascii="Wingdings" w:hAnsi="Wingdings" w:hint="default"/>
        <w:sz w:val="20"/>
      </w:rPr>
    </w:lvl>
    <w:lvl w:ilvl="1" w:tplc="846A400A" w:tentative="1">
      <w:start w:val="1"/>
      <w:numFmt w:val="bullet"/>
      <w:lvlText w:val="o"/>
      <w:lvlJc w:val="left"/>
      <w:pPr>
        <w:ind w:left="1440" w:hanging="360"/>
      </w:pPr>
      <w:rPr>
        <w:rFonts w:ascii="Courier New" w:hAnsi="Courier New" w:cs="Arial" w:hint="default"/>
      </w:rPr>
    </w:lvl>
    <w:lvl w:ilvl="2" w:tplc="04090001"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19">
    <w:nsid w:val="454A677F"/>
    <w:multiLevelType w:val="hybridMultilevel"/>
    <w:tmpl w:val="919469DC"/>
    <w:lvl w:ilvl="0" w:tplc="3F282B9E">
      <w:start w:val="1"/>
      <w:numFmt w:val="decimal"/>
      <w:lvlText w:val="%1."/>
      <w:lvlJc w:val="left"/>
      <w:pPr>
        <w:ind w:left="720" w:hanging="360"/>
      </w:pPr>
    </w:lvl>
    <w:lvl w:ilvl="1" w:tplc="040C0003">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0">
    <w:nsid w:val="46822A3F"/>
    <w:multiLevelType w:val="hybridMultilevel"/>
    <w:tmpl w:val="D94A9968"/>
    <w:lvl w:ilvl="0" w:tplc="04090001">
      <w:start w:val="1"/>
      <w:numFmt w:val="bullet"/>
      <w:lvlText w:val=""/>
      <w:lvlJc w:val="left"/>
      <w:pPr>
        <w:ind w:left="720" w:hanging="360"/>
      </w:pPr>
      <w:rPr>
        <w:rFonts w:ascii="Wingdings" w:hAnsi="Wingdings" w:hint="default"/>
        <w:sz w:val="20"/>
        <w:lang w:val="fr-FR"/>
      </w:rPr>
    </w:lvl>
    <w:lvl w:ilvl="1" w:tplc="0409000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4F1F271B"/>
    <w:multiLevelType w:val="multilevel"/>
    <w:tmpl w:val="BB8803A4"/>
    <w:lvl w:ilvl="0">
      <w:start w:val="1"/>
      <w:numFmt w:val="none"/>
      <w:suff w:val="nothing"/>
      <w:lvlText w:val=""/>
      <w:lvlJc w:val="left"/>
      <w:pPr>
        <w:ind w:left="0" w:firstLine="0"/>
      </w:pPr>
      <w:rPr>
        <w:rFonts w:hint="default"/>
        <w:b/>
        <w:i w:val="0"/>
        <w:sz w:val="28"/>
      </w:rPr>
    </w:lvl>
    <w:lvl w:ilvl="1">
      <w:start w:val="1"/>
      <w:numFmt w:val="upperLetter"/>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cs="Times New Roman" w:hint="default"/>
      </w:rPr>
    </w:lvl>
    <w:lvl w:ilvl="6">
      <w:start w:val="1"/>
      <w:numFmt w:val="lowerRoman"/>
      <w:lvlText w:val="%7)"/>
      <w:lvlJc w:val="left"/>
      <w:pPr>
        <w:ind w:left="0" w:firstLine="0"/>
      </w:pPr>
      <w:rPr>
        <w:rFonts w:cs="Times New Roman"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cs="Times New Roman" w:hint="default"/>
      </w:rPr>
    </w:lvl>
  </w:abstractNum>
  <w:abstractNum w:abstractNumId="22">
    <w:nsid w:val="4FF2438A"/>
    <w:multiLevelType w:val="hybridMultilevel"/>
    <w:tmpl w:val="ABA6A5B6"/>
    <w:name w:val="WW8Num32"/>
    <w:lvl w:ilvl="0" w:tplc="0409000B">
      <w:start w:val="1"/>
      <w:numFmt w:val="bullet"/>
      <w:lvlText w:val=""/>
      <w:lvlJc w:val="left"/>
      <w:pPr>
        <w:tabs>
          <w:tab w:val="num" w:pos="648"/>
        </w:tabs>
        <w:ind w:left="648" w:hanging="288"/>
      </w:pPr>
      <w:rPr>
        <w:rFonts w:ascii="Symbol" w:hAnsi="Symbol" w:hint="default"/>
        <w:sz w:val="20"/>
        <w:szCs w:val="20"/>
      </w:rPr>
    </w:lvl>
    <w:lvl w:ilvl="1" w:tplc="04090003">
      <w:start w:val="1"/>
      <w:numFmt w:val="bullet"/>
      <w:lvlText w:val=""/>
      <w:lvlJc w:val="left"/>
      <w:pPr>
        <w:tabs>
          <w:tab w:val="num" w:pos="1800"/>
        </w:tabs>
        <w:ind w:left="1800" w:hanging="360"/>
      </w:pPr>
      <w:rPr>
        <w:rFonts w:ascii="Symbol" w:hAnsi="Symbol" w:hint="default"/>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0B15C3E"/>
    <w:multiLevelType w:val="hybridMultilevel"/>
    <w:tmpl w:val="ED0A437E"/>
    <w:lvl w:ilvl="0" w:tplc="0409000F">
      <w:start w:val="1"/>
      <w:numFmt w:val="lowerLetter"/>
      <w:lvlText w:val="%1."/>
      <w:lvlJc w:val="left"/>
      <w:pPr>
        <w:ind w:left="1287"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D92D89"/>
    <w:multiLevelType w:val="hybridMultilevel"/>
    <w:tmpl w:val="8146C540"/>
    <w:lvl w:ilvl="0" w:tplc="040C0019">
      <w:start w:val="1"/>
      <w:numFmt w:val="lowerRoman"/>
      <w:lvlText w:val="%1)"/>
      <w:lvlJc w:val="left"/>
      <w:pPr>
        <w:ind w:left="720" w:hanging="360"/>
      </w:pPr>
      <w:rPr>
        <w:rFonts w:cs="Times New Roman"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nsid w:val="54B61190"/>
    <w:multiLevelType w:val="hybridMultilevel"/>
    <w:tmpl w:val="F31E814A"/>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68602F"/>
    <w:multiLevelType w:val="multilevel"/>
    <w:tmpl w:val="27BA72AA"/>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5ACD3F01"/>
    <w:multiLevelType w:val="hybridMultilevel"/>
    <w:tmpl w:val="8FB82F22"/>
    <w:lvl w:ilvl="0" w:tplc="142A0716">
      <w:start w:val="1"/>
      <w:numFmt w:val="upperLetter"/>
      <w:lvlText w:val="%1."/>
      <w:lvlJc w:val="left"/>
      <w:pPr>
        <w:ind w:left="360" w:hanging="360"/>
      </w:pPr>
      <w:rPr>
        <w:rFonts w:hint="default"/>
      </w:rPr>
    </w:lvl>
    <w:lvl w:ilvl="1" w:tplc="4B068EC2" w:tentative="1">
      <w:start w:val="1"/>
      <w:numFmt w:val="lowerLetter"/>
      <w:lvlText w:val="%2."/>
      <w:lvlJc w:val="left"/>
      <w:pPr>
        <w:ind w:left="1080" w:hanging="360"/>
      </w:pPr>
    </w:lvl>
    <w:lvl w:ilvl="2" w:tplc="474A4BB4" w:tentative="1">
      <w:start w:val="1"/>
      <w:numFmt w:val="lowerRoman"/>
      <w:lvlText w:val="%3."/>
      <w:lvlJc w:val="right"/>
      <w:pPr>
        <w:ind w:left="1800" w:hanging="180"/>
      </w:pPr>
    </w:lvl>
    <w:lvl w:ilvl="3" w:tplc="9962DF1E" w:tentative="1">
      <w:start w:val="1"/>
      <w:numFmt w:val="decimal"/>
      <w:lvlText w:val="%4."/>
      <w:lvlJc w:val="left"/>
      <w:pPr>
        <w:ind w:left="2520" w:hanging="360"/>
      </w:pPr>
    </w:lvl>
    <w:lvl w:ilvl="4" w:tplc="05D8709C" w:tentative="1">
      <w:start w:val="1"/>
      <w:numFmt w:val="lowerLetter"/>
      <w:lvlText w:val="%5."/>
      <w:lvlJc w:val="left"/>
      <w:pPr>
        <w:ind w:left="3240" w:hanging="360"/>
      </w:pPr>
    </w:lvl>
    <w:lvl w:ilvl="5" w:tplc="7A62674C" w:tentative="1">
      <w:start w:val="1"/>
      <w:numFmt w:val="lowerRoman"/>
      <w:lvlText w:val="%6."/>
      <w:lvlJc w:val="right"/>
      <w:pPr>
        <w:ind w:left="3960" w:hanging="180"/>
      </w:pPr>
    </w:lvl>
    <w:lvl w:ilvl="6" w:tplc="6AE429F4" w:tentative="1">
      <w:start w:val="1"/>
      <w:numFmt w:val="decimal"/>
      <w:lvlText w:val="%7."/>
      <w:lvlJc w:val="left"/>
      <w:pPr>
        <w:ind w:left="4680" w:hanging="360"/>
      </w:pPr>
    </w:lvl>
    <w:lvl w:ilvl="7" w:tplc="BCCC7A4C" w:tentative="1">
      <w:start w:val="1"/>
      <w:numFmt w:val="lowerLetter"/>
      <w:lvlText w:val="%8."/>
      <w:lvlJc w:val="left"/>
      <w:pPr>
        <w:ind w:left="5400" w:hanging="360"/>
      </w:pPr>
    </w:lvl>
    <w:lvl w:ilvl="8" w:tplc="22D6D502" w:tentative="1">
      <w:start w:val="1"/>
      <w:numFmt w:val="lowerRoman"/>
      <w:lvlText w:val="%9."/>
      <w:lvlJc w:val="right"/>
      <w:pPr>
        <w:ind w:left="6120" w:hanging="180"/>
      </w:pPr>
    </w:lvl>
  </w:abstractNum>
  <w:abstractNum w:abstractNumId="28">
    <w:nsid w:val="5C9634E3"/>
    <w:multiLevelType w:val="hybridMultilevel"/>
    <w:tmpl w:val="6A3A8E3E"/>
    <w:lvl w:ilvl="0" w:tplc="0409000B">
      <w:start w:val="1"/>
      <w:numFmt w:val="lowerRoman"/>
      <w:lvlText w:val="(%1)"/>
      <w:lvlJc w:val="left"/>
      <w:pPr>
        <w:ind w:left="900" w:hanging="720"/>
      </w:pPr>
      <w:rPr>
        <w:rFonts w:hint="default"/>
      </w:rPr>
    </w:lvl>
    <w:lvl w:ilvl="1" w:tplc="04090003" w:tentative="1">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abstractNum w:abstractNumId="29">
    <w:nsid w:val="5E5821EB"/>
    <w:multiLevelType w:val="hybridMultilevel"/>
    <w:tmpl w:val="EF9A762C"/>
    <w:lvl w:ilvl="0" w:tplc="B492F85C">
      <w:start w:val="1"/>
      <w:numFmt w:val="bullet"/>
      <w:lvlText w:val=""/>
      <w:lvlJc w:val="left"/>
      <w:pPr>
        <w:ind w:left="1288" w:hanging="360"/>
      </w:pPr>
      <w:rPr>
        <w:rFonts w:ascii="Symbol" w:hAnsi="Symbol" w:hint="default"/>
        <w:b w:val="0"/>
        <w:i w:val="0"/>
        <w:sz w:val="20"/>
      </w:rPr>
    </w:lvl>
    <w:lvl w:ilvl="1" w:tplc="04090003">
      <w:start w:val="1"/>
      <w:numFmt w:val="bullet"/>
      <w:lvlText w:val="o"/>
      <w:lvlJc w:val="left"/>
      <w:pPr>
        <w:ind w:left="2008" w:hanging="360"/>
      </w:pPr>
      <w:rPr>
        <w:rFonts w:ascii="Courier New" w:hAnsi="Courier New" w:cs="Arial"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Arial"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Arial" w:hint="default"/>
      </w:rPr>
    </w:lvl>
    <w:lvl w:ilvl="8" w:tplc="04090005" w:tentative="1">
      <w:start w:val="1"/>
      <w:numFmt w:val="bullet"/>
      <w:lvlText w:val=""/>
      <w:lvlJc w:val="left"/>
      <w:pPr>
        <w:ind w:left="7048" w:hanging="360"/>
      </w:pPr>
      <w:rPr>
        <w:rFonts w:ascii="Wingdings" w:hAnsi="Wingdings" w:hint="default"/>
      </w:rPr>
    </w:lvl>
  </w:abstractNum>
  <w:abstractNum w:abstractNumId="30">
    <w:nsid w:val="5FFE6A02"/>
    <w:multiLevelType w:val="hybridMultilevel"/>
    <w:tmpl w:val="7248B270"/>
    <w:lvl w:ilvl="0" w:tplc="EC447956">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61857BA2"/>
    <w:multiLevelType w:val="hybridMultilevel"/>
    <w:tmpl w:val="7C60E0AC"/>
    <w:lvl w:ilvl="0" w:tplc="B492F85C">
      <w:numFmt w:val="bullet"/>
      <w:lvlText w:val="-"/>
      <w:lvlJc w:val="left"/>
      <w:pPr>
        <w:ind w:left="720" w:hanging="360"/>
      </w:pPr>
      <w:rPr>
        <w:rFonts w:ascii="Calibri" w:eastAsia="Calibri" w:hAnsi="Calibri" w:cs="Times New Roman" w:hint="default"/>
        <w:sz w:val="20"/>
        <w:lang w:val="fr-FR"/>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36A2AD5"/>
    <w:multiLevelType w:val="hybridMultilevel"/>
    <w:tmpl w:val="EBC6BC4C"/>
    <w:lvl w:ilvl="0" w:tplc="33FE22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B5757A"/>
    <w:multiLevelType w:val="hybridMultilevel"/>
    <w:tmpl w:val="40F8DDA2"/>
    <w:lvl w:ilvl="0" w:tplc="7812A4EE">
      <w:start w:val="1"/>
      <w:numFmt w:val="bullet"/>
      <w:lvlText w:val=""/>
      <w:lvlJc w:val="left"/>
      <w:pPr>
        <w:ind w:left="720" w:hanging="360"/>
      </w:pPr>
      <w:rPr>
        <w:rFonts w:ascii="Symbol" w:hAnsi="Symbol" w:hint="default"/>
      </w:rPr>
    </w:lvl>
    <w:lvl w:ilvl="1" w:tplc="A84CEAA4" w:tentative="1">
      <w:start w:val="1"/>
      <w:numFmt w:val="bullet"/>
      <w:lvlText w:val="o"/>
      <w:lvlJc w:val="left"/>
      <w:pPr>
        <w:ind w:left="1440" w:hanging="360"/>
      </w:pPr>
      <w:rPr>
        <w:rFonts w:ascii="Courier New" w:hAnsi="Courier New" w:cs="POHNCD+Arial,Bold" w:hint="default"/>
      </w:rPr>
    </w:lvl>
    <w:lvl w:ilvl="2" w:tplc="563EFE42" w:tentative="1">
      <w:start w:val="1"/>
      <w:numFmt w:val="bullet"/>
      <w:lvlText w:val=""/>
      <w:lvlJc w:val="left"/>
      <w:pPr>
        <w:ind w:left="2160" w:hanging="360"/>
      </w:pPr>
      <w:rPr>
        <w:rFonts w:ascii="Wingdings" w:hAnsi="Wingdings" w:hint="default"/>
      </w:rPr>
    </w:lvl>
    <w:lvl w:ilvl="3" w:tplc="B0EE4866" w:tentative="1">
      <w:start w:val="1"/>
      <w:numFmt w:val="bullet"/>
      <w:lvlText w:val=""/>
      <w:lvlJc w:val="left"/>
      <w:pPr>
        <w:ind w:left="2880" w:hanging="360"/>
      </w:pPr>
      <w:rPr>
        <w:rFonts w:ascii="Symbol" w:hAnsi="Symbol" w:hint="default"/>
      </w:rPr>
    </w:lvl>
    <w:lvl w:ilvl="4" w:tplc="04860938" w:tentative="1">
      <w:start w:val="1"/>
      <w:numFmt w:val="bullet"/>
      <w:lvlText w:val="o"/>
      <w:lvlJc w:val="left"/>
      <w:pPr>
        <w:ind w:left="3600" w:hanging="360"/>
      </w:pPr>
      <w:rPr>
        <w:rFonts w:ascii="Courier New" w:hAnsi="Courier New" w:cs="POHNCD+Arial,Bold" w:hint="default"/>
      </w:rPr>
    </w:lvl>
    <w:lvl w:ilvl="5" w:tplc="14A2DE54" w:tentative="1">
      <w:start w:val="1"/>
      <w:numFmt w:val="bullet"/>
      <w:lvlText w:val=""/>
      <w:lvlJc w:val="left"/>
      <w:pPr>
        <w:ind w:left="4320" w:hanging="360"/>
      </w:pPr>
      <w:rPr>
        <w:rFonts w:ascii="Wingdings" w:hAnsi="Wingdings" w:hint="default"/>
      </w:rPr>
    </w:lvl>
    <w:lvl w:ilvl="6" w:tplc="D97645C8">
      <w:start w:val="1"/>
      <w:numFmt w:val="bullet"/>
      <w:lvlText w:val=""/>
      <w:lvlJc w:val="left"/>
      <w:pPr>
        <w:ind w:left="5040" w:hanging="360"/>
      </w:pPr>
      <w:rPr>
        <w:rFonts w:ascii="Symbol" w:hAnsi="Symbol" w:hint="default"/>
      </w:rPr>
    </w:lvl>
    <w:lvl w:ilvl="7" w:tplc="7CA0A262" w:tentative="1">
      <w:start w:val="1"/>
      <w:numFmt w:val="bullet"/>
      <w:lvlText w:val="o"/>
      <w:lvlJc w:val="left"/>
      <w:pPr>
        <w:ind w:left="5760" w:hanging="360"/>
      </w:pPr>
      <w:rPr>
        <w:rFonts w:ascii="Courier New" w:hAnsi="Courier New" w:cs="POHNCD+Arial,Bold" w:hint="default"/>
      </w:rPr>
    </w:lvl>
    <w:lvl w:ilvl="8" w:tplc="12F6B0A8" w:tentative="1">
      <w:start w:val="1"/>
      <w:numFmt w:val="bullet"/>
      <w:lvlText w:val=""/>
      <w:lvlJc w:val="left"/>
      <w:pPr>
        <w:ind w:left="6480" w:hanging="360"/>
      </w:pPr>
      <w:rPr>
        <w:rFonts w:ascii="Wingdings" w:hAnsi="Wingdings" w:hint="default"/>
      </w:rPr>
    </w:lvl>
  </w:abstractNum>
  <w:abstractNum w:abstractNumId="34">
    <w:nsid w:val="699411E5"/>
    <w:multiLevelType w:val="hybridMultilevel"/>
    <w:tmpl w:val="31CA5EDA"/>
    <w:lvl w:ilvl="0" w:tplc="33FE2298">
      <w:start w:val="1"/>
      <w:numFmt w:val="upp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nsid w:val="6F93247B"/>
    <w:multiLevelType w:val="hybridMultilevel"/>
    <w:tmpl w:val="64F2EE6C"/>
    <w:lvl w:ilvl="0" w:tplc="2E3AEC08">
      <w:start w:val="1"/>
      <w:numFmt w:val="bullet"/>
      <w:lvlText w:val=""/>
      <w:lvlJc w:val="left"/>
      <w:pPr>
        <w:ind w:left="436" w:hanging="360"/>
      </w:pPr>
      <w:rPr>
        <w:rFonts w:ascii="Symbol" w:hAnsi="Symbol" w:hint="default"/>
      </w:rPr>
    </w:lvl>
    <w:lvl w:ilvl="1" w:tplc="080C0019" w:tentative="1">
      <w:start w:val="1"/>
      <w:numFmt w:val="bullet"/>
      <w:lvlText w:val="o"/>
      <w:lvlJc w:val="left"/>
      <w:pPr>
        <w:ind w:left="1156" w:hanging="360"/>
      </w:pPr>
      <w:rPr>
        <w:rFonts w:ascii="Courier New" w:hAnsi="Courier New" w:cs="Arial" w:hint="default"/>
      </w:rPr>
    </w:lvl>
    <w:lvl w:ilvl="2" w:tplc="080C001B" w:tentative="1">
      <w:start w:val="1"/>
      <w:numFmt w:val="bullet"/>
      <w:lvlText w:val=""/>
      <w:lvlJc w:val="left"/>
      <w:pPr>
        <w:ind w:left="1876" w:hanging="360"/>
      </w:pPr>
      <w:rPr>
        <w:rFonts w:ascii="Wingdings" w:hAnsi="Wingdings" w:hint="default"/>
      </w:rPr>
    </w:lvl>
    <w:lvl w:ilvl="3" w:tplc="080C000F" w:tentative="1">
      <w:start w:val="1"/>
      <w:numFmt w:val="bullet"/>
      <w:lvlText w:val=""/>
      <w:lvlJc w:val="left"/>
      <w:pPr>
        <w:ind w:left="2596" w:hanging="360"/>
      </w:pPr>
      <w:rPr>
        <w:rFonts w:ascii="Symbol" w:hAnsi="Symbol" w:hint="default"/>
      </w:rPr>
    </w:lvl>
    <w:lvl w:ilvl="4" w:tplc="080C0019" w:tentative="1">
      <w:start w:val="1"/>
      <w:numFmt w:val="bullet"/>
      <w:lvlText w:val="o"/>
      <w:lvlJc w:val="left"/>
      <w:pPr>
        <w:ind w:left="3316" w:hanging="360"/>
      </w:pPr>
      <w:rPr>
        <w:rFonts w:ascii="Courier New" w:hAnsi="Courier New" w:cs="Arial" w:hint="default"/>
      </w:rPr>
    </w:lvl>
    <w:lvl w:ilvl="5" w:tplc="080C001B" w:tentative="1">
      <w:start w:val="1"/>
      <w:numFmt w:val="bullet"/>
      <w:lvlText w:val=""/>
      <w:lvlJc w:val="left"/>
      <w:pPr>
        <w:ind w:left="4036" w:hanging="360"/>
      </w:pPr>
      <w:rPr>
        <w:rFonts w:ascii="Wingdings" w:hAnsi="Wingdings" w:hint="default"/>
      </w:rPr>
    </w:lvl>
    <w:lvl w:ilvl="6" w:tplc="080C000F" w:tentative="1">
      <w:start w:val="1"/>
      <w:numFmt w:val="bullet"/>
      <w:lvlText w:val=""/>
      <w:lvlJc w:val="left"/>
      <w:pPr>
        <w:ind w:left="4756" w:hanging="360"/>
      </w:pPr>
      <w:rPr>
        <w:rFonts w:ascii="Symbol" w:hAnsi="Symbol" w:hint="default"/>
      </w:rPr>
    </w:lvl>
    <w:lvl w:ilvl="7" w:tplc="080C0019" w:tentative="1">
      <w:start w:val="1"/>
      <w:numFmt w:val="bullet"/>
      <w:lvlText w:val="o"/>
      <w:lvlJc w:val="left"/>
      <w:pPr>
        <w:ind w:left="5476" w:hanging="360"/>
      </w:pPr>
      <w:rPr>
        <w:rFonts w:ascii="Courier New" w:hAnsi="Courier New" w:cs="Arial" w:hint="default"/>
      </w:rPr>
    </w:lvl>
    <w:lvl w:ilvl="8" w:tplc="080C001B" w:tentative="1">
      <w:start w:val="1"/>
      <w:numFmt w:val="bullet"/>
      <w:lvlText w:val=""/>
      <w:lvlJc w:val="left"/>
      <w:pPr>
        <w:ind w:left="6196" w:hanging="360"/>
      </w:pPr>
      <w:rPr>
        <w:rFonts w:ascii="Wingdings" w:hAnsi="Wingdings" w:hint="default"/>
      </w:rPr>
    </w:lvl>
  </w:abstractNum>
  <w:abstractNum w:abstractNumId="36">
    <w:nsid w:val="76A56EEF"/>
    <w:multiLevelType w:val="hybridMultilevel"/>
    <w:tmpl w:val="47089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16"/>
  </w:num>
  <w:num w:numId="4">
    <w:abstractNumId w:val="12"/>
  </w:num>
  <w:num w:numId="5">
    <w:abstractNumId w:val="0"/>
  </w:num>
  <w:num w:numId="6">
    <w:abstractNumId w:val="31"/>
  </w:num>
  <w:num w:numId="7">
    <w:abstractNumId w:val="19"/>
  </w:num>
  <w:num w:numId="8">
    <w:abstractNumId w:val="20"/>
  </w:num>
  <w:num w:numId="9">
    <w:abstractNumId w:val="18"/>
  </w:num>
  <w:num w:numId="10">
    <w:abstractNumId w:val="29"/>
  </w:num>
  <w:num w:numId="11">
    <w:abstractNumId w:val="21"/>
  </w:num>
  <w:num w:numId="12">
    <w:abstractNumId w:val="11"/>
  </w:num>
  <w:num w:numId="13">
    <w:abstractNumId w:val="15"/>
  </w:num>
  <w:num w:numId="14">
    <w:abstractNumId w:val="25"/>
  </w:num>
  <w:num w:numId="15">
    <w:abstractNumId w:val="6"/>
  </w:num>
  <w:num w:numId="16">
    <w:abstractNumId w:val="24"/>
  </w:num>
  <w:num w:numId="17">
    <w:abstractNumId w:val="17"/>
  </w:num>
  <w:num w:numId="18">
    <w:abstractNumId w:val="9"/>
  </w:num>
  <w:num w:numId="19">
    <w:abstractNumId w:val="10"/>
  </w:num>
  <w:num w:numId="20">
    <w:abstractNumId w:val="35"/>
  </w:num>
  <w:num w:numId="21">
    <w:abstractNumId w:val="27"/>
  </w:num>
  <w:num w:numId="22">
    <w:abstractNumId w:val="32"/>
  </w:num>
  <w:num w:numId="23">
    <w:abstractNumId w:val="28"/>
  </w:num>
  <w:num w:numId="24">
    <w:abstractNumId w:val="30"/>
  </w:num>
  <w:num w:numId="25">
    <w:abstractNumId w:val="14"/>
  </w:num>
  <w:num w:numId="26">
    <w:abstractNumId w:val="33"/>
  </w:num>
  <w:num w:numId="27">
    <w:abstractNumId w:val="5"/>
  </w:num>
  <w:num w:numId="28">
    <w:abstractNumId w:val="3"/>
  </w:num>
  <w:num w:numId="29">
    <w:abstractNumId w:val="36"/>
  </w:num>
  <w:num w:numId="30">
    <w:abstractNumId w:val="2"/>
  </w:num>
  <w:num w:numId="31">
    <w:abstractNumId w:val="1"/>
  </w:num>
  <w:num w:numId="32">
    <w:abstractNumId w:val="23"/>
  </w:num>
  <w:num w:numId="33">
    <w:abstractNumId w:val="7"/>
  </w:num>
  <w:num w:numId="34">
    <w:abstractNumId w:val="34"/>
  </w:num>
  <w:num w:numId="35">
    <w:abstractNumId w:val="8"/>
  </w:num>
  <w:num w:numId="36">
    <w:abstractNumId w:val="4"/>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22"/>
  </w:num>
  <w:num w:numId="41">
    <w:abstractNumId w:val="0"/>
  </w:num>
  <w:num w:numId="42">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stylePaneFormatFilter w:val="1404"/>
  <w:doNotTrackMoves/>
  <w:defaultTabStop w:val="709"/>
  <w:hyphenationZone w:val="425"/>
  <w:drawingGridHorizontalSpacing w:val="120"/>
  <w:displayHorizontalDrawingGridEvery w:val="2"/>
  <w:characterSpacingControl w:val="doNotCompress"/>
  <w:hdrShapeDefaults>
    <o:shapedefaults v:ext="edit" spidmax="64513"/>
  </w:hdrShapeDefaults>
  <w:footnotePr>
    <w:footnote w:id="-1"/>
    <w:footnote w:id="0"/>
  </w:footnotePr>
  <w:endnotePr>
    <w:endnote w:id="-1"/>
    <w:endnote w:id="0"/>
  </w:endnotePr>
  <w:compat/>
  <w:rsids>
    <w:rsidRoot w:val="009C5768"/>
    <w:rsid w:val="00000636"/>
    <w:rsid w:val="00000811"/>
    <w:rsid w:val="00000BDD"/>
    <w:rsid w:val="000016F2"/>
    <w:rsid w:val="000028BE"/>
    <w:rsid w:val="0000290C"/>
    <w:rsid w:val="00002A0C"/>
    <w:rsid w:val="00002F89"/>
    <w:rsid w:val="00003428"/>
    <w:rsid w:val="00003884"/>
    <w:rsid w:val="0000467B"/>
    <w:rsid w:val="00004A26"/>
    <w:rsid w:val="00005017"/>
    <w:rsid w:val="000052BD"/>
    <w:rsid w:val="00005665"/>
    <w:rsid w:val="00005710"/>
    <w:rsid w:val="0000611E"/>
    <w:rsid w:val="00006C07"/>
    <w:rsid w:val="00007F62"/>
    <w:rsid w:val="0001042D"/>
    <w:rsid w:val="00010E5A"/>
    <w:rsid w:val="00011278"/>
    <w:rsid w:val="00011414"/>
    <w:rsid w:val="0001172E"/>
    <w:rsid w:val="0001257C"/>
    <w:rsid w:val="000130B3"/>
    <w:rsid w:val="00013226"/>
    <w:rsid w:val="00013915"/>
    <w:rsid w:val="0001440F"/>
    <w:rsid w:val="000151E7"/>
    <w:rsid w:val="0001593D"/>
    <w:rsid w:val="00015D98"/>
    <w:rsid w:val="0001616E"/>
    <w:rsid w:val="000165AA"/>
    <w:rsid w:val="00016659"/>
    <w:rsid w:val="00016B1F"/>
    <w:rsid w:val="0001795C"/>
    <w:rsid w:val="0002005D"/>
    <w:rsid w:val="00020870"/>
    <w:rsid w:val="000208A6"/>
    <w:rsid w:val="00020A2D"/>
    <w:rsid w:val="00020B01"/>
    <w:rsid w:val="00020D98"/>
    <w:rsid w:val="00020F06"/>
    <w:rsid w:val="00021E11"/>
    <w:rsid w:val="00021E36"/>
    <w:rsid w:val="00021E45"/>
    <w:rsid w:val="00021E79"/>
    <w:rsid w:val="00022052"/>
    <w:rsid w:val="000226DB"/>
    <w:rsid w:val="000230DD"/>
    <w:rsid w:val="00023197"/>
    <w:rsid w:val="000243AE"/>
    <w:rsid w:val="000244B7"/>
    <w:rsid w:val="00024690"/>
    <w:rsid w:val="000247BF"/>
    <w:rsid w:val="00026592"/>
    <w:rsid w:val="00026A32"/>
    <w:rsid w:val="00026E60"/>
    <w:rsid w:val="000273CD"/>
    <w:rsid w:val="00027652"/>
    <w:rsid w:val="00027A4D"/>
    <w:rsid w:val="00027CFD"/>
    <w:rsid w:val="00027F26"/>
    <w:rsid w:val="00030005"/>
    <w:rsid w:val="000301E7"/>
    <w:rsid w:val="000308E2"/>
    <w:rsid w:val="00031FE7"/>
    <w:rsid w:val="00032EAA"/>
    <w:rsid w:val="000335EE"/>
    <w:rsid w:val="00033664"/>
    <w:rsid w:val="0003384D"/>
    <w:rsid w:val="00034BF7"/>
    <w:rsid w:val="000354E1"/>
    <w:rsid w:val="00035881"/>
    <w:rsid w:val="00036368"/>
    <w:rsid w:val="00036518"/>
    <w:rsid w:val="00036709"/>
    <w:rsid w:val="000368CC"/>
    <w:rsid w:val="00036ABD"/>
    <w:rsid w:val="00036D1E"/>
    <w:rsid w:val="00036E8F"/>
    <w:rsid w:val="0003714C"/>
    <w:rsid w:val="000374E6"/>
    <w:rsid w:val="00037767"/>
    <w:rsid w:val="00040132"/>
    <w:rsid w:val="00040542"/>
    <w:rsid w:val="00040A37"/>
    <w:rsid w:val="00040D29"/>
    <w:rsid w:val="0004122A"/>
    <w:rsid w:val="000412FA"/>
    <w:rsid w:val="0004197A"/>
    <w:rsid w:val="000423E6"/>
    <w:rsid w:val="00042915"/>
    <w:rsid w:val="000429EA"/>
    <w:rsid w:val="00042A7E"/>
    <w:rsid w:val="000442A4"/>
    <w:rsid w:val="000443E1"/>
    <w:rsid w:val="00044E7B"/>
    <w:rsid w:val="000453F7"/>
    <w:rsid w:val="00045775"/>
    <w:rsid w:val="00045A41"/>
    <w:rsid w:val="00045DB6"/>
    <w:rsid w:val="0004613D"/>
    <w:rsid w:val="00046353"/>
    <w:rsid w:val="00046542"/>
    <w:rsid w:val="00047196"/>
    <w:rsid w:val="00047543"/>
    <w:rsid w:val="0005056A"/>
    <w:rsid w:val="00051501"/>
    <w:rsid w:val="00051E52"/>
    <w:rsid w:val="000528F0"/>
    <w:rsid w:val="00052DAB"/>
    <w:rsid w:val="000535A9"/>
    <w:rsid w:val="000536D1"/>
    <w:rsid w:val="00053EC4"/>
    <w:rsid w:val="000540F1"/>
    <w:rsid w:val="0005465E"/>
    <w:rsid w:val="000546DB"/>
    <w:rsid w:val="0005595A"/>
    <w:rsid w:val="00055C1C"/>
    <w:rsid w:val="0005636D"/>
    <w:rsid w:val="000564C9"/>
    <w:rsid w:val="00056BCD"/>
    <w:rsid w:val="00057202"/>
    <w:rsid w:val="000573A3"/>
    <w:rsid w:val="00057544"/>
    <w:rsid w:val="000575C3"/>
    <w:rsid w:val="00057B16"/>
    <w:rsid w:val="00057C0B"/>
    <w:rsid w:val="00057C74"/>
    <w:rsid w:val="00057CB5"/>
    <w:rsid w:val="00057D83"/>
    <w:rsid w:val="000607BA"/>
    <w:rsid w:val="00060E28"/>
    <w:rsid w:val="00060E6C"/>
    <w:rsid w:val="00061366"/>
    <w:rsid w:val="0006158B"/>
    <w:rsid w:val="000615EC"/>
    <w:rsid w:val="000623F4"/>
    <w:rsid w:val="0006292C"/>
    <w:rsid w:val="00062977"/>
    <w:rsid w:val="000632C0"/>
    <w:rsid w:val="00063F3E"/>
    <w:rsid w:val="00064E48"/>
    <w:rsid w:val="000651E8"/>
    <w:rsid w:val="00065A69"/>
    <w:rsid w:val="00065D24"/>
    <w:rsid w:val="000661FA"/>
    <w:rsid w:val="00066638"/>
    <w:rsid w:val="00066DEC"/>
    <w:rsid w:val="00066EF6"/>
    <w:rsid w:val="00066FE9"/>
    <w:rsid w:val="0006736E"/>
    <w:rsid w:val="000674D2"/>
    <w:rsid w:val="00067577"/>
    <w:rsid w:val="000679E5"/>
    <w:rsid w:val="00070221"/>
    <w:rsid w:val="00070803"/>
    <w:rsid w:val="0007080E"/>
    <w:rsid w:val="00070BEB"/>
    <w:rsid w:val="000713FE"/>
    <w:rsid w:val="00071BEF"/>
    <w:rsid w:val="00072099"/>
    <w:rsid w:val="00072AF3"/>
    <w:rsid w:val="00072CC3"/>
    <w:rsid w:val="00072CDE"/>
    <w:rsid w:val="00073009"/>
    <w:rsid w:val="0007340F"/>
    <w:rsid w:val="0007366E"/>
    <w:rsid w:val="00073E6F"/>
    <w:rsid w:val="00074035"/>
    <w:rsid w:val="00074315"/>
    <w:rsid w:val="000758A1"/>
    <w:rsid w:val="000769A0"/>
    <w:rsid w:val="00076B36"/>
    <w:rsid w:val="00076C61"/>
    <w:rsid w:val="000771E9"/>
    <w:rsid w:val="00077496"/>
    <w:rsid w:val="00077C0F"/>
    <w:rsid w:val="00077E2D"/>
    <w:rsid w:val="00077FE6"/>
    <w:rsid w:val="000800B6"/>
    <w:rsid w:val="00080FEF"/>
    <w:rsid w:val="0008125A"/>
    <w:rsid w:val="000816C9"/>
    <w:rsid w:val="0008172B"/>
    <w:rsid w:val="000819EC"/>
    <w:rsid w:val="00081A4A"/>
    <w:rsid w:val="00081E6D"/>
    <w:rsid w:val="00082096"/>
    <w:rsid w:val="000821D7"/>
    <w:rsid w:val="00082B33"/>
    <w:rsid w:val="00082BE7"/>
    <w:rsid w:val="00083E48"/>
    <w:rsid w:val="00084983"/>
    <w:rsid w:val="00084A88"/>
    <w:rsid w:val="00084EE9"/>
    <w:rsid w:val="0008523C"/>
    <w:rsid w:val="000854EC"/>
    <w:rsid w:val="000855A6"/>
    <w:rsid w:val="00085F70"/>
    <w:rsid w:val="000863F6"/>
    <w:rsid w:val="000865F4"/>
    <w:rsid w:val="00086A33"/>
    <w:rsid w:val="00087356"/>
    <w:rsid w:val="00087481"/>
    <w:rsid w:val="000906CC"/>
    <w:rsid w:val="00090F2E"/>
    <w:rsid w:val="000910F4"/>
    <w:rsid w:val="00091220"/>
    <w:rsid w:val="000912A2"/>
    <w:rsid w:val="0009159A"/>
    <w:rsid w:val="00091852"/>
    <w:rsid w:val="00091898"/>
    <w:rsid w:val="00091D1D"/>
    <w:rsid w:val="00091E79"/>
    <w:rsid w:val="00091EF5"/>
    <w:rsid w:val="000930CC"/>
    <w:rsid w:val="00093C63"/>
    <w:rsid w:val="00093C66"/>
    <w:rsid w:val="00094747"/>
    <w:rsid w:val="0009546B"/>
    <w:rsid w:val="0009572D"/>
    <w:rsid w:val="00095C61"/>
    <w:rsid w:val="000967B2"/>
    <w:rsid w:val="000969C3"/>
    <w:rsid w:val="00096CED"/>
    <w:rsid w:val="00096E88"/>
    <w:rsid w:val="000977E6"/>
    <w:rsid w:val="00097AB0"/>
    <w:rsid w:val="00097C6C"/>
    <w:rsid w:val="000A0994"/>
    <w:rsid w:val="000A1056"/>
    <w:rsid w:val="000A129C"/>
    <w:rsid w:val="000A2FFE"/>
    <w:rsid w:val="000A3063"/>
    <w:rsid w:val="000A35E2"/>
    <w:rsid w:val="000A3AAF"/>
    <w:rsid w:val="000A3F85"/>
    <w:rsid w:val="000A40D6"/>
    <w:rsid w:val="000A455C"/>
    <w:rsid w:val="000A496D"/>
    <w:rsid w:val="000A4F30"/>
    <w:rsid w:val="000A4F83"/>
    <w:rsid w:val="000A4FDD"/>
    <w:rsid w:val="000A5496"/>
    <w:rsid w:val="000A5908"/>
    <w:rsid w:val="000A5AC6"/>
    <w:rsid w:val="000A62C2"/>
    <w:rsid w:val="000A6772"/>
    <w:rsid w:val="000A70E6"/>
    <w:rsid w:val="000A71E2"/>
    <w:rsid w:val="000A7558"/>
    <w:rsid w:val="000A7617"/>
    <w:rsid w:val="000A7F63"/>
    <w:rsid w:val="000B00D9"/>
    <w:rsid w:val="000B013B"/>
    <w:rsid w:val="000B0759"/>
    <w:rsid w:val="000B0836"/>
    <w:rsid w:val="000B0846"/>
    <w:rsid w:val="000B0B72"/>
    <w:rsid w:val="000B1362"/>
    <w:rsid w:val="000B137E"/>
    <w:rsid w:val="000B1697"/>
    <w:rsid w:val="000B1B57"/>
    <w:rsid w:val="000B224D"/>
    <w:rsid w:val="000B254B"/>
    <w:rsid w:val="000B25BB"/>
    <w:rsid w:val="000B26F0"/>
    <w:rsid w:val="000B2737"/>
    <w:rsid w:val="000B2980"/>
    <w:rsid w:val="000B317E"/>
    <w:rsid w:val="000B3DBE"/>
    <w:rsid w:val="000B3F79"/>
    <w:rsid w:val="000B4551"/>
    <w:rsid w:val="000B46F5"/>
    <w:rsid w:val="000B4DDE"/>
    <w:rsid w:val="000B541D"/>
    <w:rsid w:val="000B57AB"/>
    <w:rsid w:val="000B5910"/>
    <w:rsid w:val="000B5B96"/>
    <w:rsid w:val="000B5ED3"/>
    <w:rsid w:val="000B610B"/>
    <w:rsid w:val="000B69EE"/>
    <w:rsid w:val="000B6C73"/>
    <w:rsid w:val="000B7528"/>
    <w:rsid w:val="000C1A9B"/>
    <w:rsid w:val="000C1B36"/>
    <w:rsid w:val="000C1BC1"/>
    <w:rsid w:val="000C2593"/>
    <w:rsid w:val="000C27E9"/>
    <w:rsid w:val="000C2C6C"/>
    <w:rsid w:val="000C312D"/>
    <w:rsid w:val="000C32FE"/>
    <w:rsid w:val="000C42FB"/>
    <w:rsid w:val="000C4597"/>
    <w:rsid w:val="000C46FC"/>
    <w:rsid w:val="000C4A0A"/>
    <w:rsid w:val="000C5ECA"/>
    <w:rsid w:val="000C65E9"/>
    <w:rsid w:val="000C70F9"/>
    <w:rsid w:val="000D066F"/>
    <w:rsid w:val="000D0A8A"/>
    <w:rsid w:val="000D0D4C"/>
    <w:rsid w:val="000D129C"/>
    <w:rsid w:val="000D13CB"/>
    <w:rsid w:val="000D1743"/>
    <w:rsid w:val="000D33B5"/>
    <w:rsid w:val="000D33D5"/>
    <w:rsid w:val="000D3709"/>
    <w:rsid w:val="000D3AAF"/>
    <w:rsid w:val="000D43B8"/>
    <w:rsid w:val="000D5148"/>
    <w:rsid w:val="000D60F7"/>
    <w:rsid w:val="000D629B"/>
    <w:rsid w:val="000D657A"/>
    <w:rsid w:val="000D7561"/>
    <w:rsid w:val="000D7855"/>
    <w:rsid w:val="000D7CFB"/>
    <w:rsid w:val="000D7F90"/>
    <w:rsid w:val="000E0033"/>
    <w:rsid w:val="000E09B4"/>
    <w:rsid w:val="000E0E19"/>
    <w:rsid w:val="000E1032"/>
    <w:rsid w:val="000E103B"/>
    <w:rsid w:val="000E1213"/>
    <w:rsid w:val="000E1ABE"/>
    <w:rsid w:val="000E1E69"/>
    <w:rsid w:val="000E2CEC"/>
    <w:rsid w:val="000E3505"/>
    <w:rsid w:val="000E3D3A"/>
    <w:rsid w:val="000E4DF5"/>
    <w:rsid w:val="000E580B"/>
    <w:rsid w:val="000E5A0D"/>
    <w:rsid w:val="000E5E93"/>
    <w:rsid w:val="000E6477"/>
    <w:rsid w:val="000E6616"/>
    <w:rsid w:val="000E67E6"/>
    <w:rsid w:val="000E6ACE"/>
    <w:rsid w:val="000E72AF"/>
    <w:rsid w:val="000E75AC"/>
    <w:rsid w:val="000E7F65"/>
    <w:rsid w:val="000F05B5"/>
    <w:rsid w:val="000F0981"/>
    <w:rsid w:val="000F1BD7"/>
    <w:rsid w:val="000F1CF5"/>
    <w:rsid w:val="000F1FDD"/>
    <w:rsid w:val="000F20F5"/>
    <w:rsid w:val="000F2715"/>
    <w:rsid w:val="000F27B4"/>
    <w:rsid w:val="000F2B21"/>
    <w:rsid w:val="000F3090"/>
    <w:rsid w:val="000F39FD"/>
    <w:rsid w:val="000F3C46"/>
    <w:rsid w:val="000F428C"/>
    <w:rsid w:val="000F52DB"/>
    <w:rsid w:val="000F5607"/>
    <w:rsid w:val="000F5776"/>
    <w:rsid w:val="000F5AC1"/>
    <w:rsid w:val="000F670F"/>
    <w:rsid w:val="000F6722"/>
    <w:rsid w:val="000F6CAE"/>
    <w:rsid w:val="000F6E42"/>
    <w:rsid w:val="000F7D1E"/>
    <w:rsid w:val="000F7D51"/>
    <w:rsid w:val="00100BB3"/>
    <w:rsid w:val="0010107C"/>
    <w:rsid w:val="00101159"/>
    <w:rsid w:val="00101D46"/>
    <w:rsid w:val="00101E72"/>
    <w:rsid w:val="00102E84"/>
    <w:rsid w:val="00103B56"/>
    <w:rsid w:val="00103BE4"/>
    <w:rsid w:val="00104266"/>
    <w:rsid w:val="001042F1"/>
    <w:rsid w:val="00105546"/>
    <w:rsid w:val="00106043"/>
    <w:rsid w:val="001071D1"/>
    <w:rsid w:val="00107705"/>
    <w:rsid w:val="00107A3A"/>
    <w:rsid w:val="00110002"/>
    <w:rsid w:val="00110418"/>
    <w:rsid w:val="00111156"/>
    <w:rsid w:val="00111573"/>
    <w:rsid w:val="001119F4"/>
    <w:rsid w:val="00112581"/>
    <w:rsid w:val="0011266F"/>
    <w:rsid w:val="00112843"/>
    <w:rsid w:val="0011291D"/>
    <w:rsid w:val="001129A1"/>
    <w:rsid w:val="00112BA2"/>
    <w:rsid w:val="00112BCE"/>
    <w:rsid w:val="0011336D"/>
    <w:rsid w:val="00113E84"/>
    <w:rsid w:val="00113F4C"/>
    <w:rsid w:val="00113F84"/>
    <w:rsid w:val="00114118"/>
    <w:rsid w:val="00114A6B"/>
    <w:rsid w:val="001157BE"/>
    <w:rsid w:val="00115E64"/>
    <w:rsid w:val="00116615"/>
    <w:rsid w:val="00117530"/>
    <w:rsid w:val="00117681"/>
    <w:rsid w:val="001177D2"/>
    <w:rsid w:val="001179A3"/>
    <w:rsid w:val="00117A8B"/>
    <w:rsid w:val="00117ABE"/>
    <w:rsid w:val="001201C8"/>
    <w:rsid w:val="00120457"/>
    <w:rsid w:val="00121418"/>
    <w:rsid w:val="00121735"/>
    <w:rsid w:val="001217B0"/>
    <w:rsid w:val="0012188B"/>
    <w:rsid w:val="001220A6"/>
    <w:rsid w:val="00122290"/>
    <w:rsid w:val="00122747"/>
    <w:rsid w:val="00122FF3"/>
    <w:rsid w:val="001230F7"/>
    <w:rsid w:val="001231BB"/>
    <w:rsid w:val="00123508"/>
    <w:rsid w:val="0012391F"/>
    <w:rsid w:val="00123EB0"/>
    <w:rsid w:val="00123F1B"/>
    <w:rsid w:val="001247B3"/>
    <w:rsid w:val="001249D7"/>
    <w:rsid w:val="00125654"/>
    <w:rsid w:val="0012598F"/>
    <w:rsid w:val="00125B17"/>
    <w:rsid w:val="00126C6E"/>
    <w:rsid w:val="0012724F"/>
    <w:rsid w:val="00127418"/>
    <w:rsid w:val="0012744F"/>
    <w:rsid w:val="00130ADC"/>
    <w:rsid w:val="00130B27"/>
    <w:rsid w:val="0013134D"/>
    <w:rsid w:val="00131881"/>
    <w:rsid w:val="0013197B"/>
    <w:rsid w:val="00131A47"/>
    <w:rsid w:val="00131BE9"/>
    <w:rsid w:val="00132A2A"/>
    <w:rsid w:val="00132E66"/>
    <w:rsid w:val="00133096"/>
    <w:rsid w:val="001330D1"/>
    <w:rsid w:val="001331EB"/>
    <w:rsid w:val="00133F6F"/>
    <w:rsid w:val="001344FF"/>
    <w:rsid w:val="001345BE"/>
    <w:rsid w:val="00134777"/>
    <w:rsid w:val="00134821"/>
    <w:rsid w:val="001350FB"/>
    <w:rsid w:val="0013530F"/>
    <w:rsid w:val="00136570"/>
    <w:rsid w:val="001365CC"/>
    <w:rsid w:val="00136C9D"/>
    <w:rsid w:val="00137162"/>
    <w:rsid w:val="0014139C"/>
    <w:rsid w:val="001414BF"/>
    <w:rsid w:val="0014185B"/>
    <w:rsid w:val="0014214A"/>
    <w:rsid w:val="001421C4"/>
    <w:rsid w:val="00142247"/>
    <w:rsid w:val="00142DFD"/>
    <w:rsid w:val="00143173"/>
    <w:rsid w:val="00143468"/>
    <w:rsid w:val="001436D3"/>
    <w:rsid w:val="00143741"/>
    <w:rsid w:val="001439BC"/>
    <w:rsid w:val="00143F44"/>
    <w:rsid w:val="00144801"/>
    <w:rsid w:val="0014560C"/>
    <w:rsid w:val="001459A6"/>
    <w:rsid w:val="00145B4B"/>
    <w:rsid w:val="00145CBA"/>
    <w:rsid w:val="00146010"/>
    <w:rsid w:val="001463B4"/>
    <w:rsid w:val="00146DA0"/>
    <w:rsid w:val="00147201"/>
    <w:rsid w:val="00147B93"/>
    <w:rsid w:val="001501FD"/>
    <w:rsid w:val="00150E73"/>
    <w:rsid w:val="001510C3"/>
    <w:rsid w:val="0015130A"/>
    <w:rsid w:val="001517C9"/>
    <w:rsid w:val="001525F1"/>
    <w:rsid w:val="00152A0D"/>
    <w:rsid w:val="001532F7"/>
    <w:rsid w:val="001539B2"/>
    <w:rsid w:val="00154974"/>
    <w:rsid w:val="00154A4D"/>
    <w:rsid w:val="00155001"/>
    <w:rsid w:val="001552A8"/>
    <w:rsid w:val="00155829"/>
    <w:rsid w:val="0015662B"/>
    <w:rsid w:val="001577F3"/>
    <w:rsid w:val="001578A4"/>
    <w:rsid w:val="00157E01"/>
    <w:rsid w:val="0016027B"/>
    <w:rsid w:val="001605BB"/>
    <w:rsid w:val="00160AF5"/>
    <w:rsid w:val="00160FE8"/>
    <w:rsid w:val="00161147"/>
    <w:rsid w:val="0016156D"/>
    <w:rsid w:val="0016214F"/>
    <w:rsid w:val="001631E8"/>
    <w:rsid w:val="00163201"/>
    <w:rsid w:val="0016389C"/>
    <w:rsid w:val="00163A65"/>
    <w:rsid w:val="00164024"/>
    <w:rsid w:val="00164119"/>
    <w:rsid w:val="00164427"/>
    <w:rsid w:val="001649F0"/>
    <w:rsid w:val="00164CCA"/>
    <w:rsid w:val="0016503D"/>
    <w:rsid w:val="001654D7"/>
    <w:rsid w:val="00165801"/>
    <w:rsid w:val="00165B5E"/>
    <w:rsid w:val="00165B6C"/>
    <w:rsid w:val="00166EEC"/>
    <w:rsid w:val="00167943"/>
    <w:rsid w:val="001679F4"/>
    <w:rsid w:val="00167C42"/>
    <w:rsid w:val="00170D64"/>
    <w:rsid w:val="0017107C"/>
    <w:rsid w:val="0017180B"/>
    <w:rsid w:val="00171A8F"/>
    <w:rsid w:val="00171BB5"/>
    <w:rsid w:val="001725E7"/>
    <w:rsid w:val="00172702"/>
    <w:rsid w:val="00172A3A"/>
    <w:rsid w:val="00173330"/>
    <w:rsid w:val="001738E8"/>
    <w:rsid w:val="00173997"/>
    <w:rsid w:val="00174048"/>
    <w:rsid w:val="00174A47"/>
    <w:rsid w:val="00174C8B"/>
    <w:rsid w:val="00174F03"/>
    <w:rsid w:val="00175BF7"/>
    <w:rsid w:val="00175CF1"/>
    <w:rsid w:val="00175ED0"/>
    <w:rsid w:val="00175ED1"/>
    <w:rsid w:val="00176C6F"/>
    <w:rsid w:val="00176ECC"/>
    <w:rsid w:val="00177022"/>
    <w:rsid w:val="001779EF"/>
    <w:rsid w:val="00180301"/>
    <w:rsid w:val="00180432"/>
    <w:rsid w:val="00180661"/>
    <w:rsid w:val="001807B4"/>
    <w:rsid w:val="0018096D"/>
    <w:rsid w:val="00180ABE"/>
    <w:rsid w:val="00181DA4"/>
    <w:rsid w:val="00181DC6"/>
    <w:rsid w:val="00182776"/>
    <w:rsid w:val="00182F1A"/>
    <w:rsid w:val="00183245"/>
    <w:rsid w:val="00183267"/>
    <w:rsid w:val="00183573"/>
    <w:rsid w:val="00183652"/>
    <w:rsid w:val="00184060"/>
    <w:rsid w:val="00184271"/>
    <w:rsid w:val="001845CF"/>
    <w:rsid w:val="00184645"/>
    <w:rsid w:val="0018497C"/>
    <w:rsid w:val="00184D60"/>
    <w:rsid w:val="001850FA"/>
    <w:rsid w:val="00185715"/>
    <w:rsid w:val="00185A92"/>
    <w:rsid w:val="00185ECC"/>
    <w:rsid w:val="00185F4D"/>
    <w:rsid w:val="00186489"/>
    <w:rsid w:val="001866AB"/>
    <w:rsid w:val="00186783"/>
    <w:rsid w:val="00186DDF"/>
    <w:rsid w:val="0018715D"/>
    <w:rsid w:val="001871D8"/>
    <w:rsid w:val="001873CA"/>
    <w:rsid w:val="00187AFC"/>
    <w:rsid w:val="00187F90"/>
    <w:rsid w:val="0019013F"/>
    <w:rsid w:val="00190290"/>
    <w:rsid w:val="00190B3F"/>
    <w:rsid w:val="00191008"/>
    <w:rsid w:val="001916A6"/>
    <w:rsid w:val="00191D0B"/>
    <w:rsid w:val="00192067"/>
    <w:rsid w:val="001920C9"/>
    <w:rsid w:val="00192670"/>
    <w:rsid w:val="001929F7"/>
    <w:rsid w:val="00192F21"/>
    <w:rsid w:val="001937EE"/>
    <w:rsid w:val="001944E4"/>
    <w:rsid w:val="00194910"/>
    <w:rsid w:val="00195051"/>
    <w:rsid w:val="00195235"/>
    <w:rsid w:val="001954AE"/>
    <w:rsid w:val="001977E3"/>
    <w:rsid w:val="00197B7B"/>
    <w:rsid w:val="001A197C"/>
    <w:rsid w:val="001A1C1E"/>
    <w:rsid w:val="001A1EAC"/>
    <w:rsid w:val="001A1FFE"/>
    <w:rsid w:val="001A22DE"/>
    <w:rsid w:val="001A2626"/>
    <w:rsid w:val="001A3203"/>
    <w:rsid w:val="001A3713"/>
    <w:rsid w:val="001A39AD"/>
    <w:rsid w:val="001A3A49"/>
    <w:rsid w:val="001A436D"/>
    <w:rsid w:val="001A45AC"/>
    <w:rsid w:val="001A484D"/>
    <w:rsid w:val="001A5961"/>
    <w:rsid w:val="001A5D48"/>
    <w:rsid w:val="001A61A3"/>
    <w:rsid w:val="001A653B"/>
    <w:rsid w:val="001A6B60"/>
    <w:rsid w:val="001A6C4C"/>
    <w:rsid w:val="001A6FDB"/>
    <w:rsid w:val="001A7200"/>
    <w:rsid w:val="001A788A"/>
    <w:rsid w:val="001A7BF6"/>
    <w:rsid w:val="001B0538"/>
    <w:rsid w:val="001B097F"/>
    <w:rsid w:val="001B0FAA"/>
    <w:rsid w:val="001B1017"/>
    <w:rsid w:val="001B1101"/>
    <w:rsid w:val="001B12BA"/>
    <w:rsid w:val="001B255B"/>
    <w:rsid w:val="001B347B"/>
    <w:rsid w:val="001B3ECA"/>
    <w:rsid w:val="001B45AD"/>
    <w:rsid w:val="001B478E"/>
    <w:rsid w:val="001B4922"/>
    <w:rsid w:val="001B49FA"/>
    <w:rsid w:val="001B4A13"/>
    <w:rsid w:val="001B68EA"/>
    <w:rsid w:val="001B6EC3"/>
    <w:rsid w:val="001B6EFF"/>
    <w:rsid w:val="001B73AF"/>
    <w:rsid w:val="001B74F4"/>
    <w:rsid w:val="001B75C4"/>
    <w:rsid w:val="001B78AE"/>
    <w:rsid w:val="001B7D2B"/>
    <w:rsid w:val="001B7FC4"/>
    <w:rsid w:val="001C0390"/>
    <w:rsid w:val="001C04F1"/>
    <w:rsid w:val="001C126F"/>
    <w:rsid w:val="001C2636"/>
    <w:rsid w:val="001C2F9A"/>
    <w:rsid w:val="001C30F8"/>
    <w:rsid w:val="001C3174"/>
    <w:rsid w:val="001C37AB"/>
    <w:rsid w:val="001C393A"/>
    <w:rsid w:val="001C40FC"/>
    <w:rsid w:val="001C43A6"/>
    <w:rsid w:val="001C4462"/>
    <w:rsid w:val="001C5046"/>
    <w:rsid w:val="001C5823"/>
    <w:rsid w:val="001C61AB"/>
    <w:rsid w:val="001C652E"/>
    <w:rsid w:val="001C657B"/>
    <w:rsid w:val="001C6A15"/>
    <w:rsid w:val="001C6AC6"/>
    <w:rsid w:val="001C6C4B"/>
    <w:rsid w:val="001C6E16"/>
    <w:rsid w:val="001C7232"/>
    <w:rsid w:val="001C7725"/>
    <w:rsid w:val="001D021A"/>
    <w:rsid w:val="001D02BA"/>
    <w:rsid w:val="001D02F7"/>
    <w:rsid w:val="001D0BB7"/>
    <w:rsid w:val="001D1422"/>
    <w:rsid w:val="001D164D"/>
    <w:rsid w:val="001D1A26"/>
    <w:rsid w:val="001D1D2E"/>
    <w:rsid w:val="001D3347"/>
    <w:rsid w:val="001D389D"/>
    <w:rsid w:val="001D3F4C"/>
    <w:rsid w:val="001D4027"/>
    <w:rsid w:val="001D4141"/>
    <w:rsid w:val="001D424A"/>
    <w:rsid w:val="001D4B58"/>
    <w:rsid w:val="001D5A4D"/>
    <w:rsid w:val="001D6703"/>
    <w:rsid w:val="001D6A44"/>
    <w:rsid w:val="001D740C"/>
    <w:rsid w:val="001E187A"/>
    <w:rsid w:val="001E193A"/>
    <w:rsid w:val="001E1BB8"/>
    <w:rsid w:val="001E234A"/>
    <w:rsid w:val="001E26FA"/>
    <w:rsid w:val="001E2775"/>
    <w:rsid w:val="001E37B4"/>
    <w:rsid w:val="001E3B3F"/>
    <w:rsid w:val="001E3E3F"/>
    <w:rsid w:val="001E448E"/>
    <w:rsid w:val="001E4944"/>
    <w:rsid w:val="001E4BBE"/>
    <w:rsid w:val="001E57B3"/>
    <w:rsid w:val="001E5C6D"/>
    <w:rsid w:val="001E5E15"/>
    <w:rsid w:val="001E5FAC"/>
    <w:rsid w:val="001E60F5"/>
    <w:rsid w:val="001E6DD4"/>
    <w:rsid w:val="001E6EF0"/>
    <w:rsid w:val="001E7214"/>
    <w:rsid w:val="001E73B5"/>
    <w:rsid w:val="001E7763"/>
    <w:rsid w:val="001E7ABF"/>
    <w:rsid w:val="001F02DE"/>
    <w:rsid w:val="001F054F"/>
    <w:rsid w:val="001F0AB2"/>
    <w:rsid w:val="001F0D99"/>
    <w:rsid w:val="001F1768"/>
    <w:rsid w:val="001F1C5F"/>
    <w:rsid w:val="001F1E36"/>
    <w:rsid w:val="001F202B"/>
    <w:rsid w:val="001F2217"/>
    <w:rsid w:val="001F2C16"/>
    <w:rsid w:val="001F3001"/>
    <w:rsid w:val="001F33A2"/>
    <w:rsid w:val="001F50E7"/>
    <w:rsid w:val="001F519E"/>
    <w:rsid w:val="001F545B"/>
    <w:rsid w:val="001F54F4"/>
    <w:rsid w:val="001F5F40"/>
    <w:rsid w:val="001F6ADE"/>
    <w:rsid w:val="001F6C1B"/>
    <w:rsid w:val="001F71F7"/>
    <w:rsid w:val="001F72A7"/>
    <w:rsid w:val="001F783C"/>
    <w:rsid w:val="001F7870"/>
    <w:rsid w:val="0020004F"/>
    <w:rsid w:val="002004A2"/>
    <w:rsid w:val="00201385"/>
    <w:rsid w:val="002014FE"/>
    <w:rsid w:val="002015E5"/>
    <w:rsid w:val="002016D6"/>
    <w:rsid w:val="00202EBF"/>
    <w:rsid w:val="0020331F"/>
    <w:rsid w:val="00203602"/>
    <w:rsid w:val="002036A8"/>
    <w:rsid w:val="002039C6"/>
    <w:rsid w:val="00203E90"/>
    <w:rsid w:val="00204111"/>
    <w:rsid w:val="002042F0"/>
    <w:rsid w:val="0020569F"/>
    <w:rsid w:val="00205737"/>
    <w:rsid w:val="002058D6"/>
    <w:rsid w:val="00205C08"/>
    <w:rsid w:val="002066A1"/>
    <w:rsid w:val="00206C66"/>
    <w:rsid w:val="00206D4E"/>
    <w:rsid w:val="00206DDF"/>
    <w:rsid w:val="002077D6"/>
    <w:rsid w:val="00207C8A"/>
    <w:rsid w:val="00207D0F"/>
    <w:rsid w:val="00207F51"/>
    <w:rsid w:val="0021031D"/>
    <w:rsid w:val="00210755"/>
    <w:rsid w:val="00210C58"/>
    <w:rsid w:val="00210DCA"/>
    <w:rsid w:val="00211089"/>
    <w:rsid w:val="00211693"/>
    <w:rsid w:val="00211774"/>
    <w:rsid w:val="002117C0"/>
    <w:rsid w:val="00211888"/>
    <w:rsid w:val="00212008"/>
    <w:rsid w:val="0021370B"/>
    <w:rsid w:val="002138AA"/>
    <w:rsid w:val="00213D1B"/>
    <w:rsid w:val="00213F1C"/>
    <w:rsid w:val="00215246"/>
    <w:rsid w:val="00215313"/>
    <w:rsid w:val="00215E50"/>
    <w:rsid w:val="0021622C"/>
    <w:rsid w:val="00216883"/>
    <w:rsid w:val="00216B10"/>
    <w:rsid w:val="00217E70"/>
    <w:rsid w:val="0022011E"/>
    <w:rsid w:val="0022080E"/>
    <w:rsid w:val="00220946"/>
    <w:rsid w:val="00220E57"/>
    <w:rsid w:val="00221300"/>
    <w:rsid w:val="00221452"/>
    <w:rsid w:val="00222717"/>
    <w:rsid w:val="00222A6C"/>
    <w:rsid w:val="00222B20"/>
    <w:rsid w:val="00222CCC"/>
    <w:rsid w:val="002236B2"/>
    <w:rsid w:val="00223D4E"/>
    <w:rsid w:val="00223D6D"/>
    <w:rsid w:val="00224054"/>
    <w:rsid w:val="00224909"/>
    <w:rsid w:val="00225087"/>
    <w:rsid w:val="002253AA"/>
    <w:rsid w:val="002259C2"/>
    <w:rsid w:val="00225AA0"/>
    <w:rsid w:val="002260E0"/>
    <w:rsid w:val="00227856"/>
    <w:rsid w:val="00227A3D"/>
    <w:rsid w:val="00227DF6"/>
    <w:rsid w:val="00227F61"/>
    <w:rsid w:val="0023017C"/>
    <w:rsid w:val="0023034F"/>
    <w:rsid w:val="002309BF"/>
    <w:rsid w:val="00230AFD"/>
    <w:rsid w:val="00231556"/>
    <w:rsid w:val="00231EEC"/>
    <w:rsid w:val="002320FE"/>
    <w:rsid w:val="0023223A"/>
    <w:rsid w:val="002329C4"/>
    <w:rsid w:val="0023307F"/>
    <w:rsid w:val="002333F3"/>
    <w:rsid w:val="0023371C"/>
    <w:rsid w:val="00233DA6"/>
    <w:rsid w:val="00233E33"/>
    <w:rsid w:val="0023445B"/>
    <w:rsid w:val="0023501A"/>
    <w:rsid w:val="00235287"/>
    <w:rsid w:val="00235534"/>
    <w:rsid w:val="00235A18"/>
    <w:rsid w:val="00235C6A"/>
    <w:rsid w:val="002363BB"/>
    <w:rsid w:val="002366C4"/>
    <w:rsid w:val="0023682B"/>
    <w:rsid w:val="00236B68"/>
    <w:rsid w:val="00237AE6"/>
    <w:rsid w:val="002400A3"/>
    <w:rsid w:val="002406AC"/>
    <w:rsid w:val="00240965"/>
    <w:rsid w:val="00240A5A"/>
    <w:rsid w:val="00240E67"/>
    <w:rsid w:val="0024125F"/>
    <w:rsid w:val="00241B36"/>
    <w:rsid w:val="00241E16"/>
    <w:rsid w:val="00241ED5"/>
    <w:rsid w:val="00241F4C"/>
    <w:rsid w:val="002422F3"/>
    <w:rsid w:val="002425D5"/>
    <w:rsid w:val="00242B6D"/>
    <w:rsid w:val="00242BDD"/>
    <w:rsid w:val="00243020"/>
    <w:rsid w:val="002437C9"/>
    <w:rsid w:val="00243938"/>
    <w:rsid w:val="00243960"/>
    <w:rsid w:val="00244083"/>
    <w:rsid w:val="002440B2"/>
    <w:rsid w:val="002440F2"/>
    <w:rsid w:val="00244394"/>
    <w:rsid w:val="00244490"/>
    <w:rsid w:val="00244657"/>
    <w:rsid w:val="00244A26"/>
    <w:rsid w:val="002458C5"/>
    <w:rsid w:val="00245D4D"/>
    <w:rsid w:val="00246AF3"/>
    <w:rsid w:val="00247121"/>
    <w:rsid w:val="00247BDB"/>
    <w:rsid w:val="00250379"/>
    <w:rsid w:val="00250452"/>
    <w:rsid w:val="002505F4"/>
    <w:rsid w:val="00250E59"/>
    <w:rsid w:val="002510F8"/>
    <w:rsid w:val="00251530"/>
    <w:rsid w:val="00251939"/>
    <w:rsid w:val="002519A7"/>
    <w:rsid w:val="0025224D"/>
    <w:rsid w:val="002526B9"/>
    <w:rsid w:val="00252A42"/>
    <w:rsid w:val="00252C19"/>
    <w:rsid w:val="0025322B"/>
    <w:rsid w:val="002539F1"/>
    <w:rsid w:val="00253C18"/>
    <w:rsid w:val="00253CE5"/>
    <w:rsid w:val="0025416B"/>
    <w:rsid w:val="0025453B"/>
    <w:rsid w:val="00254FA3"/>
    <w:rsid w:val="002553B5"/>
    <w:rsid w:val="00255926"/>
    <w:rsid w:val="00255B9E"/>
    <w:rsid w:val="00255C7B"/>
    <w:rsid w:val="00255F2B"/>
    <w:rsid w:val="00256074"/>
    <w:rsid w:val="00256791"/>
    <w:rsid w:val="00256A13"/>
    <w:rsid w:val="00256AB1"/>
    <w:rsid w:val="00257098"/>
    <w:rsid w:val="00257340"/>
    <w:rsid w:val="002574AB"/>
    <w:rsid w:val="002579A4"/>
    <w:rsid w:val="00257E7E"/>
    <w:rsid w:val="0026042F"/>
    <w:rsid w:val="00260FBC"/>
    <w:rsid w:val="00261074"/>
    <w:rsid w:val="002610BA"/>
    <w:rsid w:val="0026139D"/>
    <w:rsid w:val="002614FB"/>
    <w:rsid w:val="002615D7"/>
    <w:rsid w:val="00261B46"/>
    <w:rsid w:val="00262109"/>
    <w:rsid w:val="002627DE"/>
    <w:rsid w:val="00262FE6"/>
    <w:rsid w:val="00263372"/>
    <w:rsid w:val="00263385"/>
    <w:rsid w:val="0026356C"/>
    <w:rsid w:val="002644A5"/>
    <w:rsid w:val="002646F6"/>
    <w:rsid w:val="0026478A"/>
    <w:rsid w:val="002655CA"/>
    <w:rsid w:val="0026585B"/>
    <w:rsid w:val="00267944"/>
    <w:rsid w:val="002679C4"/>
    <w:rsid w:val="0027058E"/>
    <w:rsid w:val="00270820"/>
    <w:rsid w:val="0027090E"/>
    <w:rsid w:val="002716D3"/>
    <w:rsid w:val="002722EE"/>
    <w:rsid w:val="00272641"/>
    <w:rsid w:val="00273592"/>
    <w:rsid w:val="00273667"/>
    <w:rsid w:val="002736C9"/>
    <w:rsid w:val="002737E7"/>
    <w:rsid w:val="00275369"/>
    <w:rsid w:val="00275694"/>
    <w:rsid w:val="002757CC"/>
    <w:rsid w:val="00275C09"/>
    <w:rsid w:val="0027642E"/>
    <w:rsid w:val="0027656D"/>
    <w:rsid w:val="002773E3"/>
    <w:rsid w:val="0027783A"/>
    <w:rsid w:val="00277FD1"/>
    <w:rsid w:val="00280462"/>
    <w:rsid w:val="002807BB"/>
    <w:rsid w:val="00280BDC"/>
    <w:rsid w:val="00280D05"/>
    <w:rsid w:val="00281067"/>
    <w:rsid w:val="002810EF"/>
    <w:rsid w:val="0028133D"/>
    <w:rsid w:val="00281C67"/>
    <w:rsid w:val="00281EBC"/>
    <w:rsid w:val="00281F73"/>
    <w:rsid w:val="00281FDE"/>
    <w:rsid w:val="00282156"/>
    <w:rsid w:val="002825AF"/>
    <w:rsid w:val="0028270D"/>
    <w:rsid w:val="0028271E"/>
    <w:rsid w:val="002834D4"/>
    <w:rsid w:val="00283DE3"/>
    <w:rsid w:val="002849BA"/>
    <w:rsid w:val="00284A07"/>
    <w:rsid w:val="002850E9"/>
    <w:rsid w:val="00285424"/>
    <w:rsid w:val="00285AFD"/>
    <w:rsid w:val="00286005"/>
    <w:rsid w:val="002864AD"/>
    <w:rsid w:val="002877BC"/>
    <w:rsid w:val="00290749"/>
    <w:rsid w:val="00290FE4"/>
    <w:rsid w:val="00291132"/>
    <w:rsid w:val="00291AB0"/>
    <w:rsid w:val="00291AB3"/>
    <w:rsid w:val="00291C78"/>
    <w:rsid w:val="00291CD1"/>
    <w:rsid w:val="00292204"/>
    <w:rsid w:val="00292370"/>
    <w:rsid w:val="002924AF"/>
    <w:rsid w:val="00292711"/>
    <w:rsid w:val="00292DEC"/>
    <w:rsid w:val="00292F30"/>
    <w:rsid w:val="002944BC"/>
    <w:rsid w:val="00294FE5"/>
    <w:rsid w:val="0029548B"/>
    <w:rsid w:val="00295E80"/>
    <w:rsid w:val="00296129"/>
    <w:rsid w:val="0029651C"/>
    <w:rsid w:val="002970C1"/>
    <w:rsid w:val="002974BE"/>
    <w:rsid w:val="00297F97"/>
    <w:rsid w:val="002A02CA"/>
    <w:rsid w:val="002A0877"/>
    <w:rsid w:val="002A0920"/>
    <w:rsid w:val="002A1048"/>
    <w:rsid w:val="002A1559"/>
    <w:rsid w:val="002A26EB"/>
    <w:rsid w:val="002A28A9"/>
    <w:rsid w:val="002A28B5"/>
    <w:rsid w:val="002A3E44"/>
    <w:rsid w:val="002A45E6"/>
    <w:rsid w:val="002A46B4"/>
    <w:rsid w:val="002A4729"/>
    <w:rsid w:val="002A4AF3"/>
    <w:rsid w:val="002A56FB"/>
    <w:rsid w:val="002A5947"/>
    <w:rsid w:val="002A5C20"/>
    <w:rsid w:val="002A5DC5"/>
    <w:rsid w:val="002A5E40"/>
    <w:rsid w:val="002A6035"/>
    <w:rsid w:val="002A6BF2"/>
    <w:rsid w:val="002A7776"/>
    <w:rsid w:val="002A794E"/>
    <w:rsid w:val="002B013C"/>
    <w:rsid w:val="002B093E"/>
    <w:rsid w:val="002B0F67"/>
    <w:rsid w:val="002B1459"/>
    <w:rsid w:val="002B1569"/>
    <w:rsid w:val="002B27C2"/>
    <w:rsid w:val="002B2ED3"/>
    <w:rsid w:val="002B30F6"/>
    <w:rsid w:val="002B3427"/>
    <w:rsid w:val="002B37CB"/>
    <w:rsid w:val="002B3BAE"/>
    <w:rsid w:val="002B3BFE"/>
    <w:rsid w:val="002B42C5"/>
    <w:rsid w:val="002B44D9"/>
    <w:rsid w:val="002B4509"/>
    <w:rsid w:val="002B4536"/>
    <w:rsid w:val="002B507A"/>
    <w:rsid w:val="002B508E"/>
    <w:rsid w:val="002B52F4"/>
    <w:rsid w:val="002B55D3"/>
    <w:rsid w:val="002B5664"/>
    <w:rsid w:val="002B6261"/>
    <w:rsid w:val="002B6A02"/>
    <w:rsid w:val="002B6CDF"/>
    <w:rsid w:val="002B70DF"/>
    <w:rsid w:val="002C023C"/>
    <w:rsid w:val="002C1484"/>
    <w:rsid w:val="002C17F7"/>
    <w:rsid w:val="002C2316"/>
    <w:rsid w:val="002C2D60"/>
    <w:rsid w:val="002C350C"/>
    <w:rsid w:val="002C3533"/>
    <w:rsid w:val="002C3F86"/>
    <w:rsid w:val="002C4836"/>
    <w:rsid w:val="002C4CDD"/>
    <w:rsid w:val="002C4E25"/>
    <w:rsid w:val="002C50FF"/>
    <w:rsid w:val="002C512A"/>
    <w:rsid w:val="002C580E"/>
    <w:rsid w:val="002C5A19"/>
    <w:rsid w:val="002C5CC3"/>
    <w:rsid w:val="002C67A9"/>
    <w:rsid w:val="002C6A0B"/>
    <w:rsid w:val="002C6F4D"/>
    <w:rsid w:val="002C7984"/>
    <w:rsid w:val="002C79DB"/>
    <w:rsid w:val="002D06BF"/>
    <w:rsid w:val="002D08A6"/>
    <w:rsid w:val="002D0919"/>
    <w:rsid w:val="002D1131"/>
    <w:rsid w:val="002D13D4"/>
    <w:rsid w:val="002D1465"/>
    <w:rsid w:val="002D1574"/>
    <w:rsid w:val="002D1792"/>
    <w:rsid w:val="002D1B6D"/>
    <w:rsid w:val="002D1BAB"/>
    <w:rsid w:val="002D3994"/>
    <w:rsid w:val="002D39C7"/>
    <w:rsid w:val="002D3CE3"/>
    <w:rsid w:val="002D460F"/>
    <w:rsid w:val="002D49FA"/>
    <w:rsid w:val="002D4A22"/>
    <w:rsid w:val="002D52C2"/>
    <w:rsid w:val="002D572D"/>
    <w:rsid w:val="002D5803"/>
    <w:rsid w:val="002D588D"/>
    <w:rsid w:val="002D65F6"/>
    <w:rsid w:val="002D66B2"/>
    <w:rsid w:val="002D6DCE"/>
    <w:rsid w:val="002D7502"/>
    <w:rsid w:val="002D781D"/>
    <w:rsid w:val="002D797E"/>
    <w:rsid w:val="002E0204"/>
    <w:rsid w:val="002E03A5"/>
    <w:rsid w:val="002E0A45"/>
    <w:rsid w:val="002E1274"/>
    <w:rsid w:val="002E1A83"/>
    <w:rsid w:val="002E22EC"/>
    <w:rsid w:val="002E3C5B"/>
    <w:rsid w:val="002E3E15"/>
    <w:rsid w:val="002E513F"/>
    <w:rsid w:val="002E5597"/>
    <w:rsid w:val="002E5799"/>
    <w:rsid w:val="002E5D67"/>
    <w:rsid w:val="002E624A"/>
    <w:rsid w:val="002E6E77"/>
    <w:rsid w:val="002E7154"/>
    <w:rsid w:val="002E716F"/>
    <w:rsid w:val="002E752D"/>
    <w:rsid w:val="002E797A"/>
    <w:rsid w:val="002E7DE6"/>
    <w:rsid w:val="002F043C"/>
    <w:rsid w:val="002F04D1"/>
    <w:rsid w:val="002F04F1"/>
    <w:rsid w:val="002F1AC6"/>
    <w:rsid w:val="002F256C"/>
    <w:rsid w:val="002F28FA"/>
    <w:rsid w:val="002F2EF2"/>
    <w:rsid w:val="002F3173"/>
    <w:rsid w:val="002F42B9"/>
    <w:rsid w:val="002F4324"/>
    <w:rsid w:val="002F46D9"/>
    <w:rsid w:val="002F4799"/>
    <w:rsid w:val="002F4A9E"/>
    <w:rsid w:val="002F5A2F"/>
    <w:rsid w:val="002F5B2D"/>
    <w:rsid w:val="002F6534"/>
    <w:rsid w:val="002F6EE5"/>
    <w:rsid w:val="002F6F78"/>
    <w:rsid w:val="002F7828"/>
    <w:rsid w:val="002F7D04"/>
    <w:rsid w:val="00300E67"/>
    <w:rsid w:val="003012CA"/>
    <w:rsid w:val="003015CD"/>
    <w:rsid w:val="003017DD"/>
    <w:rsid w:val="0030235C"/>
    <w:rsid w:val="00302472"/>
    <w:rsid w:val="003024D9"/>
    <w:rsid w:val="003024DC"/>
    <w:rsid w:val="00302D50"/>
    <w:rsid w:val="00302D63"/>
    <w:rsid w:val="00302ED2"/>
    <w:rsid w:val="00303124"/>
    <w:rsid w:val="0030372C"/>
    <w:rsid w:val="003039E6"/>
    <w:rsid w:val="00303B10"/>
    <w:rsid w:val="00303C29"/>
    <w:rsid w:val="00303E7D"/>
    <w:rsid w:val="00304364"/>
    <w:rsid w:val="00304418"/>
    <w:rsid w:val="00304E70"/>
    <w:rsid w:val="00305399"/>
    <w:rsid w:val="0030557E"/>
    <w:rsid w:val="00305D16"/>
    <w:rsid w:val="00305D97"/>
    <w:rsid w:val="003061F5"/>
    <w:rsid w:val="003063D4"/>
    <w:rsid w:val="00306F97"/>
    <w:rsid w:val="003071DC"/>
    <w:rsid w:val="003101D8"/>
    <w:rsid w:val="00310DC1"/>
    <w:rsid w:val="003120CB"/>
    <w:rsid w:val="00312866"/>
    <w:rsid w:val="003129B7"/>
    <w:rsid w:val="00313D16"/>
    <w:rsid w:val="00313DAE"/>
    <w:rsid w:val="003143E7"/>
    <w:rsid w:val="0031442F"/>
    <w:rsid w:val="00315391"/>
    <w:rsid w:val="00315BF1"/>
    <w:rsid w:val="00315D8A"/>
    <w:rsid w:val="00316EEA"/>
    <w:rsid w:val="00316F86"/>
    <w:rsid w:val="00317183"/>
    <w:rsid w:val="00317594"/>
    <w:rsid w:val="003203FB"/>
    <w:rsid w:val="00320982"/>
    <w:rsid w:val="00320E08"/>
    <w:rsid w:val="00321124"/>
    <w:rsid w:val="003211C3"/>
    <w:rsid w:val="0032168A"/>
    <w:rsid w:val="00321B8C"/>
    <w:rsid w:val="00322359"/>
    <w:rsid w:val="00322EC0"/>
    <w:rsid w:val="00323116"/>
    <w:rsid w:val="003234AA"/>
    <w:rsid w:val="00323787"/>
    <w:rsid w:val="00323821"/>
    <w:rsid w:val="003238DD"/>
    <w:rsid w:val="00324832"/>
    <w:rsid w:val="0032537D"/>
    <w:rsid w:val="00325FC6"/>
    <w:rsid w:val="0032660B"/>
    <w:rsid w:val="003266C5"/>
    <w:rsid w:val="0033013E"/>
    <w:rsid w:val="00330648"/>
    <w:rsid w:val="00330AE4"/>
    <w:rsid w:val="00330B7E"/>
    <w:rsid w:val="003312F2"/>
    <w:rsid w:val="003314DF"/>
    <w:rsid w:val="00331996"/>
    <w:rsid w:val="00331E9F"/>
    <w:rsid w:val="003320CC"/>
    <w:rsid w:val="00332612"/>
    <w:rsid w:val="00332FF0"/>
    <w:rsid w:val="00333975"/>
    <w:rsid w:val="00333B64"/>
    <w:rsid w:val="00333CFD"/>
    <w:rsid w:val="003343C5"/>
    <w:rsid w:val="00335145"/>
    <w:rsid w:val="00336CC2"/>
    <w:rsid w:val="00336CC7"/>
    <w:rsid w:val="00337E3B"/>
    <w:rsid w:val="00340108"/>
    <w:rsid w:val="00340203"/>
    <w:rsid w:val="0034084F"/>
    <w:rsid w:val="0034095B"/>
    <w:rsid w:val="003409D8"/>
    <w:rsid w:val="00340C97"/>
    <w:rsid w:val="00340F76"/>
    <w:rsid w:val="00340F92"/>
    <w:rsid w:val="003416B5"/>
    <w:rsid w:val="00341BCC"/>
    <w:rsid w:val="00341C5A"/>
    <w:rsid w:val="00342037"/>
    <w:rsid w:val="003421A1"/>
    <w:rsid w:val="003423EA"/>
    <w:rsid w:val="00342410"/>
    <w:rsid w:val="0034249D"/>
    <w:rsid w:val="003427B6"/>
    <w:rsid w:val="003433D5"/>
    <w:rsid w:val="003437FD"/>
    <w:rsid w:val="00343814"/>
    <w:rsid w:val="00343A4A"/>
    <w:rsid w:val="00343F66"/>
    <w:rsid w:val="00345349"/>
    <w:rsid w:val="00345819"/>
    <w:rsid w:val="00345CAC"/>
    <w:rsid w:val="0034665B"/>
    <w:rsid w:val="00346884"/>
    <w:rsid w:val="00346895"/>
    <w:rsid w:val="0034735C"/>
    <w:rsid w:val="00347888"/>
    <w:rsid w:val="00347A41"/>
    <w:rsid w:val="00347C55"/>
    <w:rsid w:val="0035107F"/>
    <w:rsid w:val="0035134C"/>
    <w:rsid w:val="003515B6"/>
    <w:rsid w:val="0035173C"/>
    <w:rsid w:val="00351A31"/>
    <w:rsid w:val="00351D0C"/>
    <w:rsid w:val="003525C8"/>
    <w:rsid w:val="00352714"/>
    <w:rsid w:val="003527EB"/>
    <w:rsid w:val="003539B8"/>
    <w:rsid w:val="00353CC1"/>
    <w:rsid w:val="0035471B"/>
    <w:rsid w:val="003553EB"/>
    <w:rsid w:val="00355918"/>
    <w:rsid w:val="00356149"/>
    <w:rsid w:val="003562C3"/>
    <w:rsid w:val="003563A4"/>
    <w:rsid w:val="0035640B"/>
    <w:rsid w:val="00356D3A"/>
    <w:rsid w:val="003574A8"/>
    <w:rsid w:val="00357597"/>
    <w:rsid w:val="0035763B"/>
    <w:rsid w:val="003579DB"/>
    <w:rsid w:val="00357BE7"/>
    <w:rsid w:val="00360309"/>
    <w:rsid w:val="003605DC"/>
    <w:rsid w:val="00360AE3"/>
    <w:rsid w:val="003617C7"/>
    <w:rsid w:val="0036189F"/>
    <w:rsid w:val="0036194E"/>
    <w:rsid w:val="003619A3"/>
    <w:rsid w:val="00361EFF"/>
    <w:rsid w:val="00362F69"/>
    <w:rsid w:val="00363003"/>
    <w:rsid w:val="00363277"/>
    <w:rsid w:val="00363AB4"/>
    <w:rsid w:val="00363E70"/>
    <w:rsid w:val="00364919"/>
    <w:rsid w:val="00365375"/>
    <w:rsid w:val="003653E8"/>
    <w:rsid w:val="00365ADF"/>
    <w:rsid w:val="00365D37"/>
    <w:rsid w:val="00365FED"/>
    <w:rsid w:val="0036635C"/>
    <w:rsid w:val="00366F5E"/>
    <w:rsid w:val="00366F9E"/>
    <w:rsid w:val="00366FE2"/>
    <w:rsid w:val="003710B6"/>
    <w:rsid w:val="00371475"/>
    <w:rsid w:val="00371548"/>
    <w:rsid w:val="003719F6"/>
    <w:rsid w:val="00371CA8"/>
    <w:rsid w:val="003720E0"/>
    <w:rsid w:val="00372387"/>
    <w:rsid w:val="00372910"/>
    <w:rsid w:val="00372A73"/>
    <w:rsid w:val="00372F2F"/>
    <w:rsid w:val="00373186"/>
    <w:rsid w:val="00373342"/>
    <w:rsid w:val="00373D92"/>
    <w:rsid w:val="0037415B"/>
    <w:rsid w:val="00374651"/>
    <w:rsid w:val="00374D6C"/>
    <w:rsid w:val="003755D6"/>
    <w:rsid w:val="00375705"/>
    <w:rsid w:val="00375C48"/>
    <w:rsid w:val="00376373"/>
    <w:rsid w:val="003767CE"/>
    <w:rsid w:val="00377298"/>
    <w:rsid w:val="00377682"/>
    <w:rsid w:val="00377A2B"/>
    <w:rsid w:val="0038142B"/>
    <w:rsid w:val="00381D44"/>
    <w:rsid w:val="00381DC8"/>
    <w:rsid w:val="00382045"/>
    <w:rsid w:val="00382256"/>
    <w:rsid w:val="003823E2"/>
    <w:rsid w:val="003827CD"/>
    <w:rsid w:val="00382AAF"/>
    <w:rsid w:val="00382EA5"/>
    <w:rsid w:val="00384232"/>
    <w:rsid w:val="003843D3"/>
    <w:rsid w:val="003846F0"/>
    <w:rsid w:val="00385EE3"/>
    <w:rsid w:val="0038662A"/>
    <w:rsid w:val="003872A1"/>
    <w:rsid w:val="003877FC"/>
    <w:rsid w:val="0039001C"/>
    <w:rsid w:val="00390162"/>
    <w:rsid w:val="0039055E"/>
    <w:rsid w:val="0039056E"/>
    <w:rsid w:val="00390CC3"/>
    <w:rsid w:val="00390EF2"/>
    <w:rsid w:val="00391356"/>
    <w:rsid w:val="0039174B"/>
    <w:rsid w:val="003919A5"/>
    <w:rsid w:val="00391F13"/>
    <w:rsid w:val="003929F3"/>
    <w:rsid w:val="0039386D"/>
    <w:rsid w:val="00393C5C"/>
    <w:rsid w:val="00394266"/>
    <w:rsid w:val="00394BBA"/>
    <w:rsid w:val="00394C81"/>
    <w:rsid w:val="00395063"/>
    <w:rsid w:val="0039536D"/>
    <w:rsid w:val="003956A2"/>
    <w:rsid w:val="0039580F"/>
    <w:rsid w:val="00395E53"/>
    <w:rsid w:val="00395F75"/>
    <w:rsid w:val="003973B1"/>
    <w:rsid w:val="003978EC"/>
    <w:rsid w:val="003979AE"/>
    <w:rsid w:val="00397F9F"/>
    <w:rsid w:val="003A00BA"/>
    <w:rsid w:val="003A011A"/>
    <w:rsid w:val="003A02AB"/>
    <w:rsid w:val="003A061B"/>
    <w:rsid w:val="003A0713"/>
    <w:rsid w:val="003A0725"/>
    <w:rsid w:val="003A082D"/>
    <w:rsid w:val="003A0C9B"/>
    <w:rsid w:val="003A12CF"/>
    <w:rsid w:val="003A202D"/>
    <w:rsid w:val="003A209C"/>
    <w:rsid w:val="003A230A"/>
    <w:rsid w:val="003A2A90"/>
    <w:rsid w:val="003A2F8B"/>
    <w:rsid w:val="003A3149"/>
    <w:rsid w:val="003A324F"/>
    <w:rsid w:val="003A3CAC"/>
    <w:rsid w:val="003A41E3"/>
    <w:rsid w:val="003A43F4"/>
    <w:rsid w:val="003A5162"/>
    <w:rsid w:val="003A5C05"/>
    <w:rsid w:val="003A65D0"/>
    <w:rsid w:val="003A6772"/>
    <w:rsid w:val="003A7CBD"/>
    <w:rsid w:val="003B0F25"/>
    <w:rsid w:val="003B1434"/>
    <w:rsid w:val="003B1813"/>
    <w:rsid w:val="003B2A82"/>
    <w:rsid w:val="003B3035"/>
    <w:rsid w:val="003B35B1"/>
    <w:rsid w:val="003B35D4"/>
    <w:rsid w:val="003B3FA2"/>
    <w:rsid w:val="003B4669"/>
    <w:rsid w:val="003B46C5"/>
    <w:rsid w:val="003B4795"/>
    <w:rsid w:val="003B51D6"/>
    <w:rsid w:val="003B5A80"/>
    <w:rsid w:val="003B6082"/>
    <w:rsid w:val="003B68D5"/>
    <w:rsid w:val="003B6AD9"/>
    <w:rsid w:val="003B6ED4"/>
    <w:rsid w:val="003B76B1"/>
    <w:rsid w:val="003B7A1E"/>
    <w:rsid w:val="003C054D"/>
    <w:rsid w:val="003C072B"/>
    <w:rsid w:val="003C13C0"/>
    <w:rsid w:val="003C1F02"/>
    <w:rsid w:val="003C24E5"/>
    <w:rsid w:val="003C267E"/>
    <w:rsid w:val="003C27F5"/>
    <w:rsid w:val="003C2A6C"/>
    <w:rsid w:val="003C2AC1"/>
    <w:rsid w:val="003C2AE6"/>
    <w:rsid w:val="003C2E2F"/>
    <w:rsid w:val="003C3003"/>
    <w:rsid w:val="003C3328"/>
    <w:rsid w:val="003C3D96"/>
    <w:rsid w:val="003C4389"/>
    <w:rsid w:val="003C4397"/>
    <w:rsid w:val="003C46FC"/>
    <w:rsid w:val="003C51E6"/>
    <w:rsid w:val="003C538C"/>
    <w:rsid w:val="003C53FB"/>
    <w:rsid w:val="003C59AC"/>
    <w:rsid w:val="003C5E2B"/>
    <w:rsid w:val="003C6081"/>
    <w:rsid w:val="003C624F"/>
    <w:rsid w:val="003C6508"/>
    <w:rsid w:val="003C6CA1"/>
    <w:rsid w:val="003C7054"/>
    <w:rsid w:val="003C7B84"/>
    <w:rsid w:val="003C7D8C"/>
    <w:rsid w:val="003D02BA"/>
    <w:rsid w:val="003D04B0"/>
    <w:rsid w:val="003D0AC3"/>
    <w:rsid w:val="003D0B28"/>
    <w:rsid w:val="003D0B55"/>
    <w:rsid w:val="003D1790"/>
    <w:rsid w:val="003D1945"/>
    <w:rsid w:val="003D286F"/>
    <w:rsid w:val="003D31E5"/>
    <w:rsid w:val="003D33DD"/>
    <w:rsid w:val="003D447F"/>
    <w:rsid w:val="003D5F74"/>
    <w:rsid w:val="003D61AC"/>
    <w:rsid w:val="003D62AF"/>
    <w:rsid w:val="003D639D"/>
    <w:rsid w:val="003D63CE"/>
    <w:rsid w:val="003D6701"/>
    <w:rsid w:val="003D67CE"/>
    <w:rsid w:val="003D7765"/>
    <w:rsid w:val="003D7B86"/>
    <w:rsid w:val="003E007A"/>
    <w:rsid w:val="003E0116"/>
    <w:rsid w:val="003E026B"/>
    <w:rsid w:val="003E1141"/>
    <w:rsid w:val="003E1396"/>
    <w:rsid w:val="003E14D2"/>
    <w:rsid w:val="003E1B40"/>
    <w:rsid w:val="003E2037"/>
    <w:rsid w:val="003E2270"/>
    <w:rsid w:val="003E25EE"/>
    <w:rsid w:val="003E267A"/>
    <w:rsid w:val="003E298C"/>
    <w:rsid w:val="003E2DF4"/>
    <w:rsid w:val="003E3176"/>
    <w:rsid w:val="003E327F"/>
    <w:rsid w:val="003E4232"/>
    <w:rsid w:val="003E497B"/>
    <w:rsid w:val="003E49FF"/>
    <w:rsid w:val="003E4C23"/>
    <w:rsid w:val="003E4F0F"/>
    <w:rsid w:val="003E523C"/>
    <w:rsid w:val="003E5413"/>
    <w:rsid w:val="003E684F"/>
    <w:rsid w:val="003E70B3"/>
    <w:rsid w:val="003E72B8"/>
    <w:rsid w:val="003E7687"/>
    <w:rsid w:val="003E7F3D"/>
    <w:rsid w:val="003F0039"/>
    <w:rsid w:val="003F010C"/>
    <w:rsid w:val="003F05DE"/>
    <w:rsid w:val="003F07F7"/>
    <w:rsid w:val="003F0C23"/>
    <w:rsid w:val="003F1204"/>
    <w:rsid w:val="003F1DF8"/>
    <w:rsid w:val="003F2936"/>
    <w:rsid w:val="003F44C8"/>
    <w:rsid w:val="003F501E"/>
    <w:rsid w:val="003F5238"/>
    <w:rsid w:val="003F523A"/>
    <w:rsid w:val="003F5BE1"/>
    <w:rsid w:val="003F6B58"/>
    <w:rsid w:val="003F6ED4"/>
    <w:rsid w:val="003F75F4"/>
    <w:rsid w:val="003F7695"/>
    <w:rsid w:val="003F7D7B"/>
    <w:rsid w:val="0040038D"/>
    <w:rsid w:val="00401582"/>
    <w:rsid w:val="00401769"/>
    <w:rsid w:val="00401BF4"/>
    <w:rsid w:val="00401C97"/>
    <w:rsid w:val="00401CA3"/>
    <w:rsid w:val="00401D99"/>
    <w:rsid w:val="004022F2"/>
    <w:rsid w:val="0040290B"/>
    <w:rsid w:val="004032F7"/>
    <w:rsid w:val="00403D2C"/>
    <w:rsid w:val="00404B70"/>
    <w:rsid w:val="00404C0B"/>
    <w:rsid w:val="0040504E"/>
    <w:rsid w:val="00405775"/>
    <w:rsid w:val="004060F9"/>
    <w:rsid w:val="00406AE8"/>
    <w:rsid w:val="00406C66"/>
    <w:rsid w:val="0040775E"/>
    <w:rsid w:val="004102F5"/>
    <w:rsid w:val="004102F7"/>
    <w:rsid w:val="004105A2"/>
    <w:rsid w:val="00410DB5"/>
    <w:rsid w:val="00410F3D"/>
    <w:rsid w:val="00411653"/>
    <w:rsid w:val="00411EA7"/>
    <w:rsid w:val="0041258C"/>
    <w:rsid w:val="00412658"/>
    <w:rsid w:val="00412E91"/>
    <w:rsid w:val="004130BC"/>
    <w:rsid w:val="00413AB0"/>
    <w:rsid w:val="00413E7B"/>
    <w:rsid w:val="004144DD"/>
    <w:rsid w:val="00414A8A"/>
    <w:rsid w:val="00414C02"/>
    <w:rsid w:val="004155A4"/>
    <w:rsid w:val="0041599E"/>
    <w:rsid w:val="00415D85"/>
    <w:rsid w:val="00416415"/>
    <w:rsid w:val="004164D4"/>
    <w:rsid w:val="004165A0"/>
    <w:rsid w:val="00416A27"/>
    <w:rsid w:val="00416E20"/>
    <w:rsid w:val="004178B1"/>
    <w:rsid w:val="004204DB"/>
    <w:rsid w:val="00420601"/>
    <w:rsid w:val="00420A92"/>
    <w:rsid w:val="00421F87"/>
    <w:rsid w:val="00422919"/>
    <w:rsid w:val="00422C32"/>
    <w:rsid w:val="004231FF"/>
    <w:rsid w:val="00423206"/>
    <w:rsid w:val="00424230"/>
    <w:rsid w:val="004242D4"/>
    <w:rsid w:val="00424767"/>
    <w:rsid w:val="00424945"/>
    <w:rsid w:val="00425065"/>
    <w:rsid w:val="00425085"/>
    <w:rsid w:val="00425A66"/>
    <w:rsid w:val="004260D4"/>
    <w:rsid w:val="0042634C"/>
    <w:rsid w:val="004268FE"/>
    <w:rsid w:val="00426A8B"/>
    <w:rsid w:val="00426DD0"/>
    <w:rsid w:val="004270DC"/>
    <w:rsid w:val="00427227"/>
    <w:rsid w:val="00427330"/>
    <w:rsid w:val="0042785B"/>
    <w:rsid w:val="00427DB4"/>
    <w:rsid w:val="004305D9"/>
    <w:rsid w:val="00430E1A"/>
    <w:rsid w:val="00431108"/>
    <w:rsid w:val="004314C1"/>
    <w:rsid w:val="004317D6"/>
    <w:rsid w:val="00432304"/>
    <w:rsid w:val="0043277F"/>
    <w:rsid w:val="0043317D"/>
    <w:rsid w:val="00433B8C"/>
    <w:rsid w:val="00433F04"/>
    <w:rsid w:val="0043433E"/>
    <w:rsid w:val="004343A8"/>
    <w:rsid w:val="00434C6E"/>
    <w:rsid w:val="00435C58"/>
    <w:rsid w:val="00435DD6"/>
    <w:rsid w:val="0043624C"/>
    <w:rsid w:val="004365C5"/>
    <w:rsid w:val="00436CAF"/>
    <w:rsid w:val="00437997"/>
    <w:rsid w:val="0044117B"/>
    <w:rsid w:val="0044121E"/>
    <w:rsid w:val="00441CB5"/>
    <w:rsid w:val="00441D7B"/>
    <w:rsid w:val="00441F7C"/>
    <w:rsid w:val="00442A93"/>
    <w:rsid w:val="00443D12"/>
    <w:rsid w:val="00444328"/>
    <w:rsid w:val="00444689"/>
    <w:rsid w:val="00445181"/>
    <w:rsid w:val="00445367"/>
    <w:rsid w:val="004458FD"/>
    <w:rsid w:val="00445C32"/>
    <w:rsid w:val="00446434"/>
    <w:rsid w:val="00446545"/>
    <w:rsid w:val="004466D1"/>
    <w:rsid w:val="0044681C"/>
    <w:rsid w:val="00447326"/>
    <w:rsid w:val="00447AE5"/>
    <w:rsid w:val="00447F8D"/>
    <w:rsid w:val="0045070A"/>
    <w:rsid w:val="00450CCC"/>
    <w:rsid w:val="00451825"/>
    <w:rsid w:val="00451A25"/>
    <w:rsid w:val="00451EFE"/>
    <w:rsid w:val="00451F7E"/>
    <w:rsid w:val="004521C1"/>
    <w:rsid w:val="00452DAE"/>
    <w:rsid w:val="00452DF1"/>
    <w:rsid w:val="00453A19"/>
    <w:rsid w:val="00453B54"/>
    <w:rsid w:val="00453DFD"/>
    <w:rsid w:val="00454529"/>
    <w:rsid w:val="0045513A"/>
    <w:rsid w:val="00455153"/>
    <w:rsid w:val="004554D5"/>
    <w:rsid w:val="004556F0"/>
    <w:rsid w:val="00455C82"/>
    <w:rsid w:val="00456107"/>
    <w:rsid w:val="0045620B"/>
    <w:rsid w:val="004562ED"/>
    <w:rsid w:val="0045706B"/>
    <w:rsid w:val="0045770B"/>
    <w:rsid w:val="00457C11"/>
    <w:rsid w:val="00460442"/>
    <w:rsid w:val="00461997"/>
    <w:rsid w:val="00461DFD"/>
    <w:rsid w:val="00462B97"/>
    <w:rsid w:val="004630E7"/>
    <w:rsid w:val="004630FE"/>
    <w:rsid w:val="00464265"/>
    <w:rsid w:val="004644FA"/>
    <w:rsid w:val="00464554"/>
    <w:rsid w:val="00465165"/>
    <w:rsid w:val="00465ADD"/>
    <w:rsid w:val="0046698E"/>
    <w:rsid w:val="00466992"/>
    <w:rsid w:val="00466ADE"/>
    <w:rsid w:val="00467523"/>
    <w:rsid w:val="00467A31"/>
    <w:rsid w:val="004701C1"/>
    <w:rsid w:val="00470498"/>
    <w:rsid w:val="00470AAB"/>
    <w:rsid w:val="00471499"/>
    <w:rsid w:val="00471D9B"/>
    <w:rsid w:val="004721AF"/>
    <w:rsid w:val="0047329F"/>
    <w:rsid w:val="0047337B"/>
    <w:rsid w:val="00473616"/>
    <w:rsid w:val="0047376E"/>
    <w:rsid w:val="004744BF"/>
    <w:rsid w:val="004746D7"/>
    <w:rsid w:val="00474A5B"/>
    <w:rsid w:val="00474CDE"/>
    <w:rsid w:val="00474E8F"/>
    <w:rsid w:val="00475457"/>
    <w:rsid w:val="0047590A"/>
    <w:rsid w:val="004765B0"/>
    <w:rsid w:val="00476851"/>
    <w:rsid w:val="00476E58"/>
    <w:rsid w:val="0047768F"/>
    <w:rsid w:val="0047778C"/>
    <w:rsid w:val="00477C84"/>
    <w:rsid w:val="00477CC0"/>
    <w:rsid w:val="00477DDC"/>
    <w:rsid w:val="00480EED"/>
    <w:rsid w:val="00480EFC"/>
    <w:rsid w:val="00480F5E"/>
    <w:rsid w:val="00481337"/>
    <w:rsid w:val="00481955"/>
    <w:rsid w:val="00481E13"/>
    <w:rsid w:val="00481E4F"/>
    <w:rsid w:val="004833FA"/>
    <w:rsid w:val="00483780"/>
    <w:rsid w:val="0048418E"/>
    <w:rsid w:val="0048439B"/>
    <w:rsid w:val="00484529"/>
    <w:rsid w:val="00484644"/>
    <w:rsid w:val="00484870"/>
    <w:rsid w:val="00485148"/>
    <w:rsid w:val="0048553F"/>
    <w:rsid w:val="0048555C"/>
    <w:rsid w:val="00485A1E"/>
    <w:rsid w:val="00485A46"/>
    <w:rsid w:val="00485E26"/>
    <w:rsid w:val="004865A2"/>
    <w:rsid w:val="004869C0"/>
    <w:rsid w:val="00486ACF"/>
    <w:rsid w:val="00486CE1"/>
    <w:rsid w:val="00486D2B"/>
    <w:rsid w:val="00487762"/>
    <w:rsid w:val="0049020D"/>
    <w:rsid w:val="00490946"/>
    <w:rsid w:val="00490A30"/>
    <w:rsid w:val="00490A40"/>
    <w:rsid w:val="00490D6F"/>
    <w:rsid w:val="0049113C"/>
    <w:rsid w:val="004914AC"/>
    <w:rsid w:val="00491D31"/>
    <w:rsid w:val="00492091"/>
    <w:rsid w:val="004927B3"/>
    <w:rsid w:val="00492B92"/>
    <w:rsid w:val="0049404F"/>
    <w:rsid w:val="00494078"/>
    <w:rsid w:val="00494A8A"/>
    <w:rsid w:val="004951FC"/>
    <w:rsid w:val="0049520A"/>
    <w:rsid w:val="004959A2"/>
    <w:rsid w:val="00496418"/>
    <w:rsid w:val="00496604"/>
    <w:rsid w:val="00496662"/>
    <w:rsid w:val="00496ACA"/>
    <w:rsid w:val="00496B97"/>
    <w:rsid w:val="00496DF7"/>
    <w:rsid w:val="00496E78"/>
    <w:rsid w:val="00497257"/>
    <w:rsid w:val="00497285"/>
    <w:rsid w:val="004972E1"/>
    <w:rsid w:val="00497316"/>
    <w:rsid w:val="00497F2B"/>
    <w:rsid w:val="004A0386"/>
    <w:rsid w:val="004A05C3"/>
    <w:rsid w:val="004A06C6"/>
    <w:rsid w:val="004A082A"/>
    <w:rsid w:val="004A0C74"/>
    <w:rsid w:val="004A0F07"/>
    <w:rsid w:val="004A0FA1"/>
    <w:rsid w:val="004A121E"/>
    <w:rsid w:val="004A1965"/>
    <w:rsid w:val="004A26B5"/>
    <w:rsid w:val="004A2C54"/>
    <w:rsid w:val="004A2DE0"/>
    <w:rsid w:val="004A3414"/>
    <w:rsid w:val="004A356C"/>
    <w:rsid w:val="004A3789"/>
    <w:rsid w:val="004A37F8"/>
    <w:rsid w:val="004A3952"/>
    <w:rsid w:val="004A41BA"/>
    <w:rsid w:val="004A45AC"/>
    <w:rsid w:val="004A47D9"/>
    <w:rsid w:val="004A495F"/>
    <w:rsid w:val="004A4D28"/>
    <w:rsid w:val="004A4EA7"/>
    <w:rsid w:val="004A55E6"/>
    <w:rsid w:val="004A562B"/>
    <w:rsid w:val="004A64A8"/>
    <w:rsid w:val="004A6530"/>
    <w:rsid w:val="004A6745"/>
    <w:rsid w:val="004A6761"/>
    <w:rsid w:val="004A7AA6"/>
    <w:rsid w:val="004B03B1"/>
    <w:rsid w:val="004B0F2B"/>
    <w:rsid w:val="004B1224"/>
    <w:rsid w:val="004B14F2"/>
    <w:rsid w:val="004B1537"/>
    <w:rsid w:val="004B1FC7"/>
    <w:rsid w:val="004B23D7"/>
    <w:rsid w:val="004B32F4"/>
    <w:rsid w:val="004B3541"/>
    <w:rsid w:val="004B3A90"/>
    <w:rsid w:val="004B46DF"/>
    <w:rsid w:val="004B5920"/>
    <w:rsid w:val="004B6756"/>
    <w:rsid w:val="004B730B"/>
    <w:rsid w:val="004B7644"/>
    <w:rsid w:val="004C0099"/>
    <w:rsid w:val="004C040F"/>
    <w:rsid w:val="004C07FE"/>
    <w:rsid w:val="004C09A2"/>
    <w:rsid w:val="004C09E2"/>
    <w:rsid w:val="004C0A9A"/>
    <w:rsid w:val="004C0D5E"/>
    <w:rsid w:val="004C1548"/>
    <w:rsid w:val="004C1A4E"/>
    <w:rsid w:val="004C3304"/>
    <w:rsid w:val="004C33C2"/>
    <w:rsid w:val="004C3700"/>
    <w:rsid w:val="004C3B44"/>
    <w:rsid w:val="004C427E"/>
    <w:rsid w:val="004C45F0"/>
    <w:rsid w:val="004C46AC"/>
    <w:rsid w:val="004C4A23"/>
    <w:rsid w:val="004C4B68"/>
    <w:rsid w:val="004C4D1B"/>
    <w:rsid w:val="004C5236"/>
    <w:rsid w:val="004C553A"/>
    <w:rsid w:val="004C5653"/>
    <w:rsid w:val="004C5B30"/>
    <w:rsid w:val="004C5B7B"/>
    <w:rsid w:val="004C5C86"/>
    <w:rsid w:val="004C60E5"/>
    <w:rsid w:val="004C65A7"/>
    <w:rsid w:val="004C6605"/>
    <w:rsid w:val="004C6A06"/>
    <w:rsid w:val="004C6CE5"/>
    <w:rsid w:val="004C73AE"/>
    <w:rsid w:val="004C744A"/>
    <w:rsid w:val="004C7498"/>
    <w:rsid w:val="004C7D9B"/>
    <w:rsid w:val="004D0C77"/>
    <w:rsid w:val="004D0D91"/>
    <w:rsid w:val="004D1D78"/>
    <w:rsid w:val="004D247E"/>
    <w:rsid w:val="004D26CF"/>
    <w:rsid w:val="004D2B50"/>
    <w:rsid w:val="004D2D73"/>
    <w:rsid w:val="004D312E"/>
    <w:rsid w:val="004D3D3F"/>
    <w:rsid w:val="004D4321"/>
    <w:rsid w:val="004D4D20"/>
    <w:rsid w:val="004D4D6B"/>
    <w:rsid w:val="004D5236"/>
    <w:rsid w:val="004D5ACE"/>
    <w:rsid w:val="004D6948"/>
    <w:rsid w:val="004D6AC9"/>
    <w:rsid w:val="004D791B"/>
    <w:rsid w:val="004D7EDD"/>
    <w:rsid w:val="004E0B89"/>
    <w:rsid w:val="004E0E38"/>
    <w:rsid w:val="004E12FE"/>
    <w:rsid w:val="004E220F"/>
    <w:rsid w:val="004E2BFA"/>
    <w:rsid w:val="004E2CC7"/>
    <w:rsid w:val="004E2F37"/>
    <w:rsid w:val="004E3139"/>
    <w:rsid w:val="004E3477"/>
    <w:rsid w:val="004E3BC3"/>
    <w:rsid w:val="004E3E3C"/>
    <w:rsid w:val="004E4181"/>
    <w:rsid w:val="004E4C8E"/>
    <w:rsid w:val="004E4F7B"/>
    <w:rsid w:val="004E52E1"/>
    <w:rsid w:val="004E56E1"/>
    <w:rsid w:val="004E570A"/>
    <w:rsid w:val="004E5CD1"/>
    <w:rsid w:val="004E5F69"/>
    <w:rsid w:val="004E60A5"/>
    <w:rsid w:val="004E655A"/>
    <w:rsid w:val="004E66B2"/>
    <w:rsid w:val="004E6806"/>
    <w:rsid w:val="004E6DCE"/>
    <w:rsid w:val="004E781B"/>
    <w:rsid w:val="004E7A55"/>
    <w:rsid w:val="004E7CF3"/>
    <w:rsid w:val="004F0027"/>
    <w:rsid w:val="004F0613"/>
    <w:rsid w:val="004F1765"/>
    <w:rsid w:val="004F2035"/>
    <w:rsid w:val="004F229A"/>
    <w:rsid w:val="004F318D"/>
    <w:rsid w:val="004F4082"/>
    <w:rsid w:val="004F41DC"/>
    <w:rsid w:val="004F4735"/>
    <w:rsid w:val="004F4800"/>
    <w:rsid w:val="004F4BAD"/>
    <w:rsid w:val="004F4FEE"/>
    <w:rsid w:val="004F50C5"/>
    <w:rsid w:val="004F643E"/>
    <w:rsid w:val="004F71BC"/>
    <w:rsid w:val="004F743C"/>
    <w:rsid w:val="004F7E38"/>
    <w:rsid w:val="00500076"/>
    <w:rsid w:val="0050034F"/>
    <w:rsid w:val="00500474"/>
    <w:rsid w:val="00501282"/>
    <w:rsid w:val="00501567"/>
    <w:rsid w:val="0050199E"/>
    <w:rsid w:val="00502026"/>
    <w:rsid w:val="0050205C"/>
    <w:rsid w:val="005021F7"/>
    <w:rsid w:val="00502507"/>
    <w:rsid w:val="00502F77"/>
    <w:rsid w:val="00503559"/>
    <w:rsid w:val="0050395D"/>
    <w:rsid w:val="005041D9"/>
    <w:rsid w:val="00505031"/>
    <w:rsid w:val="00505084"/>
    <w:rsid w:val="005053C5"/>
    <w:rsid w:val="005060BB"/>
    <w:rsid w:val="005060E7"/>
    <w:rsid w:val="00506921"/>
    <w:rsid w:val="005069FC"/>
    <w:rsid w:val="00506D9F"/>
    <w:rsid w:val="00507912"/>
    <w:rsid w:val="00507D13"/>
    <w:rsid w:val="00510265"/>
    <w:rsid w:val="00512B8D"/>
    <w:rsid w:val="00512EA3"/>
    <w:rsid w:val="005133A1"/>
    <w:rsid w:val="00513ECD"/>
    <w:rsid w:val="00514736"/>
    <w:rsid w:val="00514E95"/>
    <w:rsid w:val="005150BF"/>
    <w:rsid w:val="0051601B"/>
    <w:rsid w:val="0051644E"/>
    <w:rsid w:val="00516478"/>
    <w:rsid w:val="005171F6"/>
    <w:rsid w:val="005200E2"/>
    <w:rsid w:val="00520410"/>
    <w:rsid w:val="0052053A"/>
    <w:rsid w:val="00520C48"/>
    <w:rsid w:val="00520C6E"/>
    <w:rsid w:val="0052132B"/>
    <w:rsid w:val="00521638"/>
    <w:rsid w:val="00521C4E"/>
    <w:rsid w:val="00521E00"/>
    <w:rsid w:val="00522729"/>
    <w:rsid w:val="0052299C"/>
    <w:rsid w:val="00523230"/>
    <w:rsid w:val="00523604"/>
    <w:rsid w:val="00523ABF"/>
    <w:rsid w:val="00523F86"/>
    <w:rsid w:val="00524BD4"/>
    <w:rsid w:val="00524CDC"/>
    <w:rsid w:val="00524DBB"/>
    <w:rsid w:val="00525386"/>
    <w:rsid w:val="00525CB0"/>
    <w:rsid w:val="0052647B"/>
    <w:rsid w:val="0052667E"/>
    <w:rsid w:val="00526732"/>
    <w:rsid w:val="00526E8D"/>
    <w:rsid w:val="0052755E"/>
    <w:rsid w:val="00527BEA"/>
    <w:rsid w:val="00527EC8"/>
    <w:rsid w:val="0053086C"/>
    <w:rsid w:val="00530CA6"/>
    <w:rsid w:val="0053123A"/>
    <w:rsid w:val="00531419"/>
    <w:rsid w:val="005321CB"/>
    <w:rsid w:val="005325B6"/>
    <w:rsid w:val="005327DD"/>
    <w:rsid w:val="00532938"/>
    <w:rsid w:val="00532B5E"/>
    <w:rsid w:val="00532E04"/>
    <w:rsid w:val="00533643"/>
    <w:rsid w:val="00533966"/>
    <w:rsid w:val="0053408B"/>
    <w:rsid w:val="00534233"/>
    <w:rsid w:val="00534A4F"/>
    <w:rsid w:val="005353E3"/>
    <w:rsid w:val="0053543C"/>
    <w:rsid w:val="005357B8"/>
    <w:rsid w:val="005358E1"/>
    <w:rsid w:val="00535B1E"/>
    <w:rsid w:val="00535CC5"/>
    <w:rsid w:val="0053642C"/>
    <w:rsid w:val="005365D6"/>
    <w:rsid w:val="00536978"/>
    <w:rsid w:val="005369F0"/>
    <w:rsid w:val="00536AA8"/>
    <w:rsid w:val="0053738E"/>
    <w:rsid w:val="00540C83"/>
    <w:rsid w:val="005412B9"/>
    <w:rsid w:val="0054133B"/>
    <w:rsid w:val="00541436"/>
    <w:rsid w:val="00541CD6"/>
    <w:rsid w:val="00542399"/>
    <w:rsid w:val="00542490"/>
    <w:rsid w:val="005427BF"/>
    <w:rsid w:val="00542DA8"/>
    <w:rsid w:val="00542EE4"/>
    <w:rsid w:val="00543048"/>
    <w:rsid w:val="00543785"/>
    <w:rsid w:val="00543F3C"/>
    <w:rsid w:val="00544604"/>
    <w:rsid w:val="0054465E"/>
    <w:rsid w:val="00545ABB"/>
    <w:rsid w:val="00545DB5"/>
    <w:rsid w:val="00546141"/>
    <w:rsid w:val="00546218"/>
    <w:rsid w:val="00546A3F"/>
    <w:rsid w:val="00546F26"/>
    <w:rsid w:val="00547347"/>
    <w:rsid w:val="005473E8"/>
    <w:rsid w:val="0054793C"/>
    <w:rsid w:val="00547B56"/>
    <w:rsid w:val="00547BD6"/>
    <w:rsid w:val="00550359"/>
    <w:rsid w:val="0055196A"/>
    <w:rsid w:val="00552448"/>
    <w:rsid w:val="0055246A"/>
    <w:rsid w:val="00552738"/>
    <w:rsid w:val="00552F07"/>
    <w:rsid w:val="005534CC"/>
    <w:rsid w:val="00553C7B"/>
    <w:rsid w:val="00554CB7"/>
    <w:rsid w:val="00555172"/>
    <w:rsid w:val="005551CD"/>
    <w:rsid w:val="00555442"/>
    <w:rsid w:val="00555E83"/>
    <w:rsid w:val="005563EE"/>
    <w:rsid w:val="00556B32"/>
    <w:rsid w:val="00556B65"/>
    <w:rsid w:val="005604C1"/>
    <w:rsid w:val="00560653"/>
    <w:rsid w:val="0056081A"/>
    <w:rsid w:val="005608C7"/>
    <w:rsid w:val="00560CA2"/>
    <w:rsid w:val="00560DA4"/>
    <w:rsid w:val="00561174"/>
    <w:rsid w:val="0056120B"/>
    <w:rsid w:val="0056137F"/>
    <w:rsid w:val="005616B2"/>
    <w:rsid w:val="00561D5A"/>
    <w:rsid w:val="0056261A"/>
    <w:rsid w:val="0056289A"/>
    <w:rsid w:val="00562AF0"/>
    <w:rsid w:val="00563756"/>
    <w:rsid w:val="0056377D"/>
    <w:rsid w:val="00563A87"/>
    <w:rsid w:val="0056425F"/>
    <w:rsid w:val="005643D6"/>
    <w:rsid w:val="00564503"/>
    <w:rsid w:val="00564504"/>
    <w:rsid w:val="00564855"/>
    <w:rsid w:val="00564FA5"/>
    <w:rsid w:val="005651DE"/>
    <w:rsid w:val="00565833"/>
    <w:rsid w:val="00565C15"/>
    <w:rsid w:val="00565EED"/>
    <w:rsid w:val="0056603B"/>
    <w:rsid w:val="0056671D"/>
    <w:rsid w:val="00566790"/>
    <w:rsid w:val="005668F2"/>
    <w:rsid w:val="0056725B"/>
    <w:rsid w:val="00567C21"/>
    <w:rsid w:val="00567E08"/>
    <w:rsid w:val="00570709"/>
    <w:rsid w:val="005708FA"/>
    <w:rsid w:val="0057148F"/>
    <w:rsid w:val="00571A69"/>
    <w:rsid w:val="00571CEF"/>
    <w:rsid w:val="00572062"/>
    <w:rsid w:val="0057290E"/>
    <w:rsid w:val="0057327E"/>
    <w:rsid w:val="005735EF"/>
    <w:rsid w:val="005738FE"/>
    <w:rsid w:val="00574300"/>
    <w:rsid w:val="005749F7"/>
    <w:rsid w:val="00574C47"/>
    <w:rsid w:val="005750D2"/>
    <w:rsid w:val="005753B4"/>
    <w:rsid w:val="00575B87"/>
    <w:rsid w:val="00575C20"/>
    <w:rsid w:val="0057632F"/>
    <w:rsid w:val="00576B51"/>
    <w:rsid w:val="00576C95"/>
    <w:rsid w:val="005771B6"/>
    <w:rsid w:val="005773B0"/>
    <w:rsid w:val="0057797E"/>
    <w:rsid w:val="005779AD"/>
    <w:rsid w:val="00577A02"/>
    <w:rsid w:val="00577D73"/>
    <w:rsid w:val="00577EB1"/>
    <w:rsid w:val="00580195"/>
    <w:rsid w:val="0058094F"/>
    <w:rsid w:val="0058206B"/>
    <w:rsid w:val="005831EC"/>
    <w:rsid w:val="00583597"/>
    <w:rsid w:val="005835FF"/>
    <w:rsid w:val="0058556F"/>
    <w:rsid w:val="00585BFC"/>
    <w:rsid w:val="00585CE1"/>
    <w:rsid w:val="005861C8"/>
    <w:rsid w:val="005875EC"/>
    <w:rsid w:val="00587701"/>
    <w:rsid w:val="005877A0"/>
    <w:rsid w:val="005877AA"/>
    <w:rsid w:val="00587B23"/>
    <w:rsid w:val="00587BC2"/>
    <w:rsid w:val="00590AA6"/>
    <w:rsid w:val="00590E09"/>
    <w:rsid w:val="005911F8"/>
    <w:rsid w:val="0059160C"/>
    <w:rsid w:val="00591649"/>
    <w:rsid w:val="005916CA"/>
    <w:rsid w:val="00591E9F"/>
    <w:rsid w:val="00592AD4"/>
    <w:rsid w:val="0059311D"/>
    <w:rsid w:val="0059361B"/>
    <w:rsid w:val="005946B5"/>
    <w:rsid w:val="00594751"/>
    <w:rsid w:val="00594F69"/>
    <w:rsid w:val="00595FB9"/>
    <w:rsid w:val="00596DF9"/>
    <w:rsid w:val="005971C2"/>
    <w:rsid w:val="005972A3"/>
    <w:rsid w:val="005973DE"/>
    <w:rsid w:val="00597682"/>
    <w:rsid w:val="005979C9"/>
    <w:rsid w:val="00597B39"/>
    <w:rsid w:val="005A0641"/>
    <w:rsid w:val="005A074A"/>
    <w:rsid w:val="005A0A40"/>
    <w:rsid w:val="005A1536"/>
    <w:rsid w:val="005A1680"/>
    <w:rsid w:val="005A181B"/>
    <w:rsid w:val="005A304A"/>
    <w:rsid w:val="005A309B"/>
    <w:rsid w:val="005A349D"/>
    <w:rsid w:val="005A364B"/>
    <w:rsid w:val="005A38FD"/>
    <w:rsid w:val="005A3C27"/>
    <w:rsid w:val="005A404F"/>
    <w:rsid w:val="005A40B0"/>
    <w:rsid w:val="005A4377"/>
    <w:rsid w:val="005A44A0"/>
    <w:rsid w:val="005A4827"/>
    <w:rsid w:val="005A4C2D"/>
    <w:rsid w:val="005A54BA"/>
    <w:rsid w:val="005A59E2"/>
    <w:rsid w:val="005A5D89"/>
    <w:rsid w:val="005A662A"/>
    <w:rsid w:val="005A6A88"/>
    <w:rsid w:val="005A6A90"/>
    <w:rsid w:val="005A6E7E"/>
    <w:rsid w:val="005A714A"/>
    <w:rsid w:val="005A7181"/>
    <w:rsid w:val="005A7927"/>
    <w:rsid w:val="005A7948"/>
    <w:rsid w:val="005B061B"/>
    <w:rsid w:val="005B0C13"/>
    <w:rsid w:val="005B10C4"/>
    <w:rsid w:val="005B133A"/>
    <w:rsid w:val="005B2CB7"/>
    <w:rsid w:val="005B3177"/>
    <w:rsid w:val="005B318C"/>
    <w:rsid w:val="005B3321"/>
    <w:rsid w:val="005B3686"/>
    <w:rsid w:val="005B3FCB"/>
    <w:rsid w:val="005B405F"/>
    <w:rsid w:val="005B548D"/>
    <w:rsid w:val="005B55CA"/>
    <w:rsid w:val="005B5B13"/>
    <w:rsid w:val="005B5C75"/>
    <w:rsid w:val="005B6C8A"/>
    <w:rsid w:val="005B6E7E"/>
    <w:rsid w:val="005B72F6"/>
    <w:rsid w:val="005B76DD"/>
    <w:rsid w:val="005B7A73"/>
    <w:rsid w:val="005B7D3A"/>
    <w:rsid w:val="005C0675"/>
    <w:rsid w:val="005C0A95"/>
    <w:rsid w:val="005C0BEE"/>
    <w:rsid w:val="005C1A41"/>
    <w:rsid w:val="005C1C0A"/>
    <w:rsid w:val="005C1D61"/>
    <w:rsid w:val="005C1FCE"/>
    <w:rsid w:val="005C2356"/>
    <w:rsid w:val="005C2A66"/>
    <w:rsid w:val="005C2C56"/>
    <w:rsid w:val="005C2D25"/>
    <w:rsid w:val="005C3F43"/>
    <w:rsid w:val="005C3F4C"/>
    <w:rsid w:val="005C4189"/>
    <w:rsid w:val="005C4270"/>
    <w:rsid w:val="005C43CD"/>
    <w:rsid w:val="005C4411"/>
    <w:rsid w:val="005C49C9"/>
    <w:rsid w:val="005C5CE6"/>
    <w:rsid w:val="005C5D34"/>
    <w:rsid w:val="005C60B9"/>
    <w:rsid w:val="005C6280"/>
    <w:rsid w:val="005C6643"/>
    <w:rsid w:val="005C66CD"/>
    <w:rsid w:val="005C6FF1"/>
    <w:rsid w:val="005C7CDE"/>
    <w:rsid w:val="005D019F"/>
    <w:rsid w:val="005D0ADD"/>
    <w:rsid w:val="005D1690"/>
    <w:rsid w:val="005D1E7D"/>
    <w:rsid w:val="005D22F8"/>
    <w:rsid w:val="005D24DB"/>
    <w:rsid w:val="005D2D7B"/>
    <w:rsid w:val="005D3651"/>
    <w:rsid w:val="005D3DCC"/>
    <w:rsid w:val="005D471B"/>
    <w:rsid w:val="005D48B4"/>
    <w:rsid w:val="005D508A"/>
    <w:rsid w:val="005D5BE5"/>
    <w:rsid w:val="005D5DBE"/>
    <w:rsid w:val="005D6182"/>
    <w:rsid w:val="005D6DE7"/>
    <w:rsid w:val="005D705C"/>
    <w:rsid w:val="005D733F"/>
    <w:rsid w:val="005D73AD"/>
    <w:rsid w:val="005E004F"/>
    <w:rsid w:val="005E06FC"/>
    <w:rsid w:val="005E112C"/>
    <w:rsid w:val="005E1563"/>
    <w:rsid w:val="005E17B1"/>
    <w:rsid w:val="005E1E62"/>
    <w:rsid w:val="005E2076"/>
    <w:rsid w:val="005E29DC"/>
    <w:rsid w:val="005E2AFA"/>
    <w:rsid w:val="005E2DC5"/>
    <w:rsid w:val="005E3A99"/>
    <w:rsid w:val="005E3BD3"/>
    <w:rsid w:val="005E3DFF"/>
    <w:rsid w:val="005E4900"/>
    <w:rsid w:val="005E4F5C"/>
    <w:rsid w:val="005E551A"/>
    <w:rsid w:val="005E5543"/>
    <w:rsid w:val="005E5729"/>
    <w:rsid w:val="005E5969"/>
    <w:rsid w:val="005E5F92"/>
    <w:rsid w:val="005E60F5"/>
    <w:rsid w:val="005E62E7"/>
    <w:rsid w:val="005E6ECD"/>
    <w:rsid w:val="005E72ED"/>
    <w:rsid w:val="005F15A9"/>
    <w:rsid w:val="005F17FB"/>
    <w:rsid w:val="005F19D0"/>
    <w:rsid w:val="005F1AC6"/>
    <w:rsid w:val="005F1B38"/>
    <w:rsid w:val="005F1D62"/>
    <w:rsid w:val="005F1DAE"/>
    <w:rsid w:val="005F1E80"/>
    <w:rsid w:val="005F20B7"/>
    <w:rsid w:val="005F272D"/>
    <w:rsid w:val="005F2D58"/>
    <w:rsid w:val="005F3012"/>
    <w:rsid w:val="005F36A1"/>
    <w:rsid w:val="005F4903"/>
    <w:rsid w:val="005F4F79"/>
    <w:rsid w:val="005F515B"/>
    <w:rsid w:val="005F53AF"/>
    <w:rsid w:val="005F571B"/>
    <w:rsid w:val="005F572D"/>
    <w:rsid w:val="005F5B71"/>
    <w:rsid w:val="005F5CB0"/>
    <w:rsid w:val="005F5FEA"/>
    <w:rsid w:val="005F6416"/>
    <w:rsid w:val="005F668E"/>
    <w:rsid w:val="005F6D9E"/>
    <w:rsid w:val="005F7E91"/>
    <w:rsid w:val="005F7ED8"/>
    <w:rsid w:val="00600731"/>
    <w:rsid w:val="00600F9D"/>
    <w:rsid w:val="00602444"/>
    <w:rsid w:val="006025D6"/>
    <w:rsid w:val="0060285F"/>
    <w:rsid w:val="00603635"/>
    <w:rsid w:val="006038C5"/>
    <w:rsid w:val="00604012"/>
    <w:rsid w:val="00604AD2"/>
    <w:rsid w:val="00604D95"/>
    <w:rsid w:val="00605426"/>
    <w:rsid w:val="00605CE7"/>
    <w:rsid w:val="00605ED7"/>
    <w:rsid w:val="0060668E"/>
    <w:rsid w:val="0060747E"/>
    <w:rsid w:val="0060782B"/>
    <w:rsid w:val="006079CC"/>
    <w:rsid w:val="00610290"/>
    <w:rsid w:val="00611472"/>
    <w:rsid w:val="0061175C"/>
    <w:rsid w:val="00612705"/>
    <w:rsid w:val="00613457"/>
    <w:rsid w:val="00613AB1"/>
    <w:rsid w:val="00613B82"/>
    <w:rsid w:val="00613E24"/>
    <w:rsid w:val="00613E32"/>
    <w:rsid w:val="00613EE9"/>
    <w:rsid w:val="00613EF3"/>
    <w:rsid w:val="0061400E"/>
    <w:rsid w:val="00615861"/>
    <w:rsid w:val="00615C40"/>
    <w:rsid w:val="00615E38"/>
    <w:rsid w:val="00615F6C"/>
    <w:rsid w:val="00616255"/>
    <w:rsid w:val="0061675C"/>
    <w:rsid w:val="0061683A"/>
    <w:rsid w:val="00616C52"/>
    <w:rsid w:val="00617709"/>
    <w:rsid w:val="00617AA6"/>
    <w:rsid w:val="00620176"/>
    <w:rsid w:val="00620D0F"/>
    <w:rsid w:val="00621183"/>
    <w:rsid w:val="006218A6"/>
    <w:rsid w:val="00621CB3"/>
    <w:rsid w:val="006225D6"/>
    <w:rsid w:val="00622788"/>
    <w:rsid w:val="0062317F"/>
    <w:rsid w:val="0062326C"/>
    <w:rsid w:val="0062390F"/>
    <w:rsid w:val="0062429C"/>
    <w:rsid w:val="00624440"/>
    <w:rsid w:val="006244AE"/>
    <w:rsid w:val="006246A6"/>
    <w:rsid w:val="006250AD"/>
    <w:rsid w:val="006257AB"/>
    <w:rsid w:val="0062596B"/>
    <w:rsid w:val="00625A7B"/>
    <w:rsid w:val="00625AAD"/>
    <w:rsid w:val="00625D98"/>
    <w:rsid w:val="00625FAC"/>
    <w:rsid w:val="0062607A"/>
    <w:rsid w:val="00626B31"/>
    <w:rsid w:val="00626EB0"/>
    <w:rsid w:val="00627260"/>
    <w:rsid w:val="006272F9"/>
    <w:rsid w:val="00630893"/>
    <w:rsid w:val="00630C19"/>
    <w:rsid w:val="0063188F"/>
    <w:rsid w:val="00631A3A"/>
    <w:rsid w:val="00632871"/>
    <w:rsid w:val="00632D51"/>
    <w:rsid w:val="006333A7"/>
    <w:rsid w:val="006337D5"/>
    <w:rsid w:val="00633C4B"/>
    <w:rsid w:val="00633FDC"/>
    <w:rsid w:val="00634125"/>
    <w:rsid w:val="00634196"/>
    <w:rsid w:val="006344C5"/>
    <w:rsid w:val="0063455C"/>
    <w:rsid w:val="0063466E"/>
    <w:rsid w:val="0063486C"/>
    <w:rsid w:val="00635302"/>
    <w:rsid w:val="00635CFD"/>
    <w:rsid w:val="00635F59"/>
    <w:rsid w:val="0063607A"/>
    <w:rsid w:val="006367B4"/>
    <w:rsid w:val="00636D24"/>
    <w:rsid w:val="00636DC9"/>
    <w:rsid w:val="00637042"/>
    <w:rsid w:val="00637D78"/>
    <w:rsid w:val="00640359"/>
    <w:rsid w:val="006403B2"/>
    <w:rsid w:val="00640E65"/>
    <w:rsid w:val="006416B1"/>
    <w:rsid w:val="006427A4"/>
    <w:rsid w:val="0064320C"/>
    <w:rsid w:val="00643C64"/>
    <w:rsid w:val="00643EE5"/>
    <w:rsid w:val="006443DB"/>
    <w:rsid w:val="00645172"/>
    <w:rsid w:val="00645E0A"/>
    <w:rsid w:val="006460F7"/>
    <w:rsid w:val="0064697D"/>
    <w:rsid w:val="00647272"/>
    <w:rsid w:val="0064741F"/>
    <w:rsid w:val="00647427"/>
    <w:rsid w:val="00647B33"/>
    <w:rsid w:val="00647B36"/>
    <w:rsid w:val="00647F02"/>
    <w:rsid w:val="006503FC"/>
    <w:rsid w:val="00650578"/>
    <w:rsid w:val="006508A1"/>
    <w:rsid w:val="00650C8E"/>
    <w:rsid w:val="00650E1D"/>
    <w:rsid w:val="006516AF"/>
    <w:rsid w:val="006518A5"/>
    <w:rsid w:val="00651E28"/>
    <w:rsid w:val="00651F15"/>
    <w:rsid w:val="0065207E"/>
    <w:rsid w:val="006526C6"/>
    <w:rsid w:val="00652AA9"/>
    <w:rsid w:val="00652BC6"/>
    <w:rsid w:val="00653A22"/>
    <w:rsid w:val="006541A0"/>
    <w:rsid w:val="0065503D"/>
    <w:rsid w:val="0065543C"/>
    <w:rsid w:val="006554C7"/>
    <w:rsid w:val="006556D6"/>
    <w:rsid w:val="00656C35"/>
    <w:rsid w:val="00656FA3"/>
    <w:rsid w:val="006577FE"/>
    <w:rsid w:val="00657CFB"/>
    <w:rsid w:val="006603A4"/>
    <w:rsid w:val="006605D8"/>
    <w:rsid w:val="00660629"/>
    <w:rsid w:val="00660919"/>
    <w:rsid w:val="00661854"/>
    <w:rsid w:val="006618ED"/>
    <w:rsid w:val="00662221"/>
    <w:rsid w:val="00662B4A"/>
    <w:rsid w:val="00663E86"/>
    <w:rsid w:val="0066408C"/>
    <w:rsid w:val="006643BA"/>
    <w:rsid w:val="0066470F"/>
    <w:rsid w:val="006647B7"/>
    <w:rsid w:val="00664D6B"/>
    <w:rsid w:val="006651B3"/>
    <w:rsid w:val="006653BD"/>
    <w:rsid w:val="006656DF"/>
    <w:rsid w:val="00665F01"/>
    <w:rsid w:val="00666497"/>
    <w:rsid w:val="0066692E"/>
    <w:rsid w:val="006675A0"/>
    <w:rsid w:val="00667EE1"/>
    <w:rsid w:val="00667F7F"/>
    <w:rsid w:val="00670582"/>
    <w:rsid w:val="00670628"/>
    <w:rsid w:val="006706EA"/>
    <w:rsid w:val="00670758"/>
    <w:rsid w:val="00670A35"/>
    <w:rsid w:val="0067127A"/>
    <w:rsid w:val="0067218E"/>
    <w:rsid w:val="00672385"/>
    <w:rsid w:val="00672504"/>
    <w:rsid w:val="006725CE"/>
    <w:rsid w:val="00673229"/>
    <w:rsid w:val="00673F4A"/>
    <w:rsid w:val="0067422F"/>
    <w:rsid w:val="0067523B"/>
    <w:rsid w:val="0067548E"/>
    <w:rsid w:val="00675BCB"/>
    <w:rsid w:val="0067699B"/>
    <w:rsid w:val="00676D46"/>
    <w:rsid w:val="006772CC"/>
    <w:rsid w:val="0067754F"/>
    <w:rsid w:val="00677927"/>
    <w:rsid w:val="00677CCD"/>
    <w:rsid w:val="00677E2E"/>
    <w:rsid w:val="00680766"/>
    <w:rsid w:val="00680D78"/>
    <w:rsid w:val="00680E91"/>
    <w:rsid w:val="00682C1C"/>
    <w:rsid w:val="0068388E"/>
    <w:rsid w:val="00683A8C"/>
    <w:rsid w:val="00683D75"/>
    <w:rsid w:val="006840BB"/>
    <w:rsid w:val="006841CE"/>
    <w:rsid w:val="00684290"/>
    <w:rsid w:val="0068496B"/>
    <w:rsid w:val="00684A2E"/>
    <w:rsid w:val="00684A88"/>
    <w:rsid w:val="00684E37"/>
    <w:rsid w:val="006850B3"/>
    <w:rsid w:val="006851DC"/>
    <w:rsid w:val="006852FE"/>
    <w:rsid w:val="00685582"/>
    <w:rsid w:val="006856EE"/>
    <w:rsid w:val="00685BEB"/>
    <w:rsid w:val="006862CF"/>
    <w:rsid w:val="0068640F"/>
    <w:rsid w:val="006868E7"/>
    <w:rsid w:val="00686E8A"/>
    <w:rsid w:val="006873E7"/>
    <w:rsid w:val="00687A3B"/>
    <w:rsid w:val="0069018A"/>
    <w:rsid w:val="00690465"/>
    <w:rsid w:val="00690B70"/>
    <w:rsid w:val="00690EA6"/>
    <w:rsid w:val="00691030"/>
    <w:rsid w:val="006911E7"/>
    <w:rsid w:val="00691779"/>
    <w:rsid w:val="00691785"/>
    <w:rsid w:val="00691890"/>
    <w:rsid w:val="00692606"/>
    <w:rsid w:val="00692A53"/>
    <w:rsid w:val="00692ABD"/>
    <w:rsid w:val="00692FBF"/>
    <w:rsid w:val="00693090"/>
    <w:rsid w:val="006941E7"/>
    <w:rsid w:val="006944EB"/>
    <w:rsid w:val="00694614"/>
    <w:rsid w:val="0069482C"/>
    <w:rsid w:val="0069498F"/>
    <w:rsid w:val="00694B7A"/>
    <w:rsid w:val="00694B8F"/>
    <w:rsid w:val="006952C7"/>
    <w:rsid w:val="00695383"/>
    <w:rsid w:val="0069576C"/>
    <w:rsid w:val="00695B74"/>
    <w:rsid w:val="00695FCC"/>
    <w:rsid w:val="0069665D"/>
    <w:rsid w:val="00696C06"/>
    <w:rsid w:val="00696CAB"/>
    <w:rsid w:val="006970CF"/>
    <w:rsid w:val="0069746B"/>
    <w:rsid w:val="00697A95"/>
    <w:rsid w:val="00697D38"/>
    <w:rsid w:val="006A02E2"/>
    <w:rsid w:val="006A120F"/>
    <w:rsid w:val="006A15AE"/>
    <w:rsid w:val="006A1650"/>
    <w:rsid w:val="006A17C7"/>
    <w:rsid w:val="006A1D19"/>
    <w:rsid w:val="006A1E94"/>
    <w:rsid w:val="006A2233"/>
    <w:rsid w:val="006A228C"/>
    <w:rsid w:val="006A23D8"/>
    <w:rsid w:val="006A2768"/>
    <w:rsid w:val="006A28C1"/>
    <w:rsid w:val="006A3060"/>
    <w:rsid w:val="006A31A8"/>
    <w:rsid w:val="006A346F"/>
    <w:rsid w:val="006A3504"/>
    <w:rsid w:val="006A454C"/>
    <w:rsid w:val="006A4731"/>
    <w:rsid w:val="006A4BD5"/>
    <w:rsid w:val="006A4D59"/>
    <w:rsid w:val="006A4E0A"/>
    <w:rsid w:val="006A5812"/>
    <w:rsid w:val="006A5828"/>
    <w:rsid w:val="006A614E"/>
    <w:rsid w:val="006A73F7"/>
    <w:rsid w:val="006A755E"/>
    <w:rsid w:val="006A7C1F"/>
    <w:rsid w:val="006A7F81"/>
    <w:rsid w:val="006B00F1"/>
    <w:rsid w:val="006B1C81"/>
    <w:rsid w:val="006B2340"/>
    <w:rsid w:val="006B2BE3"/>
    <w:rsid w:val="006B2C4A"/>
    <w:rsid w:val="006B3329"/>
    <w:rsid w:val="006B41BE"/>
    <w:rsid w:val="006B425E"/>
    <w:rsid w:val="006B4E87"/>
    <w:rsid w:val="006B50E7"/>
    <w:rsid w:val="006B59C1"/>
    <w:rsid w:val="006B5EFC"/>
    <w:rsid w:val="006B6D94"/>
    <w:rsid w:val="006B71A9"/>
    <w:rsid w:val="006B7388"/>
    <w:rsid w:val="006B7979"/>
    <w:rsid w:val="006B7E1D"/>
    <w:rsid w:val="006C0485"/>
    <w:rsid w:val="006C0B04"/>
    <w:rsid w:val="006C0FC9"/>
    <w:rsid w:val="006C14B0"/>
    <w:rsid w:val="006C14B7"/>
    <w:rsid w:val="006C18AC"/>
    <w:rsid w:val="006C1A6A"/>
    <w:rsid w:val="006C1F7C"/>
    <w:rsid w:val="006C20C0"/>
    <w:rsid w:val="006C23DA"/>
    <w:rsid w:val="006C2444"/>
    <w:rsid w:val="006C2ABF"/>
    <w:rsid w:val="006C2B81"/>
    <w:rsid w:val="006C2E31"/>
    <w:rsid w:val="006C31E1"/>
    <w:rsid w:val="006C3807"/>
    <w:rsid w:val="006C3956"/>
    <w:rsid w:val="006C3CCF"/>
    <w:rsid w:val="006C40B1"/>
    <w:rsid w:val="006C4242"/>
    <w:rsid w:val="006C4363"/>
    <w:rsid w:val="006C52FC"/>
    <w:rsid w:val="006C5D02"/>
    <w:rsid w:val="006C648F"/>
    <w:rsid w:val="006C6A27"/>
    <w:rsid w:val="006C6ABB"/>
    <w:rsid w:val="006C6C4B"/>
    <w:rsid w:val="006C7335"/>
    <w:rsid w:val="006C7455"/>
    <w:rsid w:val="006C74FE"/>
    <w:rsid w:val="006C7A6F"/>
    <w:rsid w:val="006C7C50"/>
    <w:rsid w:val="006C7E0D"/>
    <w:rsid w:val="006D0135"/>
    <w:rsid w:val="006D0384"/>
    <w:rsid w:val="006D1503"/>
    <w:rsid w:val="006D1549"/>
    <w:rsid w:val="006D157D"/>
    <w:rsid w:val="006D1BC2"/>
    <w:rsid w:val="006D1F02"/>
    <w:rsid w:val="006D252F"/>
    <w:rsid w:val="006D28A0"/>
    <w:rsid w:val="006D30CE"/>
    <w:rsid w:val="006D3329"/>
    <w:rsid w:val="006D347A"/>
    <w:rsid w:val="006D397A"/>
    <w:rsid w:val="006D3A20"/>
    <w:rsid w:val="006D4810"/>
    <w:rsid w:val="006D4E36"/>
    <w:rsid w:val="006D519B"/>
    <w:rsid w:val="006D524B"/>
    <w:rsid w:val="006D58E8"/>
    <w:rsid w:val="006D5D9C"/>
    <w:rsid w:val="006D65FB"/>
    <w:rsid w:val="006D6836"/>
    <w:rsid w:val="006D6975"/>
    <w:rsid w:val="006D6CBC"/>
    <w:rsid w:val="006D73D2"/>
    <w:rsid w:val="006D7F1A"/>
    <w:rsid w:val="006E00B4"/>
    <w:rsid w:val="006E0220"/>
    <w:rsid w:val="006E0C40"/>
    <w:rsid w:val="006E0D91"/>
    <w:rsid w:val="006E12C2"/>
    <w:rsid w:val="006E153E"/>
    <w:rsid w:val="006E25F3"/>
    <w:rsid w:val="006E285E"/>
    <w:rsid w:val="006E36B0"/>
    <w:rsid w:val="006E399A"/>
    <w:rsid w:val="006E3B7A"/>
    <w:rsid w:val="006E549F"/>
    <w:rsid w:val="006E5A70"/>
    <w:rsid w:val="006E6391"/>
    <w:rsid w:val="006E6744"/>
    <w:rsid w:val="006E6796"/>
    <w:rsid w:val="006E68DD"/>
    <w:rsid w:val="006E7145"/>
    <w:rsid w:val="006E7386"/>
    <w:rsid w:val="006E75AD"/>
    <w:rsid w:val="006E78B7"/>
    <w:rsid w:val="006E7EAB"/>
    <w:rsid w:val="006F1292"/>
    <w:rsid w:val="006F12D8"/>
    <w:rsid w:val="006F1314"/>
    <w:rsid w:val="006F145E"/>
    <w:rsid w:val="006F1887"/>
    <w:rsid w:val="006F1A5C"/>
    <w:rsid w:val="006F1C05"/>
    <w:rsid w:val="006F1DEF"/>
    <w:rsid w:val="006F2105"/>
    <w:rsid w:val="006F2B18"/>
    <w:rsid w:val="006F2BD3"/>
    <w:rsid w:val="006F3116"/>
    <w:rsid w:val="006F326B"/>
    <w:rsid w:val="006F3621"/>
    <w:rsid w:val="006F3A5B"/>
    <w:rsid w:val="006F49D9"/>
    <w:rsid w:val="006F567C"/>
    <w:rsid w:val="006F5865"/>
    <w:rsid w:val="006F5E9D"/>
    <w:rsid w:val="006F643D"/>
    <w:rsid w:val="006F66B4"/>
    <w:rsid w:val="006F66FD"/>
    <w:rsid w:val="006F695B"/>
    <w:rsid w:val="006F6A15"/>
    <w:rsid w:val="006F6BD2"/>
    <w:rsid w:val="006F75E2"/>
    <w:rsid w:val="006F76DA"/>
    <w:rsid w:val="006F7AE8"/>
    <w:rsid w:val="006F7BCE"/>
    <w:rsid w:val="006F7DDF"/>
    <w:rsid w:val="007015E6"/>
    <w:rsid w:val="00702FEB"/>
    <w:rsid w:val="0070324D"/>
    <w:rsid w:val="00703621"/>
    <w:rsid w:val="007038E2"/>
    <w:rsid w:val="00703BD2"/>
    <w:rsid w:val="007040E0"/>
    <w:rsid w:val="00704152"/>
    <w:rsid w:val="00704598"/>
    <w:rsid w:val="0070502E"/>
    <w:rsid w:val="00705210"/>
    <w:rsid w:val="0070548E"/>
    <w:rsid w:val="00705490"/>
    <w:rsid w:val="00705553"/>
    <w:rsid w:val="0070595C"/>
    <w:rsid w:val="00705C19"/>
    <w:rsid w:val="00706475"/>
    <w:rsid w:val="007068E0"/>
    <w:rsid w:val="00707108"/>
    <w:rsid w:val="0070713C"/>
    <w:rsid w:val="007079B3"/>
    <w:rsid w:val="007103D4"/>
    <w:rsid w:val="007109DF"/>
    <w:rsid w:val="00710DA3"/>
    <w:rsid w:val="0071142B"/>
    <w:rsid w:val="00711772"/>
    <w:rsid w:val="007117FF"/>
    <w:rsid w:val="00711A08"/>
    <w:rsid w:val="00712DA4"/>
    <w:rsid w:val="007135C8"/>
    <w:rsid w:val="007138E4"/>
    <w:rsid w:val="00714840"/>
    <w:rsid w:val="007148DE"/>
    <w:rsid w:val="00714A21"/>
    <w:rsid w:val="007159CB"/>
    <w:rsid w:val="0071608D"/>
    <w:rsid w:val="007160D3"/>
    <w:rsid w:val="00716EAE"/>
    <w:rsid w:val="00717191"/>
    <w:rsid w:val="00720B19"/>
    <w:rsid w:val="007216E5"/>
    <w:rsid w:val="007222CB"/>
    <w:rsid w:val="007223EF"/>
    <w:rsid w:val="00722FD6"/>
    <w:rsid w:val="007230E0"/>
    <w:rsid w:val="0072314E"/>
    <w:rsid w:val="00723C5F"/>
    <w:rsid w:val="0072439E"/>
    <w:rsid w:val="007243DE"/>
    <w:rsid w:val="0072482F"/>
    <w:rsid w:val="00724A35"/>
    <w:rsid w:val="00724C26"/>
    <w:rsid w:val="00725297"/>
    <w:rsid w:val="007252CA"/>
    <w:rsid w:val="00725419"/>
    <w:rsid w:val="007256E1"/>
    <w:rsid w:val="007261A4"/>
    <w:rsid w:val="007269CF"/>
    <w:rsid w:val="00726DDC"/>
    <w:rsid w:val="0072773C"/>
    <w:rsid w:val="007277BF"/>
    <w:rsid w:val="007277EE"/>
    <w:rsid w:val="007279E8"/>
    <w:rsid w:val="00727B05"/>
    <w:rsid w:val="00727FE2"/>
    <w:rsid w:val="007306EE"/>
    <w:rsid w:val="00730857"/>
    <w:rsid w:val="007314EE"/>
    <w:rsid w:val="00731CCA"/>
    <w:rsid w:val="00732388"/>
    <w:rsid w:val="007323CD"/>
    <w:rsid w:val="007324E8"/>
    <w:rsid w:val="0073302B"/>
    <w:rsid w:val="007331F9"/>
    <w:rsid w:val="00734270"/>
    <w:rsid w:val="0073447B"/>
    <w:rsid w:val="007348BF"/>
    <w:rsid w:val="00734F57"/>
    <w:rsid w:val="00735589"/>
    <w:rsid w:val="007356DD"/>
    <w:rsid w:val="007359B7"/>
    <w:rsid w:val="007365E6"/>
    <w:rsid w:val="00736A5F"/>
    <w:rsid w:val="007371EB"/>
    <w:rsid w:val="007372C3"/>
    <w:rsid w:val="0073733A"/>
    <w:rsid w:val="0073752C"/>
    <w:rsid w:val="0073776A"/>
    <w:rsid w:val="00740081"/>
    <w:rsid w:val="0074179E"/>
    <w:rsid w:val="00741C6D"/>
    <w:rsid w:val="0074263C"/>
    <w:rsid w:val="00742F97"/>
    <w:rsid w:val="00743975"/>
    <w:rsid w:val="00743A23"/>
    <w:rsid w:val="00743BBE"/>
    <w:rsid w:val="00744525"/>
    <w:rsid w:val="00744D40"/>
    <w:rsid w:val="00744ED9"/>
    <w:rsid w:val="0074546C"/>
    <w:rsid w:val="00745CF6"/>
    <w:rsid w:val="00746371"/>
    <w:rsid w:val="00746B34"/>
    <w:rsid w:val="007472B5"/>
    <w:rsid w:val="0075006F"/>
    <w:rsid w:val="007508C3"/>
    <w:rsid w:val="00750BE6"/>
    <w:rsid w:val="00752621"/>
    <w:rsid w:val="00752D05"/>
    <w:rsid w:val="00753C6E"/>
    <w:rsid w:val="00753D02"/>
    <w:rsid w:val="0075437A"/>
    <w:rsid w:val="00754A85"/>
    <w:rsid w:val="00754FC4"/>
    <w:rsid w:val="007551D8"/>
    <w:rsid w:val="007557E9"/>
    <w:rsid w:val="007558F1"/>
    <w:rsid w:val="00755A30"/>
    <w:rsid w:val="00755CB9"/>
    <w:rsid w:val="007561A8"/>
    <w:rsid w:val="007565F6"/>
    <w:rsid w:val="00756D9E"/>
    <w:rsid w:val="00756E9B"/>
    <w:rsid w:val="0075722A"/>
    <w:rsid w:val="00757C74"/>
    <w:rsid w:val="0076078F"/>
    <w:rsid w:val="00760978"/>
    <w:rsid w:val="00760AD8"/>
    <w:rsid w:val="00761BF3"/>
    <w:rsid w:val="00761E67"/>
    <w:rsid w:val="00762AAB"/>
    <w:rsid w:val="00762D55"/>
    <w:rsid w:val="007632B8"/>
    <w:rsid w:val="00763722"/>
    <w:rsid w:val="007637A4"/>
    <w:rsid w:val="00763F19"/>
    <w:rsid w:val="00764EF5"/>
    <w:rsid w:val="007664E2"/>
    <w:rsid w:val="0076655D"/>
    <w:rsid w:val="0076661F"/>
    <w:rsid w:val="00767C92"/>
    <w:rsid w:val="00767EC7"/>
    <w:rsid w:val="0077018A"/>
    <w:rsid w:val="00770D16"/>
    <w:rsid w:val="00770EEB"/>
    <w:rsid w:val="00770FA2"/>
    <w:rsid w:val="007710B8"/>
    <w:rsid w:val="007718EB"/>
    <w:rsid w:val="00771BCD"/>
    <w:rsid w:val="007721C8"/>
    <w:rsid w:val="0077245D"/>
    <w:rsid w:val="0077247C"/>
    <w:rsid w:val="007725CA"/>
    <w:rsid w:val="0077276E"/>
    <w:rsid w:val="00772889"/>
    <w:rsid w:val="00772B13"/>
    <w:rsid w:val="0077359B"/>
    <w:rsid w:val="00773BCA"/>
    <w:rsid w:val="00774092"/>
    <w:rsid w:val="007745C9"/>
    <w:rsid w:val="007747E4"/>
    <w:rsid w:val="00774BC2"/>
    <w:rsid w:val="00774E19"/>
    <w:rsid w:val="007755E6"/>
    <w:rsid w:val="0077589E"/>
    <w:rsid w:val="00776484"/>
    <w:rsid w:val="00776B10"/>
    <w:rsid w:val="00776F1A"/>
    <w:rsid w:val="007770E5"/>
    <w:rsid w:val="00777237"/>
    <w:rsid w:val="00777678"/>
    <w:rsid w:val="007776C9"/>
    <w:rsid w:val="007779B1"/>
    <w:rsid w:val="00777A9D"/>
    <w:rsid w:val="007802DA"/>
    <w:rsid w:val="007803E4"/>
    <w:rsid w:val="007805D7"/>
    <w:rsid w:val="00780A4C"/>
    <w:rsid w:val="00780AA0"/>
    <w:rsid w:val="00780F6D"/>
    <w:rsid w:val="007815E1"/>
    <w:rsid w:val="0078283A"/>
    <w:rsid w:val="00782C7A"/>
    <w:rsid w:val="00782CDE"/>
    <w:rsid w:val="007830A2"/>
    <w:rsid w:val="00783335"/>
    <w:rsid w:val="0078343E"/>
    <w:rsid w:val="0078393A"/>
    <w:rsid w:val="00783C1A"/>
    <w:rsid w:val="00784464"/>
    <w:rsid w:val="00784713"/>
    <w:rsid w:val="007849E2"/>
    <w:rsid w:val="00784CF1"/>
    <w:rsid w:val="00785BAD"/>
    <w:rsid w:val="00786374"/>
    <w:rsid w:val="00786474"/>
    <w:rsid w:val="00786B55"/>
    <w:rsid w:val="00787D77"/>
    <w:rsid w:val="00787EE5"/>
    <w:rsid w:val="00790ECF"/>
    <w:rsid w:val="00791DC7"/>
    <w:rsid w:val="00791DED"/>
    <w:rsid w:val="00791E95"/>
    <w:rsid w:val="0079240B"/>
    <w:rsid w:val="00792566"/>
    <w:rsid w:val="00792E19"/>
    <w:rsid w:val="0079301F"/>
    <w:rsid w:val="0079334C"/>
    <w:rsid w:val="007935E1"/>
    <w:rsid w:val="00793617"/>
    <w:rsid w:val="0079404A"/>
    <w:rsid w:val="007946FF"/>
    <w:rsid w:val="00794E85"/>
    <w:rsid w:val="0079572F"/>
    <w:rsid w:val="00795A25"/>
    <w:rsid w:val="00796737"/>
    <w:rsid w:val="0079682D"/>
    <w:rsid w:val="00796C68"/>
    <w:rsid w:val="007976DE"/>
    <w:rsid w:val="00797CD9"/>
    <w:rsid w:val="00797F3A"/>
    <w:rsid w:val="007A0B0F"/>
    <w:rsid w:val="007A1363"/>
    <w:rsid w:val="007A1609"/>
    <w:rsid w:val="007A1B11"/>
    <w:rsid w:val="007A1E6D"/>
    <w:rsid w:val="007A236B"/>
    <w:rsid w:val="007A2BC6"/>
    <w:rsid w:val="007A3003"/>
    <w:rsid w:val="007A3024"/>
    <w:rsid w:val="007A33BD"/>
    <w:rsid w:val="007A3AAF"/>
    <w:rsid w:val="007A3BB9"/>
    <w:rsid w:val="007A41B0"/>
    <w:rsid w:val="007A58FC"/>
    <w:rsid w:val="007A58FF"/>
    <w:rsid w:val="007A5B87"/>
    <w:rsid w:val="007A664D"/>
    <w:rsid w:val="007A6CDE"/>
    <w:rsid w:val="007A79A4"/>
    <w:rsid w:val="007A7C75"/>
    <w:rsid w:val="007B04EB"/>
    <w:rsid w:val="007B053A"/>
    <w:rsid w:val="007B0AAA"/>
    <w:rsid w:val="007B1915"/>
    <w:rsid w:val="007B1A33"/>
    <w:rsid w:val="007B1F9E"/>
    <w:rsid w:val="007B2C84"/>
    <w:rsid w:val="007B2E44"/>
    <w:rsid w:val="007B3556"/>
    <w:rsid w:val="007B38EB"/>
    <w:rsid w:val="007B392D"/>
    <w:rsid w:val="007B3D7C"/>
    <w:rsid w:val="007B40D3"/>
    <w:rsid w:val="007B4313"/>
    <w:rsid w:val="007B4412"/>
    <w:rsid w:val="007B488C"/>
    <w:rsid w:val="007B48E9"/>
    <w:rsid w:val="007B4AF9"/>
    <w:rsid w:val="007B56CA"/>
    <w:rsid w:val="007B5A1B"/>
    <w:rsid w:val="007B5A73"/>
    <w:rsid w:val="007B5D10"/>
    <w:rsid w:val="007B5D96"/>
    <w:rsid w:val="007B6486"/>
    <w:rsid w:val="007B677F"/>
    <w:rsid w:val="007B68F3"/>
    <w:rsid w:val="007B6925"/>
    <w:rsid w:val="007B7DDE"/>
    <w:rsid w:val="007C1820"/>
    <w:rsid w:val="007C1CEE"/>
    <w:rsid w:val="007C1EDC"/>
    <w:rsid w:val="007C1FD4"/>
    <w:rsid w:val="007C26A3"/>
    <w:rsid w:val="007C2E53"/>
    <w:rsid w:val="007C2EB4"/>
    <w:rsid w:val="007C2EF8"/>
    <w:rsid w:val="007C304F"/>
    <w:rsid w:val="007C4197"/>
    <w:rsid w:val="007C49F6"/>
    <w:rsid w:val="007C4AC4"/>
    <w:rsid w:val="007C4D90"/>
    <w:rsid w:val="007C4FAD"/>
    <w:rsid w:val="007C50FE"/>
    <w:rsid w:val="007C59A7"/>
    <w:rsid w:val="007C5B4D"/>
    <w:rsid w:val="007C6026"/>
    <w:rsid w:val="007C690D"/>
    <w:rsid w:val="007C746B"/>
    <w:rsid w:val="007C7473"/>
    <w:rsid w:val="007C774E"/>
    <w:rsid w:val="007C7C09"/>
    <w:rsid w:val="007C7D55"/>
    <w:rsid w:val="007C7E41"/>
    <w:rsid w:val="007D0683"/>
    <w:rsid w:val="007D0726"/>
    <w:rsid w:val="007D0944"/>
    <w:rsid w:val="007D0AAD"/>
    <w:rsid w:val="007D154F"/>
    <w:rsid w:val="007D15E0"/>
    <w:rsid w:val="007D1E77"/>
    <w:rsid w:val="007D1E78"/>
    <w:rsid w:val="007D2E91"/>
    <w:rsid w:val="007D332F"/>
    <w:rsid w:val="007D3804"/>
    <w:rsid w:val="007D3E90"/>
    <w:rsid w:val="007D406F"/>
    <w:rsid w:val="007D4122"/>
    <w:rsid w:val="007D44C1"/>
    <w:rsid w:val="007D4CB2"/>
    <w:rsid w:val="007D4F58"/>
    <w:rsid w:val="007D5207"/>
    <w:rsid w:val="007D5220"/>
    <w:rsid w:val="007D5256"/>
    <w:rsid w:val="007D6030"/>
    <w:rsid w:val="007D6095"/>
    <w:rsid w:val="007D61AE"/>
    <w:rsid w:val="007D61E9"/>
    <w:rsid w:val="007D64C7"/>
    <w:rsid w:val="007D6A4E"/>
    <w:rsid w:val="007D6D98"/>
    <w:rsid w:val="007D77C5"/>
    <w:rsid w:val="007D7B12"/>
    <w:rsid w:val="007D7E17"/>
    <w:rsid w:val="007D7F3F"/>
    <w:rsid w:val="007D7F66"/>
    <w:rsid w:val="007E012E"/>
    <w:rsid w:val="007E01CE"/>
    <w:rsid w:val="007E0229"/>
    <w:rsid w:val="007E15EE"/>
    <w:rsid w:val="007E204B"/>
    <w:rsid w:val="007E2356"/>
    <w:rsid w:val="007E2C09"/>
    <w:rsid w:val="007E2F50"/>
    <w:rsid w:val="007E3092"/>
    <w:rsid w:val="007E3310"/>
    <w:rsid w:val="007E336A"/>
    <w:rsid w:val="007E33A9"/>
    <w:rsid w:val="007E36C0"/>
    <w:rsid w:val="007E375E"/>
    <w:rsid w:val="007E3923"/>
    <w:rsid w:val="007E3BE5"/>
    <w:rsid w:val="007E4A36"/>
    <w:rsid w:val="007E510C"/>
    <w:rsid w:val="007E57C1"/>
    <w:rsid w:val="007E5FC7"/>
    <w:rsid w:val="007E61AD"/>
    <w:rsid w:val="007E6AFB"/>
    <w:rsid w:val="007E6B54"/>
    <w:rsid w:val="007E6C84"/>
    <w:rsid w:val="007E6D25"/>
    <w:rsid w:val="007E6D76"/>
    <w:rsid w:val="007E6EFE"/>
    <w:rsid w:val="007E709A"/>
    <w:rsid w:val="007E70A1"/>
    <w:rsid w:val="007E796A"/>
    <w:rsid w:val="007F036D"/>
    <w:rsid w:val="007F039D"/>
    <w:rsid w:val="007F0C0C"/>
    <w:rsid w:val="007F187E"/>
    <w:rsid w:val="007F203A"/>
    <w:rsid w:val="007F20CC"/>
    <w:rsid w:val="007F2460"/>
    <w:rsid w:val="007F311D"/>
    <w:rsid w:val="007F3196"/>
    <w:rsid w:val="007F31BA"/>
    <w:rsid w:val="007F3801"/>
    <w:rsid w:val="007F3EAD"/>
    <w:rsid w:val="007F4017"/>
    <w:rsid w:val="007F43F0"/>
    <w:rsid w:val="007F45AC"/>
    <w:rsid w:val="007F4CC2"/>
    <w:rsid w:val="007F4E02"/>
    <w:rsid w:val="007F51C4"/>
    <w:rsid w:val="007F532E"/>
    <w:rsid w:val="007F5649"/>
    <w:rsid w:val="007F5ED7"/>
    <w:rsid w:val="007F62CB"/>
    <w:rsid w:val="007F63FA"/>
    <w:rsid w:val="007F653B"/>
    <w:rsid w:val="007F65C7"/>
    <w:rsid w:val="007F6A2A"/>
    <w:rsid w:val="007F771A"/>
    <w:rsid w:val="008000B7"/>
    <w:rsid w:val="008007F6"/>
    <w:rsid w:val="008014C7"/>
    <w:rsid w:val="00801C88"/>
    <w:rsid w:val="00801E00"/>
    <w:rsid w:val="008020B4"/>
    <w:rsid w:val="00802447"/>
    <w:rsid w:val="0080279F"/>
    <w:rsid w:val="008028AC"/>
    <w:rsid w:val="00802CF5"/>
    <w:rsid w:val="00802D61"/>
    <w:rsid w:val="00802DE3"/>
    <w:rsid w:val="008038F8"/>
    <w:rsid w:val="00803988"/>
    <w:rsid w:val="00803BF9"/>
    <w:rsid w:val="00803EBF"/>
    <w:rsid w:val="00804227"/>
    <w:rsid w:val="0080429C"/>
    <w:rsid w:val="008045CC"/>
    <w:rsid w:val="008046CD"/>
    <w:rsid w:val="00804965"/>
    <w:rsid w:val="00804E79"/>
    <w:rsid w:val="00804EBD"/>
    <w:rsid w:val="0080551B"/>
    <w:rsid w:val="00805B1F"/>
    <w:rsid w:val="00806219"/>
    <w:rsid w:val="00806247"/>
    <w:rsid w:val="00806CE9"/>
    <w:rsid w:val="00807007"/>
    <w:rsid w:val="00807039"/>
    <w:rsid w:val="00807921"/>
    <w:rsid w:val="008108B0"/>
    <w:rsid w:val="00810992"/>
    <w:rsid w:val="00810A40"/>
    <w:rsid w:val="00810E12"/>
    <w:rsid w:val="00810FBF"/>
    <w:rsid w:val="008122E0"/>
    <w:rsid w:val="00812897"/>
    <w:rsid w:val="008140B2"/>
    <w:rsid w:val="00814476"/>
    <w:rsid w:val="00814938"/>
    <w:rsid w:val="00814AC7"/>
    <w:rsid w:val="00814C02"/>
    <w:rsid w:val="00815286"/>
    <w:rsid w:val="00815685"/>
    <w:rsid w:val="00815D65"/>
    <w:rsid w:val="00816088"/>
    <w:rsid w:val="008162B5"/>
    <w:rsid w:val="008162BA"/>
    <w:rsid w:val="00816A64"/>
    <w:rsid w:val="00816E1B"/>
    <w:rsid w:val="00816F37"/>
    <w:rsid w:val="008208DF"/>
    <w:rsid w:val="00820C93"/>
    <w:rsid w:val="00821D5E"/>
    <w:rsid w:val="00822370"/>
    <w:rsid w:val="00822B93"/>
    <w:rsid w:val="0082361F"/>
    <w:rsid w:val="008249D7"/>
    <w:rsid w:val="00824AAF"/>
    <w:rsid w:val="00824FBE"/>
    <w:rsid w:val="00825284"/>
    <w:rsid w:val="0082545E"/>
    <w:rsid w:val="008254D4"/>
    <w:rsid w:val="0082552D"/>
    <w:rsid w:val="00825549"/>
    <w:rsid w:val="00825A63"/>
    <w:rsid w:val="008263EA"/>
    <w:rsid w:val="00827940"/>
    <w:rsid w:val="00827A3D"/>
    <w:rsid w:val="0083006B"/>
    <w:rsid w:val="008302F0"/>
    <w:rsid w:val="008304AB"/>
    <w:rsid w:val="00830BF5"/>
    <w:rsid w:val="0083320D"/>
    <w:rsid w:val="0083327B"/>
    <w:rsid w:val="0083330C"/>
    <w:rsid w:val="00833C49"/>
    <w:rsid w:val="008344E1"/>
    <w:rsid w:val="00834565"/>
    <w:rsid w:val="00834A91"/>
    <w:rsid w:val="00834E79"/>
    <w:rsid w:val="0083538A"/>
    <w:rsid w:val="008354F3"/>
    <w:rsid w:val="00835A37"/>
    <w:rsid w:val="00835B7E"/>
    <w:rsid w:val="0083650A"/>
    <w:rsid w:val="00836516"/>
    <w:rsid w:val="008370AD"/>
    <w:rsid w:val="0083719F"/>
    <w:rsid w:val="008374F0"/>
    <w:rsid w:val="008376C6"/>
    <w:rsid w:val="00837C0D"/>
    <w:rsid w:val="00837FC9"/>
    <w:rsid w:val="008406AF"/>
    <w:rsid w:val="00840903"/>
    <w:rsid w:val="00840C40"/>
    <w:rsid w:val="008411F9"/>
    <w:rsid w:val="00841744"/>
    <w:rsid w:val="00841CBF"/>
    <w:rsid w:val="008421B2"/>
    <w:rsid w:val="008424D3"/>
    <w:rsid w:val="00842698"/>
    <w:rsid w:val="008426F7"/>
    <w:rsid w:val="00842B80"/>
    <w:rsid w:val="008442E5"/>
    <w:rsid w:val="008445B0"/>
    <w:rsid w:val="00844C9C"/>
    <w:rsid w:val="00844DA8"/>
    <w:rsid w:val="008450B8"/>
    <w:rsid w:val="008456D4"/>
    <w:rsid w:val="008459D9"/>
    <w:rsid w:val="00845BAA"/>
    <w:rsid w:val="00845DE0"/>
    <w:rsid w:val="00846079"/>
    <w:rsid w:val="008463B1"/>
    <w:rsid w:val="008463CB"/>
    <w:rsid w:val="008465FD"/>
    <w:rsid w:val="00847527"/>
    <w:rsid w:val="0084769B"/>
    <w:rsid w:val="0085116C"/>
    <w:rsid w:val="0085150D"/>
    <w:rsid w:val="00851B70"/>
    <w:rsid w:val="00851C32"/>
    <w:rsid w:val="00851D5F"/>
    <w:rsid w:val="00852864"/>
    <w:rsid w:val="00853604"/>
    <w:rsid w:val="00853700"/>
    <w:rsid w:val="008538D7"/>
    <w:rsid w:val="0085390C"/>
    <w:rsid w:val="0085403B"/>
    <w:rsid w:val="00854337"/>
    <w:rsid w:val="0085453F"/>
    <w:rsid w:val="0085506A"/>
    <w:rsid w:val="0085575A"/>
    <w:rsid w:val="00855D00"/>
    <w:rsid w:val="00855D5E"/>
    <w:rsid w:val="008560DB"/>
    <w:rsid w:val="00856200"/>
    <w:rsid w:val="00856344"/>
    <w:rsid w:val="0085676D"/>
    <w:rsid w:val="00856C42"/>
    <w:rsid w:val="00856C4F"/>
    <w:rsid w:val="00856D57"/>
    <w:rsid w:val="0085711B"/>
    <w:rsid w:val="0085776A"/>
    <w:rsid w:val="00857FC8"/>
    <w:rsid w:val="008604F1"/>
    <w:rsid w:val="008609BA"/>
    <w:rsid w:val="00860A9A"/>
    <w:rsid w:val="0086126A"/>
    <w:rsid w:val="008612CE"/>
    <w:rsid w:val="0086189D"/>
    <w:rsid w:val="008619BE"/>
    <w:rsid w:val="00861E36"/>
    <w:rsid w:val="008621AA"/>
    <w:rsid w:val="008627EC"/>
    <w:rsid w:val="008638FE"/>
    <w:rsid w:val="00863D3F"/>
    <w:rsid w:val="008641B6"/>
    <w:rsid w:val="008644B2"/>
    <w:rsid w:val="00864A40"/>
    <w:rsid w:val="00864AD9"/>
    <w:rsid w:val="00866075"/>
    <w:rsid w:val="0086650B"/>
    <w:rsid w:val="00867361"/>
    <w:rsid w:val="008702B5"/>
    <w:rsid w:val="008704AF"/>
    <w:rsid w:val="008704DF"/>
    <w:rsid w:val="0087092B"/>
    <w:rsid w:val="00870B4A"/>
    <w:rsid w:val="00871F06"/>
    <w:rsid w:val="00872485"/>
    <w:rsid w:val="00872800"/>
    <w:rsid w:val="00872A2B"/>
    <w:rsid w:val="008732A0"/>
    <w:rsid w:val="00873396"/>
    <w:rsid w:val="008735E1"/>
    <w:rsid w:val="00873648"/>
    <w:rsid w:val="008736BD"/>
    <w:rsid w:val="00873E55"/>
    <w:rsid w:val="00874936"/>
    <w:rsid w:val="00874E78"/>
    <w:rsid w:val="00875C5D"/>
    <w:rsid w:val="00875FD2"/>
    <w:rsid w:val="00876197"/>
    <w:rsid w:val="00876909"/>
    <w:rsid w:val="00876CF1"/>
    <w:rsid w:val="00876CFE"/>
    <w:rsid w:val="008775E0"/>
    <w:rsid w:val="008776F5"/>
    <w:rsid w:val="00877B81"/>
    <w:rsid w:val="00877BCA"/>
    <w:rsid w:val="008802B3"/>
    <w:rsid w:val="00880D23"/>
    <w:rsid w:val="00880D7F"/>
    <w:rsid w:val="00881536"/>
    <w:rsid w:val="0088199F"/>
    <w:rsid w:val="0088265B"/>
    <w:rsid w:val="00882AC2"/>
    <w:rsid w:val="00882B23"/>
    <w:rsid w:val="00882C14"/>
    <w:rsid w:val="00882FF0"/>
    <w:rsid w:val="00883613"/>
    <w:rsid w:val="008837BB"/>
    <w:rsid w:val="00883B9A"/>
    <w:rsid w:val="0088426E"/>
    <w:rsid w:val="0088492C"/>
    <w:rsid w:val="00885084"/>
    <w:rsid w:val="00885129"/>
    <w:rsid w:val="0088523A"/>
    <w:rsid w:val="00885364"/>
    <w:rsid w:val="008859C7"/>
    <w:rsid w:val="00885B33"/>
    <w:rsid w:val="00885DCE"/>
    <w:rsid w:val="008861BD"/>
    <w:rsid w:val="0088623A"/>
    <w:rsid w:val="008862E9"/>
    <w:rsid w:val="00886BA9"/>
    <w:rsid w:val="00886ECF"/>
    <w:rsid w:val="008875A8"/>
    <w:rsid w:val="008905E5"/>
    <w:rsid w:val="00890CF1"/>
    <w:rsid w:val="00890DFF"/>
    <w:rsid w:val="008918B2"/>
    <w:rsid w:val="00891D6B"/>
    <w:rsid w:val="00891EE2"/>
    <w:rsid w:val="008932A3"/>
    <w:rsid w:val="008933C3"/>
    <w:rsid w:val="00893713"/>
    <w:rsid w:val="00893DCF"/>
    <w:rsid w:val="00894A8B"/>
    <w:rsid w:val="00894D4B"/>
    <w:rsid w:val="008961F8"/>
    <w:rsid w:val="00896C65"/>
    <w:rsid w:val="00896F2E"/>
    <w:rsid w:val="00897246"/>
    <w:rsid w:val="00897A59"/>
    <w:rsid w:val="008A0350"/>
    <w:rsid w:val="008A052E"/>
    <w:rsid w:val="008A1B61"/>
    <w:rsid w:val="008A204D"/>
    <w:rsid w:val="008A211D"/>
    <w:rsid w:val="008A2A83"/>
    <w:rsid w:val="008A2B96"/>
    <w:rsid w:val="008A41EC"/>
    <w:rsid w:val="008A4A5A"/>
    <w:rsid w:val="008A4CC8"/>
    <w:rsid w:val="008A5261"/>
    <w:rsid w:val="008A56CF"/>
    <w:rsid w:val="008A5B06"/>
    <w:rsid w:val="008A5B28"/>
    <w:rsid w:val="008A5E8E"/>
    <w:rsid w:val="008A6232"/>
    <w:rsid w:val="008A6334"/>
    <w:rsid w:val="008A6BF4"/>
    <w:rsid w:val="008A6CE7"/>
    <w:rsid w:val="008B0144"/>
    <w:rsid w:val="008B0A7F"/>
    <w:rsid w:val="008B0AFD"/>
    <w:rsid w:val="008B11DE"/>
    <w:rsid w:val="008B1B8B"/>
    <w:rsid w:val="008B1C98"/>
    <w:rsid w:val="008B2DB2"/>
    <w:rsid w:val="008B3296"/>
    <w:rsid w:val="008B3625"/>
    <w:rsid w:val="008B3DD7"/>
    <w:rsid w:val="008B3FDF"/>
    <w:rsid w:val="008B4A35"/>
    <w:rsid w:val="008B4C40"/>
    <w:rsid w:val="008B4ED9"/>
    <w:rsid w:val="008B5320"/>
    <w:rsid w:val="008B634E"/>
    <w:rsid w:val="008B6799"/>
    <w:rsid w:val="008B6DCC"/>
    <w:rsid w:val="008B7182"/>
    <w:rsid w:val="008B73F5"/>
    <w:rsid w:val="008B7D89"/>
    <w:rsid w:val="008C00A5"/>
    <w:rsid w:val="008C09ED"/>
    <w:rsid w:val="008C1024"/>
    <w:rsid w:val="008C2D17"/>
    <w:rsid w:val="008C2E8F"/>
    <w:rsid w:val="008C3350"/>
    <w:rsid w:val="008C3619"/>
    <w:rsid w:val="008C4A04"/>
    <w:rsid w:val="008C4AA8"/>
    <w:rsid w:val="008C52AC"/>
    <w:rsid w:val="008C53B2"/>
    <w:rsid w:val="008C55FC"/>
    <w:rsid w:val="008C5B77"/>
    <w:rsid w:val="008C66C6"/>
    <w:rsid w:val="008C68BE"/>
    <w:rsid w:val="008C69DD"/>
    <w:rsid w:val="008C6B4D"/>
    <w:rsid w:val="008C6DE6"/>
    <w:rsid w:val="008C7923"/>
    <w:rsid w:val="008C7C15"/>
    <w:rsid w:val="008D030E"/>
    <w:rsid w:val="008D04D9"/>
    <w:rsid w:val="008D0C2C"/>
    <w:rsid w:val="008D0F0C"/>
    <w:rsid w:val="008D1077"/>
    <w:rsid w:val="008D1A21"/>
    <w:rsid w:val="008D1D17"/>
    <w:rsid w:val="008D2034"/>
    <w:rsid w:val="008D2154"/>
    <w:rsid w:val="008D2200"/>
    <w:rsid w:val="008D2624"/>
    <w:rsid w:val="008D29A1"/>
    <w:rsid w:val="008D2AD9"/>
    <w:rsid w:val="008D2D03"/>
    <w:rsid w:val="008D3041"/>
    <w:rsid w:val="008D3937"/>
    <w:rsid w:val="008D3A33"/>
    <w:rsid w:val="008D3AA4"/>
    <w:rsid w:val="008D3DDE"/>
    <w:rsid w:val="008D54CA"/>
    <w:rsid w:val="008D5FD8"/>
    <w:rsid w:val="008D60A4"/>
    <w:rsid w:val="008D63AB"/>
    <w:rsid w:val="008D65B2"/>
    <w:rsid w:val="008D69F1"/>
    <w:rsid w:val="008D6B25"/>
    <w:rsid w:val="008D6B5D"/>
    <w:rsid w:val="008D6DB2"/>
    <w:rsid w:val="008D76D5"/>
    <w:rsid w:val="008D7D1D"/>
    <w:rsid w:val="008E03C9"/>
    <w:rsid w:val="008E0451"/>
    <w:rsid w:val="008E0528"/>
    <w:rsid w:val="008E08AE"/>
    <w:rsid w:val="008E0D7F"/>
    <w:rsid w:val="008E1057"/>
    <w:rsid w:val="008E117B"/>
    <w:rsid w:val="008E1871"/>
    <w:rsid w:val="008E1C11"/>
    <w:rsid w:val="008E20F8"/>
    <w:rsid w:val="008E2104"/>
    <w:rsid w:val="008E21B7"/>
    <w:rsid w:val="008E2D08"/>
    <w:rsid w:val="008E2D4D"/>
    <w:rsid w:val="008E37AE"/>
    <w:rsid w:val="008E40CD"/>
    <w:rsid w:val="008E4791"/>
    <w:rsid w:val="008E5334"/>
    <w:rsid w:val="008E544A"/>
    <w:rsid w:val="008E595E"/>
    <w:rsid w:val="008E5B25"/>
    <w:rsid w:val="008E5F62"/>
    <w:rsid w:val="008E6B67"/>
    <w:rsid w:val="008E7118"/>
    <w:rsid w:val="008E7427"/>
    <w:rsid w:val="008E77EC"/>
    <w:rsid w:val="008E7B13"/>
    <w:rsid w:val="008E7C96"/>
    <w:rsid w:val="008F0306"/>
    <w:rsid w:val="008F05D1"/>
    <w:rsid w:val="008F0693"/>
    <w:rsid w:val="008F0A17"/>
    <w:rsid w:val="008F0C8A"/>
    <w:rsid w:val="008F114B"/>
    <w:rsid w:val="008F3300"/>
    <w:rsid w:val="008F379B"/>
    <w:rsid w:val="008F3874"/>
    <w:rsid w:val="008F40FE"/>
    <w:rsid w:val="008F4B08"/>
    <w:rsid w:val="008F4CF1"/>
    <w:rsid w:val="008F5027"/>
    <w:rsid w:val="008F507C"/>
    <w:rsid w:val="008F52E6"/>
    <w:rsid w:val="008F5734"/>
    <w:rsid w:val="008F6565"/>
    <w:rsid w:val="008F6629"/>
    <w:rsid w:val="008F6678"/>
    <w:rsid w:val="008F6754"/>
    <w:rsid w:val="008F6E41"/>
    <w:rsid w:val="008F7401"/>
    <w:rsid w:val="008F7BCA"/>
    <w:rsid w:val="0090037B"/>
    <w:rsid w:val="009006C1"/>
    <w:rsid w:val="0090088E"/>
    <w:rsid w:val="00901C80"/>
    <w:rsid w:val="00901F89"/>
    <w:rsid w:val="00901F9A"/>
    <w:rsid w:val="00902046"/>
    <w:rsid w:val="0090242E"/>
    <w:rsid w:val="00902464"/>
    <w:rsid w:val="00903056"/>
    <w:rsid w:val="00903237"/>
    <w:rsid w:val="0090368F"/>
    <w:rsid w:val="00904277"/>
    <w:rsid w:val="0090566B"/>
    <w:rsid w:val="009064AC"/>
    <w:rsid w:val="009065F9"/>
    <w:rsid w:val="00906826"/>
    <w:rsid w:val="00906CA5"/>
    <w:rsid w:val="009073DB"/>
    <w:rsid w:val="00907620"/>
    <w:rsid w:val="009077F3"/>
    <w:rsid w:val="00910412"/>
    <w:rsid w:val="00910440"/>
    <w:rsid w:val="00910704"/>
    <w:rsid w:val="00910EF7"/>
    <w:rsid w:val="009112ED"/>
    <w:rsid w:val="009113A1"/>
    <w:rsid w:val="0091208E"/>
    <w:rsid w:val="00912CDE"/>
    <w:rsid w:val="0091318E"/>
    <w:rsid w:val="00913319"/>
    <w:rsid w:val="0091354E"/>
    <w:rsid w:val="009139C3"/>
    <w:rsid w:val="00914622"/>
    <w:rsid w:val="0091476C"/>
    <w:rsid w:val="009149D8"/>
    <w:rsid w:val="00914D4D"/>
    <w:rsid w:val="00916FDD"/>
    <w:rsid w:val="0091754A"/>
    <w:rsid w:val="00917726"/>
    <w:rsid w:val="009177E5"/>
    <w:rsid w:val="0091781B"/>
    <w:rsid w:val="009179A7"/>
    <w:rsid w:val="00917A2E"/>
    <w:rsid w:val="00917A4F"/>
    <w:rsid w:val="00920AEB"/>
    <w:rsid w:val="00920EB3"/>
    <w:rsid w:val="00921264"/>
    <w:rsid w:val="00921499"/>
    <w:rsid w:val="00922447"/>
    <w:rsid w:val="00922667"/>
    <w:rsid w:val="009228B9"/>
    <w:rsid w:val="00922A7A"/>
    <w:rsid w:val="00922B6B"/>
    <w:rsid w:val="00922D09"/>
    <w:rsid w:val="00922FB9"/>
    <w:rsid w:val="009239FD"/>
    <w:rsid w:val="00923CC0"/>
    <w:rsid w:val="009257A5"/>
    <w:rsid w:val="009261E7"/>
    <w:rsid w:val="009266FD"/>
    <w:rsid w:val="00926D7A"/>
    <w:rsid w:val="009275C7"/>
    <w:rsid w:val="00931175"/>
    <w:rsid w:val="00931A02"/>
    <w:rsid w:val="00931A5E"/>
    <w:rsid w:val="0093256C"/>
    <w:rsid w:val="0093269A"/>
    <w:rsid w:val="009327FA"/>
    <w:rsid w:val="0093298A"/>
    <w:rsid w:val="009329E2"/>
    <w:rsid w:val="009332D7"/>
    <w:rsid w:val="009333ED"/>
    <w:rsid w:val="009337D8"/>
    <w:rsid w:val="0093532C"/>
    <w:rsid w:val="009356A9"/>
    <w:rsid w:val="00935923"/>
    <w:rsid w:val="009359DC"/>
    <w:rsid w:val="00935B36"/>
    <w:rsid w:val="00935E9E"/>
    <w:rsid w:val="009362F7"/>
    <w:rsid w:val="00936B1B"/>
    <w:rsid w:val="00936B72"/>
    <w:rsid w:val="00936E2B"/>
    <w:rsid w:val="00937101"/>
    <w:rsid w:val="00937167"/>
    <w:rsid w:val="009371A4"/>
    <w:rsid w:val="00940037"/>
    <w:rsid w:val="0094027A"/>
    <w:rsid w:val="009405BD"/>
    <w:rsid w:val="009405EB"/>
    <w:rsid w:val="009405F1"/>
    <w:rsid w:val="00940D06"/>
    <w:rsid w:val="00940DFB"/>
    <w:rsid w:val="009414CB"/>
    <w:rsid w:val="00941C9A"/>
    <w:rsid w:val="00942115"/>
    <w:rsid w:val="00942569"/>
    <w:rsid w:val="00942728"/>
    <w:rsid w:val="00942BE3"/>
    <w:rsid w:val="00943A4B"/>
    <w:rsid w:val="00943D09"/>
    <w:rsid w:val="00943E5E"/>
    <w:rsid w:val="00943EF4"/>
    <w:rsid w:val="00943EFD"/>
    <w:rsid w:val="00944436"/>
    <w:rsid w:val="0094500E"/>
    <w:rsid w:val="00945230"/>
    <w:rsid w:val="00945274"/>
    <w:rsid w:val="00945406"/>
    <w:rsid w:val="00945585"/>
    <w:rsid w:val="009458A1"/>
    <w:rsid w:val="00945AC7"/>
    <w:rsid w:val="00946779"/>
    <w:rsid w:val="00946912"/>
    <w:rsid w:val="00946BAE"/>
    <w:rsid w:val="00946DCD"/>
    <w:rsid w:val="00946ED3"/>
    <w:rsid w:val="0095043D"/>
    <w:rsid w:val="0095074C"/>
    <w:rsid w:val="00950842"/>
    <w:rsid w:val="00950B17"/>
    <w:rsid w:val="00950C58"/>
    <w:rsid w:val="00950EA2"/>
    <w:rsid w:val="00950FE3"/>
    <w:rsid w:val="0095176C"/>
    <w:rsid w:val="00951959"/>
    <w:rsid w:val="00952984"/>
    <w:rsid w:val="00952B55"/>
    <w:rsid w:val="00952EB7"/>
    <w:rsid w:val="00952F69"/>
    <w:rsid w:val="0095354B"/>
    <w:rsid w:val="00953555"/>
    <w:rsid w:val="00953EC6"/>
    <w:rsid w:val="0095477D"/>
    <w:rsid w:val="0095522E"/>
    <w:rsid w:val="009558DB"/>
    <w:rsid w:val="0095598E"/>
    <w:rsid w:val="00955F7B"/>
    <w:rsid w:val="00956643"/>
    <w:rsid w:val="009566A7"/>
    <w:rsid w:val="009566E0"/>
    <w:rsid w:val="00956B7D"/>
    <w:rsid w:val="00957358"/>
    <w:rsid w:val="0096017D"/>
    <w:rsid w:val="009602EC"/>
    <w:rsid w:val="00960362"/>
    <w:rsid w:val="009605E7"/>
    <w:rsid w:val="00960750"/>
    <w:rsid w:val="009609EB"/>
    <w:rsid w:val="00960DAA"/>
    <w:rsid w:val="0096254C"/>
    <w:rsid w:val="00963360"/>
    <w:rsid w:val="00963529"/>
    <w:rsid w:val="0096377F"/>
    <w:rsid w:val="00963BD8"/>
    <w:rsid w:val="009649A6"/>
    <w:rsid w:val="00965028"/>
    <w:rsid w:val="0096554A"/>
    <w:rsid w:val="009659E2"/>
    <w:rsid w:val="00965DAC"/>
    <w:rsid w:val="009662B6"/>
    <w:rsid w:val="009663AC"/>
    <w:rsid w:val="00966744"/>
    <w:rsid w:val="009669C6"/>
    <w:rsid w:val="00966B72"/>
    <w:rsid w:val="009676B8"/>
    <w:rsid w:val="009679AC"/>
    <w:rsid w:val="0097025A"/>
    <w:rsid w:val="00970B8C"/>
    <w:rsid w:val="00970DA4"/>
    <w:rsid w:val="0097191F"/>
    <w:rsid w:val="00971BBB"/>
    <w:rsid w:val="00972888"/>
    <w:rsid w:val="0097289F"/>
    <w:rsid w:val="00972E12"/>
    <w:rsid w:val="00973F95"/>
    <w:rsid w:val="00974457"/>
    <w:rsid w:val="00974EF8"/>
    <w:rsid w:val="00975AEA"/>
    <w:rsid w:val="00975CF4"/>
    <w:rsid w:val="00975EDD"/>
    <w:rsid w:val="00976154"/>
    <w:rsid w:val="00976722"/>
    <w:rsid w:val="00976895"/>
    <w:rsid w:val="009768BE"/>
    <w:rsid w:val="00976D76"/>
    <w:rsid w:val="00976E8F"/>
    <w:rsid w:val="00976EB7"/>
    <w:rsid w:val="0097797C"/>
    <w:rsid w:val="00980131"/>
    <w:rsid w:val="0098023F"/>
    <w:rsid w:val="009809CF"/>
    <w:rsid w:val="0098109A"/>
    <w:rsid w:val="00981C37"/>
    <w:rsid w:val="009828B0"/>
    <w:rsid w:val="00982F43"/>
    <w:rsid w:val="00983C73"/>
    <w:rsid w:val="00983D24"/>
    <w:rsid w:val="0098452D"/>
    <w:rsid w:val="00985C2A"/>
    <w:rsid w:val="00985E8E"/>
    <w:rsid w:val="00986F36"/>
    <w:rsid w:val="00987142"/>
    <w:rsid w:val="009877B0"/>
    <w:rsid w:val="0099018A"/>
    <w:rsid w:val="009903A6"/>
    <w:rsid w:val="0099071A"/>
    <w:rsid w:val="009913D2"/>
    <w:rsid w:val="00991455"/>
    <w:rsid w:val="00991612"/>
    <w:rsid w:val="00992573"/>
    <w:rsid w:val="0099295E"/>
    <w:rsid w:val="0099334E"/>
    <w:rsid w:val="009936CB"/>
    <w:rsid w:val="009937D7"/>
    <w:rsid w:val="009945D3"/>
    <w:rsid w:val="00994689"/>
    <w:rsid w:val="00994B8C"/>
    <w:rsid w:val="00994F8E"/>
    <w:rsid w:val="009951E5"/>
    <w:rsid w:val="009952F4"/>
    <w:rsid w:val="00995E54"/>
    <w:rsid w:val="00996006"/>
    <w:rsid w:val="009967A1"/>
    <w:rsid w:val="009967D3"/>
    <w:rsid w:val="00996D4B"/>
    <w:rsid w:val="00996E06"/>
    <w:rsid w:val="0099747F"/>
    <w:rsid w:val="009A0018"/>
    <w:rsid w:val="009A025B"/>
    <w:rsid w:val="009A0ED4"/>
    <w:rsid w:val="009A16D3"/>
    <w:rsid w:val="009A19C0"/>
    <w:rsid w:val="009A1A1B"/>
    <w:rsid w:val="009A1FDE"/>
    <w:rsid w:val="009A2274"/>
    <w:rsid w:val="009A22F1"/>
    <w:rsid w:val="009A249E"/>
    <w:rsid w:val="009A283E"/>
    <w:rsid w:val="009A2A96"/>
    <w:rsid w:val="009A3177"/>
    <w:rsid w:val="009A3991"/>
    <w:rsid w:val="009A3AA3"/>
    <w:rsid w:val="009A430B"/>
    <w:rsid w:val="009A4492"/>
    <w:rsid w:val="009A4B0C"/>
    <w:rsid w:val="009A4EF1"/>
    <w:rsid w:val="009A5254"/>
    <w:rsid w:val="009A61A2"/>
    <w:rsid w:val="009A66EA"/>
    <w:rsid w:val="009A6B4C"/>
    <w:rsid w:val="009A7029"/>
    <w:rsid w:val="009A7468"/>
    <w:rsid w:val="009B0174"/>
    <w:rsid w:val="009B0769"/>
    <w:rsid w:val="009B0958"/>
    <w:rsid w:val="009B13DC"/>
    <w:rsid w:val="009B157F"/>
    <w:rsid w:val="009B2949"/>
    <w:rsid w:val="009B2A0F"/>
    <w:rsid w:val="009B3953"/>
    <w:rsid w:val="009B39C7"/>
    <w:rsid w:val="009B44FF"/>
    <w:rsid w:val="009B483B"/>
    <w:rsid w:val="009B4DF1"/>
    <w:rsid w:val="009B534D"/>
    <w:rsid w:val="009B5525"/>
    <w:rsid w:val="009B57B1"/>
    <w:rsid w:val="009B5CE5"/>
    <w:rsid w:val="009B607B"/>
    <w:rsid w:val="009B62AC"/>
    <w:rsid w:val="009B6655"/>
    <w:rsid w:val="009B68AF"/>
    <w:rsid w:val="009B72ED"/>
    <w:rsid w:val="009B7F9E"/>
    <w:rsid w:val="009C0169"/>
    <w:rsid w:val="009C0D4A"/>
    <w:rsid w:val="009C10DA"/>
    <w:rsid w:val="009C1121"/>
    <w:rsid w:val="009C11FE"/>
    <w:rsid w:val="009C2430"/>
    <w:rsid w:val="009C3901"/>
    <w:rsid w:val="009C40E4"/>
    <w:rsid w:val="009C465F"/>
    <w:rsid w:val="009C4725"/>
    <w:rsid w:val="009C490F"/>
    <w:rsid w:val="009C4D63"/>
    <w:rsid w:val="009C4E4B"/>
    <w:rsid w:val="009C5109"/>
    <w:rsid w:val="009C5210"/>
    <w:rsid w:val="009C5768"/>
    <w:rsid w:val="009C5B4A"/>
    <w:rsid w:val="009C6400"/>
    <w:rsid w:val="009C69C5"/>
    <w:rsid w:val="009C7CB9"/>
    <w:rsid w:val="009D0178"/>
    <w:rsid w:val="009D0540"/>
    <w:rsid w:val="009D06CB"/>
    <w:rsid w:val="009D0752"/>
    <w:rsid w:val="009D12C1"/>
    <w:rsid w:val="009D162F"/>
    <w:rsid w:val="009D16A8"/>
    <w:rsid w:val="009D1D92"/>
    <w:rsid w:val="009D1E57"/>
    <w:rsid w:val="009D30E9"/>
    <w:rsid w:val="009D3286"/>
    <w:rsid w:val="009D350C"/>
    <w:rsid w:val="009D3728"/>
    <w:rsid w:val="009D4655"/>
    <w:rsid w:val="009D4D73"/>
    <w:rsid w:val="009D58F0"/>
    <w:rsid w:val="009D5C3B"/>
    <w:rsid w:val="009D5D22"/>
    <w:rsid w:val="009D5FD8"/>
    <w:rsid w:val="009D6E65"/>
    <w:rsid w:val="009D6ECB"/>
    <w:rsid w:val="009D75E6"/>
    <w:rsid w:val="009E04E4"/>
    <w:rsid w:val="009E1310"/>
    <w:rsid w:val="009E13DF"/>
    <w:rsid w:val="009E1719"/>
    <w:rsid w:val="009E234B"/>
    <w:rsid w:val="009E28D5"/>
    <w:rsid w:val="009E2A1E"/>
    <w:rsid w:val="009E2BA6"/>
    <w:rsid w:val="009E2E2A"/>
    <w:rsid w:val="009E43B9"/>
    <w:rsid w:val="009E4978"/>
    <w:rsid w:val="009E4EFD"/>
    <w:rsid w:val="009E5B58"/>
    <w:rsid w:val="009E61A6"/>
    <w:rsid w:val="009E63A4"/>
    <w:rsid w:val="009E6469"/>
    <w:rsid w:val="009E6C0C"/>
    <w:rsid w:val="009E6C3C"/>
    <w:rsid w:val="009E74D6"/>
    <w:rsid w:val="009E75F0"/>
    <w:rsid w:val="009E77FE"/>
    <w:rsid w:val="009E7ACE"/>
    <w:rsid w:val="009E7B2A"/>
    <w:rsid w:val="009E7B2D"/>
    <w:rsid w:val="009E7BC5"/>
    <w:rsid w:val="009E7D81"/>
    <w:rsid w:val="009E7E40"/>
    <w:rsid w:val="009F08C5"/>
    <w:rsid w:val="009F14FF"/>
    <w:rsid w:val="009F1B1D"/>
    <w:rsid w:val="009F1E27"/>
    <w:rsid w:val="009F1FC8"/>
    <w:rsid w:val="009F25C2"/>
    <w:rsid w:val="009F2646"/>
    <w:rsid w:val="009F2825"/>
    <w:rsid w:val="009F2AEF"/>
    <w:rsid w:val="009F2EE7"/>
    <w:rsid w:val="009F3968"/>
    <w:rsid w:val="009F3F21"/>
    <w:rsid w:val="009F3F8F"/>
    <w:rsid w:val="009F4885"/>
    <w:rsid w:val="009F49C9"/>
    <w:rsid w:val="009F4A54"/>
    <w:rsid w:val="009F534A"/>
    <w:rsid w:val="009F5C19"/>
    <w:rsid w:val="009F5C7C"/>
    <w:rsid w:val="009F5E08"/>
    <w:rsid w:val="009F5F48"/>
    <w:rsid w:val="009F5F77"/>
    <w:rsid w:val="009F6011"/>
    <w:rsid w:val="009F7480"/>
    <w:rsid w:val="009F76BC"/>
    <w:rsid w:val="009F7AC4"/>
    <w:rsid w:val="00A00076"/>
    <w:rsid w:val="00A014D0"/>
    <w:rsid w:val="00A01CB7"/>
    <w:rsid w:val="00A03B6E"/>
    <w:rsid w:val="00A03BDF"/>
    <w:rsid w:val="00A04246"/>
    <w:rsid w:val="00A0435B"/>
    <w:rsid w:val="00A04463"/>
    <w:rsid w:val="00A0472D"/>
    <w:rsid w:val="00A053EE"/>
    <w:rsid w:val="00A05998"/>
    <w:rsid w:val="00A05A5D"/>
    <w:rsid w:val="00A05CCE"/>
    <w:rsid w:val="00A0649E"/>
    <w:rsid w:val="00A06F42"/>
    <w:rsid w:val="00A0726B"/>
    <w:rsid w:val="00A072EF"/>
    <w:rsid w:val="00A07492"/>
    <w:rsid w:val="00A07522"/>
    <w:rsid w:val="00A07B57"/>
    <w:rsid w:val="00A07C7D"/>
    <w:rsid w:val="00A100E1"/>
    <w:rsid w:val="00A1083C"/>
    <w:rsid w:val="00A11246"/>
    <w:rsid w:val="00A1137F"/>
    <w:rsid w:val="00A1150E"/>
    <w:rsid w:val="00A1157C"/>
    <w:rsid w:val="00A11877"/>
    <w:rsid w:val="00A11B6A"/>
    <w:rsid w:val="00A122D4"/>
    <w:rsid w:val="00A126CA"/>
    <w:rsid w:val="00A127AA"/>
    <w:rsid w:val="00A12C66"/>
    <w:rsid w:val="00A1302F"/>
    <w:rsid w:val="00A134A7"/>
    <w:rsid w:val="00A139ED"/>
    <w:rsid w:val="00A13EDA"/>
    <w:rsid w:val="00A13F50"/>
    <w:rsid w:val="00A14BE8"/>
    <w:rsid w:val="00A15148"/>
    <w:rsid w:val="00A15440"/>
    <w:rsid w:val="00A15477"/>
    <w:rsid w:val="00A15569"/>
    <w:rsid w:val="00A155B1"/>
    <w:rsid w:val="00A15782"/>
    <w:rsid w:val="00A15BF1"/>
    <w:rsid w:val="00A16A21"/>
    <w:rsid w:val="00A16EA4"/>
    <w:rsid w:val="00A1751C"/>
    <w:rsid w:val="00A1768E"/>
    <w:rsid w:val="00A2010E"/>
    <w:rsid w:val="00A20BC9"/>
    <w:rsid w:val="00A20EB0"/>
    <w:rsid w:val="00A220F4"/>
    <w:rsid w:val="00A221C1"/>
    <w:rsid w:val="00A23549"/>
    <w:rsid w:val="00A23A26"/>
    <w:rsid w:val="00A23D7E"/>
    <w:rsid w:val="00A23EFB"/>
    <w:rsid w:val="00A23F85"/>
    <w:rsid w:val="00A24089"/>
    <w:rsid w:val="00A241F7"/>
    <w:rsid w:val="00A241FF"/>
    <w:rsid w:val="00A252C2"/>
    <w:rsid w:val="00A25796"/>
    <w:rsid w:val="00A259C7"/>
    <w:rsid w:val="00A25A82"/>
    <w:rsid w:val="00A26190"/>
    <w:rsid w:val="00A26300"/>
    <w:rsid w:val="00A26651"/>
    <w:rsid w:val="00A26699"/>
    <w:rsid w:val="00A2681F"/>
    <w:rsid w:val="00A2729A"/>
    <w:rsid w:val="00A27690"/>
    <w:rsid w:val="00A27DE7"/>
    <w:rsid w:val="00A30643"/>
    <w:rsid w:val="00A30A45"/>
    <w:rsid w:val="00A30D6E"/>
    <w:rsid w:val="00A30FD3"/>
    <w:rsid w:val="00A31134"/>
    <w:rsid w:val="00A3151D"/>
    <w:rsid w:val="00A31857"/>
    <w:rsid w:val="00A31D1F"/>
    <w:rsid w:val="00A32730"/>
    <w:rsid w:val="00A328C8"/>
    <w:rsid w:val="00A33CFD"/>
    <w:rsid w:val="00A34130"/>
    <w:rsid w:val="00A34E3B"/>
    <w:rsid w:val="00A34F28"/>
    <w:rsid w:val="00A34FEB"/>
    <w:rsid w:val="00A359EE"/>
    <w:rsid w:val="00A36289"/>
    <w:rsid w:val="00A365B1"/>
    <w:rsid w:val="00A36670"/>
    <w:rsid w:val="00A36E2E"/>
    <w:rsid w:val="00A375D9"/>
    <w:rsid w:val="00A376AD"/>
    <w:rsid w:val="00A40243"/>
    <w:rsid w:val="00A40624"/>
    <w:rsid w:val="00A40AC2"/>
    <w:rsid w:val="00A40B73"/>
    <w:rsid w:val="00A40DD5"/>
    <w:rsid w:val="00A4114F"/>
    <w:rsid w:val="00A41220"/>
    <w:rsid w:val="00A4195B"/>
    <w:rsid w:val="00A42105"/>
    <w:rsid w:val="00A429B5"/>
    <w:rsid w:val="00A429FA"/>
    <w:rsid w:val="00A42B15"/>
    <w:rsid w:val="00A42BC0"/>
    <w:rsid w:val="00A42ED6"/>
    <w:rsid w:val="00A43C87"/>
    <w:rsid w:val="00A44507"/>
    <w:rsid w:val="00A44A2D"/>
    <w:rsid w:val="00A44DBC"/>
    <w:rsid w:val="00A44DE9"/>
    <w:rsid w:val="00A45140"/>
    <w:rsid w:val="00A45369"/>
    <w:rsid w:val="00A4538D"/>
    <w:rsid w:val="00A4550B"/>
    <w:rsid w:val="00A4573B"/>
    <w:rsid w:val="00A45A43"/>
    <w:rsid w:val="00A462DF"/>
    <w:rsid w:val="00A46A98"/>
    <w:rsid w:val="00A46F9A"/>
    <w:rsid w:val="00A4737A"/>
    <w:rsid w:val="00A4754C"/>
    <w:rsid w:val="00A476E8"/>
    <w:rsid w:val="00A478BA"/>
    <w:rsid w:val="00A47D98"/>
    <w:rsid w:val="00A5002E"/>
    <w:rsid w:val="00A5003A"/>
    <w:rsid w:val="00A50F06"/>
    <w:rsid w:val="00A51047"/>
    <w:rsid w:val="00A524F4"/>
    <w:rsid w:val="00A526CE"/>
    <w:rsid w:val="00A526E2"/>
    <w:rsid w:val="00A52714"/>
    <w:rsid w:val="00A52831"/>
    <w:rsid w:val="00A5286C"/>
    <w:rsid w:val="00A52871"/>
    <w:rsid w:val="00A52CE2"/>
    <w:rsid w:val="00A53458"/>
    <w:rsid w:val="00A538CC"/>
    <w:rsid w:val="00A53B01"/>
    <w:rsid w:val="00A53CFD"/>
    <w:rsid w:val="00A5405B"/>
    <w:rsid w:val="00A5442C"/>
    <w:rsid w:val="00A549A1"/>
    <w:rsid w:val="00A54A71"/>
    <w:rsid w:val="00A54EB6"/>
    <w:rsid w:val="00A550C5"/>
    <w:rsid w:val="00A550F8"/>
    <w:rsid w:val="00A5593D"/>
    <w:rsid w:val="00A55B26"/>
    <w:rsid w:val="00A565BF"/>
    <w:rsid w:val="00A56D5F"/>
    <w:rsid w:val="00A56DE1"/>
    <w:rsid w:val="00A57161"/>
    <w:rsid w:val="00A57834"/>
    <w:rsid w:val="00A57BB3"/>
    <w:rsid w:val="00A57EB7"/>
    <w:rsid w:val="00A6074A"/>
    <w:rsid w:val="00A63664"/>
    <w:rsid w:val="00A63CBA"/>
    <w:rsid w:val="00A63D0B"/>
    <w:rsid w:val="00A6429B"/>
    <w:rsid w:val="00A644A6"/>
    <w:rsid w:val="00A64639"/>
    <w:rsid w:val="00A64B92"/>
    <w:rsid w:val="00A64F6D"/>
    <w:rsid w:val="00A65305"/>
    <w:rsid w:val="00A653C2"/>
    <w:rsid w:val="00A6550B"/>
    <w:rsid w:val="00A66260"/>
    <w:rsid w:val="00A66326"/>
    <w:rsid w:val="00A66CE7"/>
    <w:rsid w:val="00A66D1D"/>
    <w:rsid w:val="00A673F7"/>
    <w:rsid w:val="00A67A6F"/>
    <w:rsid w:val="00A67E1F"/>
    <w:rsid w:val="00A70031"/>
    <w:rsid w:val="00A7049F"/>
    <w:rsid w:val="00A708A7"/>
    <w:rsid w:val="00A70D90"/>
    <w:rsid w:val="00A7125C"/>
    <w:rsid w:val="00A7162C"/>
    <w:rsid w:val="00A723AA"/>
    <w:rsid w:val="00A7247C"/>
    <w:rsid w:val="00A728BA"/>
    <w:rsid w:val="00A73238"/>
    <w:rsid w:val="00A7426F"/>
    <w:rsid w:val="00A743EB"/>
    <w:rsid w:val="00A74AFB"/>
    <w:rsid w:val="00A74BD1"/>
    <w:rsid w:val="00A7523A"/>
    <w:rsid w:val="00A7543A"/>
    <w:rsid w:val="00A757B6"/>
    <w:rsid w:val="00A75964"/>
    <w:rsid w:val="00A75C23"/>
    <w:rsid w:val="00A75F68"/>
    <w:rsid w:val="00A764C7"/>
    <w:rsid w:val="00A76A40"/>
    <w:rsid w:val="00A7711E"/>
    <w:rsid w:val="00A77565"/>
    <w:rsid w:val="00A801C8"/>
    <w:rsid w:val="00A80B24"/>
    <w:rsid w:val="00A80D88"/>
    <w:rsid w:val="00A812D5"/>
    <w:rsid w:val="00A81977"/>
    <w:rsid w:val="00A820D0"/>
    <w:rsid w:val="00A82B80"/>
    <w:rsid w:val="00A831E8"/>
    <w:rsid w:val="00A83268"/>
    <w:rsid w:val="00A832F9"/>
    <w:rsid w:val="00A83CF6"/>
    <w:rsid w:val="00A83F40"/>
    <w:rsid w:val="00A85085"/>
    <w:rsid w:val="00A85360"/>
    <w:rsid w:val="00A85B30"/>
    <w:rsid w:val="00A85C5B"/>
    <w:rsid w:val="00A85D66"/>
    <w:rsid w:val="00A86391"/>
    <w:rsid w:val="00A86E1B"/>
    <w:rsid w:val="00A878E4"/>
    <w:rsid w:val="00A87B11"/>
    <w:rsid w:val="00A87BDA"/>
    <w:rsid w:val="00A90720"/>
    <w:rsid w:val="00A90A78"/>
    <w:rsid w:val="00A9146D"/>
    <w:rsid w:val="00A91778"/>
    <w:rsid w:val="00A9189A"/>
    <w:rsid w:val="00A91A77"/>
    <w:rsid w:val="00A91BC9"/>
    <w:rsid w:val="00A91C22"/>
    <w:rsid w:val="00A91F3E"/>
    <w:rsid w:val="00A93634"/>
    <w:rsid w:val="00A93697"/>
    <w:rsid w:val="00A93722"/>
    <w:rsid w:val="00A93BCC"/>
    <w:rsid w:val="00A93D64"/>
    <w:rsid w:val="00A9405F"/>
    <w:rsid w:val="00A9450E"/>
    <w:rsid w:val="00A94950"/>
    <w:rsid w:val="00A949BB"/>
    <w:rsid w:val="00A94E92"/>
    <w:rsid w:val="00A95937"/>
    <w:rsid w:val="00A9648D"/>
    <w:rsid w:val="00A96702"/>
    <w:rsid w:val="00A96943"/>
    <w:rsid w:val="00A96C8E"/>
    <w:rsid w:val="00A96CD4"/>
    <w:rsid w:val="00A96DF5"/>
    <w:rsid w:val="00A97BA0"/>
    <w:rsid w:val="00AA03D1"/>
    <w:rsid w:val="00AA0F62"/>
    <w:rsid w:val="00AA199E"/>
    <w:rsid w:val="00AA1C53"/>
    <w:rsid w:val="00AA1D33"/>
    <w:rsid w:val="00AA2488"/>
    <w:rsid w:val="00AA36BA"/>
    <w:rsid w:val="00AA3B87"/>
    <w:rsid w:val="00AA3D4B"/>
    <w:rsid w:val="00AA3F64"/>
    <w:rsid w:val="00AA4922"/>
    <w:rsid w:val="00AA4ACF"/>
    <w:rsid w:val="00AA64CC"/>
    <w:rsid w:val="00AA750D"/>
    <w:rsid w:val="00AA7695"/>
    <w:rsid w:val="00AA7D51"/>
    <w:rsid w:val="00AB0326"/>
    <w:rsid w:val="00AB1078"/>
    <w:rsid w:val="00AB188A"/>
    <w:rsid w:val="00AB1A12"/>
    <w:rsid w:val="00AB20A8"/>
    <w:rsid w:val="00AB22F4"/>
    <w:rsid w:val="00AB26F9"/>
    <w:rsid w:val="00AB2971"/>
    <w:rsid w:val="00AB2F5E"/>
    <w:rsid w:val="00AB3AE0"/>
    <w:rsid w:val="00AB4453"/>
    <w:rsid w:val="00AB4D3F"/>
    <w:rsid w:val="00AB5B36"/>
    <w:rsid w:val="00AB71AC"/>
    <w:rsid w:val="00AB766D"/>
    <w:rsid w:val="00AB78BF"/>
    <w:rsid w:val="00AB7A00"/>
    <w:rsid w:val="00AC0647"/>
    <w:rsid w:val="00AC0705"/>
    <w:rsid w:val="00AC0744"/>
    <w:rsid w:val="00AC0AE7"/>
    <w:rsid w:val="00AC0DBB"/>
    <w:rsid w:val="00AC0EA7"/>
    <w:rsid w:val="00AC135A"/>
    <w:rsid w:val="00AC1B38"/>
    <w:rsid w:val="00AC1FF7"/>
    <w:rsid w:val="00AC2684"/>
    <w:rsid w:val="00AC2A4B"/>
    <w:rsid w:val="00AC2DFD"/>
    <w:rsid w:val="00AC30F5"/>
    <w:rsid w:val="00AC3736"/>
    <w:rsid w:val="00AC380E"/>
    <w:rsid w:val="00AC3CE4"/>
    <w:rsid w:val="00AC432F"/>
    <w:rsid w:val="00AC5900"/>
    <w:rsid w:val="00AC5F21"/>
    <w:rsid w:val="00AC5F32"/>
    <w:rsid w:val="00AC627B"/>
    <w:rsid w:val="00AC6D1F"/>
    <w:rsid w:val="00AC741E"/>
    <w:rsid w:val="00AC762E"/>
    <w:rsid w:val="00AD03E1"/>
    <w:rsid w:val="00AD0683"/>
    <w:rsid w:val="00AD0EC9"/>
    <w:rsid w:val="00AD131D"/>
    <w:rsid w:val="00AD1AA9"/>
    <w:rsid w:val="00AD2890"/>
    <w:rsid w:val="00AD2899"/>
    <w:rsid w:val="00AD2999"/>
    <w:rsid w:val="00AD2CC0"/>
    <w:rsid w:val="00AD332C"/>
    <w:rsid w:val="00AD3651"/>
    <w:rsid w:val="00AD388B"/>
    <w:rsid w:val="00AD3CD4"/>
    <w:rsid w:val="00AD4D66"/>
    <w:rsid w:val="00AD58C8"/>
    <w:rsid w:val="00AD62AC"/>
    <w:rsid w:val="00AD64B0"/>
    <w:rsid w:val="00AD731D"/>
    <w:rsid w:val="00AD7FD2"/>
    <w:rsid w:val="00AE0189"/>
    <w:rsid w:val="00AE04B4"/>
    <w:rsid w:val="00AE0C4D"/>
    <w:rsid w:val="00AE0F3E"/>
    <w:rsid w:val="00AE11D1"/>
    <w:rsid w:val="00AE1682"/>
    <w:rsid w:val="00AE1836"/>
    <w:rsid w:val="00AE249F"/>
    <w:rsid w:val="00AE2941"/>
    <w:rsid w:val="00AE2F8D"/>
    <w:rsid w:val="00AE3150"/>
    <w:rsid w:val="00AE33F2"/>
    <w:rsid w:val="00AE3E2F"/>
    <w:rsid w:val="00AE3EB5"/>
    <w:rsid w:val="00AE4BD8"/>
    <w:rsid w:val="00AE51C7"/>
    <w:rsid w:val="00AE52C1"/>
    <w:rsid w:val="00AE542A"/>
    <w:rsid w:val="00AE562F"/>
    <w:rsid w:val="00AE5754"/>
    <w:rsid w:val="00AE612C"/>
    <w:rsid w:val="00AE655E"/>
    <w:rsid w:val="00AF0064"/>
    <w:rsid w:val="00AF0529"/>
    <w:rsid w:val="00AF05F2"/>
    <w:rsid w:val="00AF1B7C"/>
    <w:rsid w:val="00AF1D43"/>
    <w:rsid w:val="00AF20D4"/>
    <w:rsid w:val="00AF2307"/>
    <w:rsid w:val="00AF243A"/>
    <w:rsid w:val="00AF266E"/>
    <w:rsid w:val="00AF2D1B"/>
    <w:rsid w:val="00AF2E54"/>
    <w:rsid w:val="00AF4507"/>
    <w:rsid w:val="00AF4B5F"/>
    <w:rsid w:val="00AF4BE3"/>
    <w:rsid w:val="00AF4FBC"/>
    <w:rsid w:val="00AF545D"/>
    <w:rsid w:val="00AF57DC"/>
    <w:rsid w:val="00AF5962"/>
    <w:rsid w:val="00AF5F65"/>
    <w:rsid w:val="00AF5FA9"/>
    <w:rsid w:val="00AF62E2"/>
    <w:rsid w:val="00AF66F5"/>
    <w:rsid w:val="00AF6B61"/>
    <w:rsid w:val="00AF7640"/>
    <w:rsid w:val="00AF7C4E"/>
    <w:rsid w:val="00AF7C59"/>
    <w:rsid w:val="00B006B5"/>
    <w:rsid w:val="00B00761"/>
    <w:rsid w:val="00B02F20"/>
    <w:rsid w:val="00B03ABA"/>
    <w:rsid w:val="00B03E36"/>
    <w:rsid w:val="00B04376"/>
    <w:rsid w:val="00B05E83"/>
    <w:rsid w:val="00B065B5"/>
    <w:rsid w:val="00B06BCA"/>
    <w:rsid w:val="00B07173"/>
    <w:rsid w:val="00B07252"/>
    <w:rsid w:val="00B07998"/>
    <w:rsid w:val="00B1045F"/>
    <w:rsid w:val="00B10AE8"/>
    <w:rsid w:val="00B10BA4"/>
    <w:rsid w:val="00B11162"/>
    <w:rsid w:val="00B1171C"/>
    <w:rsid w:val="00B11E55"/>
    <w:rsid w:val="00B12047"/>
    <w:rsid w:val="00B1268C"/>
    <w:rsid w:val="00B1295C"/>
    <w:rsid w:val="00B1327C"/>
    <w:rsid w:val="00B1386A"/>
    <w:rsid w:val="00B139A1"/>
    <w:rsid w:val="00B13A76"/>
    <w:rsid w:val="00B13B0B"/>
    <w:rsid w:val="00B13FC3"/>
    <w:rsid w:val="00B14647"/>
    <w:rsid w:val="00B146C7"/>
    <w:rsid w:val="00B14747"/>
    <w:rsid w:val="00B150C9"/>
    <w:rsid w:val="00B1579A"/>
    <w:rsid w:val="00B15AE3"/>
    <w:rsid w:val="00B165E2"/>
    <w:rsid w:val="00B1715D"/>
    <w:rsid w:val="00B17AE8"/>
    <w:rsid w:val="00B17F42"/>
    <w:rsid w:val="00B201D2"/>
    <w:rsid w:val="00B2070B"/>
    <w:rsid w:val="00B20D97"/>
    <w:rsid w:val="00B20DB3"/>
    <w:rsid w:val="00B20E60"/>
    <w:rsid w:val="00B220EA"/>
    <w:rsid w:val="00B220F4"/>
    <w:rsid w:val="00B22482"/>
    <w:rsid w:val="00B224B5"/>
    <w:rsid w:val="00B22574"/>
    <w:rsid w:val="00B23474"/>
    <w:rsid w:val="00B235DC"/>
    <w:rsid w:val="00B237B3"/>
    <w:rsid w:val="00B237CD"/>
    <w:rsid w:val="00B23BB7"/>
    <w:rsid w:val="00B23BE0"/>
    <w:rsid w:val="00B23D07"/>
    <w:rsid w:val="00B242BE"/>
    <w:rsid w:val="00B2477B"/>
    <w:rsid w:val="00B24B56"/>
    <w:rsid w:val="00B24B9F"/>
    <w:rsid w:val="00B253F2"/>
    <w:rsid w:val="00B2581E"/>
    <w:rsid w:val="00B25909"/>
    <w:rsid w:val="00B25913"/>
    <w:rsid w:val="00B25DBE"/>
    <w:rsid w:val="00B2622E"/>
    <w:rsid w:val="00B278EF"/>
    <w:rsid w:val="00B3023B"/>
    <w:rsid w:val="00B30414"/>
    <w:rsid w:val="00B3145A"/>
    <w:rsid w:val="00B31CA1"/>
    <w:rsid w:val="00B3207F"/>
    <w:rsid w:val="00B3217F"/>
    <w:rsid w:val="00B32463"/>
    <w:rsid w:val="00B32EA9"/>
    <w:rsid w:val="00B33FFE"/>
    <w:rsid w:val="00B343C8"/>
    <w:rsid w:val="00B34494"/>
    <w:rsid w:val="00B345E5"/>
    <w:rsid w:val="00B34738"/>
    <w:rsid w:val="00B34B4C"/>
    <w:rsid w:val="00B34C57"/>
    <w:rsid w:val="00B355BE"/>
    <w:rsid w:val="00B3594B"/>
    <w:rsid w:val="00B359F4"/>
    <w:rsid w:val="00B35B0F"/>
    <w:rsid w:val="00B36438"/>
    <w:rsid w:val="00B36488"/>
    <w:rsid w:val="00B3741D"/>
    <w:rsid w:val="00B37860"/>
    <w:rsid w:val="00B3794A"/>
    <w:rsid w:val="00B37D87"/>
    <w:rsid w:val="00B37F1D"/>
    <w:rsid w:val="00B37F39"/>
    <w:rsid w:val="00B401FC"/>
    <w:rsid w:val="00B40648"/>
    <w:rsid w:val="00B407DE"/>
    <w:rsid w:val="00B40800"/>
    <w:rsid w:val="00B40907"/>
    <w:rsid w:val="00B40F3D"/>
    <w:rsid w:val="00B41A21"/>
    <w:rsid w:val="00B41E48"/>
    <w:rsid w:val="00B41EDD"/>
    <w:rsid w:val="00B422A0"/>
    <w:rsid w:val="00B42F5B"/>
    <w:rsid w:val="00B43287"/>
    <w:rsid w:val="00B435A6"/>
    <w:rsid w:val="00B43FC4"/>
    <w:rsid w:val="00B44634"/>
    <w:rsid w:val="00B4465C"/>
    <w:rsid w:val="00B4473B"/>
    <w:rsid w:val="00B45045"/>
    <w:rsid w:val="00B4663C"/>
    <w:rsid w:val="00B46B2B"/>
    <w:rsid w:val="00B47202"/>
    <w:rsid w:val="00B4731E"/>
    <w:rsid w:val="00B473E2"/>
    <w:rsid w:val="00B50043"/>
    <w:rsid w:val="00B509E4"/>
    <w:rsid w:val="00B50A65"/>
    <w:rsid w:val="00B50E95"/>
    <w:rsid w:val="00B50EDB"/>
    <w:rsid w:val="00B51594"/>
    <w:rsid w:val="00B515BB"/>
    <w:rsid w:val="00B51821"/>
    <w:rsid w:val="00B518AD"/>
    <w:rsid w:val="00B52DA6"/>
    <w:rsid w:val="00B53415"/>
    <w:rsid w:val="00B53D53"/>
    <w:rsid w:val="00B53EE6"/>
    <w:rsid w:val="00B5498F"/>
    <w:rsid w:val="00B550B8"/>
    <w:rsid w:val="00B5528F"/>
    <w:rsid w:val="00B5533B"/>
    <w:rsid w:val="00B553BC"/>
    <w:rsid w:val="00B555EC"/>
    <w:rsid w:val="00B55DE6"/>
    <w:rsid w:val="00B55DF9"/>
    <w:rsid w:val="00B563CF"/>
    <w:rsid w:val="00B569C0"/>
    <w:rsid w:val="00B569F5"/>
    <w:rsid w:val="00B56E0E"/>
    <w:rsid w:val="00B57561"/>
    <w:rsid w:val="00B578F2"/>
    <w:rsid w:val="00B579C5"/>
    <w:rsid w:val="00B579FA"/>
    <w:rsid w:val="00B57C37"/>
    <w:rsid w:val="00B57FEB"/>
    <w:rsid w:val="00B60B4D"/>
    <w:rsid w:val="00B61459"/>
    <w:rsid w:val="00B61929"/>
    <w:rsid w:val="00B61B47"/>
    <w:rsid w:val="00B62367"/>
    <w:rsid w:val="00B625CA"/>
    <w:rsid w:val="00B627A7"/>
    <w:rsid w:val="00B63D22"/>
    <w:rsid w:val="00B653E7"/>
    <w:rsid w:val="00B657E4"/>
    <w:rsid w:val="00B658BF"/>
    <w:rsid w:val="00B658F1"/>
    <w:rsid w:val="00B660E5"/>
    <w:rsid w:val="00B66CF3"/>
    <w:rsid w:val="00B66D3F"/>
    <w:rsid w:val="00B6742A"/>
    <w:rsid w:val="00B67E61"/>
    <w:rsid w:val="00B67F9F"/>
    <w:rsid w:val="00B7011F"/>
    <w:rsid w:val="00B70D78"/>
    <w:rsid w:val="00B713BF"/>
    <w:rsid w:val="00B71728"/>
    <w:rsid w:val="00B73325"/>
    <w:rsid w:val="00B735D2"/>
    <w:rsid w:val="00B7391D"/>
    <w:rsid w:val="00B73FDC"/>
    <w:rsid w:val="00B7536C"/>
    <w:rsid w:val="00B767E3"/>
    <w:rsid w:val="00B76B55"/>
    <w:rsid w:val="00B77131"/>
    <w:rsid w:val="00B7784D"/>
    <w:rsid w:val="00B80409"/>
    <w:rsid w:val="00B8076C"/>
    <w:rsid w:val="00B81A55"/>
    <w:rsid w:val="00B826FD"/>
    <w:rsid w:val="00B8283B"/>
    <w:rsid w:val="00B82BB7"/>
    <w:rsid w:val="00B834FB"/>
    <w:rsid w:val="00B84F78"/>
    <w:rsid w:val="00B8556E"/>
    <w:rsid w:val="00B85855"/>
    <w:rsid w:val="00B85931"/>
    <w:rsid w:val="00B86096"/>
    <w:rsid w:val="00B863B5"/>
    <w:rsid w:val="00B868C6"/>
    <w:rsid w:val="00B86A80"/>
    <w:rsid w:val="00B86B97"/>
    <w:rsid w:val="00B86BBD"/>
    <w:rsid w:val="00B86E0A"/>
    <w:rsid w:val="00B86EEC"/>
    <w:rsid w:val="00B871B9"/>
    <w:rsid w:val="00B87468"/>
    <w:rsid w:val="00B87786"/>
    <w:rsid w:val="00B87D20"/>
    <w:rsid w:val="00B87FA2"/>
    <w:rsid w:val="00B9023D"/>
    <w:rsid w:val="00B90264"/>
    <w:rsid w:val="00B90C8B"/>
    <w:rsid w:val="00B90E7B"/>
    <w:rsid w:val="00B91094"/>
    <w:rsid w:val="00B9143C"/>
    <w:rsid w:val="00B9159B"/>
    <w:rsid w:val="00B91A6A"/>
    <w:rsid w:val="00B92477"/>
    <w:rsid w:val="00B9279E"/>
    <w:rsid w:val="00B92A1C"/>
    <w:rsid w:val="00B92A35"/>
    <w:rsid w:val="00B92F18"/>
    <w:rsid w:val="00B93211"/>
    <w:rsid w:val="00B9329B"/>
    <w:rsid w:val="00B93680"/>
    <w:rsid w:val="00B93DE8"/>
    <w:rsid w:val="00B94645"/>
    <w:rsid w:val="00B95AF2"/>
    <w:rsid w:val="00B95CB4"/>
    <w:rsid w:val="00B95CFF"/>
    <w:rsid w:val="00B9615B"/>
    <w:rsid w:val="00B961BC"/>
    <w:rsid w:val="00B96A64"/>
    <w:rsid w:val="00B970F3"/>
    <w:rsid w:val="00B9736A"/>
    <w:rsid w:val="00B97620"/>
    <w:rsid w:val="00B979A7"/>
    <w:rsid w:val="00B97B13"/>
    <w:rsid w:val="00BA034E"/>
    <w:rsid w:val="00BA08AE"/>
    <w:rsid w:val="00BA0D07"/>
    <w:rsid w:val="00BA1361"/>
    <w:rsid w:val="00BA1ADD"/>
    <w:rsid w:val="00BA1D10"/>
    <w:rsid w:val="00BA1FD3"/>
    <w:rsid w:val="00BA2070"/>
    <w:rsid w:val="00BA290B"/>
    <w:rsid w:val="00BA2F6B"/>
    <w:rsid w:val="00BA30E4"/>
    <w:rsid w:val="00BA3565"/>
    <w:rsid w:val="00BA3681"/>
    <w:rsid w:val="00BA36C9"/>
    <w:rsid w:val="00BA37A2"/>
    <w:rsid w:val="00BA3802"/>
    <w:rsid w:val="00BA38D0"/>
    <w:rsid w:val="00BA3AEF"/>
    <w:rsid w:val="00BA3ED0"/>
    <w:rsid w:val="00BA417E"/>
    <w:rsid w:val="00BA43FC"/>
    <w:rsid w:val="00BA4459"/>
    <w:rsid w:val="00BA4981"/>
    <w:rsid w:val="00BA4B1B"/>
    <w:rsid w:val="00BA4B76"/>
    <w:rsid w:val="00BA51F1"/>
    <w:rsid w:val="00BA5481"/>
    <w:rsid w:val="00BA5AC3"/>
    <w:rsid w:val="00BA602E"/>
    <w:rsid w:val="00BA66F3"/>
    <w:rsid w:val="00BA68EF"/>
    <w:rsid w:val="00BA6E86"/>
    <w:rsid w:val="00BA7156"/>
    <w:rsid w:val="00BA7391"/>
    <w:rsid w:val="00BA795E"/>
    <w:rsid w:val="00BA7B7F"/>
    <w:rsid w:val="00BA7CBE"/>
    <w:rsid w:val="00BB0213"/>
    <w:rsid w:val="00BB040A"/>
    <w:rsid w:val="00BB06BE"/>
    <w:rsid w:val="00BB0D3F"/>
    <w:rsid w:val="00BB113F"/>
    <w:rsid w:val="00BB1E03"/>
    <w:rsid w:val="00BB210B"/>
    <w:rsid w:val="00BB2333"/>
    <w:rsid w:val="00BB252E"/>
    <w:rsid w:val="00BB314A"/>
    <w:rsid w:val="00BB3FC7"/>
    <w:rsid w:val="00BB40B3"/>
    <w:rsid w:val="00BB4324"/>
    <w:rsid w:val="00BB43FF"/>
    <w:rsid w:val="00BB4850"/>
    <w:rsid w:val="00BB4962"/>
    <w:rsid w:val="00BB5B14"/>
    <w:rsid w:val="00BB5C30"/>
    <w:rsid w:val="00BB61E8"/>
    <w:rsid w:val="00BB639C"/>
    <w:rsid w:val="00BB6A68"/>
    <w:rsid w:val="00BB6FC2"/>
    <w:rsid w:val="00BB70E1"/>
    <w:rsid w:val="00BB73D7"/>
    <w:rsid w:val="00BB751E"/>
    <w:rsid w:val="00BB76F8"/>
    <w:rsid w:val="00BB7BF0"/>
    <w:rsid w:val="00BC0169"/>
    <w:rsid w:val="00BC141E"/>
    <w:rsid w:val="00BC18F7"/>
    <w:rsid w:val="00BC24B2"/>
    <w:rsid w:val="00BC2B42"/>
    <w:rsid w:val="00BC2C35"/>
    <w:rsid w:val="00BC364B"/>
    <w:rsid w:val="00BC38D0"/>
    <w:rsid w:val="00BC39F2"/>
    <w:rsid w:val="00BC3AAC"/>
    <w:rsid w:val="00BC45C3"/>
    <w:rsid w:val="00BC54EB"/>
    <w:rsid w:val="00BC5A2E"/>
    <w:rsid w:val="00BC5C4D"/>
    <w:rsid w:val="00BC5DF5"/>
    <w:rsid w:val="00BC5F60"/>
    <w:rsid w:val="00BC6740"/>
    <w:rsid w:val="00BC69C0"/>
    <w:rsid w:val="00BC7273"/>
    <w:rsid w:val="00BC7665"/>
    <w:rsid w:val="00BC76B9"/>
    <w:rsid w:val="00BC7BED"/>
    <w:rsid w:val="00BD0389"/>
    <w:rsid w:val="00BD0557"/>
    <w:rsid w:val="00BD07EE"/>
    <w:rsid w:val="00BD0B95"/>
    <w:rsid w:val="00BD1198"/>
    <w:rsid w:val="00BD1334"/>
    <w:rsid w:val="00BD196D"/>
    <w:rsid w:val="00BD1DD0"/>
    <w:rsid w:val="00BD24D9"/>
    <w:rsid w:val="00BD2A69"/>
    <w:rsid w:val="00BD2F2A"/>
    <w:rsid w:val="00BD30DE"/>
    <w:rsid w:val="00BD39A6"/>
    <w:rsid w:val="00BD3BDF"/>
    <w:rsid w:val="00BD442C"/>
    <w:rsid w:val="00BD52B7"/>
    <w:rsid w:val="00BD550B"/>
    <w:rsid w:val="00BD5BA9"/>
    <w:rsid w:val="00BD601E"/>
    <w:rsid w:val="00BD653A"/>
    <w:rsid w:val="00BD6E2B"/>
    <w:rsid w:val="00BD7B94"/>
    <w:rsid w:val="00BD7ED5"/>
    <w:rsid w:val="00BE0095"/>
    <w:rsid w:val="00BE0530"/>
    <w:rsid w:val="00BE0D8C"/>
    <w:rsid w:val="00BE11F7"/>
    <w:rsid w:val="00BE138B"/>
    <w:rsid w:val="00BE16AB"/>
    <w:rsid w:val="00BE1E3B"/>
    <w:rsid w:val="00BE28E5"/>
    <w:rsid w:val="00BE3032"/>
    <w:rsid w:val="00BE303D"/>
    <w:rsid w:val="00BE4337"/>
    <w:rsid w:val="00BE4495"/>
    <w:rsid w:val="00BE4907"/>
    <w:rsid w:val="00BE49B8"/>
    <w:rsid w:val="00BE55AF"/>
    <w:rsid w:val="00BE56B6"/>
    <w:rsid w:val="00BE5817"/>
    <w:rsid w:val="00BE5B02"/>
    <w:rsid w:val="00BE5DC9"/>
    <w:rsid w:val="00BE5FB1"/>
    <w:rsid w:val="00BE6248"/>
    <w:rsid w:val="00BE695F"/>
    <w:rsid w:val="00BE7816"/>
    <w:rsid w:val="00BE7882"/>
    <w:rsid w:val="00BE7E82"/>
    <w:rsid w:val="00BE7F5C"/>
    <w:rsid w:val="00BF051D"/>
    <w:rsid w:val="00BF0542"/>
    <w:rsid w:val="00BF0547"/>
    <w:rsid w:val="00BF08E7"/>
    <w:rsid w:val="00BF0A42"/>
    <w:rsid w:val="00BF0E88"/>
    <w:rsid w:val="00BF1194"/>
    <w:rsid w:val="00BF1445"/>
    <w:rsid w:val="00BF16FB"/>
    <w:rsid w:val="00BF1B01"/>
    <w:rsid w:val="00BF1E3F"/>
    <w:rsid w:val="00BF1FD0"/>
    <w:rsid w:val="00BF204A"/>
    <w:rsid w:val="00BF217E"/>
    <w:rsid w:val="00BF22B1"/>
    <w:rsid w:val="00BF2383"/>
    <w:rsid w:val="00BF327C"/>
    <w:rsid w:val="00BF3A92"/>
    <w:rsid w:val="00BF3F25"/>
    <w:rsid w:val="00BF44D0"/>
    <w:rsid w:val="00BF4DB9"/>
    <w:rsid w:val="00BF4F9E"/>
    <w:rsid w:val="00BF647E"/>
    <w:rsid w:val="00BF7309"/>
    <w:rsid w:val="00BF7369"/>
    <w:rsid w:val="00BF73D4"/>
    <w:rsid w:val="00BF75A9"/>
    <w:rsid w:val="00BF7865"/>
    <w:rsid w:val="00BF79A1"/>
    <w:rsid w:val="00BF7A26"/>
    <w:rsid w:val="00C00CEF"/>
    <w:rsid w:val="00C010D1"/>
    <w:rsid w:val="00C015CA"/>
    <w:rsid w:val="00C0175D"/>
    <w:rsid w:val="00C01991"/>
    <w:rsid w:val="00C01AD5"/>
    <w:rsid w:val="00C01B96"/>
    <w:rsid w:val="00C02512"/>
    <w:rsid w:val="00C02FAD"/>
    <w:rsid w:val="00C03162"/>
    <w:rsid w:val="00C0356B"/>
    <w:rsid w:val="00C0380E"/>
    <w:rsid w:val="00C03EFE"/>
    <w:rsid w:val="00C04292"/>
    <w:rsid w:val="00C04908"/>
    <w:rsid w:val="00C04D20"/>
    <w:rsid w:val="00C04E7C"/>
    <w:rsid w:val="00C0531E"/>
    <w:rsid w:val="00C057B9"/>
    <w:rsid w:val="00C05847"/>
    <w:rsid w:val="00C058D5"/>
    <w:rsid w:val="00C058EA"/>
    <w:rsid w:val="00C06277"/>
    <w:rsid w:val="00C0632D"/>
    <w:rsid w:val="00C0713A"/>
    <w:rsid w:val="00C07301"/>
    <w:rsid w:val="00C07394"/>
    <w:rsid w:val="00C0740B"/>
    <w:rsid w:val="00C07879"/>
    <w:rsid w:val="00C07A8A"/>
    <w:rsid w:val="00C1062D"/>
    <w:rsid w:val="00C1074B"/>
    <w:rsid w:val="00C10944"/>
    <w:rsid w:val="00C10F22"/>
    <w:rsid w:val="00C10FAB"/>
    <w:rsid w:val="00C111F8"/>
    <w:rsid w:val="00C11948"/>
    <w:rsid w:val="00C11A5F"/>
    <w:rsid w:val="00C11A7F"/>
    <w:rsid w:val="00C11AE4"/>
    <w:rsid w:val="00C11C66"/>
    <w:rsid w:val="00C11E24"/>
    <w:rsid w:val="00C11E75"/>
    <w:rsid w:val="00C12847"/>
    <w:rsid w:val="00C12CED"/>
    <w:rsid w:val="00C13ACB"/>
    <w:rsid w:val="00C14421"/>
    <w:rsid w:val="00C14601"/>
    <w:rsid w:val="00C14B76"/>
    <w:rsid w:val="00C14CBC"/>
    <w:rsid w:val="00C14DF7"/>
    <w:rsid w:val="00C15136"/>
    <w:rsid w:val="00C1527B"/>
    <w:rsid w:val="00C1618D"/>
    <w:rsid w:val="00C162A1"/>
    <w:rsid w:val="00C17C7A"/>
    <w:rsid w:val="00C17E3D"/>
    <w:rsid w:val="00C20397"/>
    <w:rsid w:val="00C20CE9"/>
    <w:rsid w:val="00C20E38"/>
    <w:rsid w:val="00C20FD7"/>
    <w:rsid w:val="00C21237"/>
    <w:rsid w:val="00C21252"/>
    <w:rsid w:val="00C21389"/>
    <w:rsid w:val="00C225AB"/>
    <w:rsid w:val="00C227EA"/>
    <w:rsid w:val="00C22807"/>
    <w:rsid w:val="00C22CDD"/>
    <w:rsid w:val="00C22E7C"/>
    <w:rsid w:val="00C22F5C"/>
    <w:rsid w:val="00C230F1"/>
    <w:rsid w:val="00C2488C"/>
    <w:rsid w:val="00C25341"/>
    <w:rsid w:val="00C25B9C"/>
    <w:rsid w:val="00C25DC6"/>
    <w:rsid w:val="00C263B5"/>
    <w:rsid w:val="00C26691"/>
    <w:rsid w:val="00C26885"/>
    <w:rsid w:val="00C26FD7"/>
    <w:rsid w:val="00C270DE"/>
    <w:rsid w:val="00C2794B"/>
    <w:rsid w:val="00C27CC3"/>
    <w:rsid w:val="00C30198"/>
    <w:rsid w:val="00C30203"/>
    <w:rsid w:val="00C30231"/>
    <w:rsid w:val="00C31325"/>
    <w:rsid w:val="00C3164D"/>
    <w:rsid w:val="00C317FE"/>
    <w:rsid w:val="00C31B25"/>
    <w:rsid w:val="00C31BB4"/>
    <w:rsid w:val="00C31CA8"/>
    <w:rsid w:val="00C32036"/>
    <w:rsid w:val="00C3246F"/>
    <w:rsid w:val="00C3286C"/>
    <w:rsid w:val="00C3298C"/>
    <w:rsid w:val="00C32A9B"/>
    <w:rsid w:val="00C33B6A"/>
    <w:rsid w:val="00C34BAA"/>
    <w:rsid w:val="00C34C68"/>
    <w:rsid w:val="00C3537C"/>
    <w:rsid w:val="00C3544E"/>
    <w:rsid w:val="00C3546B"/>
    <w:rsid w:val="00C357D2"/>
    <w:rsid w:val="00C35894"/>
    <w:rsid w:val="00C360D9"/>
    <w:rsid w:val="00C36313"/>
    <w:rsid w:val="00C36F20"/>
    <w:rsid w:val="00C377A5"/>
    <w:rsid w:val="00C37863"/>
    <w:rsid w:val="00C37C77"/>
    <w:rsid w:val="00C37D40"/>
    <w:rsid w:val="00C404A8"/>
    <w:rsid w:val="00C40AC1"/>
    <w:rsid w:val="00C411BC"/>
    <w:rsid w:val="00C412E8"/>
    <w:rsid w:val="00C41404"/>
    <w:rsid w:val="00C4252E"/>
    <w:rsid w:val="00C42F96"/>
    <w:rsid w:val="00C4351E"/>
    <w:rsid w:val="00C43841"/>
    <w:rsid w:val="00C43885"/>
    <w:rsid w:val="00C43A0A"/>
    <w:rsid w:val="00C43CAE"/>
    <w:rsid w:val="00C43FBA"/>
    <w:rsid w:val="00C44FA7"/>
    <w:rsid w:val="00C452B8"/>
    <w:rsid w:val="00C45728"/>
    <w:rsid w:val="00C45B35"/>
    <w:rsid w:val="00C45D11"/>
    <w:rsid w:val="00C45D7D"/>
    <w:rsid w:val="00C46641"/>
    <w:rsid w:val="00C46810"/>
    <w:rsid w:val="00C46E1F"/>
    <w:rsid w:val="00C46EA8"/>
    <w:rsid w:val="00C47197"/>
    <w:rsid w:val="00C4747B"/>
    <w:rsid w:val="00C47AAD"/>
    <w:rsid w:val="00C47CF2"/>
    <w:rsid w:val="00C502DE"/>
    <w:rsid w:val="00C50870"/>
    <w:rsid w:val="00C5136E"/>
    <w:rsid w:val="00C516C3"/>
    <w:rsid w:val="00C523B2"/>
    <w:rsid w:val="00C52FA2"/>
    <w:rsid w:val="00C532A9"/>
    <w:rsid w:val="00C5407F"/>
    <w:rsid w:val="00C54353"/>
    <w:rsid w:val="00C54D17"/>
    <w:rsid w:val="00C5627F"/>
    <w:rsid w:val="00C572C5"/>
    <w:rsid w:val="00C57339"/>
    <w:rsid w:val="00C5793E"/>
    <w:rsid w:val="00C57E5F"/>
    <w:rsid w:val="00C600C4"/>
    <w:rsid w:val="00C603C2"/>
    <w:rsid w:val="00C60600"/>
    <w:rsid w:val="00C6132C"/>
    <w:rsid w:val="00C61A32"/>
    <w:rsid w:val="00C61C33"/>
    <w:rsid w:val="00C6222B"/>
    <w:rsid w:val="00C622C3"/>
    <w:rsid w:val="00C623CC"/>
    <w:rsid w:val="00C628E2"/>
    <w:rsid w:val="00C62B18"/>
    <w:rsid w:val="00C62F47"/>
    <w:rsid w:val="00C62F8E"/>
    <w:rsid w:val="00C63024"/>
    <w:rsid w:val="00C63441"/>
    <w:rsid w:val="00C63667"/>
    <w:rsid w:val="00C63C2C"/>
    <w:rsid w:val="00C63DA2"/>
    <w:rsid w:val="00C63DEB"/>
    <w:rsid w:val="00C64B73"/>
    <w:rsid w:val="00C65446"/>
    <w:rsid w:val="00C65AE1"/>
    <w:rsid w:val="00C65D15"/>
    <w:rsid w:val="00C66F6B"/>
    <w:rsid w:val="00C672E4"/>
    <w:rsid w:val="00C674B4"/>
    <w:rsid w:val="00C67B80"/>
    <w:rsid w:val="00C701AD"/>
    <w:rsid w:val="00C71457"/>
    <w:rsid w:val="00C71B72"/>
    <w:rsid w:val="00C71E3B"/>
    <w:rsid w:val="00C73027"/>
    <w:rsid w:val="00C73668"/>
    <w:rsid w:val="00C73761"/>
    <w:rsid w:val="00C739F1"/>
    <w:rsid w:val="00C74292"/>
    <w:rsid w:val="00C742E2"/>
    <w:rsid w:val="00C7445F"/>
    <w:rsid w:val="00C749E8"/>
    <w:rsid w:val="00C74A67"/>
    <w:rsid w:val="00C74C9E"/>
    <w:rsid w:val="00C760C7"/>
    <w:rsid w:val="00C763A3"/>
    <w:rsid w:val="00C76F0E"/>
    <w:rsid w:val="00C77B79"/>
    <w:rsid w:val="00C77C71"/>
    <w:rsid w:val="00C77FFD"/>
    <w:rsid w:val="00C8025A"/>
    <w:rsid w:val="00C81B68"/>
    <w:rsid w:val="00C81DA2"/>
    <w:rsid w:val="00C8243D"/>
    <w:rsid w:val="00C82B02"/>
    <w:rsid w:val="00C83760"/>
    <w:rsid w:val="00C83A72"/>
    <w:rsid w:val="00C83FC4"/>
    <w:rsid w:val="00C84278"/>
    <w:rsid w:val="00C84A0E"/>
    <w:rsid w:val="00C85768"/>
    <w:rsid w:val="00C858E7"/>
    <w:rsid w:val="00C85D7F"/>
    <w:rsid w:val="00C8638A"/>
    <w:rsid w:val="00C86520"/>
    <w:rsid w:val="00C873D7"/>
    <w:rsid w:val="00C876FA"/>
    <w:rsid w:val="00C87722"/>
    <w:rsid w:val="00C87A72"/>
    <w:rsid w:val="00C87B94"/>
    <w:rsid w:val="00C90196"/>
    <w:rsid w:val="00C90996"/>
    <w:rsid w:val="00C90DED"/>
    <w:rsid w:val="00C9124D"/>
    <w:rsid w:val="00C9228E"/>
    <w:rsid w:val="00C92C9C"/>
    <w:rsid w:val="00C93086"/>
    <w:rsid w:val="00C93A6F"/>
    <w:rsid w:val="00C93DB7"/>
    <w:rsid w:val="00C93EA4"/>
    <w:rsid w:val="00C94B23"/>
    <w:rsid w:val="00C94C95"/>
    <w:rsid w:val="00C95072"/>
    <w:rsid w:val="00C954E3"/>
    <w:rsid w:val="00C956D9"/>
    <w:rsid w:val="00C959B1"/>
    <w:rsid w:val="00C95C34"/>
    <w:rsid w:val="00C95FBB"/>
    <w:rsid w:val="00C9660B"/>
    <w:rsid w:val="00C96E50"/>
    <w:rsid w:val="00C9706D"/>
    <w:rsid w:val="00C972D0"/>
    <w:rsid w:val="00C973BE"/>
    <w:rsid w:val="00CA0157"/>
    <w:rsid w:val="00CA0932"/>
    <w:rsid w:val="00CA0BC7"/>
    <w:rsid w:val="00CA0FD1"/>
    <w:rsid w:val="00CA1451"/>
    <w:rsid w:val="00CA1D01"/>
    <w:rsid w:val="00CA2BB2"/>
    <w:rsid w:val="00CA2E00"/>
    <w:rsid w:val="00CA3211"/>
    <w:rsid w:val="00CA3395"/>
    <w:rsid w:val="00CA386E"/>
    <w:rsid w:val="00CA38EA"/>
    <w:rsid w:val="00CA3A9F"/>
    <w:rsid w:val="00CA458F"/>
    <w:rsid w:val="00CA4A9B"/>
    <w:rsid w:val="00CA5311"/>
    <w:rsid w:val="00CA5A48"/>
    <w:rsid w:val="00CA6297"/>
    <w:rsid w:val="00CA64F9"/>
    <w:rsid w:val="00CA67A1"/>
    <w:rsid w:val="00CA6912"/>
    <w:rsid w:val="00CA69AB"/>
    <w:rsid w:val="00CA73A1"/>
    <w:rsid w:val="00CA7471"/>
    <w:rsid w:val="00CA7695"/>
    <w:rsid w:val="00CB0280"/>
    <w:rsid w:val="00CB082D"/>
    <w:rsid w:val="00CB0A07"/>
    <w:rsid w:val="00CB0B76"/>
    <w:rsid w:val="00CB126E"/>
    <w:rsid w:val="00CB1A46"/>
    <w:rsid w:val="00CB1C65"/>
    <w:rsid w:val="00CB1C82"/>
    <w:rsid w:val="00CB2022"/>
    <w:rsid w:val="00CB24AB"/>
    <w:rsid w:val="00CB2E74"/>
    <w:rsid w:val="00CB2E90"/>
    <w:rsid w:val="00CB39EA"/>
    <w:rsid w:val="00CB3EE1"/>
    <w:rsid w:val="00CB44B2"/>
    <w:rsid w:val="00CB4D97"/>
    <w:rsid w:val="00CB4FA5"/>
    <w:rsid w:val="00CB59E6"/>
    <w:rsid w:val="00CB5BEB"/>
    <w:rsid w:val="00CB6025"/>
    <w:rsid w:val="00CB64F7"/>
    <w:rsid w:val="00CB6E84"/>
    <w:rsid w:val="00CC0253"/>
    <w:rsid w:val="00CC02E2"/>
    <w:rsid w:val="00CC06D2"/>
    <w:rsid w:val="00CC0BC1"/>
    <w:rsid w:val="00CC1C35"/>
    <w:rsid w:val="00CC2074"/>
    <w:rsid w:val="00CC2190"/>
    <w:rsid w:val="00CC2235"/>
    <w:rsid w:val="00CC2A92"/>
    <w:rsid w:val="00CC2BF2"/>
    <w:rsid w:val="00CC2BFF"/>
    <w:rsid w:val="00CC2D9D"/>
    <w:rsid w:val="00CC3092"/>
    <w:rsid w:val="00CC3BB9"/>
    <w:rsid w:val="00CC4895"/>
    <w:rsid w:val="00CC49CF"/>
    <w:rsid w:val="00CC639E"/>
    <w:rsid w:val="00CC6E90"/>
    <w:rsid w:val="00CC6EBC"/>
    <w:rsid w:val="00CC7E11"/>
    <w:rsid w:val="00CD00BC"/>
    <w:rsid w:val="00CD0264"/>
    <w:rsid w:val="00CD02A6"/>
    <w:rsid w:val="00CD03CD"/>
    <w:rsid w:val="00CD07D8"/>
    <w:rsid w:val="00CD0821"/>
    <w:rsid w:val="00CD0E7C"/>
    <w:rsid w:val="00CD12C8"/>
    <w:rsid w:val="00CD173A"/>
    <w:rsid w:val="00CD1BED"/>
    <w:rsid w:val="00CD1DE5"/>
    <w:rsid w:val="00CD1FE8"/>
    <w:rsid w:val="00CD209A"/>
    <w:rsid w:val="00CD20B2"/>
    <w:rsid w:val="00CD20F4"/>
    <w:rsid w:val="00CD3136"/>
    <w:rsid w:val="00CD331D"/>
    <w:rsid w:val="00CD36A9"/>
    <w:rsid w:val="00CD37E2"/>
    <w:rsid w:val="00CD384C"/>
    <w:rsid w:val="00CD41C2"/>
    <w:rsid w:val="00CD442B"/>
    <w:rsid w:val="00CD5B66"/>
    <w:rsid w:val="00CD5CE6"/>
    <w:rsid w:val="00CD6A0A"/>
    <w:rsid w:val="00CD6DD3"/>
    <w:rsid w:val="00CD6E47"/>
    <w:rsid w:val="00CD753B"/>
    <w:rsid w:val="00CD7960"/>
    <w:rsid w:val="00CD7CCF"/>
    <w:rsid w:val="00CD7D97"/>
    <w:rsid w:val="00CE03F9"/>
    <w:rsid w:val="00CE0B7D"/>
    <w:rsid w:val="00CE10EC"/>
    <w:rsid w:val="00CE15DB"/>
    <w:rsid w:val="00CE1B94"/>
    <w:rsid w:val="00CE1C16"/>
    <w:rsid w:val="00CE220E"/>
    <w:rsid w:val="00CE24DC"/>
    <w:rsid w:val="00CE28F3"/>
    <w:rsid w:val="00CE348F"/>
    <w:rsid w:val="00CE37AF"/>
    <w:rsid w:val="00CE3E5A"/>
    <w:rsid w:val="00CE409B"/>
    <w:rsid w:val="00CE43F3"/>
    <w:rsid w:val="00CE4624"/>
    <w:rsid w:val="00CE485D"/>
    <w:rsid w:val="00CE4A2B"/>
    <w:rsid w:val="00CE4C57"/>
    <w:rsid w:val="00CE4C8E"/>
    <w:rsid w:val="00CE4D4B"/>
    <w:rsid w:val="00CE5442"/>
    <w:rsid w:val="00CE5B63"/>
    <w:rsid w:val="00CE66B6"/>
    <w:rsid w:val="00CE6F71"/>
    <w:rsid w:val="00CE76A6"/>
    <w:rsid w:val="00CF0303"/>
    <w:rsid w:val="00CF0D8E"/>
    <w:rsid w:val="00CF0D9D"/>
    <w:rsid w:val="00CF1080"/>
    <w:rsid w:val="00CF1168"/>
    <w:rsid w:val="00CF1652"/>
    <w:rsid w:val="00CF1715"/>
    <w:rsid w:val="00CF1F74"/>
    <w:rsid w:val="00CF200C"/>
    <w:rsid w:val="00CF202E"/>
    <w:rsid w:val="00CF21B5"/>
    <w:rsid w:val="00CF2485"/>
    <w:rsid w:val="00CF260A"/>
    <w:rsid w:val="00CF2F1C"/>
    <w:rsid w:val="00CF3516"/>
    <w:rsid w:val="00CF35FE"/>
    <w:rsid w:val="00CF3AA4"/>
    <w:rsid w:val="00CF3D45"/>
    <w:rsid w:val="00CF46E4"/>
    <w:rsid w:val="00CF4EF1"/>
    <w:rsid w:val="00CF547A"/>
    <w:rsid w:val="00CF597F"/>
    <w:rsid w:val="00CF6DFE"/>
    <w:rsid w:val="00CF785F"/>
    <w:rsid w:val="00CF7C03"/>
    <w:rsid w:val="00D000E2"/>
    <w:rsid w:val="00D00BED"/>
    <w:rsid w:val="00D0122E"/>
    <w:rsid w:val="00D01264"/>
    <w:rsid w:val="00D01ABB"/>
    <w:rsid w:val="00D01C64"/>
    <w:rsid w:val="00D021F8"/>
    <w:rsid w:val="00D0252A"/>
    <w:rsid w:val="00D02EEB"/>
    <w:rsid w:val="00D032E1"/>
    <w:rsid w:val="00D036D6"/>
    <w:rsid w:val="00D03EA7"/>
    <w:rsid w:val="00D04072"/>
    <w:rsid w:val="00D045C8"/>
    <w:rsid w:val="00D04C0D"/>
    <w:rsid w:val="00D05738"/>
    <w:rsid w:val="00D058CB"/>
    <w:rsid w:val="00D05FAB"/>
    <w:rsid w:val="00D0644B"/>
    <w:rsid w:val="00D06889"/>
    <w:rsid w:val="00D07637"/>
    <w:rsid w:val="00D0782F"/>
    <w:rsid w:val="00D07A8F"/>
    <w:rsid w:val="00D07CF3"/>
    <w:rsid w:val="00D10DA0"/>
    <w:rsid w:val="00D112C3"/>
    <w:rsid w:val="00D11854"/>
    <w:rsid w:val="00D11877"/>
    <w:rsid w:val="00D12069"/>
    <w:rsid w:val="00D1261A"/>
    <w:rsid w:val="00D127A6"/>
    <w:rsid w:val="00D127FB"/>
    <w:rsid w:val="00D12CAC"/>
    <w:rsid w:val="00D13450"/>
    <w:rsid w:val="00D14558"/>
    <w:rsid w:val="00D14D9B"/>
    <w:rsid w:val="00D14EB7"/>
    <w:rsid w:val="00D14FCB"/>
    <w:rsid w:val="00D15459"/>
    <w:rsid w:val="00D156DC"/>
    <w:rsid w:val="00D16011"/>
    <w:rsid w:val="00D16108"/>
    <w:rsid w:val="00D1636A"/>
    <w:rsid w:val="00D16A24"/>
    <w:rsid w:val="00D16A8E"/>
    <w:rsid w:val="00D16CF4"/>
    <w:rsid w:val="00D175A2"/>
    <w:rsid w:val="00D17B76"/>
    <w:rsid w:val="00D17F61"/>
    <w:rsid w:val="00D17FD9"/>
    <w:rsid w:val="00D20305"/>
    <w:rsid w:val="00D2030C"/>
    <w:rsid w:val="00D20DE3"/>
    <w:rsid w:val="00D20ED3"/>
    <w:rsid w:val="00D20F20"/>
    <w:rsid w:val="00D20FD5"/>
    <w:rsid w:val="00D210B1"/>
    <w:rsid w:val="00D21418"/>
    <w:rsid w:val="00D21615"/>
    <w:rsid w:val="00D217F1"/>
    <w:rsid w:val="00D218E8"/>
    <w:rsid w:val="00D2208A"/>
    <w:rsid w:val="00D22172"/>
    <w:rsid w:val="00D22B8B"/>
    <w:rsid w:val="00D22C1C"/>
    <w:rsid w:val="00D22E6E"/>
    <w:rsid w:val="00D22FAA"/>
    <w:rsid w:val="00D23158"/>
    <w:rsid w:val="00D2351B"/>
    <w:rsid w:val="00D2357E"/>
    <w:rsid w:val="00D2373B"/>
    <w:rsid w:val="00D23AB4"/>
    <w:rsid w:val="00D23CAB"/>
    <w:rsid w:val="00D23E97"/>
    <w:rsid w:val="00D23FD2"/>
    <w:rsid w:val="00D2496E"/>
    <w:rsid w:val="00D249F0"/>
    <w:rsid w:val="00D24C31"/>
    <w:rsid w:val="00D2593A"/>
    <w:rsid w:val="00D25A92"/>
    <w:rsid w:val="00D25E48"/>
    <w:rsid w:val="00D26682"/>
    <w:rsid w:val="00D26CA1"/>
    <w:rsid w:val="00D26E09"/>
    <w:rsid w:val="00D26E79"/>
    <w:rsid w:val="00D275A3"/>
    <w:rsid w:val="00D2781D"/>
    <w:rsid w:val="00D27A59"/>
    <w:rsid w:val="00D27DE5"/>
    <w:rsid w:val="00D27F0D"/>
    <w:rsid w:val="00D30849"/>
    <w:rsid w:val="00D31EB4"/>
    <w:rsid w:val="00D326BA"/>
    <w:rsid w:val="00D32E8D"/>
    <w:rsid w:val="00D32FA6"/>
    <w:rsid w:val="00D3365B"/>
    <w:rsid w:val="00D34374"/>
    <w:rsid w:val="00D34DE4"/>
    <w:rsid w:val="00D34E38"/>
    <w:rsid w:val="00D3534E"/>
    <w:rsid w:val="00D35BEA"/>
    <w:rsid w:val="00D3614D"/>
    <w:rsid w:val="00D36174"/>
    <w:rsid w:val="00D365A9"/>
    <w:rsid w:val="00D36F47"/>
    <w:rsid w:val="00D375A6"/>
    <w:rsid w:val="00D37EB2"/>
    <w:rsid w:val="00D40141"/>
    <w:rsid w:val="00D403E4"/>
    <w:rsid w:val="00D4052B"/>
    <w:rsid w:val="00D40F1F"/>
    <w:rsid w:val="00D41A59"/>
    <w:rsid w:val="00D41BAA"/>
    <w:rsid w:val="00D41CCB"/>
    <w:rsid w:val="00D42D90"/>
    <w:rsid w:val="00D433DE"/>
    <w:rsid w:val="00D436D7"/>
    <w:rsid w:val="00D4381A"/>
    <w:rsid w:val="00D44EA4"/>
    <w:rsid w:val="00D44F07"/>
    <w:rsid w:val="00D459C5"/>
    <w:rsid w:val="00D4698B"/>
    <w:rsid w:val="00D46C4F"/>
    <w:rsid w:val="00D47BF0"/>
    <w:rsid w:val="00D47D89"/>
    <w:rsid w:val="00D50BA3"/>
    <w:rsid w:val="00D515EF"/>
    <w:rsid w:val="00D519B4"/>
    <w:rsid w:val="00D5213A"/>
    <w:rsid w:val="00D52891"/>
    <w:rsid w:val="00D52D34"/>
    <w:rsid w:val="00D52E10"/>
    <w:rsid w:val="00D52FC2"/>
    <w:rsid w:val="00D5340B"/>
    <w:rsid w:val="00D53C9F"/>
    <w:rsid w:val="00D53E2E"/>
    <w:rsid w:val="00D53E42"/>
    <w:rsid w:val="00D53EB3"/>
    <w:rsid w:val="00D5432D"/>
    <w:rsid w:val="00D54879"/>
    <w:rsid w:val="00D55059"/>
    <w:rsid w:val="00D56312"/>
    <w:rsid w:val="00D56664"/>
    <w:rsid w:val="00D56D4A"/>
    <w:rsid w:val="00D574A3"/>
    <w:rsid w:val="00D57856"/>
    <w:rsid w:val="00D57EEA"/>
    <w:rsid w:val="00D6002D"/>
    <w:rsid w:val="00D60408"/>
    <w:rsid w:val="00D60DF3"/>
    <w:rsid w:val="00D60F2B"/>
    <w:rsid w:val="00D61202"/>
    <w:rsid w:val="00D61321"/>
    <w:rsid w:val="00D6162D"/>
    <w:rsid w:val="00D6172B"/>
    <w:rsid w:val="00D61DE8"/>
    <w:rsid w:val="00D621CB"/>
    <w:rsid w:val="00D6272B"/>
    <w:rsid w:val="00D6364C"/>
    <w:rsid w:val="00D63FE0"/>
    <w:rsid w:val="00D64638"/>
    <w:rsid w:val="00D64B0F"/>
    <w:rsid w:val="00D64F38"/>
    <w:rsid w:val="00D650A9"/>
    <w:rsid w:val="00D65703"/>
    <w:rsid w:val="00D65B70"/>
    <w:rsid w:val="00D65D35"/>
    <w:rsid w:val="00D65F95"/>
    <w:rsid w:val="00D660FB"/>
    <w:rsid w:val="00D6690E"/>
    <w:rsid w:val="00D66B68"/>
    <w:rsid w:val="00D66D65"/>
    <w:rsid w:val="00D67398"/>
    <w:rsid w:val="00D70180"/>
    <w:rsid w:val="00D705D9"/>
    <w:rsid w:val="00D70A78"/>
    <w:rsid w:val="00D70C35"/>
    <w:rsid w:val="00D70D30"/>
    <w:rsid w:val="00D7187E"/>
    <w:rsid w:val="00D71C8C"/>
    <w:rsid w:val="00D71EED"/>
    <w:rsid w:val="00D72316"/>
    <w:rsid w:val="00D72B1A"/>
    <w:rsid w:val="00D72BA8"/>
    <w:rsid w:val="00D72E58"/>
    <w:rsid w:val="00D72F25"/>
    <w:rsid w:val="00D72F37"/>
    <w:rsid w:val="00D73181"/>
    <w:rsid w:val="00D73F25"/>
    <w:rsid w:val="00D74339"/>
    <w:rsid w:val="00D74375"/>
    <w:rsid w:val="00D74990"/>
    <w:rsid w:val="00D74AE5"/>
    <w:rsid w:val="00D74B37"/>
    <w:rsid w:val="00D74EEC"/>
    <w:rsid w:val="00D76697"/>
    <w:rsid w:val="00D7704B"/>
    <w:rsid w:val="00D7724A"/>
    <w:rsid w:val="00D77891"/>
    <w:rsid w:val="00D80350"/>
    <w:rsid w:val="00D806F0"/>
    <w:rsid w:val="00D80E2C"/>
    <w:rsid w:val="00D81317"/>
    <w:rsid w:val="00D81978"/>
    <w:rsid w:val="00D820BF"/>
    <w:rsid w:val="00D82333"/>
    <w:rsid w:val="00D82FBD"/>
    <w:rsid w:val="00D83964"/>
    <w:rsid w:val="00D840B2"/>
    <w:rsid w:val="00D84614"/>
    <w:rsid w:val="00D8463A"/>
    <w:rsid w:val="00D84CB9"/>
    <w:rsid w:val="00D85C59"/>
    <w:rsid w:val="00D860F7"/>
    <w:rsid w:val="00D86781"/>
    <w:rsid w:val="00D869A2"/>
    <w:rsid w:val="00D86F39"/>
    <w:rsid w:val="00D87020"/>
    <w:rsid w:val="00D87335"/>
    <w:rsid w:val="00D87A16"/>
    <w:rsid w:val="00D87A27"/>
    <w:rsid w:val="00D87AA8"/>
    <w:rsid w:val="00D87CDA"/>
    <w:rsid w:val="00D9022E"/>
    <w:rsid w:val="00D90396"/>
    <w:rsid w:val="00D915C3"/>
    <w:rsid w:val="00D91AF0"/>
    <w:rsid w:val="00D91E8E"/>
    <w:rsid w:val="00D92041"/>
    <w:rsid w:val="00D920C5"/>
    <w:rsid w:val="00D92417"/>
    <w:rsid w:val="00D9245D"/>
    <w:rsid w:val="00D927BD"/>
    <w:rsid w:val="00D92A29"/>
    <w:rsid w:val="00D92E4B"/>
    <w:rsid w:val="00D9343B"/>
    <w:rsid w:val="00D93551"/>
    <w:rsid w:val="00D937E1"/>
    <w:rsid w:val="00D9395F"/>
    <w:rsid w:val="00D939A0"/>
    <w:rsid w:val="00D93A00"/>
    <w:rsid w:val="00D93D2F"/>
    <w:rsid w:val="00D941C1"/>
    <w:rsid w:val="00D94447"/>
    <w:rsid w:val="00D94D14"/>
    <w:rsid w:val="00D953B4"/>
    <w:rsid w:val="00D95621"/>
    <w:rsid w:val="00D960BB"/>
    <w:rsid w:val="00D963CE"/>
    <w:rsid w:val="00D96A53"/>
    <w:rsid w:val="00D97280"/>
    <w:rsid w:val="00D978AA"/>
    <w:rsid w:val="00D97CE9"/>
    <w:rsid w:val="00D97F6F"/>
    <w:rsid w:val="00DA0BCA"/>
    <w:rsid w:val="00DA0E8D"/>
    <w:rsid w:val="00DA14D5"/>
    <w:rsid w:val="00DA1A94"/>
    <w:rsid w:val="00DA2319"/>
    <w:rsid w:val="00DA2C0F"/>
    <w:rsid w:val="00DA2E34"/>
    <w:rsid w:val="00DA2EC4"/>
    <w:rsid w:val="00DA3822"/>
    <w:rsid w:val="00DA5204"/>
    <w:rsid w:val="00DA5BEB"/>
    <w:rsid w:val="00DA6877"/>
    <w:rsid w:val="00DA7624"/>
    <w:rsid w:val="00DB02FF"/>
    <w:rsid w:val="00DB0C97"/>
    <w:rsid w:val="00DB121D"/>
    <w:rsid w:val="00DB12DC"/>
    <w:rsid w:val="00DB13A6"/>
    <w:rsid w:val="00DB20DC"/>
    <w:rsid w:val="00DB224D"/>
    <w:rsid w:val="00DB2310"/>
    <w:rsid w:val="00DB2644"/>
    <w:rsid w:val="00DB35C1"/>
    <w:rsid w:val="00DB3707"/>
    <w:rsid w:val="00DB3989"/>
    <w:rsid w:val="00DB4E54"/>
    <w:rsid w:val="00DB531F"/>
    <w:rsid w:val="00DB5619"/>
    <w:rsid w:val="00DB57AD"/>
    <w:rsid w:val="00DB5A5E"/>
    <w:rsid w:val="00DB5EFD"/>
    <w:rsid w:val="00DB6078"/>
    <w:rsid w:val="00DB63BC"/>
    <w:rsid w:val="00DB6408"/>
    <w:rsid w:val="00DB66C8"/>
    <w:rsid w:val="00DB7FDC"/>
    <w:rsid w:val="00DC00A1"/>
    <w:rsid w:val="00DC029B"/>
    <w:rsid w:val="00DC02A9"/>
    <w:rsid w:val="00DC0C50"/>
    <w:rsid w:val="00DC1E9E"/>
    <w:rsid w:val="00DC1EB9"/>
    <w:rsid w:val="00DC25D1"/>
    <w:rsid w:val="00DC2CA8"/>
    <w:rsid w:val="00DC2DFB"/>
    <w:rsid w:val="00DC35B4"/>
    <w:rsid w:val="00DC380B"/>
    <w:rsid w:val="00DC435B"/>
    <w:rsid w:val="00DC4FB4"/>
    <w:rsid w:val="00DC5630"/>
    <w:rsid w:val="00DC5A73"/>
    <w:rsid w:val="00DC5B0E"/>
    <w:rsid w:val="00DC5BD5"/>
    <w:rsid w:val="00DC6383"/>
    <w:rsid w:val="00DC7069"/>
    <w:rsid w:val="00DC725C"/>
    <w:rsid w:val="00DC76C0"/>
    <w:rsid w:val="00DC78AE"/>
    <w:rsid w:val="00DC7BB6"/>
    <w:rsid w:val="00DD02E6"/>
    <w:rsid w:val="00DD073E"/>
    <w:rsid w:val="00DD0806"/>
    <w:rsid w:val="00DD088D"/>
    <w:rsid w:val="00DD0923"/>
    <w:rsid w:val="00DD09F2"/>
    <w:rsid w:val="00DD0B8F"/>
    <w:rsid w:val="00DD0F50"/>
    <w:rsid w:val="00DD177A"/>
    <w:rsid w:val="00DD1796"/>
    <w:rsid w:val="00DD1BCF"/>
    <w:rsid w:val="00DD1D85"/>
    <w:rsid w:val="00DD1F6B"/>
    <w:rsid w:val="00DD22D5"/>
    <w:rsid w:val="00DD234E"/>
    <w:rsid w:val="00DD253A"/>
    <w:rsid w:val="00DD28E0"/>
    <w:rsid w:val="00DD2E29"/>
    <w:rsid w:val="00DD31C4"/>
    <w:rsid w:val="00DD331D"/>
    <w:rsid w:val="00DD3868"/>
    <w:rsid w:val="00DD5523"/>
    <w:rsid w:val="00DD6186"/>
    <w:rsid w:val="00DD6223"/>
    <w:rsid w:val="00DD7523"/>
    <w:rsid w:val="00DD7656"/>
    <w:rsid w:val="00DD7E56"/>
    <w:rsid w:val="00DE046F"/>
    <w:rsid w:val="00DE0638"/>
    <w:rsid w:val="00DE11F6"/>
    <w:rsid w:val="00DE19B2"/>
    <w:rsid w:val="00DE1EFF"/>
    <w:rsid w:val="00DE219B"/>
    <w:rsid w:val="00DE2798"/>
    <w:rsid w:val="00DE2ABA"/>
    <w:rsid w:val="00DE2B6A"/>
    <w:rsid w:val="00DE2CBA"/>
    <w:rsid w:val="00DE2E10"/>
    <w:rsid w:val="00DE2EC1"/>
    <w:rsid w:val="00DE2F8E"/>
    <w:rsid w:val="00DE303F"/>
    <w:rsid w:val="00DE34A8"/>
    <w:rsid w:val="00DE3DD2"/>
    <w:rsid w:val="00DE41FF"/>
    <w:rsid w:val="00DE4565"/>
    <w:rsid w:val="00DE46A8"/>
    <w:rsid w:val="00DE4C78"/>
    <w:rsid w:val="00DE54E7"/>
    <w:rsid w:val="00DE5D3F"/>
    <w:rsid w:val="00DE60E3"/>
    <w:rsid w:val="00DE71D6"/>
    <w:rsid w:val="00DE7ED9"/>
    <w:rsid w:val="00DE7FC2"/>
    <w:rsid w:val="00DF0091"/>
    <w:rsid w:val="00DF009A"/>
    <w:rsid w:val="00DF01DF"/>
    <w:rsid w:val="00DF06FB"/>
    <w:rsid w:val="00DF0D6D"/>
    <w:rsid w:val="00DF1205"/>
    <w:rsid w:val="00DF1F24"/>
    <w:rsid w:val="00DF20CD"/>
    <w:rsid w:val="00DF213F"/>
    <w:rsid w:val="00DF2155"/>
    <w:rsid w:val="00DF2BBA"/>
    <w:rsid w:val="00DF322D"/>
    <w:rsid w:val="00DF32F5"/>
    <w:rsid w:val="00DF37B1"/>
    <w:rsid w:val="00DF37FD"/>
    <w:rsid w:val="00DF38EC"/>
    <w:rsid w:val="00DF3AD6"/>
    <w:rsid w:val="00DF4023"/>
    <w:rsid w:val="00DF411C"/>
    <w:rsid w:val="00DF4776"/>
    <w:rsid w:val="00DF48A1"/>
    <w:rsid w:val="00DF4BE5"/>
    <w:rsid w:val="00DF51D5"/>
    <w:rsid w:val="00DF559B"/>
    <w:rsid w:val="00DF5790"/>
    <w:rsid w:val="00DF59FA"/>
    <w:rsid w:val="00DF5FAD"/>
    <w:rsid w:val="00DF66B1"/>
    <w:rsid w:val="00DF6A86"/>
    <w:rsid w:val="00DF6D63"/>
    <w:rsid w:val="00DF6D67"/>
    <w:rsid w:val="00DF6E4B"/>
    <w:rsid w:val="00DF7113"/>
    <w:rsid w:val="00DF75D1"/>
    <w:rsid w:val="00DF78F2"/>
    <w:rsid w:val="00DF7FDC"/>
    <w:rsid w:val="00E0001D"/>
    <w:rsid w:val="00E0007D"/>
    <w:rsid w:val="00E0066C"/>
    <w:rsid w:val="00E0085D"/>
    <w:rsid w:val="00E00C4B"/>
    <w:rsid w:val="00E00C68"/>
    <w:rsid w:val="00E01177"/>
    <w:rsid w:val="00E01202"/>
    <w:rsid w:val="00E0122E"/>
    <w:rsid w:val="00E014AB"/>
    <w:rsid w:val="00E01639"/>
    <w:rsid w:val="00E01642"/>
    <w:rsid w:val="00E0187B"/>
    <w:rsid w:val="00E0188A"/>
    <w:rsid w:val="00E019B3"/>
    <w:rsid w:val="00E01BEF"/>
    <w:rsid w:val="00E02105"/>
    <w:rsid w:val="00E03469"/>
    <w:rsid w:val="00E035C6"/>
    <w:rsid w:val="00E03EAD"/>
    <w:rsid w:val="00E04097"/>
    <w:rsid w:val="00E046C5"/>
    <w:rsid w:val="00E049D9"/>
    <w:rsid w:val="00E04F87"/>
    <w:rsid w:val="00E05931"/>
    <w:rsid w:val="00E0624D"/>
    <w:rsid w:val="00E0654D"/>
    <w:rsid w:val="00E06652"/>
    <w:rsid w:val="00E067E8"/>
    <w:rsid w:val="00E06AA9"/>
    <w:rsid w:val="00E100E6"/>
    <w:rsid w:val="00E10103"/>
    <w:rsid w:val="00E10862"/>
    <w:rsid w:val="00E10C93"/>
    <w:rsid w:val="00E11513"/>
    <w:rsid w:val="00E11A60"/>
    <w:rsid w:val="00E11EC7"/>
    <w:rsid w:val="00E11F30"/>
    <w:rsid w:val="00E11F8E"/>
    <w:rsid w:val="00E12381"/>
    <w:rsid w:val="00E126D2"/>
    <w:rsid w:val="00E1308C"/>
    <w:rsid w:val="00E13176"/>
    <w:rsid w:val="00E132CD"/>
    <w:rsid w:val="00E13E7D"/>
    <w:rsid w:val="00E13F24"/>
    <w:rsid w:val="00E143B3"/>
    <w:rsid w:val="00E14CE9"/>
    <w:rsid w:val="00E1543C"/>
    <w:rsid w:val="00E15722"/>
    <w:rsid w:val="00E1641E"/>
    <w:rsid w:val="00E168EA"/>
    <w:rsid w:val="00E169C0"/>
    <w:rsid w:val="00E17187"/>
    <w:rsid w:val="00E174A9"/>
    <w:rsid w:val="00E174E6"/>
    <w:rsid w:val="00E1759E"/>
    <w:rsid w:val="00E175A1"/>
    <w:rsid w:val="00E1773F"/>
    <w:rsid w:val="00E1789B"/>
    <w:rsid w:val="00E17906"/>
    <w:rsid w:val="00E2056A"/>
    <w:rsid w:val="00E2075D"/>
    <w:rsid w:val="00E20B03"/>
    <w:rsid w:val="00E20C47"/>
    <w:rsid w:val="00E21464"/>
    <w:rsid w:val="00E2219F"/>
    <w:rsid w:val="00E221AC"/>
    <w:rsid w:val="00E22D25"/>
    <w:rsid w:val="00E22ECB"/>
    <w:rsid w:val="00E237AB"/>
    <w:rsid w:val="00E237DD"/>
    <w:rsid w:val="00E237FC"/>
    <w:rsid w:val="00E238FA"/>
    <w:rsid w:val="00E23BB3"/>
    <w:rsid w:val="00E2437F"/>
    <w:rsid w:val="00E2445C"/>
    <w:rsid w:val="00E24F69"/>
    <w:rsid w:val="00E24FDE"/>
    <w:rsid w:val="00E25BA4"/>
    <w:rsid w:val="00E26A70"/>
    <w:rsid w:val="00E26DB6"/>
    <w:rsid w:val="00E274DE"/>
    <w:rsid w:val="00E27DE3"/>
    <w:rsid w:val="00E3034C"/>
    <w:rsid w:val="00E304FB"/>
    <w:rsid w:val="00E30647"/>
    <w:rsid w:val="00E309C1"/>
    <w:rsid w:val="00E311CC"/>
    <w:rsid w:val="00E3132F"/>
    <w:rsid w:val="00E31404"/>
    <w:rsid w:val="00E3171F"/>
    <w:rsid w:val="00E31F15"/>
    <w:rsid w:val="00E326FA"/>
    <w:rsid w:val="00E32700"/>
    <w:rsid w:val="00E3367C"/>
    <w:rsid w:val="00E337C4"/>
    <w:rsid w:val="00E338EA"/>
    <w:rsid w:val="00E33BB7"/>
    <w:rsid w:val="00E33CFD"/>
    <w:rsid w:val="00E34358"/>
    <w:rsid w:val="00E34EE4"/>
    <w:rsid w:val="00E35959"/>
    <w:rsid w:val="00E35F00"/>
    <w:rsid w:val="00E3665D"/>
    <w:rsid w:val="00E36886"/>
    <w:rsid w:val="00E36A52"/>
    <w:rsid w:val="00E36A66"/>
    <w:rsid w:val="00E37297"/>
    <w:rsid w:val="00E37737"/>
    <w:rsid w:val="00E379C7"/>
    <w:rsid w:val="00E4015E"/>
    <w:rsid w:val="00E40240"/>
    <w:rsid w:val="00E408B8"/>
    <w:rsid w:val="00E40986"/>
    <w:rsid w:val="00E40CD7"/>
    <w:rsid w:val="00E41892"/>
    <w:rsid w:val="00E41DDF"/>
    <w:rsid w:val="00E42E56"/>
    <w:rsid w:val="00E42F94"/>
    <w:rsid w:val="00E43014"/>
    <w:rsid w:val="00E438F6"/>
    <w:rsid w:val="00E43B0C"/>
    <w:rsid w:val="00E43C20"/>
    <w:rsid w:val="00E44C89"/>
    <w:rsid w:val="00E44DAF"/>
    <w:rsid w:val="00E45533"/>
    <w:rsid w:val="00E45848"/>
    <w:rsid w:val="00E45993"/>
    <w:rsid w:val="00E45B29"/>
    <w:rsid w:val="00E45CFD"/>
    <w:rsid w:val="00E45DD8"/>
    <w:rsid w:val="00E45FE8"/>
    <w:rsid w:val="00E46527"/>
    <w:rsid w:val="00E465A9"/>
    <w:rsid w:val="00E466EE"/>
    <w:rsid w:val="00E46D05"/>
    <w:rsid w:val="00E46E86"/>
    <w:rsid w:val="00E46FF9"/>
    <w:rsid w:val="00E47030"/>
    <w:rsid w:val="00E47551"/>
    <w:rsid w:val="00E47DD8"/>
    <w:rsid w:val="00E47E15"/>
    <w:rsid w:val="00E50547"/>
    <w:rsid w:val="00E50A98"/>
    <w:rsid w:val="00E5140D"/>
    <w:rsid w:val="00E515D4"/>
    <w:rsid w:val="00E516E7"/>
    <w:rsid w:val="00E5174C"/>
    <w:rsid w:val="00E525E9"/>
    <w:rsid w:val="00E527B0"/>
    <w:rsid w:val="00E52A30"/>
    <w:rsid w:val="00E52A4E"/>
    <w:rsid w:val="00E52C26"/>
    <w:rsid w:val="00E5301F"/>
    <w:rsid w:val="00E536B3"/>
    <w:rsid w:val="00E53940"/>
    <w:rsid w:val="00E54867"/>
    <w:rsid w:val="00E54A30"/>
    <w:rsid w:val="00E54B8D"/>
    <w:rsid w:val="00E5512E"/>
    <w:rsid w:val="00E5592B"/>
    <w:rsid w:val="00E55F0C"/>
    <w:rsid w:val="00E5613A"/>
    <w:rsid w:val="00E57E39"/>
    <w:rsid w:val="00E60135"/>
    <w:rsid w:val="00E606D4"/>
    <w:rsid w:val="00E60A0B"/>
    <w:rsid w:val="00E60C1A"/>
    <w:rsid w:val="00E60EB8"/>
    <w:rsid w:val="00E60F68"/>
    <w:rsid w:val="00E612F7"/>
    <w:rsid w:val="00E61997"/>
    <w:rsid w:val="00E62308"/>
    <w:rsid w:val="00E62AF0"/>
    <w:rsid w:val="00E62CF5"/>
    <w:rsid w:val="00E636EC"/>
    <w:rsid w:val="00E63824"/>
    <w:rsid w:val="00E63F09"/>
    <w:rsid w:val="00E63F73"/>
    <w:rsid w:val="00E643A2"/>
    <w:rsid w:val="00E646CB"/>
    <w:rsid w:val="00E64AEA"/>
    <w:rsid w:val="00E64CA9"/>
    <w:rsid w:val="00E64FB0"/>
    <w:rsid w:val="00E65199"/>
    <w:rsid w:val="00E65BD7"/>
    <w:rsid w:val="00E6609B"/>
    <w:rsid w:val="00E6641E"/>
    <w:rsid w:val="00E66465"/>
    <w:rsid w:val="00E6672A"/>
    <w:rsid w:val="00E669BF"/>
    <w:rsid w:val="00E67283"/>
    <w:rsid w:val="00E67804"/>
    <w:rsid w:val="00E70079"/>
    <w:rsid w:val="00E708FF"/>
    <w:rsid w:val="00E70E53"/>
    <w:rsid w:val="00E7123B"/>
    <w:rsid w:val="00E713B7"/>
    <w:rsid w:val="00E71C84"/>
    <w:rsid w:val="00E71FC7"/>
    <w:rsid w:val="00E7252A"/>
    <w:rsid w:val="00E738A0"/>
    <w:rsid w:val="00E73C18"/>
    <w:rsid w:val="00E7414A"/>
    <w:rsid w:val="00E742E0"/>
    <w:rsid w:val="00E74393"/>
    <w:rsid w:val="00E74567"/>
    <w:rsid w:val="00E748AC"/>
    <w:rsid w:val="00E749A6"/>
    <w:rsid w:val="00E75766"/>
    <w:rsid w:val="00E75AEF"/>
    <w:rsid w:val="00E75BA8"/>
    <w:rsid w:val="00E803B1"/>
    <w:rsid w:val="00E804E0"/>
    <w:rsid w:val="00E80B59"/>
    <w:rsid w:val="00E80C15"/>
    <w:rsid w:val="00E818BD"/>
    <w:rsid w:val="00E81E9F"/>
    <w:rsid w:val="00E82172"/>
    <w:rsid w:val="00E8241B"/>
    <w:rsid w:val="00E82A6C"/>
    <w:rsid w:val="00E82A78"/>
    <w:rsid w:val="00E831FC"/>
    <w:rsid w:val="00E8324C"/>
    <w:rsid w:val="00E83968"/>
    <w:rsid w:val="00E83C40"/>
    <w:rsid w:val="00E840DE"/>
    <w:rsid w:val="00E844AF"/>
    <w:rsid w:val="00E844B9"/>
    <w:rsid w:val="00E84841"/>
    <w:rsid w:val="00E84F92"/>
    <w:rsid w:val="00E84FE4"/>
    <w:rsid w:val="00E85111"/>
    <w:rsid w:val="00E85386"/>
    <w:rsid w:val="00E85587"/>
    <w:rsid w:val="00E8617B"/>
    <w:rsid w:val="00E869BD"/>
    <w:rsid w:val="00E86F53"/>
    <w:rsid w:val="00E87413"/>
    <w:rsid w:val="00E87F0E"/>
    <w:rsid w:val="00E905BA"/>
    <w:rsid w:val="00E90FCC"/>
    <w:rsid w:val="00E914B7"/>
    <w:rsid w:val="00E91512"/>
    <w:rsid w:val="00E91807"/>
    <w:rsid w:val="00E91A09"/>
    <w:rsid w:val="00E91C3F"/>
    <w:rsid w:val="00E91F10"/>
    <w:rsid w:val="00E920D4"/>
    <w:rsid w:val="00E92449"/>
    <w:rsid w:val="00E92575"/>
    <w:rsid w:val="00E936C5"/>
    <w:rsid w:val="00E9411C"/>
    <w:rsid w:val="00E949D7"/>
    <w:rsid w:val="00E94F02"/>
    <w:rsid w:val="00E9521E"/>
    <w:rsid w:val="00E952AE"/>
    <w:rsid w:val="00E95B04"/>
    <w:rsid w:val="00E95B76"/>
    <w:rsid w:val="00E96B1B"/>
    <w:rsid w:val="00E96F5D"/>
    <w:rsid w:val="00E9742F"/>
    <w:rsid w:val="00E9766A"/>
    <w:rsid w:val="00E9785D"/>
    <w:rsid w:val="00E979F0"/>
    <w:rsid w:val="00E97C10"/>
    <w:rsid w:val="00E97E37"/>
    <w:rsid w:val="00EA0068"/>
    <w:rsid w:val="00EA00BC"/>
    <w:rsid w:val="00EA011D"/>
    <w:rsid w:val="00EA0389"/>
    <w:rsid w:val="00EA0852"/>
    <w:rsid w:val="00EA08D4"/>
    <w:rsid w:val="00EA0AF6"/>
    <w:rsid w:val="00EA0B7C"/>
    <w:rsid w:val="00EA0C63"/>
    <w:rsid w:val="00EA0E52"/>
    <w:rsid w:val="00EA0EC2"/>
    <w:rsid w:val="00EA0F27"/>
    <w:rsid w:val="00EA1088"/>
    <w:rsid w:val="00EA129E"/>
    <w:rsid w:val="00EA1AB0"/>
    <w:rsid w:val="00EA1B21"/>
    <w:rsid w:val="00EA1C3D"/>
    <w:rsid w:val="00EA1EBE"/>
    <w:rsid w:val="00EA28C0"/>
    <w:rsid w:val="00EA2911"/>
    <w:rsid w:val="00EA293B"/>
    <w:rsid w:val="00EA2CA8"/>
    <w:rsid w:val="00EA343D"/>
    <w:rsid w:val="00EA416B"/>
    <w:rsid w:val="00EA438A"/>
    <w:rsid w:val="00EA46BC"/>
    <w:rsid w:val="00EA4C09"/>
    <w:rsid w:val="00EA5B66"/>
    <w:rsid w:val="00EA5BDD"/>
    <w:rsid w:val="00EA6791"/>
    <w:rsid w:val="00EA67C3"/>
    <w:rsid w:val="00EA68BD"/>
    <w:rsid w:val="00EA6FB7"/>
    <w:rsid w:val="00EA7102"/>
    <w:rsid w:val="00EA7203"/>
    <w:rsid w:val="00EA74CA"/>
    <w:rsid w:val="00EA7B10"/>
    <w:rsid w:val="00EB0065"/>
    <w:rsid w:val="00EB07E4"/>
    <w:rsid w:val="00EB0A0E"/>
    <w:rsid w:val="00EB0A72"/>
    <w:rsid w:val="00EB0AB3"/>
    <w:rsid w:val="00EB11B5"/>
    <w:rsid w:val="00EB18FE"/>
    <w:rsid w:val="00EB19A0"/>
    <w:rsid w:val="00EB214A"/>
    <w:rsid w:val="00EB2390"/>
    <w:rsid w:val="00EB25BF"/>
    <w:rsid w:val="00EB25D8"/>
    <w:rsid w:val="00EB35A1"/>
    <w:rsid w:val="00EB3800"/>
    <w:rsid w:val="00EB39D4"/>
    <w:rsid w:val="00EB3E34"/>
    <w:rsid w:val="00EB49B6"/>
    <w:rsid w:val="00EB4C11"/>
    <w:rsid w:val="00EB4D1D"/>
    <w:rsid w:val="00EB5174"/>
    <w:rsid w:val="00EB54AA"/>
    <w:rsid w:val="00EB66B5"/>
    <w:rsid w:val="00EB7006"/>
    <w:rsid w:val="00EB72A5"/>
    <w:rsid w:val="00EB76D6"/>
    <w:rsid w:val="00EB7D0C"/>
    <w:rsid w:val="00EC04CD"/>
    <w:rsid w:val="00EC0E36"/>
    <w:rsid w:val="00EC14A9"/>
    <w:rsid w:val="00EC1C3A"/>
    <w:rsid w:val="00EC1D43"/>
    <w:rsid w:val="00EC2648"/>
    <w:rsid w:val="00EC26A6"/>
    <w:rsid w:val="00EC28B2"/>
    <w:rsid w:val="00EC4475"/>
    <w:rsid w:val="00EC466B"/>
    <w:rsid w:val="00EC4DC5"/>
    <w:rsid w:val="00EC5303"/>
    <w:rsid w:val="00EC57F8"/>
    <w:rsid w:val="00EC5F3F"/>
    <w:rsid w:val="00EC640F"/>
    <w:rsid w:val="00EC689A"/>
    <w:rsid w:val="00EC695D"/>
    <w:rsid w:val="00EC7266"/>
    <w:rsid w:val="00EC72D4"/>
    <w:rsid w:val="00EC7579"/>
    <w:rsid w:val="00EC7828"/>
    <w:rsid w:val="00ED005C"/>
    <w:rsid w:val="00ED0216"/>
    <w:rsid w:val="00ED0628"/>
    <w:rsid w:val="00ED1328"/>
    <w:rsid w:val="00ED2E11"/>
    <w:rsid w:val="00ED35D5"/>
    <w:rsid w:val="00ED3918"/>
    <w:rsid w:val="00ED39F1"/>
    <w:rsid w:val="00ED3B0E"/>
    <w:rsid w:val="00ED414A"/>
    <w:rsid w:val="00ED421D"/>
    <w:rsid w:val="00ED44A4"/>
    <w:rsid w:val="00ED52F0"/>
    <w:rsid w:val="00ED5743"/>
    <w:rsid w:val="00ED5BFB"/>
    <w:rsid w:val="00ED5EB4"/>
    <w:rsid w:val="00ED61EF"/>
    <w:rsid w:val="00ED660F"/>
    <w:rsid w:val="00ED6CA5"/>
    <w:rsid w:val="00ED7871"/>
    <w:rsid w:val="00ED79BA"/>
    <w:rsid w:val="00EE09D2"/>
    <w:rsid w:val="00EE0C9F"/>
    <w:rsid w:val="00EE1282"/>
    <w:rsid w:val="00EE1596"/>
    <w:rsid w:val="00EE1AF0"/>
    <w:rsid w:val="00EE1B82"/>
    <w:rsid w:val="00EE2CA4"/>
    <w:rsid w:val="00EE33F3"/>
    <w:rsid w:val="00EE37C1"/>
    <w:rsid w:val="00EE3D88"/>
    <w:rsid w:val="00EE4747"/>
    <w:rsid w:val="00EE477C"/>
    <w:rsid w:val="00EE4BDE"/>
    <w:rsid w:val="00EE4C2D"/>
    <w:rsid w:val="00EE516B"/>
    <w:rsid w:val="00EE54C7"/>
    <w:rsid w:val="00EE564E"/>
    <w:rsid w:val="00EE60B0"/>
    <w:rsid w:val="00EE72BF"/>
    <w:rsid w:val="00EE7850"/>
    <w:rsid w:val="00EE78AB"/>
    <w:rsid w:val="00EE7AE3"/>
    <w:rsid w:val="00EE7B21"/>
    <w:rsid w:val="00EE7D0B"/>
    <w:rsid w:val="00EF0062"/>
    <w:rsid w:val="00EF076F"/>
    <w:rsid w:val="00EF0EDE"/>
    <w:rsid w:val="00EF14B9"/>
    <w:rsid w:val="00EF1558"/>
    <w:rsid w:val="00EF1CA9"/>
    <w:rsid w:val="00EF2595"/>
    <w:rsid w:val="00EF329F"/>
    <w:rsid w:val="00EF3640"/>
    <w:rsid w:val="00EF3911"/>
    <w:rsid w:val="00EF3C7B"/>
    <w:rsid w:val="00EF3D90"/>
    <w:rsid w:val="00EF3FAE"/>
    <w:rsid w:val="00EF4294"/>
    <w:rsid w:val="00EF48C1"/>
    <w:rsid w:val="00EF4AB8"/>
    <w:rsid w:val="00EF4C14"/>
    <w:rsid w:val="00EF4C84"/>
    <w:rsid w:val="00EF56B2"/>
    <w:rsid w:val="00EF6471"/>
    <w:rsid w:val="00EF696B"/>
    <w:rsid w:val="00EF6DFE"/>
    <w:rsid w:val="00EF6EB4"/>
    <w:rsid w:val="00EF6FEA"/>
    <w:rsid w:val="00EF71F7"/>
    <w:rsid w:val="00EF7BA9"/>
    <w:rsid w:val="00F00565"/>
    <w:rsid w:val="00F005AE"/>
    <w:rsid w:val="00F00CEE"/>
    <w:rsid w:val="00F01601"/>
    <w:rsid w:val="00F018D9"/>
    <w:rsid w:val="00F028F5"/>
    <w:rsid w:val="00F02F19"/>
    <w:rsid w:val="00F03483"/>
    <w:rsid w:val="00F034DC"/>
    <w:rsid w:val="00F03DA3"/>
    <w:rsid w:val="00F057BF"/>
    <w:rsid w:val="00F0589F"/>
    <w:rsid w:val="00F05FD5"/>
    <w:rsid w:val="00F06997"/>
    <w:rsid w:val="00F069C6"/>
    <w:rsid w:val="00F06D24"/>
    <w:rsid w:val="00F07077"/>
    <w:rsid w:val="00F07322"/>
    <w:rsid w:val="00F0738B"/>
    <w:rsid w:val="00F07545"/>
    <w:rsid w:val="00F07732"/>
    <w:rsid w:val="00F07DF3"/>
    <w:rsid w:val="00F10642"/>
    <w:rsid w:val="00F10A6C"/>
    <w:rsid w:val="00F10B49"/>
    <w:rsid w:val="00F10BBD"/>
    <w:rsid w:val="00F1115C"/>
    <w:rsid w:val="00F119B0"/>
    <w:rsid w:val="00F11B69"/>
    <w:rsid w:val="00F11C1B"/>
    <w:rsid w:val="00F11F27"/>
    <w:rsid w:val="00F12700"/>
    <w:rsid w:val="00F127E0"/>
    <w:rsid w:val="00F128ED"/>
    <w:rsid w:val="00F1357C"/>
    <w:rsid w:val="00F13875"/>
    <w:rsid w:val="00F1443E"/>
    <w:rsid w:val="00F14BAB"/>
    <w:rsid w:val="00F14C0A"/>
    <w:rsid w:val="00F15459"/>
    <w:rsid w:val="00F155B3"/>
    <w:rsid w:val="00F15A30"/>
    <w:rsid w:val="00F15E20"/>
    <w:rsid w:val="00F15E28"/>
    <w:rsid w:val="00F15E29"/>
    <w:rsid w:val="00F16C68"/>
    <w:rsid w:val="00F16E2D"/>
    <w:rsid w:val="00F16EBB"/>
    <w:rsid w:val="00F17070"/>
    <w:rsid w:val="00F17A7B"/>
    <w:rsid w:val="00F17B8B"/>
    <w:rsid w:val="00F17F72"/>
    <w:rsid w:val="00F20100"/>
    <w:rsid w:val="00F214FA"/>
    <w:rsid w:val="00F21F24"/>
    <w:rsid w:val="00F225B7"/>
    <w:rsid w:val="00F22854"/>
    <w:rsid w:val="00F22C0D"/>
    <w:rsid w:val="00F22FB0"/>
    <w:rsid w:val="00F236E2"/>
    <w:rsid w:val="00F2379B"/>
    <w:rsid w:val="00F23D68"/>
    <w:rsid w:val="00F23D76"/>
    <w:rsid w:val="00F2400A"/>
    <w:rsid w:val="00F2407F"/>
    <w:rsid w:val="00F24154"/>
    <w:rsid w:val="00F24475"/>
    <w:rsid w:val="00F24980"/>
    <w:rsid w:val="00F24E9F"/>
    <w:rsid w:val="00F254E7"/>
    <w:rsid w:val="00F256B3"/>
    <w:rsid w:val="00F258C0"/>
    <w:rsid w:val="00F26134"/>
    <w:rsid w:val="00F26366"/>
    <w:rsid w:val="00F268BE"/>
    <w:rsid w:val="00F27196"/>
    <w:rsid w:val="00F27323"/>
    <w:rsid w:val="00F276E4"/>
    <w:rsid w:val="00F3052D"/>
    <w:rsid w:val="00F3061B"/>
    <w:rsid w:val="00F306A5"/>
    <w:rsid w:val="00F31B76"/>
    <w:rsid w:val="00F31E37"/>
    <w:rsid w:val="00F32600"/>
    <w:rsid w:val="00F32EE0"/>
    <w:rsid w:val="00F333DB"/>
    <w:rsid w:val="00F33459"/>
    <w:rsid w:val="00F33AF7"/>
    <w:rsid w:val="00F33D44"/>
    <w:rsid w:val="00F33ED5"/>
    <w:rsid w:val="00F3422C"/>
    <w:rsid w:val="00F34419"/>
    <w:rsid w:val="00F34558"/>
    <w:rsid w:val="00F345A3"/>
    <w:rsid w:val="00F348A8"/>
    <w:rsid w:val="00F34B27"/>
    <w:rsid w:val="00F34F54"/>
    <w:rsid w:val="00F35D35"/>
    <w:rsid w:val="00F36BD2"/>
    <w:rsid w:val="00F37D65"/>
    <w:rsid w:val="00F37F1A"/>
    <w:rsid w:val="00F407CE"/>
    <w:rsid w:val="00F40A91"/>
    <w:rsid w:val="00F40C76"/>
    <w:rsid w:val="00F40E9C"/>
    <w:rsid w:val="00F4107A"/>
    <w:rsid w:val="00F41262"/>
    <w:rsid w:val="00F4177F"/>
    <w:rsid w:val="00F42923"/>
    <w:rsid w:val="00F42ABC"/>
    <w:rsid w:val="00F42D25"/>
    <w:rsid w:val="00F42DAF"/>
    <w:rsid w:val="00F43C6E"/>
    <w:rsid w:val="00F44CDB"/>
    <w:rsid w:val="00F451AC"/>
    <w:rsid w:val="00F4621B"/>
    <w:rsid w:val="00F47356"/>
    <w:rsid w:val="00F47798"/>
    <w:rsid w:val="00F479F9"/>
    <w:rsid w:val="00F47B43"/>
    <w:rsid w:val="00F47D08"/>
    <w:rsid w:val="00F47DDB"/>
    <w:rsid w:val="00F5121E"/>
    <w:rsid w:val="00F513F8"/>
    <w:rsid w:val="00F51D20"/>
    <w:rsid w:val="00F521F6"/>
    <w:rsid w:val="00F524F7"/>
    <w:rsid w:val="00F52F2F"/>
    <w:rsid w:val="00F53831"/>
    <w:rsid w:val="00F53D99"/>
    <w:rsid w:val="00F541A6"/>
    <w:rsid w:val="00F547B3"/>
    <w:rsid w:val="00F554E5"/>
    <w:rsid w:val="00F55541"/>
    <w:rsid w:val="00F556A6"/>
    <w:rsid w:val="00F558B5"/>
    <w:rsid w:val="00F55C59"/>
    <w:rsid w:val="00F56386"/>
    <w:rsid w:val="00F5652A"/>
    <w:rsid w:val="00F569B9"/>
    <w:rsid w:val="00F56F84"/>
    <w:rsid w:val="00F5716A"/>
    <w:rsid w:val="00F576A0"/>
    <w:rsid w:val="00F57710"/>
    <w:rsid w:val="00F5784D"/>
    <w:rsid w:val="00F603DC"/>
    <w:rsid w:val="00F605D0"/>
    <w:rsid w:val="00F60D2E"/>
    <w:rsid w:val="00F60D48"/>
    <w:rsid w:val="00F60E93"/>
    <w:rsid w:val="00F616E9"/>
    <w:rsid w:val="00F61ACF"/>
    <w:rsid w:val="00F61B17"/>
    <w:rsid w:val="00F61F50"/>
    <w:rsid w:val="00F626DE"/>
    <w:rsid w:val="00F6399A"/>
    <w:rsid w:val="00F63A29"/>
    <w:rsid w:val="00F63B55"/>
    <w:rsid w:val="00F6590C"/>
    <w:rsid w:val="00F65C17"/>
    <w:rsid w:val="00F65C53"/>
    <w:rsid w:val="00F6618D"/>
    <w:rsid w:val="00F662E4"/>
    <w:rsid w:val="00F66C1E"/>
    <w:rsid w:val="00F67250"/>
    <w:rsid w:val="00F67387"/>
    <w:rsid w:val="00F677A6"/>
    <w:rsid w:val="00F678E8"/>
    <w:rsid w:val="00F679FC"/>
    <w:rsid w:val="00F67EE4"/>
    <w:rsid w:val="00F7037B"/>
    <w:rsid w:val="00F70548"/>
    <w:rsid w:val="00F70605"/>
    <w:rsid w:val="00F710F9"/>
    <w:rsid w:val="00F71F21"/>
    <w:rsid w:val="00F72562"/>
    <w:rsid w:val="00F72D6F"/>
    <w:rsid w:val="00F737B1"/>
    <w:rsid w:val="00F73D84"/>
    <w:rsid w:val="00F740C2"/>
    <w:rsid w:val="00F74522"/>
    <w:rsid w:val="00F7503E"/>
    <w:rsid w:val="00F75484"/>
    <w:rsid w:val="00F7582F"/>
    <w:rsid w:val="00F7596C"/>
    <w:rsid w:val="00F75971"/>
    <w:rsid w:val="00F75B77"/>
    <w:rsid w:val="00F76247"/>
    <w:rsid w:val="00F76E72"/>
    <w:rsid w:val="00F76FC2"/>
    <w:rsid w:val="00F770A0"/>
    <w:rsid w:val="00F80A79"/>
    <w:rsid w:val="00F80ECF"/>
    <w:rsid w:val="00F81D32"/>
    <w:rsid w:val="00F827BF"/>
    <w:rsid w:val="00F82DA4"/>
    <w:rsid w:val="00F82FF1"/>
    <w:rsid w:val="00F83213"/>
    <w:rsid w:val="00F8432E"/>
    <w:rsid w:val="00F84C46"/>
    <w:rsid w:val="00F878A4"/>
    <w:rsid w:val="00F87AD1"/>
    <w:rsid w:val="00F90345"/>
    <w:rsid w:val="00F9040E"/>
    <w:rsid w:val="00F9058D"/>
    <w:rsid w:val="00F9076C"/>
    <w:rsid w:val="00F907E0"/>
    <w:rsid w:val="00F9091D"/>
    <w:rsid w:val="00F90A15"/>
    <w:rsid w:val="00F90A6C"/>
    <w:rsid w:val="00F90B96"/>
    <w:rsid w:val="00F91A6C"/>
    <w:rsid w:val="00F91BA4"/>
    <w:rsid w:val="00F9272F"/>
    <w:rsid w:val="00F92A02"/>
    <w:rsid w:val="00F93041"/>
    <w:rsid w:val="00F9338A"/>
    <w:rsid w:val="00F93D74"/>
    <w:rsid w:val="00F93EF1"/>
    <w:rsid w:val="00F94377"/>
    <w:rsid w:val="00F94E78"/>
    <w:rsid w:val="00F94FEE"/>
    <w:rsid w:val="00F951A2"/>
    <w:rsid w:val="00F95628"/>
    <w:rsid w:val="00F957D2"/>
    <w:rsid w:val="00F95DDC"/>
    <w:rsid w:val="00F970A6"/>
    <w:rsid w:val="00F970CD"/>
    <w:rsid w:val="00F97358"/>
    <w:rsid w:val="00F975BA"/>
    <w:rsid w:val="00F97C6C"/>
    <w:rsid w:val="00FA010D"/>
    <w:rsid w:val="00FA0588"/>
    <w:rsid w:val="00FA0FB2"/>
    <w:rsid w:val="00FA189D"/>
    <w:rsid w:val="00FA19C5"/>
    <w:rsid w:val="00FA1AAF"/>
    <w:rsid w:val="00FA223B"/>
    <w:rsid w:val="00FA26EC"/>
    <w:rsid w:val="00FA2904"/>
    <w:rsid w:val="00FA2970"/>
    <w:rsid w:val="00FA2D57"/>
    <w:rsid w:val="00FA36FF"/>
    <w:rsid w:val="00FA380B"/>
    <w:rsid w:val="00FA42CA"/>
    <w:rsid w:val="00FA47B9"/>
    <w:rsid w:val="00FA49E8"/>
    <w:rsid w:val="00FA503C"/>
    <w:rsid w:val="00FA518F"/>
    <w:rsid w:val="00FA53C9"/>
    <w:rsid w:val="00FA5458"/>
    <w:rsid w:val="00FA5622"/>
    <w:rsid w:val="00FA57D0"/>
    <w:rsid w:val="00FA5E94"/>
    <w:rsid w:val="00FA6C99"/>
    <w:rsid w:val="00FA6DF4"/>
    <w:rsid w:val="00FA73ED"/>
    <w:rsid w:val="00FA75DD"/>
    <w:rsid w:val="00FA7840"/>
    <w:rsid w:val="00FA7B0F"/>
    <w:rsid w:val="00FB0260"/>
    <w:rsid w:val="00FB0985"/>
    <w:rsid w:val="00FB0AC1"/>
    <w:rsid w:val="00FB0E26"/>
    <w:rsid w:val="00FB13EF"/>
    <w:rsid w:val="00FB263C"/>
    <w:rsid w:val="00FB2B6E"/>
    <w:rsid w:val="00FB2E8A"/>
    <w:rsid w:val="00FB3E7B"/>
    <w:rsid w:val="00FB4362"/>
    <w:rsid w:val="00FB44B5"/>
    <w:rsid w:val="00FB5B75"/>
    <w:rsid w:val="00FB5DA6"/>
    <w:rsid w:val="00FB62FD"/>
    <w:rsid w:val="00FB6912"/>
    <w:rsid w:val="00FB6A1B"/>
    <w:rsid w:val="00FB6C6E"/>
    <w:rsid w:val="00FB70B4"/>
    <w:rsid w:val="00FC0618"/>
    <w:rsid w:val="00FC0682"/>
    <w:rsid w:val="00FC099E"/>
    <w:rsid w:val="00FC0AAF"/>
    <w:rsid w:val="00FC0D83"/>
    <w:rsid w:val="00FC0EAD"/>
    <w:rsid w:val="00FC19CA"/>
    <w:rsid w:val="00FC1A08"/>
    <w:rsid w:val="00FC238E"/>
    <w:rsid w:val="00FC2878"/>
    <w:rsid w:val="00FC482B"/>
    <w:rsid w:val="00FC5133"/>
    <w:rsid w:val="00FC56AD"/>
    <w:rsid w:val="00FC65FB"/>
    <w:rsid w:val="00FC7425"/>
    <w:rsid w:val="00FC7AA6"/>
    <w:rsid w:val="00FC7F76"/>
    <w:rsid w:val="00FD0B3F"/>
    <w:rsid w:val="00FD13C0"/>
    <w:rsid w:val="00FD34AE"/>
    <w:rsid w:val="00FD363A"/>
    <w:rsid w:val="00FD50A5"/>
    <w:rsid w:val="00FD5609"/>
    <w:rsid w:val="00FD6478"/>
    <w:rsid w:val="00FD6953"/>
    <w:rsid w:val="00FD7491"/>
    <w:rsid w:val="00FD793A"/>
    <w:rsid w:val="00FD7BEE"/>
    <w:rsid w:val="00FE00D1"/>
    <w:rsid w:val="00FE01F5"/>
    <w:rsid w:val="00FE029D"/>
    <w:rsid w:val="00FE0B00"/>
    <w:rsid w:val="00FE0B06"/>
    <w:rsid w:val="00FE0F0E"/>
    <w:rsid w:val="00FE1113"/>
    <w:rsid w:val="00FE15B6"/>
    <w:rsid w:val="00FE17E8"/>
    <w:rsid w:val="00FE1ECB"/>
    <w:rsid w:val="00FE1F7F"/>
    <w:rsid w:val="00FE20D8"/>
    <w:rsid w:val="00FE3028"/>
    <w:rsid w:val="00FE32C5"/>
    <w:rsid w:val="00FE37FD"/>
    <w:rsid w:val="00FE4163"/>
    <w:rsid w:val="00FE420C"/>
    <w:rsid w:val="00FE425C"/>
    <w:rsid w:val="00FE4F12"/>
    <w:rsid w:val="00FE56F7"/>
    <w:rsid w:val="00FE56F9"/>
    <w:rsid w:val="00FE6C19"/>
    <w:rsid w:val="00FE6D92"/>
    <w:rsid w:val="00FE7605"/>
    <w:rsid w:val="00FE767B"/>
    <w:rsid w:val="00FF01AA"/>
    <w:rsid w:val="00FF0D12"/>
    <w:rsid w:val="00FF1EE7"/>
    <w:rsid w:val="00FF2D90"/>
    <w:rsid w:val="00FF3416"/>
    <w:rsid w:val="00FF343B"/>
    <w:rsid w:val="00FF3AB7"/>
    <w:rsid w:val="00FF3B20"/>
    <w:rsid w:val="00FF3E07"/>
    <w:rsid w:val="00FF457B"/>
    <w:rsid w:val="00FF4E9B"/>
    <w:rsid w:val="00FF567A"/>
    <w:rsid w:val="00FF5953"/>
    <w:rsid w:val="00FF5D9F"/>
    <w:rsid w:val="00FF5F1D"/>
    <w:rsid w:val="00FF6114"/>
    <w:rsid w:val="00FF61B2"/>
    <w:rsid w:val="00FF6680"/>
    <w:rsid w:val="00FF68EA"/>
    <w:rsid w:val="00FF6E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4" w:qFormat="1"/>
    <w:lsdException w:name="heading 3" w:uiPriority="5" w:qFormat="1"/>
    <w:lsdException w:name="heading 4" w:uiPriority="6" w:qFormat="1"/>
    <w:lsdException w:name="heading 5" w:uiPriority="7" w:qFormat="1"/>
    <w:lsdException w:name="heading 6" w:uiPriority="8" w:qFormat="1"/>
    <w:lsdException w:name="heading 7" w:uiPriority="8" w:qFormat="1"/>
    <w:lsdException w:name="heading 8" w:uiPriority="8" w:qFormat="1"/>
    <w:lsdException w:name="heading 9" w:uiPriority="8" w:qFormat="1"/>
    <w:lsdException w:name="index 1" w:uiPriority="8"/>
    <w:lsdException w:name="index 2" w:uiPriority="8"/>
    <w:lsdException w:name="index 3" w:uiPriority="8"/>
    <w:lsdException w:name="index 4" w:uiPriority="8"/>
    <w:lsdException w:name="index 5" w:uiPriority="8"/>
    <w:lsdException w:name="index 6" w:uiPriority="8"/>
    <w:lsdException w:name="index 7" w:uiPriority="8"/>
    <w:lsdException w:name="index 8" w:uiPriority="8"/>
    <w:lsdException w:name="index 9" w:uiPriority="8"/>
    <w:lsdException w:name="toc 1" w:uiPriority="39"/>
    <w:lsdException w:name="toc 2" w:uiPriority="8"/>
    <w:lsdException w:name="toc 3" w:uiPriority="8"/>
    <w:lsdException w:name="toc 4" w:uiPriority="8"/>
    <w:lsdException w:name="toc 5" w:uiPriority="8"/>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8"/>
    <w:lsdException w:name="caption" w:uiPriority="35" w:qFormat="1"/>
    <w:lsdException w:name="table of figures" w:uiPriority="99"/>
    <w:lsdException w:name="annotation reference" w:uiPriority="99"/>
    <w:lsdException w:name="page number" w:uiPriority="99"/>
    <w:lsdException w:name="endnote reference" w:uiPriority="99"/>
    <w:lsdException w:name="endnote text" w:uiPriority="99"/>
    <w:lsdException w:name="List Bullet" w:uiPriority="2" w:qFormat="1"/>
    <w:lsdException w:name="List Number" w:uiPriority="8"/>
    <w:lsdException w:name="List Bullet 2" w:uiPriority="8"/>
    <w:lsdException w:name="List Bullet 3" w:uiPriority="8"/>
    <w:lsdException w:name="List Bullet 4" w:uiPriority="8"/>
    <w:lsdException w:name="List Bullet 5" w:uiPriority="8"/>
    <w:lsdException w:name="Title" w:uiPriority="8" w:qFormat="1"/>
    <w:lsdException w:name="Body Text" w:uiPriority="8"/>
    <w:lsdException w:name="Body Text Indent" w:uiPriority="99"/>
    <w:lsdException w:name="Subtitle" w:uiPriority="11" w:qFormat="1"/>
    <w:lsdException w:name="Body Text 2" w:uiPriority="99"/>
    <w:lsdException w:name="Body Text 3" w:uiPriority="99"/>
    <w:lsdException w:name="Body Text Indent 2" w:uiPriority="99"/>
    <w:lsdException w:name="Block Text"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8"/>
    <w:lsdException w:name="Table Grid" w:uiPriority="59"/>
    <w:lsdException w:name="Table Theme" w:uiPriority="99"/>
    <w:lsdException w:name="Revision" w:uiPriority="99"/>
    <w:lsdException w:name="List Paragraph" w:uiPriority="42" w:qFormat="1"/>
    <w:lsdException w:name="Light List Accent 2" w:uiPriority="61"/>
    <w:lsdException w:name="Medium List 2 Accent 2" w:uiPriority="66"/>
    <w:lsdException w:name="Colorful Grid Accent 2" w:uiPriority="73"/>
    <w:lsdException w:name="TOC Heading" w:uiPriority="39" w:qFormat="1"/>
  </w:latentStyles>
  <w:style w:type="paragraph" w:default="1" w:styleId="Normal">
    <w:name w:val="Normal"/>
    <w:qFormat/>
    <w:rsid w:val="00F81D32"/>
    <w:pPr>
      <w:tabs>
        <w:tab w:val="left" w:pos="709"/>
      </w:tabs>
      <w:spacing w:after="240"/>
      <w:jc w:val="both"/>
    </w:pPr>
    <w:rPr>
      <w:rFonts w:ascii="Times New Roman" w:hAnsi="Times New Roman"/>
      <w:szCs w:val="22"/>
    </w:rPr>
  </w:style>
  <w:style w:type="paragraph" w:styleId="Heading1">
    <w:name w:val="heading 1"/>
    <w:basedOn w:val="Style1"/>
    <w:next w:val="Normal"/>
    <w:link w:val="Heading1Char1"/>
    <w:uiPriority w:val="9"/>
    <w:qFormat/>
    <w:rsid w:val="00EA4C09"/>
    <w:pPr>
      <w:numPr>
        <w:numId w:val="5"/>
      </w:numPr>
      <w:tabs>
        <w:tab w:val="left" w:pos="2127"/>
      </w:tabs>
      <w:jc w:val="center"/>
      <w:outlineLvl w:val="0"/>
    </w:pPr>
    <w:rPr>
      <w:lang w:val="fr-FR"/>
    </w:rPr>
  </w:style>
  <w:style w:type="paragraph" w:styleId="Heading2">
    <w:name w:val="heading 2"/>
    <w:basedOn w:val="Style2"/>
    <w:next w:val="Normal"/>
    <w:link w:val="Heading2Char"/>
    <w:uiPriority w:val="4"/>
    <w:qFormat/>
    <w:rsid w:val="00A54EB6"/>
    <w:pPr>
      <w:numPr>
        <w:ilvl w:val="1"/>
        <w:numId w:val="5"/>
      </w:numPr>
      <w:outlineLvl w:val="1"/>
    </w:pPr>
    <w:rPr>
      <w:lang w:val="fr-FR"/>
    </w:rPr>
  </w:style>
  <w:style w:type="paragraph" w:styleId="Heading3">
    <w:name w:val="heading 3"/>
    <w:aliases w:val="Section Header3"/>
    <w:basedOn w:val="Normal"/>
    <w:next w:val="Normal"/>
    <w:link w:val="Heading3Char"/>
    <w:uiPriority w:val="5"/>
    <w:qFormat/>
    <w:rsid w:val="002D1574"/>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6"/>
    <w:unhideWhenUsed/>
    <w:qFormat/>
    <w:rsid w:val="000528F0"/>
    <w:pPr>
      <w:keepNext/>
      <w:numPr>
        <w:ilvl w:val="3"/>
        <w:numId w:val="1"/>
      </w:numPr>
      <w:spacing w:before="240" w:after="60"/>
      <w:outlineLvl w:val="3"/>
    </w:pPr>
    <w:rPr>
      <w:rFonts w:eastAsia="Times New Roman"/>
      <w:b/>
      <w:bCs/>
      <w:sz w:val="28"/>
      <w:szCs w:val="28"/>
    </w:rPr>
  </w:style>
  <w:style w:type="paragraph" w:styleId="Heading5">
    <w:name w:val="heading 5"/>
    <w:basedOn w:val="Normal"/>
    <w:next w:val="Normal"/>
    <w:link w:val="Heading5Char2"/>
    <w:uiPriority w:val="7"/>
    <w:unhideWhenUsed/>
    <w:qFormat/>
    <w:rsid w:val="000D13CB"/>
    <w:pPr>
      <w:numPr>
        <w:ilvl w:val="4"/>
        <w:numId w:val="1"/>
      </w:numPr>
      <w:spacing w:before="240" w:after="60"/>
      <w:outlineLvl w:val="4"/>
    </w:pPr>
    <w:rPr>
      <w:rFonts w:eastAsia="Times New Roman"/>
      <w:b/>
      <w:bCs/>
      <w:i/>
      <w:iCs/>
      <w:sz w:val="26"/>
      <w:szCs w:val="26"/>
    </w:rPr>
  </w:style>
  <w:style w:type="paragraph" w:styleId="Heading6">
    <w:name w:val="heading 6"/>
    <w:basedOn w:val="Heading2"/>
    <w:next w:val="Normal"/>
    <w:link w:val="Heading6Char2"/>
    <w:uiPriority w:val="8"/>
    <w:unhideWhenUsed/>
    <w:qFormat/>
    <w:rsid w:val="009E2A1E"/>
    <w:pPr>
      <w:numPr>
        <w:ilvl w:val="0"/>
        <w:numId w:val="0"/>
      </w:numPr>
      <w:jc w:val="center"/>
      <w:outlineLvl w:val="5"/>
    </w:pPr>
    <w:rPr>
      <w:szCs w:val="28"/>
    </w:rPr>
  </w:style>
  <w:style w:type="paragraph" w:styleId="Heading7">
    <w:name w:val="heading 7"/>
    <w:basedOn w:val="Caption"/>
    <w:next w:val="Normal"/>
    <w:link w:val="Heading7Char"/>
    <w:uiPriority w:val="8"/>
    <w:unhideWhenUsed/>
    <w:qFormat/>
    <w:rsid w:val="005D3651"/>
    <w:pPr>
      <w:keepNext/>
      <w:keepLines/>
      <w:outlineLvl w:val="6"/>
    </w:pPr>
    <w:rPr>
      <w:bCs w:val="0"/>
      <w:noProof/>
      <w:lang w:val="fr-BE"/>
    </w:rPr>
  </w:style>
  <w:style w:type="paragraph" w:styleId="Heading8">
    <w:name w:val="heading 8"/>
    <w:basedOn w:val="Caption"/>
    <w:next w:val="Normal"/>
    <w:link w:val="Heading8Char1"/>
    <w:uiPriority w:val="8"/>
    <w:unhideWhenUsed/>
    <w:qFormat/>
    <w:rsid w:val="00F07732"/>
    <w:pPr>
      <w:keepNext/>
      <w:keepLines/>
      <w:outlineLvl w:val="7"/>
    </w:pPr>
    <w:rPr>
      <w:lang w:val="fr-FR"/>
    </w:rPr>
  </w:style>
  <w:style w:type="paragraph" w:styleId="Heading9">
    <w:name w:val="heading 9"/>
    <w:basedOn w:val="Caption"/>
    <w:next w:val="Normal"/>
    <w:link w:val="Heading9Char1"/>
    <w:uiPriority w:val="8"/>
    <w:unhideWhenUsed/>
    <w:qFormat/>
    <w:rsid w:val="005D3651"/>
    <w:pPr>
      <w:keepNext/>
      <w:keepLines/>
      <w:outlineLvl w:val="8"/>
    </w:pPr>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next w:val="Normal"/>
    <w:link w:val="Style1Char"/>
    <w:qFormat/>
    <w:rsid w:val="00241E16"/>
    <w:pPr>
      <w:pageBreakBefore/>
      <w:tabs>
        <w:tab w:val="clear" w:pos="709"/>
      </w:tabs>
      <w:spacing w:after="480"/>
      <w:jc w:val="left"/>
    </w:pPr>
    <w:rPr>
      <w:rFonts w:cs="Arial"/>
      <w:b/>
      <w:caps/>
      <w:sz w:val="28"/>
    </w:rPr>
  </w:style>
  <w:style w:type="character" w:customStyle="1" w:styleId="Style1Char">
    <w:name w:val="Style1 Char"/>
    <w:basedOn w:val="DefaultParagraphFont"/>
    <w:link w:val="Style1"/>
    <w:rsid w:val="00241E16"/>
    <w:rPr>
      <w:rFonts w:ascii="Times New Roman" w:hAnsi="Times New Roman" w:cs="Arial"/>
      <w:b/>
      <w:caps/>
      <w:sz w:val="28"/>
      <w:szCs w:val="22"/>
    </w:rPr>
  </w:style>
  <w:style w:type="character" w:customStyle="1" w:styleId="Heading1Char1">
    <w:name w:val="Heading 1 Char1"/>
    <w:basedOn w:val="DefaultParagraphFont"/>
    <w:link w:val="Heading1"/>
    <w:uiPriority w:val="9"/>
    <w:rsid w:val="00EA4C09"/>
    <w:rPr>
      <w:rFonts w:ascii="Times New Roman" w:hAnsi="Times New Roman" w:cs="Arial"/>
      <w:b/>
      <w:caps/>
      <w:sz w:val="28"/>
      <w:szCs w:val="22"/>
      <w:lang w:val="fr-FR"/>
    </w:rPr>
  </w:style>
  <w:style w:type="paragraph" w:customStyle="1" w:styleId="Style2">
    <w:name w:val="Style2"/>
    <w:basedOn w:val="Normal"/>
    <w:next w:val="Normal"/>
    <w:link w:val="Style2Char"/>
    <w:qFormat/>
    <w:rsid w:val="00841744"/>
    <w:pPr>
      <w:keepNext/>
    </w:pPr>
    <w:rPr>
      <w:b/>
      <w:sz w:val="28"/>
      <w:szCs w:val="20"/>
    </w:rPr>
  </w:style>
  <w:style w:type="character" w:customStyle="1" w:styleId="Style2Char">
    <w:name w:val="Style2 Char"/>
    <w:basedOn w:val="DefaultParagraphFont"/>
    <w:link w:val="Style2"/>
    <w:rsid w:val="00841744"/>
    <w:rPr>
      <w:rFonts w:ascii="Times New Roman" w:hAnsi="Times New Roman"/>
      <w:b/>
      <w:sz w:val="28"/>
      <w:szCs w:val="20"/>
    </w:rPr>
  </w:style>
  <w:style w:type="character" w:customStyle="1" w:styleId="Heading2Char">
    <w:name w:val="Heading 2 Char"/>
    <w:basedOn w:val="DefaultParagraphFont"/>
    <w:link w:val="Heading2"/>
    <w:uiPriority w:val="4"/>
    <w:rsid w:val="00A54EB6"/>
    <w:rPr>
      <w:rFonts w:ascii="Times New Roman" w:hAnsi="Times New Roman"/>
      <w:b/>
      <w:sz w:val="28"/>
      <w:szCs w:val="20"/>
      <w:lang w:val="fr-FR"/>
    </w:rPr>
  </w:style>
  <w:style w:type="character" w:customStyle="1" w:styleId="Heading3Char">
    <w:name w:val="Heading 3 Char"/>
    <w:aliases w:val="Section Header3 Char"/>
    <w:basedOn w:val="DefaultParagraphFont"/>
    <w:link w:val="Heading3"/>
    <w:uiPriority w:val="9"/>
    <w:rsid w:val="002D1574"/>
    <w:rPr>
      <w:rFonts w:ascii="Cambria" w:eastAsia="Times New Roman" w:hAnsi="Cambria"/>
      <w:b/>
      <w:bCs/>
      <w:sz w:val="26"/>
      <w:szCs w:val="26"/>
      <w:lang w:eastAsia="en-US"/>
    </w:rPr>
  </w:style>
  <w:style w:type="character" w:customStyle="1" w:styleId="Heading4Char">
    <w:name w:val="Heading 4 Char"/>
    <w:basedOn w:val="DefaultParagraphFont"/>
    <w:link w:val="Heading4"/>
    <w:uiPriority w:val="6"/>
    <w:rsid w:val="000528F0"/>
    <w:rPr>
      <w:rFonts w:ascii="Times New Roman" w:eastAsia="Times New Roman" w:hAnsi="Times New Roman"/>
      <w:b/>
      <w:bCs/>
      <w:sz w:val="28"/>
      <w:szCs w:val="28"/>
    </w:rPr>
  </w:style>
  <w:style w:type="character" w:customStyle="1" w:styleId="Heading5Char2">
    <w:name w:val="Heading 5 Char2"/>
    <w:basedOn w:val="DefaultParagraphFont"/>
    <w:link w:val="Heading5"/>
    <w:uiPriority w:val="7"/>
    <w:rsid w:val="000D13CB"/>
    <w:rPr>
      <w:rFonts w:ascii="Times New Roman" w:eastAsia="Times New Roman" w:hAnsi="Times New Roman"/>
      <w:b/>
      <w:bCs/>
      <w:i/>
      <w:iCs/>
      <w:sz w:val="26"/>
      <w:szCs w:val="26"/>
    </w:rPr>
  </w:style>
  <w:style w:type="character" w:customStyle="1" w:styleId="Heading6Char2">
    <w:name w:val="Heading 6 Char2"/>
    <w:basedOn w:val="DefaultParagraphFont"/>
    <w:link w:val="Heading6"/>
    <w:uiPriority w:val="8"/>
    <w:rsid w:val="009E2A1E"/>
    <w:rPr>
      <w:rFonts w:ascii="Times New Roman" w:hAnsi="Times New Roman"/>
      <w:b/>
      <w:sz w:val="28"/>
      <w:szCs w:val="28"/>
      <w:lang w:val="fr-FR"/>
    </w:rPr>
  </w:style>
  <w:style w:type="character" w:customStyle="1" w:styleId="Heading7Char">
    <w:name w:val="Heading 7 Char"/>
    <w:basedOn w:val="DefaultParagraphFont"/>
    <w:link w:val="Heading7"/>
    <w:uiPriority w:val="9"/>
    <w:rsid w:val="005D3651"/>
    <w:rPr>
      <w:rFonts w:ascii="Times New Roman" w:hAnsi="Times New Roman"/>
      <w:b/>
      <w:noProof/>
      <w:sz w:val="20"/>
      <w:szCs w:val="20"/>
      <w:lang w:val="fr-BE"/>
    </w:rPr>
  </w:style>
  <w:style w:type="character" w:customStyle="1" w:styleId="Heading8Char1">
    <w:name w:val="Heading 8 Char1"/>
    <w:basedOn w:val="DefaultParagraphFont"/>
    <w:link w:val="Heading8"/>
    <w:uiPriority w:val="9"/>
    <w:rsid w:val="00F07732"/>
    <w:rPr>
      <w:rFonts w:ascii="Times New Roman" w:hAnsi="Times New Roman"/>
      <w:b/>
      <w:bCs/>
      <w:sz w:val="20"/>
      <w:szCs w:val="20"/>
      <w:lang w:val="fr-FR"/>
    </w:rPr>
  </w:style>
  <w:style w:type="character" w:customStyle="1" w:styleId="Heading9Char1">
    <w:name w:val="Heading 9 Char1"/>
    <w:basedOn w:val="DefaultParagraphFont"/>
    <w:link w:val="Heading9"/>
    <w:uiPriority w:val="99"/>
    <w:rsid w:val="005D3651"/>
    <w:rPr>
      <w:rFonts w:ascii="Times New Roman" w:hAnsi="Times New Roman"/>
      <w:b/>
      <w:bCs/>
      <w:sz w:val="20"/>
      <w:szCs w:val="20"/>
      <w:lang w:val="fr-FR"/>
    </w:rPr>
  </w:style>
  <w:style w:type="table" w:styleId="TableGrid">
    <w:name w:val="Table Grid"/>
    <w:aliases w:val="Endnote Text Char1"/>
    <w:basedOn w:val="TableNormal"/>
    <w:uiPriority w:val="59"/>
    <w:rsid w:val="009C57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3"/>
    <w:uiPriority w:val="99"/>
    <w:unhideWhenUsed/>
    <w:rsid w:val="00A67A6F"/>
    <w:pPr>
      <w:tabs>
        <w:tab w:val="center" w:pos="4536"/>
        <w:tab w:val="right" w:pos="9072"/>
      </w:tabs>
    </w:pPr>
  </w:style>
  <w:style w:type="character" w:customStyle="1" w:styleId="HeaderChar3">
    <w:name w:val="Header Char3"/>
    <w:basedOn w:val="DefaultParagraphFont"/>
    <w:link w:val="Header"/>
    <w:uiPriority w:val="99"/>
    <w:rsid w:val="00A67A6F"/>
    <w:rPr>
      <w:sz w:val="22"/>
      <w:szCs w:val="22"/>
      <w:lang w:eastAsia="en-US"/>
    </w:rPr>
  </w:style>
  <w:style w:type="paragraph" w:styleId="Footer">
    <w:name w:val="footer"/>
    <w:basedOn w:val="Normal"/>
    <w:link w:val="FooterChar"/>
    <w:uiPriority w:val="8"/>
    <w:unhideWhenUsed/>
    <w:rsid w:val="00A67A6F"/>
    <w:pPr>
      <w:tabs>
        <w:tab w:val="center" w:pos="4536"/>
        <w:tab w:val="right" w:pos="9072"/>
      </w:tabs>
    </w:pPr>
  </w:style>
  <w:style w:type="character" w:customStyle="1" w:styleId="FooterChar">
    <w:name w:val="Footer Char"/>
    <w:basedOn w:val="DefaultParagraphFont"/>
    <w:link w:val="Footer"/>
    <w:uiPriority w:val="99"/>
    <w:rsid w:val="00A67A6F"/>
    <w:rPr>
      <w:sz w:val="22"/>
      <w:szCs w:val="22"/>
      <w:lang w:eastAsia="en-US"/>
    </w:rPr>
  </w:style>
  <w:style w:type="paragraph" w:styleId="TOC1">
    <w:name w:val="toc 1"/>
    <w:basedOn w:val="Normal"/>
    <w:next w:val="Normal"/>
    <w:autoRedefine/>
    <w:uiPriority w:val="39"/>
    <w:unhideWhenUsed/>
    <w:rsid w:val="0008523C"/>
    <w:pPr>
      <w:tabs>
        <w:tab w:val="clear" w:pos="709"/>
        <w:tab w:val="right" w:leader="dot" w:pos="9072"/>
      </w:tabs>
      <w:spacing w:before="120" w:after="120"/>
      <w:ind w:left="851" w:right="284" w:hanging="851"/>
      <w:jc w:val="left"/>
    </w:pPr>
    <w:rPr>
      <w:b/>
      <w:bCs/>
      <w:noProof/>
      <w:sz w:val="22"/>
    </w:rPr>
  </w:style>
  <w:style w:type="character" w:styleId="Hyperlink">
    <w:name w:val="Hyperlink"/>
    <w:basedOn w:val="DefaultParagraphFont"/>
    <w:uiPriority w:val="99"/>
    <w:unhideWhenUsed/>
    <w:rsid w:val="00040542"/>
    <w:rPr>
      <w:color w:val="0000FF"/>
      <w:u w:val="single"/>
    </w:rPr>
  </w:style>
  <w:style w:type="paragraph" w:styleId="TOC2">
    <w:name w:val="toc 2"/>
    <w:basedOn w:val="Normal"/>
    <w:next w:val="Normal"/>
    <w:autoRedefine/>
    <w:uiPriority w:val="8"/>
    <w:unhideWhenUsed/>
    <w:rsid w:val="00D0122E"/>
    <w:pPr>
      <w:tabs>
        <w:tab w:val="clear" w:pos="709"/>
        <w:tab w:val="left" w:pos="851"/>
        <w:tab w:val="right" w:leader="dot" w:pos="9072"/>
      </w:tabs>
      <w:spacing w:after="120"/>
      <w:ind w:left="851" w:right="425" w:hanging="437"/>
      <w:jc w:val="left"/>
    </w:pPr>
    <w:rPr>
      <w:bCs/>
      <w:noProof/>
      <w:sz w:val="22"/>
      <w:lang w:val="fr-FR"/>
    </w:rPr>
  </w:style>
  <w:style w:type="paragraph" w:styleId="TOC3">
    <w:name w:val="toc 3"/>
    <w:basedOn w:val="Normal"/>
    <w:next w:val="Normal"/>
    <w:autoRedefine/>
    <w:uiPriority w:val="8"/>
    <w:unhideWhenUsed/>
    <w:rsid w:val="00D20DE3"/>
    <w:pPr>
      <w:spacing w:after="0"/>
      <w:jc w:val="left"/>
    </w:pPr>
    <w:rPr>
      <w:sz w:val="22"/>
    </w:rPr>
  </w:style>
  <w:style w:type="paragraph" w:styleId="TOC4">
    <w:name w:val="toc 4"/>
    <w:basedOn w:val="Normal"/>
    <w:next w:val="Normal"/>
    <w:autoRedefine/>
    <w:uiPriority w:val="8"/>
    <w:unhideWhenUsed/>
    <w:rsid w:val="003012CA"/>
    <w:pPr>
      <w:jc w:val="left"/>
    </w:pPr>
  </w:style>
  <w:style w:type="paragraph" w:styleId="TOC5">
    <w:name w:val="toc 5"/>
    <w:basedOn w:val="Normal"/>
    <w:next w:val="Normal"/>
    <w:autoRedefine/>
    <w:uiPriority w:val="8"/>
    <w:unhideWhenUsed/>
    <w:rsid w:val="003012CA"/>
    <w:pPr>
      <w:jc w:val="left"/>
    </w:pPr>
  </w:style>
  <w:style w:type="paragraph" w:styleId="TOC6">
    <w:name w:val="toc 6"/>
    <w:basedOn w:val="Normal"/>
    <w:next w:val="Normal"/>
    <w:autoRedefine/>
    <w:uiPriority w:val="39"/>
    <w:unhideWhenUsed/>
    <w:rsid w:val="00E50547"/>
    <w:pPr>
      <w:tabs>
        <w:tab w:val="clear" w:pos="709"/>
        <w:tab w:val="right" w:leader="dot" w:pos="9072"/>
      </w:tabs>
      <w:spacing w:after="0"/>
      <w:ind w:left="993" w:hanging="993"/>
      <w:jc w:val="left"/>
    </w:pPr>
    <w:rPr>
      <w:noProof/>
      <w:sz w:val="22"/>
    </w:rPr>
  </w:style>
  <w:style w:type="paragraph" w:styleId="TOC7">
    <w:name w:val="toc 7"/>
    <w:basedOn w:val="Normal"/>
    <w:next w:val="Normal"/>
    <w:autoRedefine/>
    <w:uiPriority w:val="39"/>
    <w:unhideWhenUsed/>
    <w:rsid w:val="003203FB"/>
    <w:pPr>
      <w:tabs>
        <w:tab w:val="clear" w:pos="709"/>
        <w:tab w:val="right" w:leader="dot" w:pos="9072"/>
      </w:tabs>
      <w:spacing w:after="0"/>
      <w:ind w:left="1134" w:right="425" w:hanging="1134"/>
      <w:jc w:val="left"/>
    </w:pPr>
    <w:rPr>
      <w:noProof/>
      <w:sz w:val="22"/>
    </w:rPr>
  </w:style>
  <w:style w:type="paragraph" w:styleId="TOC8">
    <w:name w:val="toc 8"/>
    <w:basedOn w:val="Normal"/>
    <w:next w:val="Normal"/>
    <w:autoRedefine/>
    <w:uiPriority w:val="39"/>
    <w:unhideWhenUsed/>
    <w:rsid w:val="003203FB"/>
    <w:pPr>
      <w:tabs>
        <w:tab w:val="clear" w:pos="709"/>
        <w:tab w:val="right" w:leader="dot" w:pos="9062"/>
      </w:tabs>
      <w:spacing w:after="0"/>
      <w:ind w:left="993" w:right="284" w:hanging="993"/>
      <w:jc w:val="left"/>
    </w:pPr>
    <w:rPr>
      <w:noProof/>
      <w:sz w:val="22"/>
      <w:lang w:val="fr-FR"/>
    </w:rPr>
  </w:style>
  <w:style w:type="paragraph" w:styleId="TOC9">
    <w:name w:val="toc 9"/>
    <w:basedOn w:val="Normal"/>
    <w:next w:val="Normal"/>
    <w:autoRedefine/>
    <w:uiPriority w:val="39"/>
    <w:unhideWhenUsed/>
    <w:rsid w:val="0008523C"/>
    <w:pPr>
      <w:tabs>
        <w:tab w:val="clear" w:pos="709"/>
      </w:tabs>
      <w:spacing w:after="0"/>
      <w:ind w:left="1134" w:right="425" w:hanging="1134"/>
      <w:jc w:val="left"/>
    </w:pPr>
    <w:rPr>
      <w:noProof/>
      <w:sz w:val="22"/>
    </w:rPr>
  </w:style>
  <w:style w:type="paragraph" w:styleId="NormalWeb">
    <w:name w:val="Normal (Web)"/>
    <w:basedOn w:val="Normal"/>
    <w:uiPriority w:val="99"/>
    <w:unhideWhenUsed/>
    <w:rsid w:val="00FE029D"/>
    <w:pPr>
      <w:spacing w:before="100" w:beforeAutospacing="1" w:after="100" w:afterAutospacing="1"/>
    </w:pPr>
    <w:rPr>
      <w:rFonts w:eastAsia="Times New Roman"/>
      <w:szCs w:val="24"/>
      <w:lang w:eastAsia="fr-FR"/>
    </w:rPr>
  </w:style>
  <w:style w:type="character" w:styleId="Strong">
    <w:name w:val="Strong"/>
    <w:basedOn w:val="DefaultParagraphFont"/>
    <w:uiPriority w:val="22"/>
    <w:qFormat/>
    <w:rsid w:val="00FE029D"/>
    <w:rPr>
      <w:b/>
      <w:bCs/>
    </w:rPr>
  </w:style>
  <w:style w:type="paragraph" w:styleId="BalloonText">
    <w:name w:val="Balloon Text"/>
    <w:basedOn w:val="Normal"/>
    <w:link w:val="BalloonTextChar"/>
    <w:uiPriority w:val="8"/>
    <w:rsid w:val="00E55F0C"/>
    <w:rPr>
      <w:rFonts w:ascii="Tahoma" w:hAnsi="Tahoma" w:cs="Tahoma"/>
      <w:sz w:val="16"/>
      <w:szCs w:val="16"/>
    </w:rPr>
  </w:style>
  <w:style w:type="character" w:customStyle="1" w:styleId="BalloonTextChar">
    <w:name w:val="Balloon Text Char"/>
    <w:basedOn w:val="DefaultParagraphFont"/>
    <w:link w:val="BalloonText"/>
    <w:uiPriority w:val="8"/>
    <w:rsid w:val="00D66D65"/>
    <w:rPr>
      <w:rFonts w:ascii="Tahoma" w:hAnsi="Tahoma" w:cs="Tahoma"/>
      <w:sz w:val="16"/>
      <w:szCs w:val="16"/>
    </w:rPr>
  </w:style>
  <w:style w:type="paragraph" w:styleId="TOCHeading">
    <w:name w:val="TOC Heading"/>
    <w:basedOn w:val="Heading1"/>
    <w:next w:val="Normal"/>
    <w:uiPriority w:val="39"/>
    <w:unhideWhenUsed/>
    <w:qFormat/>
    <w:rsid w:val="00C84278"/>
    <w:pPr>
      <w:keepLines/>
      <w:spacing w:before="480"/>
      <w:outlineLvl w:val="9"/>
    </w:pPr>
    <w:rPr>
      <w:rFonts w:ascii="Cambria" w:hAnsi="Cambria" w:cs="Times New Roman"/>
      <w:color w:val="365F91"/>
      <w:szCs w:val="28"/>
    </w:rPr>
  </w:style>
  <w:style w:type="paragraph" w:styleId="Caption">
    <w:name w:val="caption"/>
    <w:aliases w:val="LVT Table Heading,Caption Char2,Caption Char1 Char1,Caption Char Char Char,Caption Char1 Char Char Char,Caption Char Char Char1 Char Char,Caption Char1 Char Char Char Char Char,Caption Char3 Char Char Char Char Char Char,Caption Char1,Caption Ch"/>
    <w:basedOn w:val="Normal"/>
    <w:next w:val="Normal"/>
    <w:link w:val="CaptionChar3"/>
    <w:uiPriority w:val="35"/>
    <w:unhideWhenUsed/>
    <w:qFormat/>
    <w:rsid w:val="00481E4F"/>
    <w:pPr>
      <w:spacing w:before="240" w:after="120"/>
      <w:jc w:val="center"/>
    </w:pPr>
    <w:rPr>
      <w:b/>
      <w:bCs/>
      <w:sz w:val="20"/>
      <w:szCs w:val="20"/>
    </w:rPr>
  </w:style>
  <w:style w:type="character" w:customStyle="1" w:styleId="CaptionChar3">
    <w:name w:val="Caption Char3"/>
    <w:aliases w:val="LVT Table Heading Char1,Caption Char2 Char1,Caption Char1 Char1 Char1,Caption Char Char Char Char1,Caption Char1 Char Char Char Char1,Caption Char Char Char1 Char Char Char1,Caption Char1 Char Char Char Char Char Char1,Caption Char1 Char2"/>
    <w:basedOn w:val="DefaultParagraphFont"/>
    <w:link w:val="Caption"/>
    <w:uiPriority w:val="35"/>
    <w:locked/>
    <w:rsid w:val="00481E4F"/>
    <w:rPr>
      <w:rFonts w:ascii="Times New Roman" w:hAnsi="Times New Roman"/>
      <w:b/>
      <w:bCs/>
      <w:lang w:val="en-US" w:eastAsia="en-US"/>
    </w:rPr>
  </w:style>
  <w:style w:type="paragraph" w:customStyle="1" w:styleId="Notes">
    <w:name w:val="Notes"/>
    <w:basedOn w:val="Normal"/>
    <w:link w:val="NotesChar"/>
    <w:qFormat/>
    <w:rsid w:val="000528F0"/>
    <w:pPr>
      <w:spacing w:before="120" w:after="120"/>
    </w:pPr>
    <w:rPr>
      <w:i/>
      <w:color w:val="C00000"/>
      <w:lang w:val="en-GB"/>
    </w:rPr>
  </w:style>
  <w:style w:type="character" w:customStyle="1" w:styleId="NotesChar">
    <w:name w:val="Notes Char"/>
    <w:basedOn w:val="DefaultParagraphFont"/>
    <w:link w:val="Notes"/>
    <w:rsid w:val="000528F0"/>
    <w:rPr>
      <w:rFonts w:ascii="Times New Roman" w:hAnsi="Times New Roman"/>
      <w:i/>
      <w:color w:val="C00000"/>
      <w:sz w:val="22"/>
      <w:szCs w:val="22"/>
      <w:lang w:val="en-GB" w:eastAsia="en-US"/>
    </w:rPr>
  </w:style>
  <w:style w:type="character" w:customStyle="1" w:styleId="style111">
    <w:name w:val="style111"/>
    <w:basedOn w:val="DefaultParagraphFont"/>
    <w:rsid w:val="003A011A"/>
    <w:rPr>
      <w:rFonts w:ascii="Verdana" w:hAnsi="Verdana" w:hint="default"/>
      <w:sz w:val="9"/>
      <w:szCs w:val="9"/>
    </w:rPr>
  </w:style>
  <w:style w:type="character" w:customStyle="1" w:styleId="spelle">
    <w:name w:val="spelle"/>
    <w:basedOn w:val="DefaultParagraphFont"/>
    <w:rsid w:val="00625AAD"/>
  </w:style>
  <w:style w:type="character" w:styleId="Emphasis">
    <w:name w:val="Emphasis"/>
    <w:basedOn w:val="DefaultParagraphFont"/>
    <w:uiPriority w:val="20"/>
    <w:qFormat/>
    <w:rsid w:val="00C516C3"/>
    <w:rPr>
      <w:i/>
      <w:iCs/>
    </w:rPr>
  </w:style>
  <w:style w:type="character" w:customStyle="1" w:styleId="spipsurligne1">
    <w:name w:val="spip_surligne1"/>
    <w:basedOn w:val="DefaultParagraphFont"/>
    <w:rsid w:val="00C516C3"/>
    <w:rPr>
      <w:shd w:val="clear" w:color="auto" w:fill="FFFF66"/>
    </w:rPr>
  </w:style>
  <w:style w:type="paragraph" w:styleId="ListParagraph">
    <w:name w:val="List Paragraph"/>
    <w:basedOn w:val="Normal"/>
    <w:uiPriority w:val="42"/>
    <w:qFormat/>
    <w:rsid w:val="007E2F50"/>
    <w:pPr>
      <w:ind w:left="708"/>
    </w:pPr>
  </w:style>
  <w:style w:type="paragraph" w:customStyle="1" w:styleId="SourceInfo">
    <w:name w:val="SourceInfo"/>
    <w:basedOn w:val="Normal"/>
    <w:link w:val="SourceInfoChar"/>
    <w:qFormat/>
    <w:rsid w:val="00670582"/>
    <w:pPr>
      <w:shd w:val="clear" w:color="auto" w:fill="D9D9D9"/>
    </w:pPr>
    <w:rPr>
      <w:sz w:val="20"/>
      <w:szCs w:val="20"/>
    </w:rPr>
  </w:style>
  <w:style w:type="character" w:customStyle="1" w:styleId="SourceInfoChar">
    <w:name w:val="SourceInfo Char"/>
    <w:basedOn w:val="DefaultParagraphFont"/>
    <w:link w:val="SourceInfo"/>
    <w:rsid w:val="00670582"/>
    <w:rPr>
      <w:rFonts w:ascii="Calibri" w:hAnsi="Calibri"/>
      <w:shd w:val="clear" w:color="auto" w:fill="D9D9D9"/>
      <w:lang w:eastAsia="en-US"/>
    </w:rPr>
  </w:style>
  <w:style w:type="paragraph" w:customStyle="1" w:styleId="ASuivre">
    <w:name w:val="ASuivre"/>
    <w:basedOn w:val="Normal"/>
    <w:link w:val="ASuivreChar"/>
    <w:rsid w:val="008A6CE7"/>
    <w:pPr>
      <w:shd w:val="clear" w:color="auto" w:fill="FBD4B4"/>
      <w:ind w:left="567" w:hanging="567"/>
    </w:pPr>
    <w:rPr>
      <w:szCs w:val="20"/>
    </w:rPr>
  </w:style>
  <w:style w:type="character" w:customStyle="1" w:styleId="ASuivreChar">
    <w:name w:val="ASuivre Char"/>
    <w:basedOn w:val="DefaultParagraphFont"/>
    <w:link w:val="ASuivre"/>
    <w:rsid w:val="008A6CE7"/>
    <w:rPr>
      <w:rFonts w:ascii="Times New Roman" w:hAnsi="Times New Roman"/>
      <w:szCs w:val="20"/>
      <w:shd w:val="clear" w:color="auto" w:fill="FBD4B4"/>
    </w:rPr>
  </w:style>
  <w:style w:type="character" w:styleId="FollowedHyperlink">
    <w:name w:val="FollowedHyperlink"/>
    <w:basedOn w:val="DefaultParagraphFont"/>
    <w:uiPriority w:val="99"/>
    <w:unhideWhenUsed/>
    <w:rsid w:val="00B515BB"/>
    <w:rPr>
      <w:color w:val="800080"/>
      <w:u w:val="single"/>
    </w:rPr>
  </w:style>
  <w:style w:type="table" w:styleId="MediumList2-Accent2">
    <w:name w:val="Medium List 2 Accent 2"/>
    <w:basedOn w:val="TableNormal"/>
    <w:uiPriority w:val="66"/>
    <w:rsid w:val="001E6DD4"/>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ColorfulGrid-Accent2">
    <w:name w:val="Colorful Grid Accent 2"/>
    <w:basedOn w:val="TableNormal"/>
    <w:uiPriority w:val="73"/>
    <w:rsid w:val="001E6DD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ghtList-Accent2">
    <w:name w:val="Light List Accent 2"/>
    <w:basedOn w:val="TableNormal"/>
    <w:uiPriority w:val="61"/>
    <w:rsid w:val="005D019F"/>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exte">
    <w:name w:val="texte"/>
    <w:basedOn w:val="Normal"/>
    <w:rsid w:val="00546A3F"/>
    <w:pPr>
      <w:spacing w:before="100" w:beforeAutospacing="1" w:after="100" w:afterAutospacing="1"/>
    </w:pPr>
    <w:rPr>
      <w:rFonts w:ascii="Arial" w:eastAsia="Times New Roman" w:hAnsi="Arial" w:cs="Arial"/>
      <w:color w:val="000000"/>
      <w:sz w:val="12"/>
      <w:szCs w:val="12"/>
      <w:lang w:eastAsia="fr-FR"/>
    </w:rPr>
  </w:style>
  <w:style w:type="paragraph" w:customStyle="1" w:styleId="Style3">
    <w:name w:val="Style3"/>
    <w:basedOn w:val="Normal"/>
    <w:next w:val="Normal"/>
    <w:link w:val="Style3Char"/>
    <w:qFormat/>
    <w:rsid w:val="00736A5F"/>
    <w:pPr>
      <w:keepNext/>
      <w:tabs>
        <w:tab w:val="left" w:pos="567"/>
      </w:tabs>
    </w:pPr>
    <w:rPr>
      <w:b/>
      <w:szCs w:val="20"/>
    </w:rPr>
  </w:style>
  <w:style w:type="character" w:customStyle="1" w:styleId="Style3Char">
    <w:name w:val="Style3 Char"/>
    <w:basedOn w:val="DefaultParagraphFont"/>
    <w:link w:val="Style3"/>
    <w:rsid w:val="00736A5F"/>
    <w:rPr>
      <w:rFonts w:ascii="Times New Roman" w:hAnsi="Times New Roman"/>
      <w:b/>
      <w:sz w:val="24"/>
      <w:lang w:val="en-US" w:eastAsia="en-US"/>
    </w:rPr>
  </w:style>
  <w:style w:type="paragraph" w:customStyle="1" w:styleId="spip">
    <w:name w:val="spip"/>
    <w:basedOn w:val="Normal"/>
    <w:rsid w:val="005A38FD"/>
    <w:pPr>
      <w:jc w:val="left"/>
    </w:pPr>
    <w:rPr>
      <w:rFonts w:eastAsia="Times New Roman"/>
      <w:szCs w:val="24"/>
      <w:lang w:eastAsia="fr-FR"/>
    </w:rPr>
  </w:style>
  <w:style w:type="paragraph" w:customStyle="1" w:styleId="morelink2">
    <w:name w:val="morelink2"/>
    <w:basedOn w:val="Normal"/>
    <w:rsid w:val="002406AC"/>
    <w:pPr>
      <w:spacing w:before="20" w:after="183" w:line="264" w:lineRule="atLeast"/>
      <w:jc w:val="left"/>
    </w:pPr>
    <w:rPr>
      <w:rFonts w:eastAsia="Times New Roman"/>
      <w:color w:val="330033"/>
      <w:sz w:val="26"/>
      <w:szCs w:val="26"/>
      <w:lang w:eastAsia="fr-FR"/>
    </w:rPr>
  </w:style>
  <w:style w:type="paragraph" w:styleId="BodyTextIndent2">
    <w:name w:val="Body Text Indent 2"/>
    <w:basedOn w:val="Normal"/>
    <w:link w:val="BodyTextIndent2Char"/>
    <w:uiPriority w:val="99"/>
    <w:unhideWhenUsed/>
    <w:rsid w:val="00222CCC"/>
    <w:pPr>
      <w:spacing w:before="100" w:beforeAutospacing="1" w:after="100" w:afterAutospacing="1"/>
      <w:jc w:val="left"/>
    </w:pPr>
    <w:rPr>
      <w:rFonts w:ascii="Arial" w:eastAsia="Times New Roman" w:hAnsi="Arial" w:cs="Arial"/>
      <w:color w:val="0000FF"/>
      <w:szCs w:val="24"/>
      <w:lang w:eastAsia="fr-FR"/>
    </w:rPr>
  </w:style>
  <w:style w:type="character" w:customStyle="1" w:styleId="BodyTextIndent2Char">
    <w:name w:val="Body Text Indent 2 Char"/>
    <w:basedOn w:val="DefaultParagraphFont"/>
    <w:link w:val="BodyTextIndent2"/>
    <w:uiPriority w:val="99"/>
    <w:rsid w:val="00222CCC"/>
    <w:rPr>
      <w:rFonts w:ascii="Arial" w:eastAsia="Times New Roman" w:hAnsi="Arial" w:cs="Arial"/>
      <w:color w:val="0000FF"/>
      <w:sz w:val="24"/>
      <w:szCs w:val="24"/>
    </w:rPr>
  </w:style>
  <w:style w:type="paragraph" w:styleId="PlainText">
    <w:name w:val="Plain Text"/>
    <w:basedOn w:val="Normal"/>
    <w:link w:val="PlainTextChar"/>
    <w:uiPriority w:val="99"/>
    <w:unhideWhenUsed/>
    <w:rsid w:val="00D045C8"/>
    <w:pPr>
      <w:jc w:val="left"/>
    </w:pPr>
    <w:rPr>
      <w:szCs w:val="20"/>
      <w:lang w:eastAsia="fr-FR"/>
    </w:rPr>
  </w:style>
  <w:style w:type="character" w:customStyle="1" w:styleId="PlainTextChar">
    <w:name w:val="Plain Text Char"/>
    <w:basedOn w:val="DefaultParagraphFont"/>
    <w:link w:val="PlainText"/>
    <w:uiPriority w:val="99"/>
    <w:rsid w:val="00D045C8"/>
    <w:rPr>
      <w:rFonts w:eastAsia="Calibri"/>
    </w:rPr>
  </w:style>
  <w:style w:type="paragraph" w:customStyle="1" w:styleId="lastupdate">
    <w:name w:val="lastupdate"/>
    <w:basedOn w:val="Normal"/>
    <w:rsid w:val="00AA1D33"/>
    <w:pPr>
      <w:spacing w:before="100" w:beforeAutospacing="1" w:after="100" w:afterAutospacing="1"/>
      <w:jc w:val="left"/>
    </w:pPr>
    <w:rPr>
      <w:rFonts w:eastAsia="Times New Roman"/>
      <w:szCs w:val="24"/>
      <w:lang w:eastAsia="fr-FR"/>
    </w:rPr>
  </w:style>
  <w:style w:type="paragraph" w:customStyle="1" w:styleId="intro">
    <w:name w:val="intro"/>
    <w:basedOn w:val="Normal"/>
    <w:rsid w:val="00AA1D33"/>
    <w:pPr>
      <w:spacing w:before="100" w:beforeAutospacing="1" w:after="100" w:afterAutospacing="1"/>
      <w:jc w:val="left"/>
    </w:pPr>
    <w:rPr>
      <w:rFonts w:eastAsia="Times New Roman"/>
      <w:szCs w:val="24"/>
      <w:lang w:eastAsia="fr-FR"/>
    </w:rPr>
  </w:style>
  <w:style w:type="table" w:customStyle="1" w:styleId="LightShading1">
    <w:name w:val="Light Shading1"/>
    <w:basedOn w:val="TableTheme"/>
    <w:uiPriority w:val="60"/>
    <w:rsid w:val="00064E48"/>
    <w:rPr>
      <w:color w:val="000000"/>
      <w:sz w:val="20"/>
      <w:szCs w:val="20"/>
      <w:lang w:val="fr-FR" w:eastAsia="fr-FR"/>
    </w:rPr>
    <w:tblPr>
      <w:tblStyleRowBandSize w:val="1"/>
      <w:tblStyleColBandSize w:val="1"/>
      <w:tblInd w:w="0" w:type="dxa"/>
      <w:tblBorders>
        <w:top w:val="single" w:sz="8" w:space="0" w:color="000000"/>
        <w:bottom w:val="single" w:sz="8" w:space="0" w:color="000000"/>
        <w:insideH w:val="single" w:sz="4" w:space="0" w:color="auto"/>
      </w:tblBorders>
      <w:tblCellMar>
        <w:top w:w="0" w:type="dxa"/>
        <w:left w:w="108" w:type="dxa"/>
        <w:bottom w:w="0" w:type="dxa"/>
        <w:right w:w="108" w:type="dxa"/>
      </w:tblCellMar>
    </w:tblPr>
    <w:tcPr>
      <w:shd w:val="clear" w:color="auto" w:fill="auto"/>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unhideWhenUsed/>
    <w:rsid w:val="00064E48"/>
    <w:pPr>
      <w:ind w:left="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8"/>
    <w:unhideWhenUsed/>
    <w:rsid w:val="00064E48"/>
    <w:pPr>
      <w:spacing w:after="120"/>
    </w:pPr>
  </w:style>
  <w:style w:type="character" w:customStyle="1" w:styleId="BodyTextChar">
    <w:name w:val="Body Text Char"/>
    <w:basedOn w:val="DefaultParagraphFont"/>
    <w:link w:val="BodyText"/>
    <w:uiPriority w:val="8"/>
    <w:rsid w:val="00064E48"/>
    <w:rPr>
      <w:szCs w:val="22"/>
      <w:lang w:val="en-US" w:eastAsia="en-US"/>
    </w:rPr>
  </w:style>
  <w:style w:type="paragraph" w:customStyle="1" w:styleId="Default">
    <w:name w:val="Default"/>
    <w:rsid w:val="002A0877"/>
    <w:pPr>
      <w:autoSpaceDE w:val="0"/>
      <w:autoSpaceDN w:val="0"/>
      <w:adjustRightInd w:val="0"/>
    </w:pPr>
    <w:rPr>
      <w:rFonts w:ascii="Times New Roman" w:eastAsia="Times New Roman" w:hAnsi="Times New Roman"/>
      <w:color w:val="000000"/>
      <w:lang w:val="fr-FR" w:eastAsia="fr-FR"/>
    </w:rPr>
  </w:style>
  <w:style w:type="paragraph" w:customStyle="1" w:styleId="h3">
    <w:name w:val="h3"/>
    <w:basedOn w:val="Normal"/>
    <w:rsid w:val="006B2BE3"/>
    <w:pPr>
      <w:pBdr>
        <w:top w:val="dotted" w:sz="6" w:space="0" w:color="D6D6D6"/>
        <w:left w:val="dotted" w:sz="6" w:space="0" w:color="D6D6D6"/>
        <w:bottom w:val="dotted" w:sz="6" w:space="0" w:color="D6D6D6"/>
        <w:right w:val="dotted" w:sz="6" w:space="0" w:color="D6D6D6"/>
      </w:pBdr>
      <w:spacing w:before="375" w:after="375" w:line="300" w:lineRule="atLeast"/>
      <w:ind w:left="375" w:right="375"/>
      <w:jc w:val="left"/>
    </w:pPr>
    <w:rPr>
      <w:rFonts w:eastAsia="Times New Roman"/>
      <w:b/>
      <w:bCs/>
      <w:smallCaps/>
      <w:color w:val="333333"/>
      <w:spacing w:val="15"/>
      <w:sz w:val="21"/>
      <w:szCs w:val="21"/>
      <w:lang w:val="fr-FR" w:eastAsia="fr-FR"/>
    </w:rPr>
  </w:style>
  <w:style w:type="paragraph" w:customStyle="1" w:styleId="Style4">
    <w:name w:val="Style4"/>
    <w:basedOn w:val="Normal"/>
    <w:next w:val="Normal"/>
    <w:link w:val="Style4Char"/>
    <w:qFormat/>
    <w:rsid w:val="006A1D19"/>
    <w:pPr>
      <w:keepNext/>
      <w:tabs>
        <w:tab w:val="left" w:pos="851"/>
      </w:tabs>
    </w:pPr>
    <w:rPr>
      <w:b/>
      <w:i/>
    </w:rPr>
  </w:style>
  <w:style w:type="character" w:customStyle="1" w:styleId="Style4Char">
    <w:name w:val="Style4 Char"/>
    <w:basedOn w:val="DefaultParagraphFont"/>
    <w:link w:val="Style4"/>
    <w:rsid w:val="006A1D19"/>
    <w:rPr>
      <w:rFonts w:ascii="Times New Roman" w:hAnsi="Times New Roman"/>
      <w:b/>
      <w:i/>
      <w:sz w:val="24"/>
      <w:szCs w:val="22"/>
      <w:lang w:val="en-US" w:eastAsia="en-US"/>
    </w:rPr>
  </w:style>
  <w:style w:type="paragraph" w:styleId="Title">
    <w:name w:val="Title"/>
    <w:basedOn w:val="Normal"/>
    <w:link w:val="TitleChar"/>
    <w:uiPriority w:val="8"/>
    <w:qFormat/>
    <w:rsid w:val="00FE32C5"/>
    <w:pPr>
      <w:jc w:val="center"/>
    </w:pPr>
    <w:rPr>
      <w:rFonts w:ascii="Arial" w:eastAsia="Times New Roman" w:hAnsi="Arial" w:cs="Arial"/>
      <w:b/>
      <w:bCs/>
      <w:szCs w:val="24"/>
      <w:lang w:val="fr-FR" w:eastAsia="fr-FR"/>
    </w:rPr>
  </w:style>
  <w:style w:type="character" w:customStyle="1" w:styleId="TitleChar">
    <w:name w:val="Title Char"/>
    <w:basedOn w:val="DefaultParagraphFont"/>
    <w:link w:val="Title"/>
    <w:uiPriority w:val="10"/>
    <w:rsid w:val="00FE32C5"/>
    <w:rPr>
      <w:rFonts w:ascii="Arial" w:eastAsia="Times New Roman" w:hAnsi="Arial" w:cs="Arial"/>
      <w:b/>
      <w:bCs/>
      <w:sz w:val="22"/>
      <w:szCs w:val="24"/>
    </w:rPr>
  </w:style>
  <w:style w:type="character" w:styleId="FootnoteReference">
    <w:name w:val="footnote reference"/>
    <w:aliases w:val="List Bullet Char1,Footnote Reference Char,List Bullet Char...,List Bullet Char Char,Car Car Char Car Char Car Car Char Char,Car Car Car Car Car Car Car Car Char Car Car Char Car Car Car Char Char,ftref,BVI fnr, BVI fnr,16 Point"/>
    <w:basedOn w:val="DefaultParagraphFont"/>
    <w:rsid w:val="0045620B"/>
    <w:rPr>
      <w:rFonts w:ascii="Times New Roman" w:hAnsi="Times New Roman"/>
      <w:sz w:val="24"/>
      <w:vertAlign w:val="superscript"/>
    </w:rPr>
  </w:style>
  <w:style w:type="paragraph" w:styleId="FootnoteText">
    <w:name w:val="footnote text"/>
    <w:aliases w:val="Fußnote,Note de bas de page Car,Footnote Text Char1,Footnote Text Char Char,fn,footnote text,Footnote ak,Footnotes,single space,FOOTNOTES,ALTS FOOTNOTE,f,ADB,ft,FOOTNOTES Car Car,Footnote Text Char Car Car,Footnote Text Char Car,Char"/>
    <w:basedOn w:val="Normal"/>
    <w:link w:val="FootnoteTextChar2"/>
    <w:rsid w:val="0045620B"/>
    <w:pPr>
      <w:tabs>
        <w:tab w:val="clear" w:pos="709"/>
        <w:tab w:val="left" w:pos="284"/>
      </w:tabs>
      <w:spacing w:after="0"/>
      <w:jc w:val="left"/>
    </w:pPr>
    <w:rPr>
      <w:rFonts w:eastAsia="Times New Roman"/>
      <w:sz w:val="20"/>
      <w:szCs w:val="20"/>
      <w:lang w:val="fr-FR" w:eastAsia="fr-FR"/>
    </w:rPr>
  </w:style>
  <w:style w:type="character" w:customStyle="1" w:styleId="FootnoteTextChar2">
    <w:name w:val="Footnote Text Char2"/>
    <w:aliases w:val="Fußnote Char1,Note de bas de page Car Char1,Footnote Text Char1 Char1,Footnote Text Char Char Char1,fn Char1,footnote text Char,Footnote ak Char1,Footnotes Char1,single space Char1,FOOTNOTES Char1,ALTS FOOTNOTE Char1,f Char1,ft Char1"/>
    <w:basedOn w:val="DefaultParagraphFont"/>
    <w:link w:val="FootnoteText"/>
    <w:rsid w:val="0045620B"/>
    <w:rPr>
      <w:rFonts w:ascii="Times New Roman" w:eastAsia="Times New Roman" w:hAnsi="Times New Roman"/>
    </w:rPr>
  </w:style>
  <w:style w:type="paragraph" w:customStyle="1" w:styleId="Style">
    <w:name w:val="Style"/>
    <w:basedOn w:val="Default"/>
    <w:next w:val="Default"/>
    <w:uiPriority w:val="99"/>
    <w:rsid w:val="007E510C"/>
    <w:rPr>
      <w:rFonts w:eastAsia="Calibri"/>
      <w:color w:val="auto"/>
    </w:rPr>
  </w:style>
  <w:style w:type="paragraph" w:customStyle="1" w:styleId="mainfont">
    <w:name w:val="mainfont"/>
    <w:basedOn w:val="Normal"/>
    <w:rsid w:val="00261B46"/>
    <w:pPr>
      <w:spacing w:before="100" w:beforeAutospacing="1" w:after="100" w:afterAutospacing="1"/>
    </w:pPr>
    <w:rPr>
      <w:rFonts w:ascii="Verdana" w:eastAsia="Times New Roman" w:hAnsi="Verdana"/>
      <w:color w:val="000000"/>
      <w:sz w:val="8"/>
      <w:szCs w:val="8"/>
      <w:lang w:val="fr-FR" w:eastAsia="fr-FR"/>
    </w:rPr>
  </w:style>
  <w:style w:type="paragraph" w:customStyle="1" w:styleId="Bulletlist">
    <w:name w:val="Bullet list"/>
    <w:basedOn w:val="Normal"/>
    <w:rsid w:val="00605426"/>
    <w:pPr>
      <w:tabs>
        <w:tab w:val="num" w:pos="648"/>
      </w:tabs>
      <w:ind w:left="648" w:hanging="288"/>
      <w:jc w:val="left"/>
    </w:pPr>
    <w:rPr>
      <w:rFonts w:eastAsia="MS Mincho"/>
      <w:szCs w:val="20"/>
      <w:lang w:eastAsia="ja-JP"/>
    </w:rPr>
  </w:style>
  <w:style w:type="paragraph" w:styleId="BodyText2">
    <w:name w:val="Body Text 2"/>
    <w:basedOn w:val="Normal"/>
    <w:link w:val="BodyText2Char"/>
    <w:uiPriority w:val="99"/>
    <w:unhideWhenUsed/>
    <w:rsid w:val="0073447B"/>
    <w:pPr>
      <w:spacing w:after="120" w:line="480" w:lineRule="auto"/>
    </w:pPr>
  </w:style>
  <w:style w:type="character" w:customStyle="1" w:styleId="BodyText2Char">
    <w:name w:val="Body Text 2 Char"/>
    <w:basedOn w:val="DefaultParagraphFont"/>
    <w:link w:val="BodyText2"/>
    <w:uiPriority w:val="99"/>
    <w:rsid w:val="0073447B"/>
    <w:rPr>
      <w:sz w:val="22"/>
      <w:szCs w:val="22"/>
      <w:lang w:val="en-US" w:eastAsia="en-US"/>
    </w:rPr>
  </w:style>
  <w:style w:type="paragraph" w:styleId="BodyText3">
    <w:name w:val="Body Text 3"/>
    <w:basedOn w:val="Normal"/>
    <w:link w:val="BodyText3Char2"/>
    <w:uiPriority w:val="99"/>
    <w:unhideWhenUsed/>
    <w:rsid w:val="0073447B"/>
    <w:pPr>
      <w:spacing w:after="120"/>
    </w:pPr>
    <w:rPr>
      <w:sz w:val="16"/>
      <w:szCs w:val="16"/>
    </w:rPr>
  </w:style>
  <w:style w:type="character" w:customStyle="1" w:styleId="BodyText3Char2">
    <w:name w:val="Body Text 3 Char2"/>
    <w:basedOn w:val="DefaultParagraphFont"/>
    <w:link w:val="BodyText3"/>
    <w:uiPriority w:val="99"/>
    <w:rsid w:val="0073447B"/>
    <w:rPr>
      <w:sz w:val="16"/>
      <w:szCs w:val="16"/>
      <w:lang w:val="en-US" w:eastAsia="en-US"/>
    </w:rPr>
  </w:style>
  <w:style w:type="character" w:customStyle="1" w:styleId="citecrochet1">
    <w:name w:val="cite_crochet1"/>
    <w:basedOn w:val="DefaultParagraphFont"/>
    <w:rsid w:val="00A526CE"/>
    <w:rPr>
      <w:vanish/>
      <w:webHidden w:val="0"/>
      <w:specVanish w:val="0"/>
    </w:rPr>
  </w:style>
  <w:style w:type="paragraph" w:styleId="BlockText">
    <w:name w:val="Block Text"/>
    <w:basedOn w:val="Normal"/>
    <w:uiPriority w:val="99"/>
    <w:rsid w:val="008D2154"/>
    <w:pPr>
      <w:autoSpaceDE w:val="0"/>
      <w:autoSpaceDN w:val="0"/>
      <w:adjustRightInd w:val="0"/>
      <w:ind w:left="113" w:right="113"/>
      <w:jc w:val="center"/>
    </w:pPr>
    <w:rPr>
      <w:rFonts w:ascii="Arial" w:eastAsia="Times New Roman" w:hAnsi="Arial"/>
      <w:b/>
      <w:sz w:val="20"/>
      <w:szCs w:val="20"/>
      <w:lang w:val="en-GB"/>
    </w:rPr>
  </w:style>
  <w:style w:type="paragraph" w:customStyle="1" w:styleId="Text">
    <w:name w:val="Text"/>
    <w:basedOn w:val="Normal"/>
    <w:link w:val="TextChar"/>
    <w:rsid w:val="00624440"/>
    <w:pPr>
      <w:ind w:left="720"/>
    </w:pPr>
    <w:rPr>
      <w:rFonts w:ascii="Tahoma" w:eastAsia="Times New Roman" w:hAnsi="Tahoma"/>
      <w:sz w:val="21"/>
      <w:lang w:val="en-GB"/>
    </w:rPr>
  </w:style>
  <w:style w:type="character" w:customStyle="1" w:styleId="TextChar">
    <w:name w:val="Text Char"/>
    <w:basedOn w:val="DefaultParagraphFont"/>
    <w:link w:val="Text"/>
    <w:rsid w:val="00624440"/>
    <w:rPr>
      <w:rFonts w:ascii="Tahoma" w:eastAsia="Times New Roman" w:hAnsi="Tahoma"/>
      <w:sz w:val="21"/>
      <w:szCs w:val="22"/>
      <w:lang w:val="en-GB" w:eastAsia="en-US"/>
    </w:rPr>
  </w:style>
  <w:style w:type="paragraph" w:customStyle="1" w:styleId="Bullet">
    <w:name w:val="Bullet"/>
    <w:basedOn w:val="BodyTextIndent"/>
    <w:rsid w:val="00624440"/>
    <w:pPr>
      <w:tabs>
        <w:tab w:val="num" w:pos="1080"/>
      </w:tabs>
      <w:ind w:left="1080" w:hanging="360"/>
    </w:pPr>
    <w:rPr>
      <w:rFonts w:ascii="Tahoma" w:eastAsia="Times New Roman" w:hAnsi="Tahoma"/>
      <w:sz w:val="21"/>
      <w:szCs w:val="16"/>
      <w:lang w:val="en-GB" w:eastAsia="en-GB"/>
    </w:rPr>
  </w:style>
  <w:style w:type="paragraph" w:styleId="BodyTextIndent">
    <w:name w:val="Body Text Indent"/>
    <w:basedOn w:val="Normal"/>
    <w:link w:val="BodyTextIndentChar"/>
    <w:uiPriority w:val="99"/>
    <w:unhideWhenUsed/>
    <w:rsid w:val="00624440"/>
    <w:pPr>
      <w:spacing w:after="120"/>
      <w:ind w:left="283"/>
    </w:pPr>
  </w:style>
  <w:style w:type="character" w:customStyle="1" w:styleId="BodyTextIndentChar">
    <w:name w:val="Body Text Indent Char"/>
    <w:basedOn w:val="DefaultParagraphFont"/>
    <w:link w:val="BodyTextIndent"/>
    <w:uiPriority w:val="99"/>
    <w:rsid w:val="00624440"/>
    <w:rPr>
      <w:sz w:val="22"/>
      <w:szCs w:val="22"/>
      <w:lang w:val="en-US" w:eastAsia="en-US"/>
    </w:rPr>
  </w:style>
  <w:style w:type="character" w:customStyle="1" w:styleId="A5">
    <w:name w:val="A5"/>
    <w:rsid w:val="00624440"/>
    <w:rPr>
      <w:rFonts w:cs="Arial"/>
      <w:b/>
      <w:bCs/>
      <w:color w:val="000000"/>
      <w:sz w:val="28"/>
      <w:szCs w:val="28"/>
    </w:rPr>
  </w:style>
  <w:style w:type="paragraph" w:customStyle="1" w:styleId="Retraitcorpsdetexte21">
    <w:name w:val="Retrait corps de texte 21"/>
    <w:basedOn w:val="Default"/>
    <w:next w:val="Default"/>
    <w:uiPriority w:val="99"/>
    <w:rsid w:val="00E168EA"/>
    <w:rPr>
      <w:rFonts w:eastAsia="Calibri"/>
      <w:color w:val="auto"/>
    </w:rPr>
  </w:style>
  <w:style w:type="paragraph" w:customStyle="1" w:styleId="Corpsdetexte1">
    <w:name w:val="Corps de texte1"/>
    <w:basedOn w:val="Default"/>
    <w:next w:val="Default"/>
    <w:uiPriority w:val="99"/>
    <w:rsid w:val="00E168EA"/>
    <w:rPr>
      <w:rFonts w:eastAsia="Calibri"/>
      <w:color w:val="auto"/>
    </w:rPr>
  </w:style>
  <w:style w:type="paragraph" w:customStyle="1" w:styleId="Titre21">
    <w:name w:val="Titre 21"/>
    <w:basedOn w:val="Default"/>
    <w:next w:val="Default"/>
    <w:uiPriority w:val="99"/>
    <w:rsid w:val="00E168EA"/>
    <w:rPr>
      <w:rFonts w:eastAsia="Calibri"/>
      <w:color w:val="auto"/>
    </w:rPr>
  </w:style>
  <w:style w:type="paragraph" w:customStyle="1" w:styleId="CAADPTitle04">
    <w:name w:val="CAADP Title04"/>
    <w:basedOn w:val="Default"/>
    <w:next w:val="Default"/>
    <w:uiPriority w:val="99"/>
    <w:rsid w:val="00E168EA"/>
    <w:rPr>
      <w:rFonts w:eastAsia="Calibri"/>
      <w:color w:val="auto"/>
    </w:rPr>
  </w:style>
  <w:style w:type="paragraph" w:customStyle="1" w:styleId="StyleBulleted1">
    <w:name w:val="Style Bulleted1"/>
    <w:basedOn w:val="Normal"/>
    <w:rsid w:val="001B3ECA"/>
    <w:pPr>
      <w:spacing w:before="60" w:line="288" w:lineRule="auto"/>
    </w:pPr>
    <w:rPr>
      <w:rFonts w:ascii="MetaNormal-Roman" w:eastAsia="Times New Roman" w:hAnsi="MetaNormal-Roman"/>
      <w:szCs w:val="20"/>
      <w:lang w:val="en-GB" w:eastAsia="en-GB"/>
    </w:rPr>
  </w:style>
  <w:style w:type="paragraph" w:customStyle="1" w:styleId="CharCharCharCharCharCarCarCarCar">
    <w:name w:val="Char Char Char Char Char Car Car Car Car"/>
    <w:basedOn w:val="Normal"/>
    <w:rsid w:val="005D2D7B"/>
    <w:pPr>
      <w:spacing w:after="160"/>
      <w:jc w:val="left"/>
    </w:pPr>
    <w:rPr>
      <w:rFonts w:ascii="Verdana" w:eastAsia="Batang" w:hAnsi="Verdana" w:cs="Verdana"/>
      <w:sz w:val="20"/>
      <w:szCs w:val="24"/>
    </w:rPr>
  </w:style>
  <w:style w:type="character" w:customStyle="1" w:styleId="grundtext11">
    <w:name w:val="grundtext_11"/>
    <w:basedOn w:val="DefaultParagraphFont"/>
    <w:rsid w:val="007A2BC6"/>
    <w:rPr>
      <w:rFonts w:ascii="Arial" w:hAnsi="Arial" w:cs="Arial" w:hint="default"/>
      <w:strike w:val="0"/>
      <w:dstrike w:val="0"/>
      <w:color w:val="5A5A5A"/>
      <w:sz w:val="8"/>
      <w:szCs w:val="8"/>
      <w:u w:val="none"/>
      <w:effect w:val="none"/>
    </w:rPr>
  </w:style>
  <w:style w:type="character" w:customStyle="1" w:styleId="A2">
    <w:name w:val="A2"/>
    <w:uiPriority w:val="99"/>
    <w:rsid w:val="000D33B5"/>
    <w:rPr>
      <w:rFonts w:cs="IULOEL+DIN-Bold"/>
      <w:b/>
      <w:bCs/>
      <w:color w:val="000000"/>
      <w:sz w:val="32"/>
      <w:szCs w:val="32"/>
    </w:rPr>
  </w:style>
  <w:style w:type="character" w:customStyle="1" w:styleId="content1">
    <w:name w:val="content1"/>
    <w:basedOn w:val="DefaultParagraphFont"/>
    <w:rsid w:val="00021E36"/>
    <w:rPr>
      <w:rFonts w:ascii="Verdana" w:hAnsi="Verdana" w:hint="default"/>
      <w:color w:val="2C3D49"/>
      <w:sz w:val="10"/>
      <w:szCs w:val="10"/>
    </w:rPr>
  </w:style>
  <w:style w:type="character" w:styleId="PageNumber">
    <w:name w:val="page number"/>
    <w:basedOn w:val="DefaultParagraphFont"/>
    <w:uiPriority w:val="99"/>
    <w:rsid w:val="00A524F4"/>
    <w:rPr>
      <w:rFonts w:cs="Times New Roman"/>
    </w:rPr>
  </w:style>
  <w:style w:type="paragraph" w:customStyle="1" w:styleId="Outline">
    <w:name w:val="Outline"/>
    <w:basedOn w:val="Normal"/>
    <w:rsid w:val="00A524F4"/>
    <w:pPr>
      <w:spacing w:before="240"/>
    </w:pPr>
    <w:rPr>
      <w:rFonts w:eastAsia="Times New Roman"/>
      <w:kern w:val="28"/>
      <w:szCs w:val="20"/>
    </w:rPr>
  </w:style>
  <w:style w:type="paragraph" w:customStyle="1" w:styleId="Heading1a">
    <w:name w:val="Heading 1a"/>
    <w:basedOn w:val="Normal"/>
    <w:next w:val="Normal"/>
    <w:autoRedefine/>
    <w:rsid w:val="00B50E95"/>
    <w:pPr>
      <w:keepNext/>
      <w:keepLines/>
      <w:spacing w:before="240"/>
      <w:jc w:val="center"/>
      <w:outlineLvl w:val="0"/>
    </w:pPr>
    <w:rPr>
      <w:rFonts w:ascii="Times New Roman Bold" w:eastAsia="Times New Roman" w:hAnsi="Times New Roman Bold"/>
      <w:b/>
      <w:sz w:val="28"/>
      <w:szCs w:val="28"/>
    </w:rPr>
  </w:style>
  <w:style w:type="paragraph" w:customStyle="1" w:styleId="MainParanoChapter">
    <w:name w:val="Main Para no Chapter #"/>
    <w:basedOn w:val="Normal"/>
    <w:link w:val="MainParanoChapterCharChar"/>
    <w:rsid w:val="00A524F4"/>
    <w:pPr>
      <w:tabs>
        <w:tab w:val="num" w:pos="1429"/>
      </w:tabs>
      <w:ind w:left="1429" w:hanging="720"/>
      <w:outlineLvl w:val="1"/>
    </w:pPr>
    <w:rPr>
      <w:rFonts w:eastAsia="Times New Roman"/>
      <w:szCs w:val="24"/>
    </w:rPr>
  </w:style>
  <w:style w:type="character" w:customStyle="1" w:styleId="MainParanoChapterCharChar">
    <w:name w:val="Main Para no Chapter # Char Char"/>
    <w:basedOn w:val="DefaultParagraphFont"/>
    <w:link w:val="MainParanoChapter"/>
    <w:rsid w:val="00736A5F"/>
    <w:rPr>
      <w:rFonts w:ascii="Times New Roman" w:eastAsia="Times New Roman" w:hAnsi="Times New Roman"/>
    </w:rPr>
  </w:style>
  <w:style w:type="paragraph" w:customStyle="1" w:styleId="Sub-Para1underX">
    <w:name w:val="Sub-Para 1 under X."/>
    <w:basedOn w:val="Normal"/>
    <w:rsid w:val="00A524F4"/>
    <w:pPr>
      <w:tabs>
        <w:tab w:val="num" w:pos="1080"/>
      </w:tabs>
      <w:ind w:left="720" w:hanging="360"/>
      <w:outlineLvl w:val="2"/>
    </w:pPr>
    <w:rPr>
      <w:rFonts w:eastAsia="Times New Roman"/>
      <w:szCs w:val="24"/>
    </w:rPr>
  </w:style>
  <w:style w:type="paragraph" w:customStyle="1" w:styleId="Sub-Para2underX">
    <w:name w:val="Sub-Para 2 under X."/>
    <w:basedOn w:val="Normal"/>
    <w:rsid w:val="00A524F4"/>
    <w:pPr>
      <w:tabs>
        <w:tab w:val="num" w:pos="1800"/>
      </w:tabs>
      <w:ind w:left="1080" w:hanging="360"/>
      <w:outlineLvl w:val="3"/>
    </w:pPr>
    <w:rPr>
      <w:rFonts w:eastAsia="Times New Roman"/>
      <w:szCs w:val="24"/>
    </w:rPr>
  </w:style>
  <w:style w:type="paragraph" w:customStyle="1" w:styleId="Sub-Para3underX">
    <w:name w:val="Sub-Para 3 under X."/>
    <w:basedOn w:val="Normal"/>
    <w:rsid w:val="00A524F4"/>
    <w:pPr>
      <w:tabs>
        <w:tab w:val="num" w:pos="1440"/>
      </w:tabs>
      <w:ind w:left="1440" w:hanging="360"/>
      <w:outlineLvl w:val="4"/>
    </w:pPr>
    <w:rPr>
      <w:rFonts w:eastAsia="Times New Roman"/>
      <w:szCs w:val="24"/>
    </w:rPr>
  </w:style>
  <w:style w:type="paragraph" w:customStyle="1" w:styleId="Sub-Para4underX">
    <w:name w:val="Sub-Para 4 under X."/>
    <w:basedOn w:val="Normal"/>
    <w:rsid w:val="00A524F4"/>
    <w:pPr>
      <w:tabs>
        <w:tab w:val="num" w:pos="2160"/>
      </w:tabs>
      <w:ind w:left="1800" w:hanging="360"/>
      <w:outlineLvl w:val="5"/>
    </w:pPr>
    <w:rPr>
      <w:rFonts w:eastAsia="Times New Roman"/>
      <w:szCs w:val="24"/>
    </w:rPr>
  </w:style>
  <w:style w:type="paragraph" w:customStyle="1" w:styleId="FormWorldBank">
    <w:name w:val="Form: World Bank"/>
    <w:basedOn w:val="Normal"/>
    <w:rsid w:val="00D66D65"/>
    <w:pPr>
      <w:jc w:val="left"/>
    </w:pPr>
    <w:rPr>
      <w:rFonts w:eastAsia="Times New Roman"/>
      <w:sz w:val="20"/>
      <w:szCs w:val="20"/>
    </w:rPr>
  </w:style>
  <w:style w:type="paragraph" w:customStyle="1" w:styleId="InfoDate">
    <w:name w:val="Info: Date"/>
    <w:basedOn w:val="Normal"/>
    <w:rsid w:val="00D66D65"/>
    <w:pPr>
      <w:tabs>
        <w:tab w:val="clear" w:pos="709"/>
        <w:tab w:val="right" w:pos="720"/>
        <w:tab w:val="left" w:pos="1080"/>
      </w:tabs>
      <w:jc w:val="left"/>
    </w:pPr>
    <w:rPr>
      <w:rFonts w:eastAsia="Times New Roman"/>
      <w:szCs w:val="20"/>
    </w:rPr>
  </w:style>
  <w:style w:type="paragraph" w:customStyle="1" w:styleId="StyleMainParawithChapterBold">
    <w:name w:val="Style Main Para with Chapter# + Bold"/>
    <w:basedOn w:val="Normal"/>
    <w:next w:val="MainParawithChapter"/>
    <w:link w:val="StyleMainParawithChapterBoldChar"/>
    <w:uiPriority w:val="99"/>
    <w:rsid w:val="00D66D65"/>
    <w:pPr>
      <w:jc w:val="left"/>
    </w:pPr>
    <w:rPr>
      <w:rFonts w:eastAsia="Times New Roman"/>
      <w:b/>
      <w:bCs/>
      <w:szCs w:val="24"/>
    </w:rPr>
  </w:style>
  <w:style w:type="paragraph" w:customStyle="1" w:styleId="MainParawithChapter">
    <w:name w:val="Main Para with Chapter#"/>
    <w:basedOn w:val="Normal"/>
    <w:link w:val="MainParawithChapterCharChar1"/>
    <w:rsid w:val="00D66D65"/>
    <w:pPr>
      <w:spacing w:before="240"/>
      <w:ind w:left="2520" w:hanging="720"/>
      <w:outlineLvl w:val="1"/>
    </w:pPr>
    <w:rPr>
      <w:rFonts w:eastAsia="Times New Roman"/>
      <w:szCs w:val="24"/>
    </w:rPr>
  </w:style>
  <w:style w:type="character" w:customStyle="1" w:styleId="MainParawithChapterCharChar1">
    <w:name w:val="Main Para with Chapter# Char Char1"/>
    <w:basedOn w:val="DefaultParagraphFont"/>
    <w:link w:val="MainParawithChapter"/>
    <w:locked/>
    <w:rsid w:val="00D66D65"/>
    <w:rPr>
      <w:rFonts w:ascii="Times New Roman" w:eastAsia="Times New Roman" w:hAnsi="Times New Roman"/>
    </w:rPr>
  </w:style>
  <w:style w:type="character" w:customStyle="1" w:styleId="StyleMainParawithChapterBoldChar">
    <w:name w:val="Style Main Para with Chapter# + Bold Char"/>
    <w:basedOn w:val="DefaultParagraphFont"/>
    <w:link w:val="StyleMainParawithChapterBold"/>
    <w:uiPriority w:val="99"/>
    <w:locked/>
    <w:rsid w:val="00D66D65"/>
    <w:rPr>
      <w:rFonts w:ascii="Times New Roman" w:eastAsia="Times New Roman" w:hAnsi="Times New Roman"/>
      <w:b/>
      <w:bCs/>
      <w:sz w:val="24"/>
      <w:szCs w:val="24"/>
    </w:rPr>
  </w:style>
  <w:style w:type="paragraph" w:customStyle="1" w:styleId="StyleMainParawithChapter115pt">
    <w:name w:val="Style Main Para with Chapter# + 11.5 pt"/>
    <w:basedOn w:val="MainParawithChapter"/>
    <w:link w:val="StyleMainParawithChapter115ptChar"/>
    <w:autoRedefine/>
    <w:uiPriority w:val="99"/>
    <w:rsid w:val="00D66D65"/>
    <w:pPr>
      <w:ind w:left="720" w:firstLine="0"/>
      <w:jc w:val="center"/>
    </w:pPr>
    <w:rPr>
      <w:b/>
      <w:smallCaps/>
    </w:rPr>
  </w:style>
  <w:style w:type="character" w:customStyle="1" w:styleId="StyleMainParawithChapter115ptChar">
    <w:name w:val="Style Main Para with Chapter# + 11.5 pt Char"/>
    <w:basedOn w:val="MainParawithChapterCharChar1"/>
    <w:link w:val="StyleMainParawithChapter115pt"/>
    <w:uiPriority w:val="99"/>
    <w:locked/>
    <w:rsid w:val="00D66D65"/>
    <w:rPr>
      <w:b/>
      <w:smallCaps/>
    </w:rPr>
  </w:style>
  <w:style w:type="character" w:customStyle="1" w:styleId="stylesubtextjustify1">
    <w:name w:val="stylesubtextjustify1"/>
    <w:basedOn w:val="DefaultParagraphFont"/>
    <w:rsid w:val="00D66D65"/>
    <w:rPr>
      <w:rFonts w:ascii="Verdana" w:hAnsi="Verdana" w:hint="default"/>
      <w:color w:val="F3E2E2"/>
      <w:sz w:val="16"/>
      <w:szCs w:val="16"/>
    </w:rPr>
  </w:style>
  <w:style w:type="character" w:styleId="CommentReference">
    <w:name w:val="annotation reference"/>
    <w:basedOn w:val="DefaultParagraphFont"/>
    <w:uiPriority w:val="99"/>
    <w:rsid w:val="00D66D65"/>
    <w:rPr>
      <w:sz w:val="16"/>
      <w:szCs w:val="16"/>
    </w:rPr>
  </w:style>
  <w:style w:type="paragraph" w:styleId="CommentText">
    <w:name w:val="annotation text"/>
    <w:basedOn w:val="Normal"/>
    <w:link w:val="CommentTextChar"/>
    <w:uiPriority w:val="99"/>
    <w:rsid w:val="00D66D65"/>
    <w:pPr>
      <w:jc w:val="left"/>
    </w:pPr>
    <w:rPr>
      <w:rFonts w:eastAsia="Times New Roman"/>
      <w:sz w:val="20"/>
      <w:szCs w:val="20"/>
    </w:rPr>
  </w:style>
  <w:style w:type="character" w:customStyle="1" w:styleId="CommentTextChar">
    <w:name w:val="Comment Text Char"/>
    <w:basedOn w:val="DefaultParagraphFont"/>
    <w:link w:val="CommentText"/>
    <w:uiPriority w:val="99"/>
    <w:rsid w:val="00D66D65"/>
    <w:rPr>
      <w:rFonts w:ascii="Times New Roman" w:eastAsia="Times New Roman" w:hAnsi="Times New Roman"/>
    </w:rPr>
  </w:style>
  <w:style w:type="paragraph" w:styleId="CommentSubject">
    <w:name w:val="annotation subject"/>
    <w:basedOn w:val="CommentText"/>
    <w:next w:val="CommentText"/>
    <w:link w:val="CommentSubjectChar"/>
    <w:uiPriority w:val="99"/>
    <w:rsid w:val="00D66D65"/>
    <w:rPr>
      <w:b/>
      <w:bCs/>
    </w:rPr>
  </w:style>
  <w:style w:type="character" w:customStyle="1" w:styleId="CommentSubjectChar">
    <w:name w:val="Comment Subject Char"/>
    <w:basedOn w:val="CommentTextChar"/>
    <w:link w:val="CommentSubject"/>
    <w:uiPriority w:val="99"/>
    <w:rsid w:val="00D66D65"/>
    <w:rPr>
      <w:b/>
      <w:bCs/>
    </w:rPr>
  </w:style>
  <w:style w:type="paragraph" w:styleId="EndnoteText">
    <w:name w:val="endnote text"/>
    <w:basedOn w:val="Normal"/>
    <w:link w:val="EndnoteTextChar"/>
    <w:uiPriority w:val="99"/>
    <w:unhideWhenUsed/>
    <w:rsid w:val="00A7162C"/>
    <w:rPr>
      <w:sz w:val="20"/>
      <w:szCs w:val="20"/>
    </w:rPr>
  </w:style>
  <w:style w:type="character" w:customStyle="1" w:styleId="EndnoteTextChar">
    <w:name w:val="Endnote Text Char"/>
    <w:basedOn w:val="DefaultParagraphFont"/>
    <w:link w:val="EndnoteText"/>
    <w:uiPriority w:val="99"/>
    <w:rsid w:val="00A7162C"/>
  </w:style>
  <w:style w:type="character" w:styleId="EndnoteReference">
    <w:name w:val="endnote reference"/>
    <w:basedOn w:val="DefaultParagraphFont"/>
    <w:uiPriority w:val="99"/>
    <w:unhideWhenUsed/>
    <w:rsid w:val="00A7162C"/>
    <w:rPr>
      <w:vertAlign w:val="superscript"/>
    </w:rPr>
  </w:style>
  <w:style w:type="paragraph" w:customStyle="1" w:styleId="unipaperstxt">
    <w:name w:val="uni papers txt"/>
    <w:basedOn w:val="Normal"/>
    <w:rsid w:val="00D2357E"/>
    <w:pPr>
      <w:spacing w:before="60" w:after="60"/>
      <w:jc w:val="left"/>
    </w:pPr>
    <w:rPr>
      <w:rFonts w:eastAsia="Times"/>
      <w:szCs w:val="20"/>
      <w:lang w:val="en-GB" w:eastAsia="en-GB"/>
    </w:rPr>
  </w:style>
  <w:style w:type="paragraph" w:customStyle="1" w:styleId="xl29">
    <w:name w:val="xl29"/>
    <w:basedOn w:val="Normal"/>
    <w:rsid w:val="00D2357E"/>
    <w:pPr>
      <w:spacing w:before="100" w:beforeAutospacing="1" w:after="100" w:afterAutospacing="1"/>
      <w:jc w:val="left"/>
    </w:pPr>
    <w:rPr>
      <w:rFonts w:eastAsia="Arial Unicode MS"/>
      <w:szCs w:val="24"/>
    </w:rPr>
  </w:style>
  <w:style w:type="paragraph" w:customStyle="1" w:styleId="atableaux">
    <w:name w:val="a tableaux"/>
    <w:basedOn w:val="Normal"/>
    <w:rsid w:val="00D2357E"/>
    <w:pPr>
      <w:spacing w:line="264" w:lineRule="auto"/>
      <w:jc w:val="left"/>
    </w:pPr>
    <w:rPr>
      <w:bCs/>
      <w:szCs w:val="24"/>
      <w:u w:val="single"/>
      <w:lang w:val="fr-FR"/>
    </w:rPr>
  </w:style>
  <w:style w:type="character" w:customStyle="1" w:styleId="MainParawithChapterCharChar">
    <w:name w:val="Main Para with Chapter# Char Char"/>
    <w:basedOn w:val="DefaultParagraphFont"/>
    <w:rsid w:val="006F1292"/>
    <w:rPr>
      <w:sz w:val="24"/>
      <w:szCs w:val="24"/>
      <w:lang w:val="en-US" w:eastAsia="en-US"/>
    </w:rPr>
  </w:style>
  <w:style w:type="paragraph" w:customStyle="1" w:styleId="Sub-Para1underXY">
    <w:name w:val="Sub-Para 1 under X.Y"/>
    <w:basedOn w:val="Normal"/>
    <w:rsid w:val="00AC432F"/>
    <w:pPr>
      <w:tabs>
        <w:tab w:val="num" w:pos="1440"/>
      </w:tabs>
      <w:ind w:left="1080" w:hanging="360"/>
      <w:jc w:val="left"/>
      <w:outlineLvl w:val="2"/>
    </w:pPr>
    <w:rPr>
      <w:rFonts w:eastAsia="Times New Roman"/>
      <w:szCs w:val="24"/>
    </w:rPr>
  </w:style>
  <w:style w:type="paragraph" w:customStyle="1" w:styleId="Sub-Para2underXY">
    <w:name w:val="Sub-Para 2 under X.Y"/>
    <w:basedOn w:val="Normal"/>
    <w:rsid w:val="00AC432F"/>
    <w:pPr>
      <w:tabs>
        <w:tab w:val="num" w:pos="2160"/>
      </w:tabs>
      <w:ind w:left="1440" w:hanging="360"/>
      <w:jc w:val="left"/>
      <w:outlineLvl w:val="3"/>
    </w:pPr>
    <w:rPr>
      <w:rFonts w:eastAsia="Times New Roman"/>
      <w:szCs w:val="24"/>
    </w:rPr>
  </w:style>
  <w:style w:type="paragraph" w:customStyle="1" w:styleId="Sub-Para3underXY">
    <w:name w:val="Sub-Para 3 under X.Y"/>
    <w:basedOn w:val="Normal"/>
    <w:rsid w:val="00AC432F"/>
    <w:pPr>
      <w:tabs>
        <w:tab w:val="num" w:pos="1800"/>
      </w:tabs>
      <w:ind w:left="1800" w:hanging="360"/>
      <w:jc w:val="left"/>
      <w:outlineLvl w:val="4"/>
    </w:pPr>
    <w:rPr>
      <w:rFonts w:eastAsia="Times New Roman"/>
      <w:szCs w:val="24"/>
    </w:rPr>
  </w:style>
  <w:style w:type="paragraph" w:customStyle="1" w:styleId="Sub-Para4underXY">
    <w:name w:val="Sub-Para 4 under X.Y"/>
    <w:basedOn w:val="Normal"/>
    <w:rsid w:val="00AC432F"/>
    <w:pPr>
      <w:tabs>
        <w:tab w:val="num" w:pos="2520"/>
      </w:tabs>
      <w:ind w:left="2160" w:hanging="360"/>
      <w:jc w:val="left"/>
      <w:outlineLvl w:val="5"/>
    </w:pPr>
    <w:rPr>
      <w:rFonts w:eastAsia="Times New Roman"/>
      <w:szCs w:val="24"/>
    </w:rPr>
  </w:style>
  <w:style w:type="character" w:customStyle="1" w:styleId="StyleBold">
    <w:name w:val="Style Bold"/>
    <w:basedOn w:val="DefaultParagraphFont"/>
    <w:rsid w:val="00F60D2E"/>
    <w:rPr>
      <w:b/>
      <w:bCs/>
      <w:sz w:val="22"/>
    </w:rPr>
  </w:style>
  <w:style w:type="paragraph" w:styleId="TableofFigures">
    <w:name w:val="table of figures"/>
    <w:basedOn w:val="Normal"/>
    <w:next w:val="Normal"/>
    <w:uiPriority w:val="99"/>
    <w:unhideWhenUsed/>
    <w:rsid w:val="0077018A"/>
    <w:pPr>
      <w:tabs>
        <w:tab w:val="clear" w:pos="709"/>
      </w:tabs>
      <w:spacing w:after="0"/>
      <w:ind w:left="992" w:right="284" w:hanging="992"/>
      <w:jc w:val="left"/>
    </w:pPr>
  </w:style>
  <w:style w:type="paragraph" w:customStyle="1" w:styleId="StyleMainParawithChapter">
    <w:name w:val="Style Main Para with Chapter#"/>
    <w:basedOn w:val="MainParawithChapter"/>
    <w:next w:val="Normal"/>
    <w:rsid w:val="00A96702"/>
    <w:pPr>
      <w:tabs>
        <w:tab w:val="num" w:pos="360"/>
      </w:tabs>
      <w:spacing w:before="120" w:after="120"/>
      <w:ind w:left="360" w:hanging="360"/>
    </w:pPr>
    <w:rPr>
      <w:b/>
      <w:bCs/>
    </w:rPr>
  </w:style>
  <w:style w:type="paragraph" w:customStyle="1" w:styleId="Style5">
    <w:name w:val="Style5"/>
    <w:basedOn w:val="Style3"/>
    <w:link w:val="Style5Char"/>
    <w:qFormat/>
    <w:rsid w:val="001577F3"/>
    <w:pPr>
      <w:tabs>
        <w:tab w:val="clear" w:pos="567"/>
      </w:tabs>
      <w:ind w:left="714" w:hanging="357"/>
    </w:pPr>
    <w:rPr>
      <w:b w:val="0"/>
      <w:i/>
    </w:rPr>
  </w:style>
  <w:style w:type="character" w:customStyle="1" w:styleId="Style5Char">
    <w:name w:val="Style5 Char"/>
    <w:basedOn w:val="Style3Char"/>
    <w:link w:val="Style5"/>
    <w:rsid w:val="001577F3"/>
    <w:rPr>
      <w:i/>
      <w:szCs w:val="20"/>
    </w:rPr>
  </w:style>
  <w:style w:type="paragraph" w:customStyle="1" w:styleId="CharChar3CarCar">
    <w:name w:val="Char Char3 Car Car"/>
    <w:basedOn w:val="Normal"/>
    <w:rsid w:val="00030005"/>
    <w:pPr>
      <w:tabs>
        <w:tab w:val="clear" w:pos="709"/>
      </w:tabs>
      <w:spacing w:after="160" w:line="240" w:lineRule="exact"/>
    </w:pPr>
    <w:rPr>
      <w:rFonts w:ascii="Arial" w:eastAsia="Times New Roman" w:hAnsi="Arial"/>
      <w:sz w:val="20"/>
      <w:szCs w:val="20"/>
    </w:rPr>
  </w:style>
  <w:style w:type="paragraph" w:styleId="Subtitle">
    <w:name w:val="Subtitle"/>
    <w:basedOn w:val="Normal"/>
    <w:link w:val="SubtitleChar1"/>
    <w:uiPriority w:val="11"/>
    <w:qFormat/>
    <w:rsid w:val="00846079"/>
    <w:pPr>
      <w:tabs>
        <w:tab w:val="clear" w:pos="709"/>
      </w:tabs>
      <w:spacing w:before="120" w:after="120"/>
      <w:jc w:val="center"/>
    </w:pPr>
    <w:rPr>
      <w:rFonts w:ascii="Arial" w:eastAsia="Times New Roman" w:hAnsi="Arial" w:cs="Arial"/>
      <w:b/>
      <w:bCs/>
      <w:sz w:val="28"/>
      <w:szCs w:val="28"/>
      <w:lang w:val="fr-BE" w:eastAsia="en-GB"/>
    </w:rPr>
  </w:style>
  <w:style w:type="character" w:customStyle="1" w:styleId="SubtitleChar1">
    <w:name w:val="Subtitle Char1"/>
    <w:basedOn w:val="DefaultParagraphFont"/>
    <w:link w:val="Subtitle"/>
    <w:uiPriority w:val="11"/>
    <w:rsid w:val="00846079"/>
    <w:rPr>
      <w:rFonts w:ascii="Arial" w:eastAsia="Times New Roman" w:hAnsi="Arial" w:cs="Arial"/>
      <w:b/>
      <w:bCs/>
      <w:sz w:val="28"/>
      <w:szCs w:val="28"/>
      <w:lang w:val="fr-BE" w:eastAsia="en-GB"/>
    </w:rPr>
  </w:style>
  <w:style w:type="paragraph" w:customStyle="1" w:styleId="sub-subhead2">
    <w:name w:val="sub-subhead 2"/>
    <w:basedOn w:val="Normal"/>
    <w:autoRedefine/>
    <w:rsid w:val="00D61DE8"/>
    <w:pPr>
      <w:tabs>
        <w:tab w:val="clear" w:pos="709"/>
        <w:tab w:val="left" w:pos="1440"/>
      </w:tabs>
      <w:spacing w:before="120" w:after="120"/>
      <w:outlineLvl w:val="2"/>
    </w:pPr>
    <w:rPr>
      <w:rFonts w:ascii="Comic Sans MS" w:eastAsia="Arial Unicode MS" w:hAnsi="Comic Sans MS" w:cs="Arial"/>
      <w:b/>
      <w:szCs w:val="24"/>
      <w:lang w:val="fr-FR" w:eastAsia="fr-FR"/>
    </w:rPr>
  </w:style>
  <w:style w:type="paragraph" w:customStyle="1" w:styleId="CharCharCharCharCharCarCarCarCar1">
    <w:name w:val="Char Char Char Char Char Car Car Car Car1"/>
    <w:basedOn w:val="Normal"/>
    <w:rsid w:val="009F1B1D"/>
    <w:pPr>
      <w:tabs>
        <w:tab w:val="clear" w:pos="709"/>
      </w:tabs>
      <w:spacing w:after="160"/>
      <w:jc w:val="left"/>
    </w:pPr>
    <w:rPr>
      <w:rFonts w:ascii="Verdana" w:eastAsia="Batang" w:hAnsi="Verdana" w:cs="Verdana"/>
      <w:sz w:val="20"/>
      <w:szCs w:val="24"/>
    </w:rPr>
  </w:style>
  <w:style w:type="paragraph" w:customStyle="1" w:styleId="Outline1">
    <w:name w:val="Outline1"/>
    <w:basedOn w:val="Normal"/>
    <w:next w:val="Normal"/>
    <w:rsid w:val="000F5AC1"/>
    <w:pPr>
      <w:keepNext/>
      <w:tabs>
        <w:tab w:val="clear" w:pos="709"/>
        <w:tab w:val="num" w:pos="360"/>
      </w:tabs>
      <w:spacing w:before="240" w:after="0"/>
      <w:ind w:left="360" w:hanging="360"/>
      <w:jc w:val="left"/>
    </w:pPr>
    <w:rPr>
      <w:rFonts w:eastAsia="Times New Roman"/>
      <w:kern w:val="28"/>
      <w:szCs w:val="20"/>
    </w:rPr>
  </w:style>
  <w:style w:type="character" w:customStyle="1" w:styleId="addmd1">
    <w:name w:val="addmd1"/>
    <w:basedOn w:val="DefaultParagraphFont"/>
    <w:rsid w:val="000F5AC1"/>
    <w:rPr>
      <w:rFonts w:ascii="Arial" w:hAnsi="Arial" w:cs="Arial"/>
      <w:color w:val="777777"/>
      <w:sz w:val="20"/>
      <w:szCs w:val="20"/>
    </w:rPr>
  </w:style>
  <w:style w:type="character" w:customStyle="1" w:styleId="FootnoteCharacters">
    <w:name w:val="Footnote Characters"/>
    <w:basedOn w:val="DefaultParagraphFont"/>
    <w:rsid w:val="000F5AC1"/>
    <w:rPr>
      <w:rFonts w:cs="Times New Roman"/>
      <w:sz w:val="20"/>
      <w:vertAlign w:val="superscript"/>
    </w:rPr>
  </w:style>
  <w:style w:type="paragraph" w:customStyle="1" w:styleId="Titre51">
    <w:name w:val="Titre 51"/>
    <w:basedOn w:val="Default"/>
    <w:next w:val="Default"/>
    <w:uiPriority w:val="99"/>
    <w:rsid w:val="0027656D"/>
    <w:rPr>
      <w:rFonts w:ascii="POHNCD+Arial,Bold" w:eastAsia="Calibri" w:hAnsi="POHNCD+Arial,Bold"/>
      <w:color w:val="auto"/>
    </w:rPr>
  </w:style>
  <w:style w:type="paragraph" w:customStyle="1" w:styleId="content">
    <w:name w:val="content"/>
    <w:basedOn w:val="Normal"/>
    <w:uiPriority w:val="99"/>
    <w:rsid w:val="005C6FF1"/>
    <w:pPr>
      <w:tabs>
        <w:tab w:val="clear" w:pos="709"/>
      </w:tabs>
      <w:spacing w:after="0" w:line="312" w:lineRule="auto"/>
      <w:jc w:val="left"/>
    </w:pPr>
    <w:rPr>
      <w:rFonts w:eastAsia="Times New Roman"/>
      <w:sz w:val="20"/>
      <w:szCs w:val="20"/>
    </w:rPr>
  </w:style>
  <w:style w:type="paragraph" w:customStyle="1" w:styleId="ParagraphNumbering">
    <w:name w:val="Paragraph Numbering"/>
    <w:basedOn w:val="Normal"/>
    <w:link w:val="ParagraphNumberingCharChar"/>
    <w:uiPriority w:val="1"/>
    <w:qFormat/>
    <w:rsid w:val="00736A5F"/>
    <w:pPr>
      <w:tabs>
        <w:tab w:val="clear" w:pos="709"/>
        <w:tab w:val="num" w:pos="720"/>
      </w:tabs>
      <w:spacing w:line="264" w:lineRule="auto"/>
      <w:jc w:val="left"/>
    </w:pPr>
    <w:rPr>
      <w:rFonts w:eastAsia="Times New Roman"/>
      <w:szCs w:val="24"/>
    </w:rPr>
  </w:style>
  <w:style w:type="character" w:customStyle="1" w:styleId="ParagraphNumberingCharChar">
    <w:name w:val="Paragraph Numbering Char Char"/>
    <w:basedOn w:val="DefaultParagraphFont"/>
    <w:link w:val="ParagraphNumbering"/>
    <w:rsid w:val="00736A5F"/>
    <w:rPr>
      <w:rFonts w:ascii="Times New Roman" w:eastAsia="Times New Roman" w:hAnsi="Times New Roman"/>
    </w:rPr>
  </w:style>
  <w:style w:type="paragraph" w:styleId="HTMLPreformatted">
    <w:name w:val="HTML Preformatted"/>
    <w:basedOn w:val="Normal"/>
    <w:link w:val="HTMLPreformattedChar"/>
    <w:uiPriority w:val="99"/>
    <w:unhideWhenUsed/>
    <w:rsid w:val="00736A5F"/>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36A5F"/>
    <w:rPr>
      <w:rFonts w:ascii="Courier New" w:eastAsia="Times New Roman" w:hAnsi="Courier New" w:cs="Courier New"/>
      <w:lang w:val="en-US" w:eastAsia="en-US"/>
    </w:rPr>
  </w:style>
  <w:style w:type="paragraph" w:customStyle="1" w:styleId="Standard">
    <w:name w:val="Standard"/>
    <w:rsid w:val="00736A5F"/>
    <w:pPr>
      <w:widowControl w:val="0"/>
      <w:suppressAutoHyphens/>
    </w:pPr>
    <w:rPr>
      <w:rFonts w:ascii="Times New Roman" w:eastAsia="Arial Unicode MS" w:hAnsi="Times New Roman" w:cs="Tahoma"/>
      <w:kern w:val="16"/>
    </w:rPr>
  </w:style>
  <w:style w:type="character" w:customStyle="1" w:styleId="notereference">
    <w:name w:val="note reference"/>
    <w:basedOn w:val="DefaultParagraphFont"/>
    <w:semiHidden/>
    <w:rsid w:val="00736A5F"/>
    <w:rPr>
      <w:rFonts w:cs="Times New Roman"/>
      <w:vertAlign w:val="superscript"/>
      <w:lang w:val="en-US"/>
    </w:rPr>
  </w:style>
  <w:style w:type="paragraph" w:customStyle="1" w:styleId="Footnote">
    <w:name w:val="Footnote"/>
    <w:basedOn w:val="Standard"/>
    <w:rsid w:val="00736A5F"/>
    <w:pPr>
      <w:ind w:left="283" w:hanging="283"/>
    </w:pPr>
    <w:rPr>
      <w:sz w:val="20"/>
      <w:szCs w:val="20"/>
    </w:rPr>
  </w:style>
  <w:style w:type="paragraph" w:customStyle="1" w:styleId="Normal11pt">
    <w:name w:val="Normal + 11 pt"/>
    <w:basedOn w:val="Normal"/>
    <w:rsid w:val="00736A5F"/>
    <w:pPr>
      <w:tabs>
        <w:tab w:val="clear" w:pos="709"/>
      </w:tabs>
      <w:spacing w:after="0"/>
    </w:pPr>
    <w:rPr>
      <w:rFonts w:eastAsia="Times New Roman"/>
      <w:b/>
      <w:sz w:val="22"/>
      <w:lang w:val="fr-FR" w:eastAsia="fr-FR"/>
    </w:rPr>
  </w:style>
  <w:style w:type="paragraph" w:styleId="Revision">
    <w:name w:val="Revision"/>
    <w:hidden/>
    <w:uiPriority w:val="99"/>
    <w:semiHidden/>
    <w:rsid w:val="00CA3395"/>
    <w:rPr>
      <w:rFonts w:ascii="Times New Roman" w:hAnsi="Times New Roman"/>
      <w:szCs w:val="22"/>
    </w:rPr>
  </w:style>
  <w:style w:type="paragraph" w:customStyle="1" w:styleId="StyleMainParawithChapterBold1">
    <w:name w:val="Style Main Para with Chapter# + Bold1"/>
    <w:basedOn w:val="MainParawithChapter"/>
    <w:link w:val="StyleMainParawithChapterBold1Char"/>
    <w:rsid w:val="00587701"/>
    <w:pPr>
      <w:tabs>
        <w:tab w:val="clear" w:pos="709"/>
        <w:tab w:val="num" w:pos="1440"/>
      </w:tabs>
      <w:spacing w:before="120"/>
      <w:ind w:left="0" w:firstLine="0"/>
    </w:pPr>
    <w:rPr>
      <w:bCs/>
    </w:rPr>
  </w:style>
  <w:style w:type="character" w:customStyle="1" w:styleId="StyleMainParawithChapterBold1Char">
    <w:name w:val="Style Main Para with Chapter# + Bold1 Char"/>
    <w:basedOn w:val="DefaultParagraphFont"/>
    <w:link w:val="StyleMainParawithChapterBold1"/>
    <w:rsid w:val="00587701"/>
    <w:rPr>
      <w:rFonts w:ascii="Times New Roman" w:eastAsia="Times New Roman" w:hAnsi="Times New Roman"/>
      <w:bCs/>
      <w:sz w:val="24"/>
      <w:szCs w:val="24"/>
    </w:rPr>
  </w:style>
  <w:style w:type="character" w:customStyle="1" w:styleId="BalloonTextChar1">
    <w:name w:val="Balloon Text Char1"/>
    <w:basedOn w:val="DefaultParagraphFont"/>
    <w:uiPriority w:val="99"/>
    <w:rsid w:val="00987142"/>
    <w:rPr>
      <w:rFonts w:ascii="Tahoma" w:hAnsi="Tahoma" w:cs="Tahoma"/>
      <w:sz w:val="16"/>
      <w:szCs w:val="16"/>
    </w:rPr>
  </w:style>
  <w:style w:type="character" w:customStyle="1" w:styleId="longtext">
    <w:name w:val="long_text"/>
    <w:basedOn w:val="DefaultParagraphFont"/>
    <w:rsid w:val="0065207E"/>
  </w:style>
  <w:style w:type="character" w:customStyle="1" w:styleId="Heading1Char">
    <w:name w:val="Heading 1 Char"/>
    <w:basedOn w:val="DefaultParagraphFont"/>
    <w:uiPriority w:val="99"/>
    <w:locked/>
    <w:rsid w:val="004B1FC7"/>
    <w:rPr>
      <w:rFonts w:ascii="Arial" w:hAnsi="Arial" w:cs="Arial"/>
      <w:b/>
      <w:bCs/>
      <w:kern w:val="32"/>
      <w:sz w:val="24"/>
      <w:szCs w:val="24"/>
      <w:lang w:val="en-US"/>
    </w:rPr>
  </w:style>
  <w:style w:type="character" w:customStyle="1" w:styleId="Heading6Char">
    <w:name w:val="Heading 6 Char"/>
    <w:basedOn w:val="DefaultParagraphFont"/>
    <w:uiPriority w:val="99"/>
    <w:locked/>
    <w:rsid w:val="004B1FC7"/>
    <w:rPr>
      <w:rFonts w:ascii="Times New Roman" w:hAnsi="Times New Roman" w:cs="Times New Roman"/>
      <w:b/>
      <w:bCs/>
      <w:sz w:val="22"/>
      <w:szCs w:val="22"/>
    </w:rPr>
  </w:style>
  <w:style w:type="character" w:customStyle="1" w:styleId="Heading8Char">
    <w:name w:val="Heading 8 Char"/>
    <w:basedOn w:val="DefaultParagraphFont"/>
    <w:uiPriority w:val="99"/>
    <w:locked/>
    <w:rsid w:val="004B1FC7"/>
    <w:rPr>
      <w:rFonts w:cs="Arial"/>
      <w:b/>
      <w:caps/>
      <w:sz w:val="28"/>
      <w:szCs w:val="22"/>
      <w:lang w:val="en-US" w:eastAsia="es-ES_tradnl"/>
    </w:rPr>
  </w:style>
  <w:style w:type="character" w:customStyle="1" w:styleId="HeaderChar">
    <w:name w:val="Header Char"/>
    <w:basedOn w:val="DefaultParagraphFont"/>
    <w:uiPriority w:val="99"/>
    <w:locked/>
    <w:rsid w:val="004B1FC7"/>
    <w:rPr>
      <w:rFonts w:cs="Times New Roman"/>
      <w:sz w:val="22"/>
      <w:szCs w:val="22"/>
    </w:rPr>
  </w:style>
  <w:style w:type="character" w:customStyle="1" w:styleId="BodyText3Char">
    <w:name w:val="Body Text 3 Char"/>
    <w:basedOn w:val="DefaultParagraphFont"/>
    <w:uiPriority w:val="99"/>
    <w:locked/>
    <w:rsid w:val="004B1FC7"/>
    <w:rPr>
      <w:rFonts w:cs="Times New Roman"/>
      <w:sz w:val="16"/>
      <w:szCs w:val="16"/>
      <w:lang w:val="en-US"/>
    </w:rPr>
  </w:style>
  <w:style w:type="character" w:customStyle="1" w:styleId="CaptionChar">
    <w:name w:val="Caption Char"/>
    <w:aliases w:val="LVT Table Heading Char,Caption Char2 Char,Caption Char1 Char1 Char,Caption Char Char Char Char,Caption Char1 Char Char Char Char,Caption Char Char Char1 Char Char Char,Caption Char1 Char Char Char Char Char Char,Caption Char1 Char"/>
    <w:basedOn w:val="DefaultParagraphFont"/>
    <w:uiPriority w:val="35"/>
    <w:locked/>
    <w:rsid w:val="004B1FC7"/>
    <w:rPr>
      <w:rFonts w:ascii="Times New Roman" w:hAnsi="Times New Roman" w:cs="Times New Roman"/>
      <w:b/>
      <w:bCs/>
      <w:lang w:val="en-US"/>
    </w:rPr>
  </w:style>
  <w:style w:type="character" w:customStyle="1" w:styleId="tw4winMark">
    <w:name w:val="tw4winMark"/>
    <w:uiPriority w:val="99"/>
    <w:rsid w:val="004B1FC7"/>
    <w:rPr>
      <w:rFonts w:ascii="Courier New" w:hAnsi="Courier New"/>
      <w:vanish/>
      <w:color w:val="800080"/>
      <w:sz w:val="24"/>
      <w:vertAlign w:val="subscript"/>
    </w:rPr>
  </w:style>
  <w:style w:type="character" w:customStyle="1" w:styleId="tw4winError">
    <w:name w:val="tw4winError"/>
    <w:uiPriority w:val="99"/>
    <w:rsid w:val="004B1FC7"/>
    <w:rPr>
      <w:rFonts w:ascii="Courier New" w:hAnsi="Courier New"/>
      <w:color w:val="00FF00"/>
      <w:sz w:val="40"/>
    </w:rPr>
  </w:style>
  <w:style w:type="character" w:customStyle="1" w:styleId="tw4winTerm">
    <w:name w:val="tw4winTerm"/>
    <w:uiPriority w:val="99"/>
    <w:rsid w:val="004B1FC7"/>
    <w:rPr>
      <w:color w:val="0000FF"/>
    </w:rPr>
  </w:style>
  <w:style w:type="character" w:customStyle="1" w:styleId="tw4winPopup">
    <w:name w:val="tw4winPopup"/>
    <w:uiPriority w:val="99"/>
    <w:rsid w:val="004B1FC7"/>
    <w:rPr>
      <w:rFonts w:ascii="Courier New" w:hAnsi="Courier New"/>
      <w:noProof/>
      <w:color w:val="008000"/>
    </w:rPr>
  </w:style>
  <w:style w:type="character" w:customStyle="1" w:styleId="tw4winJump">
    <w:name w:val="tw4winJump"/>
    <w:uiPriority w:val="99"/>
    <w:rsid w:val="004B1FC7"/>
    <w:rPr>
      <w:rFonts w:ascii="Courier New" w:hAnsi="Courier New"/>
      <w:noProof/>
      <w:color w:val="008080"/>
    </w:rPr>
  </w:style>
  <w:style w:type="character" w:customStyle="1" w:styleId="tw4winExternal">
    <w:name w:val="tw4winExternal"/>
    <w:uiPriority w:val="99"/>
    <w:rsid w:val="004B1FC7"/>
    <w:rPr>
      <w:rFonts w:ascii="Courier New" w:hAnsi="Courier New"/>
      <w:noProof/>
      <w:color w:val="808080"/>
    </w:rPr>
  </w:style>
  <w:style w:type="character" w:customStyle="1" w:styleId="tw4winInternal">
    <w:name w:val="tw4winInternal"/>
    <w:uiPriority w:val="99"/>
    <w:rsid w:val="004B1FC7"/>
    <w:rPr>
      <w:rFonts w:ascii="Courier New" w:hAnsi="Courier New"/>
      <w:noProof/>
      <w:color w:val="FF0000"/>
    </w:rPr>
  </w:style>
  <w:style w:type="character" w:customStyle="1" w:styleId="DONOTTRANSLATE">
    <w:name w:val="DO_NOT_TRANSLATE"/>
    <w:uiPriority w:val="99"/>
    <w:rsid w:val="004B1FC7"/>
    <w:rPr>
      <w:rFonts w:ascii="Courier New" w:hAnsi="Courier New"/>
      <w:noProof/>
      <w:color w:val="800000"/>
    </w:rPr>
  </w:style>
  <w:style w:type="character" w:customStyle="1" w:styleId="HeaderChar2">
    <w:name w:val="Header Char2"/>
    <w:uiPriority w:val="99"/>
    <w:locked/>
    <w:rsid w:val="004B1FC7"/>
    <w:rPr>
      <w:rFonts w:ascii="Times New Roman" w:hAnsi="Times New Roman" w:cs="Times New Roman"/>
      <w:b/>
      <w:bCs/>
      <w:sz w:val="28"/>
      <w:szCs w:val="28"/>
    </w:rPr>
  </w:style>
  <w:style w:type="character" w:customStyle="1" w:styleId="HeaderChar1">
    <w:name w:val="Header Char1"/>
    <w:basedOn w:val="DefaultParagraphFont"/>
    <w:uiPriority w:val="99"/>
    <w:locked/>
    <w:rsid w:val="004B1FC7"/>
    <w:rPr>
      <w:rFonts w:cs="Times New Roman"/>
      <w:sz w:val="22"/>
      <w:szCs w:val="22"/>
    </w:rPr>
  </w:style>
  <w:style w:type="character" w:customStyle="1" w:styleId="Heading6Char1">
    <w:name w:val="Heading 6 Char1"/>
    <w:basedOn w:val="DefaultParagraphFont"/>
    <w:uiPriority w:val="99"/>
    <w:locked/>
    <w:rsid w:val="004B1FC7"/>
    <w:rPr>
      <w:rFonts w:ascii="Times New Roman" w:hAnsi="Times New Roman" w:cs="Times New Roman"/>
      <w:sz w:val="16"/>
      <w:szCs w:val="16"/>
    </w:rPr>
  </w:style>
  <w:style w:type="character" w:customStyle="1" w:styleId="BodyText3Char1">
    <w:name w:val="Body Text 3 Char1"/>
    <w:uiPriority w:val="99"/>
    <w:locked/>
    <w:rsid w:val="004B1FC7"/>
    <w:rPr>
      <w:rFonts w:ascii="Verdana" w:hAnsi="Verdana"/>
      <w:sz w:val="9"/>
    </w:rPr>
  </w:style>
  <w:style w:type="character" w:customStyle="1" w:styleId="BodyText2Char1">
    <w:name w:val="Body Text 2 Char1"/>
    <w:uiPriority w:val="99"/>
    <w:locked/>
    <w:rsid w:val="004B1FC7"/>
    <w:rPr>
      <w:rFonts w:ascii="Times New Roman" w:hAnsi="Times New Roman" w:cs="Times New Roman"/>
      <w:b/>
      <w:sz w:val="24"/>
      <w:lang w:val="en-US"/>
    </w:rPr>
  </w:style>
  <w:style w:type="character" w:customStyle="1" w:styleId="Heading5Char1">
    <w:name w:val="Heading 5 Char1"/>
    <w:basedOn w:val="DefaultParagraphFont"/>
    <w:uiPriority w:val="99"/>
    <w:locked/>
    <w:rsid w:val="004B1FC7"/>
    <w:rPr>
      <w:rFonts w:ascii="Arial" w:hAnsi="Arial" w:cs="Arial"/>
      <w:b/>
      <w:bCs/>
      <w:sz w:val="24"/>
      <w:szCs w:val="24"/>
    </w:rPr>
  </w:style>
  <w:style w:type="character" w:customStyle="1" w:styleId="BodyTextIndentChar1">
    <w:name w:val="Body Text Indent Char1"/>
    <w:uiPriority w:val="99"/>
    <w:locked/>
    <w:rsid w:val="004B1FC7"/>
    <w:rPr>
      <w:rFonts w:ascii="Times New Roman" w:hAnsi="Times New Roman"/>
    </w:rPr>
  </w:style>
  <w:style w:type="character" w:customStyle="1" w:styleId="SubtitleChar">
    <w:name w:val="Subtitle Char"/>
    <w:basedOn w:val="DefaultParagraphFont"/>
    <w:uiPriority w:val="11"/>
    <w:rsid w:val="004B1FC7"/>
    <w:rPr>
      <w:rFonts w:ascii="Cambria" w:eastAsia="Times New Roman" w:hAnsi="Cambria" w:cs="Times New Roman"/>
      <w:sz w:val="24"/>
      <w:szCs w:val="24"/>
      <w:lang w:eastAsia="es-ES_tradnl"/>
    </w:rPr>
  </w:style>
  <w:style w:type="paragraph" w:customStyle="1" w:styleId="En-ttedetabledesmatires1">
    <w:name w:val="En-tête de table des matières1"/>
    <w:basedOn w:val="Heading1"/>
    <w:next w:val="Normal"/>
    <w:semiHidden/>
    <w:rsid w:val="00A54EB6"/>
    <w:pPr>
      <w:keepNext/>
      <w:keepLines/>
      <w:pageBreakBefore w:val="0"/>
      <w:tabs>
        <w:tab w:val="clear" w:pos="2127"/>
        <w:tab w:val="left" w:pos="709"/>
      </w:tabs>
      <w:spacing w:before="480" w:after="240"/>
      <w:jc w:val="both"/>
      <w:outlineLvl w:val="9"/>
    </w:pPr>
    <w:rPr>
      <w:rFonts w:ascii="Cambria" w:hAnsi="Cambria" w:cs="Times New Roman"/>
      <w:bCs/>
      <w:caps w:val="0"/>
      <w:color w:val="365F91"/>
      <w:szCs w:val="28"/>
      <w:lang w:val="en-US"/>
    </w:rPr>
  </w:style>
  <w:style w:type="paragraph" w:customStyle="1" w:styleId="Paragraphedeliste1">
    <w:name w:val="Paragraphe de liste1"/>
    <w:basedOn w:val="Normal"/>
    <w:uiPriority w:val="34"/>
    <w:qFormat/>
    <w:rsid w:val="00A54EB6"/>
    <w:pPr>
      <w:ind w:left="708"/>
    </w:pPr>
    <w:rPr>
      <w:rFonts w:eastAsia="Times New Roman"/>
    </w:rPr>
  </w:style>
  <w:style w:type="table" w:customStyle="1" w:styleId="Listemoyenne2-Accent21">
    <w:name w:val="Liste moyenne 2 - Accent 21"/>
    <w:rsid w:val="00A54EB6"/>
    <w:rPr>
      <w:rFonts w:ascii="Cambria" w:hAnsi="Cambria"/>
      <w:color w:val="000000"/>
      <w:sz w:val="20"/>
      <w:szCs w:val="20"/>
      <w:lang w:val="fr-FR"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Grillecouleur-Accent21">
    <w:name w:val="Grille couleur - Accent 21"/>
    <w:rsid w:val="00A54EB6"/>
    <w:rPr>
      <w:rFonts w:eastAsia="Times New Roman"/>
      <w:color w:val="000000"/>
      <w:sz w:val="20"/>
      <w:szCs w:val="20"/>
      <w:lang w:val="fr-FR"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style>
  <w:style w:type="table" w:customStyle="1" w:styleId="Listeclaire-Accent21">
    <w:name w:val="Liste claire - Accent 21"/>
    <w:rsid w:val="00A54EB6"/>
    <w:rPr>
      <w:rFonts w:eastAsia="Times New Roman"/>
      <w:sz w:val="20"/>
      <w:szCs w:val="20"/>
      <w:lang w:val="fr-FR"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paragraph" w:customStyle="1" w:styleId="Rvision1">
    <w:name w:val="Révision1"/>
    <w:hidden/>
    <w:semiHidden/>
    <w:rsid w:val="00A54EB6"/>
    <w:rPr>
      <w:rFonts w:ascii="Times New Roman" w:eastAsia="Times New Roman" w:hAnsi="Times New Roman"/>
      <w:szCs w:val="22"/>
    </w:rPr>
  </w:style>
  <w:style w:type="paragraph" w:customStyle="1" w:styleId="Appendix">
    <w:name w:val="Appendix"/>
    <w:basedOn w:val="Normal"/>
    <w:uiPriority w:val="8"/>
    <w:qFormat/>
    <w:rsid w:val="00CF3516"/>
    <w:pPr>
      <w:tabs>
        <w:tab w:val="clear" w:pos="709"/>
      </w:tabs>
      <w:spacing w:after="0" w:line="264" w:lineRule="auto"/>
      <w:jc w:val="center"/>
    </w:pPr>
    <w:rPr>
      <w:rFonts w:eastAsiaTheme="minorEastAsia"/>
      <w:b/>
      <w:szCs w:val="24"/>
      <w:lang w:eastAsia="zh-CN"/>
    </w:rPr>
  </w:style>
  <w:style w:type="paragraph" w:styleId="ListBullet">
    <w:name w:val="List Bullet"/>
    <w:basedOn w:val="Normal"/>
    <w:uiPriority w:val="2"/>
    <w:qFormat/>
    <w:rsid w:val="00CF3516"/>
    <w:pPr>
      <w:tabs>
        <w:tab w:val="clear" w:pos="709"/>
        <w:tab w:val="num" w:pos="720"/>
      </w:tabs>
      <w:spacing w:line="264" w:lineRule="auto"/>
      <w:ind w:left="720" w:hanging="720"/>
      <w:jc w:val="left"/>
    </w:pPr>
    <w:rPr>
      <w:rFonts w:eastAsiaTheme="minorEastAsia"/>
      <w:szCs w:val="24"/>
      <w:lang w:eastAsia="zh-CN"/>
    </w:rPr>
  </w:style>
  <w:style w:type="paragraph" w:styleId="Index1">
    <w:name w:val="index 1"/>
    <w:basedOn w:val="Normal"/>
    <w:next w:val="Normal"/>
    <w:uiPriority w:val="8"/>
    <w:rsid w:val="00CF3516"/>
    <w:pPr>
      <w:tabs>
        <w:tab w:val="clear" w:pos="709"/>
      </w:tabs>
      <w:spacing w:after="0" w:line="264" w:lineRule="auto"/>
      <w:ind w:left="240" w:hanging="240"/>
      <w:jc w:val="left"/>
    </w:pPr>
    <w:rPr>
      <w:rFonts w:eastAsiaTheme="minorEastAsia"/>
      <w:szCs w:val="24"/>
      <w:lang w:eastAsia="zh-CN"/>
    </w:rPr>
  </w:style>
  <w:style w:type="paragraph" w:styleId="Index2">
    <w:name w:val="index 2"/>
    <w:basedOn w:val="Normal"/>
    <w:next w:val="Normal"/>
    <w:uiPriority w:val="8"/>
    <w:rsid w:val="00CF3516"/>
    <w:pPr>
      <w:tabs>
        <w:tab w:val="clear" w:pos="709"/>
      </w:tabs>
      <w:spacing w:after="0" w:line="264" w:lineRule="auto"/>
      <w:ind w:left="480" w:hanging="240"/>
      <w:jc w:val="left"/>
    </w:pPr>
    <w:rPr>
      <w:rFonts w:eastAsiaTheme="minorEastAsia"/>
      <w:szCs w:val="24"/>
      <w:lang w:eastAsia="zh-CN"/>
    </w:rPr>
  </w:style>
  <w:style w:type="paragraph" w:styleId="Index3">
    <w:name w:val="index 3"/>
    <w:basedOn w:val="Normal"/>
    <w:next w:val="Normal"/>
    <w:uiPriority w:val="8"/>
    <w:rsid w:val="00CF3516"/>
    <w:pPr>
      <w:tabs>
        <w:tab w:val="clear" w:pos="709"/>
      </w:tabs>
      <w:spacing w:after="0" w:line="264" w:lineRule="auto"/>
      <w:ind w:left="720" w:hanging="240"/>
      <w:jc w:val="left"/>
    </w:pPr>
    <w:rPr>
      <w:rFonts w:eastAsiaTheme="minorEastAsia"/>
      <w:szCs w:val="24"/>
      <w:lang w:eastAsia="zh-CN"/>
    </w:rPr>
  </w:style>
  <w:style w:type="paragraph" w:styleId="Index4">
    <w:name w:val="index 4"/>
    <w:basedOn w:val="Normal"/>
    <w:next w:val="Normal"/>
    <w:uiPriority w:val="8"/>
    <w:rsid w:val="00CF3516"/>
    <w:pPr>
      <w:tabs>
        <w:tab w:val="clear" w:pos="709"/>
      </w:tabs>
      <w:spacing w:after="0" w:line="264" w:lineRule="auto"/>
      <w:ind w:left="960" w:hanging="240"/>
      <w:jc w:val="left"/>
    </w:pPr>
    <w:rPr>
      <w:rFonts w:eastAsiaTheme="minorEastAsia"/>
      <w:szCs w:val="24"/>
      <w:lang w:eastAsia="zh-CN"/>
    </w:rPr>
  </w:style>
  <w:style w:type="paragraph" w:styleId="Index5">
    <w:name w:val="index 5"/>
    <w:basedOn w:val="Normal"/>
    <w:next w:val="Normal"/>
    <w:uiPriority w:val="8"/>
    <w:rsid w:val="00CF3516"/>
    <w:pPr>
      <w:tabs>
        <w:tab w:val="clear" w:pos="709"/>
      </w:tabs>
      <w:spacing w:after="0" w:line="264" w:lineRule="auto"/>
      <w:ind w:left="1200" w:hanging="240"/>
      <w:jc w:val="left"/>
    </w:pPr>
    <w:rPr>
      <w:rFonts w:eastAsiaTheme="minorEastAsia"/>
      <w:szCs w:val="24"/>
      <w:lang w:eastAsia="zh-CN"/>
    </w:rPr>
  </w:style>
  <w:style w:type="paragraph" w:styleId="Index6">
    <w:name w:val="index 6"/>
    <w:basedOn w:val="Normal"/>
    <w:next w:val="Normal"/>
    <w:uiPriority w:val="8"/>
    <w:rsid w:val="00CF3516"/>
    <w:pPr>
      <w:tabs>
        <w:tab w:val="clear" w:pos="709"/>
      </w:tabs>
      <w:spacing w:after="0" w:line="264" w:lineRule="auto"/>
      <w:ind w:left="1440" w:hanging="240"/>
      <w:jc w:val="left"/>
    </w:pPr>
    <w:rPr>
      <w:rFonts w:eastAsiaTheme="minorEastAsia"/>
      <w:szCs w:val="24"/>
      <w:lang w:eastAsia="zh-CN"/>
    </w:rPr>
  </w:style>
  <w:style w:type="paragraph" w:styleId="Index7">
    <w:name w:val="index 7"/>
    <w:basedOn w:val="Normal"/>
    <w:next w:val="Normal"/>
    <w:uiPriority w:val="8"/>
    <w:rsid w:val="00CF3516"/>
    <w:pPr>
      <w:tabs>
        <w:tab w:val="clear" w:pos="709"/>
      </w:tabs>
      <w:spacing w:after="0" w:line="264" w:lineRule="auto"/>
      <w:ind w:left="1680" w:hanging="240"/>
      <w:jc w:val="left"/>
    </w:pPr>
    <w:rPr>
      <w:rFonts w:eastAsiaTheme="minorEastAsia"/>
      <w:szCs w:val="24"/>
      <w:lang w:eastAsia="zh-CN"/>
    </w:rPr>
  </w:style>
  <w:style w:type="paragraph" w:styleId="Index8">
    <w:name w:val="index 8"/>
    <w:basedOn w:val="Normal"/>
    <w:next w:val="Normal"/>
    <w:uiPriority w:val="8"/>
    <w:rsid w:val="00CF3516"/>
    <w:pPr>
      <w:tabs>
        <w:tab w:val="clear" w:pos="709"/>
      </w:tabs>
      <w:spacing w:after="0" w:line="264" w:lineRule="auto"/>
      <w:ind w:left="1920" w:hanging="240"/>
      <w:jc w:val="left"/>
    </w:pPr>
    <w:rPr>
      <w:rFonts w:eastAsiaTheme="minorEastAsia"/>
      <w:szCs w:val="24"/>
      <w:lang w:eastAsia="zh-CN"/>
    </w:rPr>
  </w:style>
  <w:style w:type="paragraph" w:styleId="Index9">
    <w:name w:val="index 9"/>
    <w:basedOn w:val="Normal"/>
    <w:next w:val="Normal"/>
    <w:uiPriority w:val="8"/>
    <w:rsid w:val="00CF3516"/>
    <w:pPr>
      <w:tabs>
        <w:tab w:val="clear" w:pos="709"/>
      </w:tabs>
      <w:spacing w:after="0" w:line="264" w:lineRule="auto"/>
      <w:ind w:left="2160" w:hanging="240"/>
      <w:jc w:val="left"/>
    </w:pPr>
    <w:rPr>
      <w:rFonts w:eastAsiaTheme="minorEastAsia"/>
      <w:szCs w:val="24"/>
      <w:lang w:eastAsia="zh-CN"/>
    </w:rPr>
  </w:style>
  <w:style w:type="paragraph" w:styleId="ListBullet2">
    <w:name w:val="List Bullet 2"/>
    <w:basedOn w:val="Normal"/>
    <w:uiPriority w:val="8"/>
    <w:rsid w:val="00CF3516"/>
    <w:pPr>
      <w:tabs>
        <w:tab w:val="clear" w:pos="709"/>
        <w:tab w:val="num" w:pos="720"/>
      </w:tabs>
      <w:spacing w:after="0" w:line="264" w:lineRule="auto"/>
      <w:ind w:left="720" w:hanging="360"/>
      <w:jc w:val="left"/>
    </w:pPr>
    <w:rPr>
      <w:rFonts w:eastAsiaTheme="minorEastAsia"/>
      <w:szCs w:val="24"/>
      <w:lang w:eastAsia="zh-CN"/>
    </w:rPr>
  </w:style>
  <w:style w:type="paragraph" w:styleId="ListBullet3">
    <w:name w:val="List Bullet 3"/>
    <w:basedOn w:val="Normal"/>
    <w:uiPriority w:val="8"/>
    <w:rsid w:val="00CF3516"/>
    <w:pPr>
      <w:tabs>
        <w:tab w:val="clear" w:pos="709"/>
        <w:tab w:val="num" w:pos="1080"/>
      </w:tabs>
      <w:spacing w:after="0" w:line="264" w:lineRule="auto"/>
      <w:ind w:left="1080" w:hanging="360"/>
      <w:jc w:val="left"/>
    </w:pPr>
    <w:rPr>
      <w:rFonts w:eastAsiaTheme="minorEastAsia"/>
      <w:szCs w:val="24"/>
      <w:lang w:eastAsia="zh-CN"/>
    </w:rPr>
  </w:style>
  <w:style w:type="paragraph" w:styleId="ListBullet4">
    <w:name w:val="List Bullet 4"/>
    <w:basedOn w:val="Normal"/>
    <w:uiPriority w:val="8"/>
    <w:rsid w:val="00CF3516"/>
    <w:pPr>
      <w:tabs>
        <w:tab w:val="clear" w:pos="709"/>
        <w:tab w:val="num" w:pos="1440"/>
      </w:tabs>
      <w:spacing w:after="0" w:line="264" w:lineRule="auto"/>
      <w:ind w:left="1440" w:hanging="360"/>
      <w:jc w:val="left"/>
    </w:pPr>
    <w:rPr>
      <w:rFonts w:eastAsiaTheme="minorEastAsia"/>
      <w:szCs w:val="24"/>
      <w:lang w:eastAsia="zh-CN"/>
    </w:rPr>
  </w:style>
  <w:style w:type="paragraph" w:styleId="ListBullet5">
    <w:name w:val="List Bullet 5"/>
    <w:basedOn w:val="Normal"/>
    <w:uiPriority w:val="8"/>
    <w:rsid w:val="00CF3516"/>
    <w:pPr>
      <w:tabs>
        <w:tab w:val="clear" w:pos="709"/>
        <w:tab w:val="num" w:pos="1800"/>
      </w:tabs>
      <w:spacing w:after="0" w:line="264" w:lineRule="auto"/>
      <w:ind w:left="1800" w:hanging="360"/>
      <w:jc w:val="left"/>
    </w:pPr>
    <w:rPr>
      <w:rFonts w:eastAsiaTheme="minorEastAsia"/>
      <w:szCs w:val="24"/>
      <w:lang w:eastAsia="zh-CN"/>
    </w:rPr>
  </w:style>
  <w:style w:type="paragraph" w:customStyle="1" w:styleId="Indent">
    <w:name w:val="Indent"/>
    <w:basedOn w:val="Normal"/>
    <w:uiPriority w:val="8"/>
    <w:qFormat/>
    <w:rsid w:val="00CF3516"/>
    <w:pPr>
      <w:tabs>
        <w:tab w:val="clear" w:pos="709"/>
      </w:tabs>
      <w:spacing w:after="0" w:line="264" w:lineRule="auto"/>
      <w:ind w:left="720" w:hanging="720"/>
      <w:jc w:val="left"/>
    </w:pPr>
    <w:rPr>
      <w:rFonts w:eastAsiaTheme="minorEastAsia"/>
      <w:szCs w:val="24"/>
      <w:lang w:eastAsia="zh-CN"/>
    </w:rPr>
  </w:style>
  <w:style w:type="paragraph" w:customStyle="1" w:styleId="UnNumberedHeading1">
    <w:name w:val="UnNumbered Heading 1"/>
    <w:basedOn w:val="Normal"/>
    <w:next w:val="Normal"/>
    <w:uiPriority w:val="8"/>
    <w:rsid w:val="00CF3516"/>
    <w:pPr>
      <w:tabs>
        <w:tab w:val="clear" w:pos="709"/>
      </w:tabs>
      <w:spacing w:after="0" w:line="264" w:lineRule="auto"/>
      <w:jc w:val="center"/>
    </w:pPr>
    <w:rPr>
      <w:rFonts w:eastAsiaTheme="minorEastAsia"/>
      <w:b/>
      <w:smallCaps/>
      <w:szCs w:val="24"/>
      <w:lang w:eastAsia="zh-CN"/>
    </w:rPr>
  </w:style>
  <w:style w:type="paragraph" w:styleId="ListNumber">
    <w:name w:val="List Number"/>
    <w:basedOn w:val="Normal"/>
    <w:uiPriority w:val="8"/>
    <w:rsid w:val="00CF3516"/>
    <w:pPr>
      <w:tabs>
        <w:tab w:val="clear" w:pos="709"/>
        <w:tab w:val="num" w:pos="360"/>
      </w:tabs>
      <w:spacing w:after="0" w:line="264" w:lineRule="auto"/>
      <w:ind w:left="360" w:hanging="360"/>
      <w:contextualSpacing/>
      <w:jc w:val="left"/>
    </w:pPr>
    <w:rPr>
      <w:rFonts w:eastAsiaTheme="minorEastAsia"/>
      <w:szCs w:val="24"/>
      <w:lang w:eastAsia="zh-CN"/>
    </w:rPr>
  </w:style>
  <w:style w:type="character" w:customStyle="1" w:styleId="google-src-text1">
    <w:name w:val="google-src-text1"/>
    <w:basedOn w:val="DefaultParagraphFont"/>
    <w:rsid w:val="0050199E"/>
    <w:rPr>
      <w:vanish/>
      <w:webHidden w:val="0"/>
      <w:specVanish w:val="0"/>
    </w:rPr>
  </w:style>
  <w:style w:type="paragraph" w:customStyle="1" w:styleId="Source">
    <w:name w:val="Source"/>
    <w:basedOn w:val="Heading6"/>
    <w:link w:val="SourceCar"/>
    <w:qFormat/>
    <w:rsid w:val="00837FC9"/>
    <w:pPr>
      <w:keepLines/>
      <w:tabs>
        <w:tab w:val="clear" w:pos="709"/>
      </w:tabs>
      <w:jc w:val="left"/>
    </w:pPr>
    <w:rPr>
      <w:b w:val="0"/>
      <w:i/>
      <w:noProof/>
      <w:sz w:val="20"/>
      <w:szCs w:val="24"/>
      <w:lang w:val="fr-BE"/>
    </w:rPr>
  </w:style>
  <w:style w:type="character" w:customStyle="1" w:styleId="Heading5Char">
    <w:name w:val="Heading 5 Char"/>
    <w:basedOn w:val="DefaultParagraphFont"/>
    <w:uiPriority w:val="99"/>
    <w:semiHidden/>
    <w:locked/>
    <w:rsid w:val="00726DDC"/>
    <w:rPr>
      <w:rFonts w:ascii="Times New Roman" w:hAnsi="Times New Roman" w:cs="Times New Roman"/>
      <w:b/>
      <w:bCs/>
      <w:i/>
      <w:iCs/>
      <w:sz w:val="26"/>
      <w:szCs w:val="26"/>
    </w:rPr>
  </w:style>
  <w:style w:type="character" w:customStyle="1" w:styleId="SourceCar">
    <w:name w:val="Source Car"/>
    <w:basedOn w:val="Heading6Char2"/>
    <w:link w:val="Source"/>
    <w:rsid w:val="00837FC9"/>
    <w:rPr>
      <w:i/>
      <w:noProof/>
      <w:sz w:val="20"/>
      <w:lang w:val="fr-BE"/>
    </w:rPr>
  </w:style>
  <w:style w:type="character" w:customStyle="1" w:styleId="Heading9Char">
    <w:name w:val="Heading 9 Char"/>
    <w:basedOn w:val="DefaultParagraphFont"/>
    <w:uiPriority w:val="99"/>
    <w:semiHidden/>
    <w:locked/>
    <w:rsid w:val="00726DDC"/>
    <w:rPr>
      <w:rFonts w:ascii="Times New Roman" w:hAnsi="Times New Roman" w:cs="Times New Roman"/>
      <w:sz w:val="22"/>
      <w:szCs w:val="22"/>
    </w:rPr>
  </w:style>
  <w:style w:type="character" w:customStyle="1" w:styleId="FootnoteTextChar">
    <w:name w:val="Footnote Text Char"/>
    <w:aliases w:val="Fußnote Char,Note de bas de page Car Char,Footnote Text Char1 Char,Footnote Text Char Char Char,fn Char,Footnote ak Char,Footnotes Char,single space Char,FOOTNOTES Char,ALTS FOOTNOTE Char,f Char,ADB Char,ft Char,FOOTNOTES Car Car Char"/>
    <w:basedOn w:val="DefaultParagraphFont"/>
    <w:uiPriority w:val="99"/>
    <w:semiHidden/>
    <w:rsid w:val="00726DDC"/>
    <w:rPr>
      <w:sz w:val="20"/>
      <w:szCs w:val="20"/>
      <w:lang w:val="en-US"/>
    </w:rPr>
  </w:style>
  <w:style w:type="character" w:customStyle="1" w:styleId="FootnoteTextChar3">
    <w:name w:val="Footnote Text Char3"/>
    <w:aliases w:val="Fußnote Char2,Note de bas de page Car Char2,Footnote Text Char1 Char2,Footnote Text Char Char Char2,fn Char2,Footnote ak Char2,Footnotes Char2,single space Char2,FOOTNOTES Char2,ALTS FOOTNOTE Char2,f Char2,ADB Char2,ft Char2"/>
    <w:basedOn w:val="DefaultParagraphFont"/>
    <w:uiPriority w:val="99"/>
    <w:semiHidden/>
    <w:locked/>
    <w:rsid w:val="00726DDC"/>
    <w:rPr>
      <w:rFonts w:ascii="Times New Roman" w:hAnsi="Times New Roman" w:cs="Times New Roman"/>
      <w:sz w:val="20"/>
      <w:szCs w:val="20"/>
      <w:lang w:val="en-US"/>
    </w:rPr>
  </w:style>
  <w:style w:type="character" w:customStyle="1" w:styleId="TM3Car">
    <w:name w:val="TM 3 Car"/>
    <w:basedOn w:val="DefaultParagraphFont"/>
    <w:uiPriority w:val="99"/>
    <w:locked/>
    <w:rsid w:val="00726DDC"/>
    <w:rPr>
      <w:rFonts w:ascii="Arial" w:hAnsi="Arial" w:cs="Arial"/>
      <w:b/>
      <w:bCs/>
      <w:sz w:val="28"/>
      <w:szCs w:val="28"/>
      <w:lang w:val="fr-BE"/>
    </w:rPr>
  </w:style>
  <w:style w:type="character" w:customStyle="1" w:styleId="BodyTextIndent2Char1">
    <w:name w:val="Body Text Indent 2 Char1"/>
    <w:basedOn w:val="DefaultParagraphFont"/>
    <w:uiPriority w:val="99"/>
    <w:semiHidden/>
    <w:rsid w:val="00A66260"/>
    <w:rPr>
      <w:rFonts w:ascii="Times New Roman" w:hAnsi="Times New Roman"/>
      <w:sz w:val="24"/>
      <w:szCs w:val="22"/>
      <w:lang w:val="en-US" w:eastAsia="en-US"/>
    </w:rPr>
  </w:style>
  <w:style w:type="character" w:customStyle="1" w:styleId="HTMLPreformattedChar1">
    <w:name w:val="HTML Preformatted Char1"/>
    <w:basedOn w:val="DefaultParagraphFont"/>
    <w:uiPriority w:val="99"/>
    <w:semiHidden/>
    <w:rsid w:val="00A66260"/>
    <w:rPr>
      <w:rFonts w:ascii="Courier New" w:hAnsi="Courier New" w:cs="Courier New"/>
      <w:lang w:val="en-US" w:eastAsia="en-US"/>
    </w:rPr>
  </w:style>
</w:styles>
</file>

<file path=word/webSettings.xml><?xml version="1.0" encoding="utf-8"?>
<w:webSettings xmlns:r="http://schemas.openxmlformats.org/officeDocument/2006/relationships" xmlns:w="http://schemas.openxmlformats.org/wordprocessingml/2006/main">
  <w:divs>
    <w:div w:id="14842344">
      <w:bodyDiv w:val="1"/>
      <w:marLeft w:val="0"/>
      <w:marRight w:val="0"/>
      <w:marTop w:val="0"/>
      <w:marBottom w:val="0"/>
      <w:divBdr>
        <w:top w:val="none" w:sz="0" w:space="0" w:color="auto"/>
        <w:left w:val="none" w:sz="0" w:space="0" w:color="auto"/>
        <w:bottom w:val="none" w:sz="0" w:space="0" w:color="auto"/>
        <w:right w:val="none" w:sz="0" w:space="0" w:color="auto"/>
      </w:divBdr>
    </w:div>
    <w:div w:id="27881058">
      <w:bodyDiv w:val="1"/>
      <w:marLeft w:val="0"/>
      <w:marRight w:val="0"/>
      <w:marTop w:val="0"/>
      <w:marBottom w:val="0"/>
      <w:divBdr>
        <w:top w:val="none" w:sz="0" w:space="0" w:color="auto"/>
        <w:left w:val="none" w:sz="0" w:space="0" w:color="auto"/>
        <w:bottom w:val="none" w:sz="0" w:space="0" w:color="auto"/>
        <w:right w:val="none" w:sz="0" w:space="0" w:color="auto"/>
      </w:divBdr>
    </w:div>
    <w:div w:id="35398801">
      <w:bodyDiv w:val="1"/>
      <w:marLeft w:val="0"/>
      <w:marRight w:val="0"/>
      <w:marTop w:val="0"/>
      <w:marBottom w:val="0"/>
      <w:divBdr>
        <w:top w:val="none" w:sz="0" w:space="0" w:color="auto"/>
        <w:left w:val="none" w:sz="0" w:space="0" w:color="auto"/>
        <w:bottom w:val="none" w:sz="0" w:space="0" w:color="auto"/>
        <w:right w:val="none" w:sz="0" w:space="0" w:color="auto"/>
      </w:divBdr>
    </w:div>
    <w:div w:id="45185844">
      <w:bodyDiv w:val="1"/>
      <w:marLeft w:val="0"/>
      <w:marRight w:val="0"/>
      <w:marTop w:val="0"/>
      <w:marBottom w:val="0"/>
      <w:divBdr>
        <w:top w:val="none" w:sz="0" w:space="0" w:color="auto"/>
        <w:left w:val="none" w:sz="0" w:space="0" w:color="auto"/>
        <w:bottom w:val="none" w:sz="0" w:space="0" w:color="auto"/>
        <w:right w:val="none" w:sz="0" w:space="0" w:color="auto"/>
      </w:divBdr>
      <w:divsChild>
        <w:div w:id="728770122">
          <w:marLeft w:val="-5070"/>
          <w:marRight w:val="0"/>
          <w:marTop w:val="0"/>
          <w:marBottom w:val="0"/>
          <w:divBdr>
            <w:top w:val="none" w:sz="0" w:space="0" w:color="auto"/>
            <w:left w:val="none" w:sz="0" w:space="0" w:color="auto"/>
            <w:bottom w:val="none" w:sz="0" w:space="0" w:color="auto"/>
            <w:right w:val="none" w:sz="0" w:space="0" w:color="auto"/>
          </w:divBdr>
          <w:divsChild>
            <w:div w:id="683559689">
              <w:marLeft w:val="0"/>
              <w:marRight w:val="0"/>
              <w:marTop w:val="0"/>
              <w:marBottom w:val="51"/>
              <w:divBdr>
                <w:top w:val="none" w:sz="0" w:space="0" w:color="auto"/>
                <w:left w:val="none" w:sz="0" w:space="0" w:color="auto"/>
                <w:bottom w:val="none" w:sz="0" w:space="0" w:color="auto"/>
                <w:right w:val="none" w:sz="0" w:space="0" w:color="auto"/>
              </w:divBdr>
              <w:divsChild>
                <w:div w:id="578831035">
                  <w:marLeft w:val="0"/>
                  <w:marRight w:val="0"/>
                  <w:marTop w:val="0"/>
                  <w:marBottom w:val="0"/>
                  <w:divBdr>
                    <w:top w:val="none" w:sz="0" w:space="0" w:color="auto"/>
                    <w:left w:val="none" w:sz="0" w:space="0" w:color="auto"/>
                    <w:bottom w:val="none" w:sz="0" w:space="0" w:color="auto"/>
                    <w:right w:val="none" w:sz="0" w:space="0" w:color="auto"/>
                  </w:divBdr>
                  <w:divsChild>
                    <w:div w:id="18080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3894">
      <w:bodyDiv w:val="1"/>
      <w:marLeft w:val="0"/>
      <w:marRight w:val="0"/>
      <w:marTop w:val="0"/>
      <w:marBottom w:val="0"/>
      <w:divBdr>
        <w:top w:val="none" w:sz="0" w:space="0" w:color="auto"/>
        <w:left w:val="none" w:sz="0" w:space="0" w:color="auto"/>
        <w:bottom w:val="none" w:sz="0" w:space="0" w:color="auto"/>
        <w:right w:val="none" w:sz="0" w:space="0" w:color="auto"/>
      </w:divBdr>
      <w:divsChild>
        <w:div w:id="379476124">
          <w:marLeft w:val="0"/>
          <w:marRight w:val="0"/>
          <w:marTop w:val="288"/>
          <w:marBottom w:val="0"/>
          <w:divBdr>
            <w:top w:val="none" w:sz="0" w:space="0" w:color="auto"/>
            <w:left w:val="none" w:sz="0" w:space="0" w:color="auto"/>
            <w:bottom w:val="none" w:sz="0" w:space="0" w:color="auto"/>
            <w:right w:val="none" w:sz="0" w:space="0" w:color="auto"/>
          </w:divBdr>
        </w:div>
        <w:div w:id="1476484276">
          <w:marLeft w:val="0"/>
          <w:marRight w:val="0"/>
          <w:marTop w:val="288"/>
          <w:marBottom w:val="0"/>
          <w:divBdr>
            <w:top w:val="none" w:sz="0" w:space="0" w:color="auto"/>
            <w:left w:val="none" w:sz="0" w:space="0" w:color="auto"/>
            <w:bottom w:val="none" w:sz="0" w:space="0" w:color="auto"/>
            <w:right w:val="none" w:sz="0" w:space="0" w:color="auto"/>
          </w:divBdr>
        </w:div>
      </w:divsChild>
    </w:div>
    <w:div w:id="117260291">
      <w:bodyDiv w:val="1"/>
      <w:marLeft w:val="0"/>
      <w:marRight w:val="0"/>
      <w:marTop w:val="0"/>
      <w:marBottom w:val="0"/>
      <w:divBdr>
        <w:top w:val="none" w:sz="0" w:space="0" w:color="auto"/>
        <w:left w:val="none" w:sz="0" w:space="0" w:color="auto"/>
        <w:bottom w:val="none" w:sz="0" w:space="0" w:color="auto"/>
        <w:right w:val="none" w:sz="0" w:space="0" w:color="auto"/>
      </w:divBdr>
      <w:divsChild>
        <w:div w:id="504243790">
          <w:marLeft w:val="-5070"/>
          <w:marRight w:val="0"/>
          <w:marTop w:val="0"/>
          <w:marBottom w:val="0"/>
          <w:divBdr>
            <w:top w:val="none" w:sz="0" w:space="0" w:color="auto"/>
            <w:left w:val="none" w:sz="0" w:space="0" w:color="auto"/>
            <w:bottom w:val="none" w:sz="0" w:space="0" w:color="auto"/>
            <w:right w:val="none" w:sz="0" w:space="0" w:color="auto"/>
          </w:divBdr>
          <w:divsChild>
            <w:div w:id="1140072668">
              <w:marLeft w:val="0"/>
              <w:marRight w:val="0"/>
              <w:marTop w:val="0"/>
              <w:marBottom w:val="51"/>
              <w:divBdr>
                <w:top w:val="none" w:sz="0" w:space="0" w:color="auto"/>
                <w:left w:val="none" w:sz="0" w:space="0" w:color="auto"/>
                <w:bottom w:val="none" w:sz="0" w:space="0" w:color="auto"/>
                <w:right w:val="none" w:sz="0" w:space="0" w:color="auto"/>
              </w:divBdr>
              <w:divsChild>
                <w:div w:id="730880935">
                  <w:marLeft w:val="0"/>
                  <w:marRight w:val="0"/>
                  <w:marTop w:val="0"/>
                  <w:marBottom w:val="0"/>
                  <w:divBdr>
                    <w:top w:val="none" w:sz="0" w:space="0" w:color="auto"/>
                    <w:left w:val="none" w:sz="0" w:space="0" w:color="auto"/>
                    <w:bottom w:val="none" w:sz="0" w:space="0" w:color="auto"/>
                    <w:right w:val="none" w:sz="0" w:space="0" w:color="auto"/>
                  </w:divBdr>
                  <w:divsChild>
                    <w:div w:id="10230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28569">
      <w:bodyDiv w:val="1"/>
      <w:marLeft w:val="0"/>
      <w:marRight w:val="0"/>
      <w:marTop w:val="0"/>
      <w:marBottom w:val="0"/>
      <w:divBdr>
        <w:top w:val="none" w:sz="0" w:space="0" w:color="auto"/>
        <w:left w:val="none" w:sz="0" w:space="0" w:color="auto"/>
        <w:bottom w:val="none" w:sz="0" w:space="0" w:color="auto"/>
        <w:right w:val="none" w:sz="0" w:space="0" w:color="auto"/>
      </w:divBdr>
    </w:div>
    <w:div w:id="140002205">
      <w:bodyDiv w:val="1"/>
      <w:marLeft w:val="0"/>
      <w:marRight w:val="0"/>
      <w:marTop w:val="0"/>
      <w:marBottom w:val="0"/>
      <w:divBdr>
        <w:top w:val="none" w:sz="0" w:space="0" w:color="auto"/>
        <w:left w:val="none" w:sz="0" w:space="0" w:color="auto"/>
        <w:bottom w:val="none" w:sz="0" w:space="0" w:color="auto"/>
        <w:right w:val="none" w:sz="0" w:space="0" w:color="auto"/>
      </w:divBdr>
    </w:div>
    <w:div w:id="174346461">
      <w:bodyDiv w:val="1"/>
      <w:marLeft w:val="0"/>
      <w:marRight w:val="0"/>
      <w:marTop w:val="0"/>
      <w:marBottom w:val="0"/>
      <w:divBdr>
        <w:top w:val="none" w:sz="0" w:space="0" w:color="auto"/>
        <w:left w:val="none" w:sz="0" w:space="0" w:color="auto"/>
        <w:bottom w:val="none" w:sz="0" w:space="0" w:color="auto"/>
        <w:right w:val="none" w:sz="0" w:space="0" w:color="auto"/>
      </w:divBdr>
    </w:div>
    <w:div w:id="185563199">
      <w:bodyDiv w:val="1"/>
      <w:marLeft w:val="0"/>
      <w:marRight w:val="0"/>
      <w:marTop w:val="0"/>
      <w:marBottom w:val="0"/>
      <w:divBdr>
        <w:top w:val="none" w:sz="0" w:space="0" w:color="auto"/>
        <w:left w:val="none" w:sz="0" w:space="0" w:color="auto"/>
        <w:bottom w:val="none" w:sz="0" w:space="0" w:color="auto"/>
        <w:right w:val="none" w:sz="0" w:space="0" w:color="auto"/>
      </w:divBdr>
      <w:divsChild>
        <w:div w:id="1322805466">
          <w:marLeft w:val="0"/>
          <w:marRight w:val="0"/>
          <w:marTop w:val="0"/>
          <w:marBottom w:val="0"/>
          <w:divBdr>
            <w:top w:val="none" w:sz="0" w:space="0" w:color="auto"/>
            <w:left w:val="none" w:sz="0" w:space="0" w:color="auto"/>
            <w:bottom w:val="none" w:sz="0" w:space="0" w:color="auto"/>
            <w:right w:val="none" w:sz="0" w:space="0" w:color="auto"/>
          </w:divBdr>
          <w:divsChild>
            <w:div w:id="289820526">
              <w:marLeft w:val="1511"/>
              <w:marRight w:val="2140"/>
              <w:marTop w:val="0"/>
              <w:marBottom w:val="0"/>
              <w:divBdr>
                <w:top w:val="single" w:sz="4" w:space="0" w:color="FFFFFF"/>
                <w:left w:val="single" w:sz="4" w:space="0" w:color="FFFFFF"/>
                <w:bottom w:val="single" w:sz="4" w:space="0" w:color="FFFFFF"/>
                <w:right w:val="single" w:sz="4" w:space="0" w:color="FFFFFF"/>
              </w:divBdr>
              <w:divsChild>
                <w:div w:id="3266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6834">
      <w:bodyDiv w:val="1"/>
      <w:marLeft w:val="0"/>
      <w:marRight w:val="0"/>
      <w:marTop w:val="0"/>
      <w:marBottom w:val="0"/>
      <w:divBdr>
        <w:top w:val="none" w:sz="0" w:space="0" w:color="auto"/>
        <w:left w:val="none" w:sz="0" w:space="0" w:color="auto"/>
        <w:bottom w:val="none" w:sz="0" w:space="0" w:color="auto"/>
        <w:right w:val="none" w:sz="0" w:space="0" w:color="auto"/>
      </w:divBdr>
    </w:div>
    <w:div w:id="224069925">
      <w:bodyDiv w:val="1"/>
      <w:marLeft w:val="0"/>
      <w:marRight w:val="0"/>
      <w:marTop w:val="0"/>
      <w:marBottom w:val="0"/>
      <w:divBdr>
        <w:top w:val="none" w:sz="0" w:space="0" w:color="auto"/>
        <w:left w:val="none" w:sz="0" w:space="0" w:color="auto"/>
        <w:bottom w:val="none" w:sz="0" w:space="0" w:color="auto"/>
        <w:right w:val="none" w:sz="0" w:space="0" w:color="auto"/>
      </w:divBdr>
    </w:div>
    <w:div w:id="234435782">
      <w:bodyDiv w:val="1"/>
      <w:marLeft w:val="0"/>
      <w:marRight w:val="0"/>
      <w:marTop w:val="0"/>
      <w:marBottom w:val="0"/>
      <w:divBdr>
        <w:top w:val="none" w:sz="0" w:space="0" w:color="auto"/>
        <w:left w:val="none" w:sz="0" w:space="0" w:color="auto"/>
        <w:bottom w:val="none" w:sz="0" w:space="0" w:color="auto"/>
        <w:right w:val="none" w:sz="0" w:space="0" w:color="auto"/>
      </w:divBdr>
    </w:div>
    <w:div w:id="263923698">
      <w:bodyDiv w:val="1"/>
      <w:marLeft w:val="0"/>
      <w:marRight w:val="0"/>
      <w:marTop w:val="0"/>
      <w:marBottom w:val="0"/>
      <w:divBdr>
        <w:top w:val="none" w:sz="0" w:space="0" w:color="auto"/>
        <w:left w:val="none" w:sz="0" w:space="0" w:color="auto"/>
        <w:bottom w:val="none" w:sz="0" w:space="0" w:color="auto"/>
        <w:right w:val="none" w:sz="0" w:space="0" w:color="auto"/>
      </w:divBdr>
      <w:divsChild>
        <w:div w:id="452791086">
          <w:marLeft w:val="547"/>
          <w:marRight w:val="0"/>
          <w:marTop w:val="120"/>
          <w:marBottom w:val="0"/>
          <w:divBdr>
            <w:top w:val="none" w:sz="0" w:space="0" w:color="auto"/>
            <w:left w:val="none" w:sz="0" w:space="0" w:color="auto"/>
            <w:bottom w:val="none" w:sz="0" w:space="0" w:color="auto"/>
            <w:right w:val="none" w:sz="0" w:space="0" w:color="auto"/>
          </w:divBdr>
        </w:div>
        <w:div w:id="1079254849">
          <w:marLeft w:val="547"/>
          <w:marRight w:val="0"/>
          <w:marTop w:val="120"/>
          <w:marBottom w:val="0"/>
          <w:divBdr>
            <w:top w:val="none" w:sz="0" w:space="0" w:color="auto"/>
            <w:left w:val="none" w:sz="0" w:space="0" w:color="auto"/>
            <w:bottom w:val="none" w:sz="0" w:space="0" w:color="auto"/>
            <w:right w:val="none" w:sz="0" w:space="0" w:color="auto"/>
          </w:divBdr>
        </w:div>
        <w:div w:id="1206868685">
          <w:marLeft w:val="547"/>
          <w:marRight w:val="0"/>
          <w:marTop w:val="120"/>
          <w:marBottom w:val="0"/>
          <w:divBdr>
            <w:top w:val="none" w:sz="0" w:space="0" w:color="auto"/>
            <w:left w:val="none" w:sz="0" w:space="0" w:color="auto"/>
            <w:bottom w:val="none" w:sz="0" w:space="0" w:color="auto"/>
            <w:right w:val="none" w:sz="0" w:space="0" w:color="auto"/>
          </w:divBdr>
        </w:div>
        <w:div w:id="1837305765">
          <w:marLeft w:val="547"/>
          <w:marRight w:val="0"/>
          <w:marTop w:val="120"/>
          <w:marBottom w:val="0"/>
          <w:divBdr>
            <w:top w:val="none" w:sz="0" w:space="0" w:color="auto"/>
            <w:left w:val="none" w:sz="0" w:space="0" w:color="auto"/>
            <w:bottom w:val="none" w:sz="0" w:space="0" w:color="auto"/>
            <w:right w:val="none" w:sz="0" w:space="0" w:color="auto"/>
          </w:divBdr>
        </w:div>
        <w:div w:id="2115857729">
          <w:marLeft w:val="547"/>
          <w:marRight w:val="0"/>
          <w:marTop w:val="120"/>
          <w:marBottom w:val="0"/>
          <w:divBdr>
            <w:top w:val="none" w:sz="0" w:space="0" w:color="auto"/>
            <w:left w:val="none" w:sz="0" w:space="0" w:color="auto"/>
            <w:bottom w:val="none" w:sz="0" w:space="0" w:color="auto"/>
            <w:right w:val="none" w:sz="0" w:space="0" w:color="auto"/>
          </w:divBdr>
        </w:div>
      </w:divsChild>
    </w:div>
    <w:div w:id="301859266">
      <w:bodyDiv w:val="1"/>
      <w:marLeft w:val="0"/>
      <w:marRight w:val="0"/>
      <w:marTop w:val="0"/>
      <w:marBottom w:val="0"/>
      <w:divBdr>
        <w:top w:val="none" w:sz="0" w:space="0" w:color="auto"/>
        <w:left w:val="none" w:sz="0" w:space="0" w:color="auto"/>
        <w:bottom w:val="none" w:sz="0" w:space="0" w:color="auto"/>
        <w:right w:val="none" w:sz="0" w:space="0" w:color="auto"/>
      </w:divBdr>
    </w:div>
    <w:div w:id="361712981">
      <w:bodyDiv w:val="1"/>
      <w:marLeft w:val="0"/>
      <w:marRight w:val="0"/>
      <w:marTop w:val="0"/>
      <w:marBottom w:val="0"/>
      <w:divBdr>
        <w:top w:val="none" w:sz="0" w:space="0" w:color="auto"/>
        <w:left w:val="none" w:sz="0" w:space="0" w:color="auto"/>
        <w:bottom w:val="none" w:sz="0" w:space="0" w:color="auto"/>
        <w:right w:val="none" w:sz="0" w:space="0" w:color="auto"/>
      </w:divBdr>
      <w:divsChild>
        <w:div w:id="465516133">
          <w:marLeft w:val="547"/>
          <w:marRight w:val="0"/>
          <w:marTop w:val="106"/>
          <w:marBottom w:val="240"/>
          <w:divBdr>
            <w:top w:val="none" w:sz="0" w:space="0" w:color="auto"/>
            <w:left w:val="none" w:sz="0" w:space="0" w:color="auto"/>
            <w:bottom w:val="none" w:sz="0" w:space="0" w:color="auto"/>
            <w:right w:val="none" w:sz="0" w:space="0" w:color="auto"/>
          </w:divBdr>
        </w:div>
        <w:div w:id="1785221980">
          <w:marLeft w:val="547"/>
          <w:marRight w:val="0"/>
          <w:marTop w:val="106"/>
          <w:marBottom w:val="240"/>
          <w:divBdr>
            <w:top w:val="none" w:sz="0" w:space="0" w:color="auto"/>
            <w:left w:val="none" w:sz="0" w:space="0" w:color="auto"/>
            <w:bottom w:val="none" w:sz="0" w:space="0" w:color="auto"/>
            <w:right w:val="none" w:sz="0" w:space="0" w:color="auto"/>
          </w:divBdr>
        </w:div>
      </w:divsChild>
    </w:div>
    <w:div w:id="379941526">
      <w:bodyDiv w:val="1"/>
      <w:marLeft w:val="0"/>
      <w:marRight w:val="0"/>
      <w:marTop w:val="0"/>
      <w:marBottom w:val="0"/>
      <w:divBdr>
        <w:top w:val="none" w:sz="0" w:space="0" w:color="auto"/>
        <w:left w:val="none" w:sz="0" w:space="0" w:color="auto"/>
        <w:bottom w:val="none" w:sz="0" w:space="0" w:color="auto"/>
        <w:right w:val="none" w:sz="0" w:space="0" w:color="auto"/>
      </w:divBdr>
      <w:divsChild>
        <w:div w:id="1788229640">
          <w:marLeft w:val="504"/>
          <w:marRight w:val="0"/>
          <w:marTop w:val="140"/>
          <w:marBottom w:val="0"/>
          <w:divBdr>
            <w:top w:val="none" w:sz="0" w:space="0" w:color="auto"/>
            <w:left w:val="none" w:sz="0" w:space="0" w:color="auto"/>
            <w:bottom w:val="none" w:sz="0" w:space="0" w:color="auto"/>
            <w:right w:val="none" w:sz="0" w:space="0" w:color="auto"/>
          </w:divBdr>
        </w:div>
      </w:divsChild>
    </w:div>
    <w:div w:id="435709216">
      <w:bodyDiv w:val="1"/>
      <w:marLeft w:val="0"/>
      <w:marRight w:val="0"/>
      <w:marTop w:val="0"/>
      <w:marBottom w:val="0"/>
      <w:divBdr>
        <w:top w:val="none" w:sz="0" w:space="0" w:color="auto"/>
        <w:left w:val="none" w:sz="0" w:space="0" w:color="auto"/>
        <w:bottom w:val="none" w:sz="0" w:space="0" w:color="auto"/>
        <w:right w:val="none" w:sz="0" w:space="0" w:color="auto"/>
      </w:divBdr>
    </w:div>
    <w:div w:id="441612015">
      <w:bodyDiv w:val="1"/>
      <w:marLeft w:val="0"/>
      <w:marRight w:val="0"/>
      <w:marTop w:val="0"/>
      <w:marBottom w:val="0"/>
      <w:divBdr>
        <w:top w:val="none" w:sz="0" w:space="0" w:color="auto"/>
        <w:left w:val="none" w:sz="0" w:space="0" w:color="auto"/>
        <w:bottom w:val="none" w:sz="0" w:space="0" w:color="auto"/>
        <w:right w:val="none" w:sz="0" w:space="0" w:color="auto"/>
      </w:divBdr>
    </w:div>
    <w:div w:id="443160793">
      <w:bodyDiv w:val="1"/>
      <w:marLeft w:val="0"/>
      <w:marRight w:val="0"/>
      <w:marTop w:val="0"/>
      <w:marBottom w:val="0"/>
      <w:divBdr>
        <w:top w:val="none" w:sz="0" w:space="0" w:color="auto"/>
        <w:left w:val="none" w:sz="0" w:space="0" w:color="auto"/>
        <w:bottom w:val="none" w:sz="0" w:space="0" w:color="auto"/>
        <w:right w:val="none" w:sz="0" w:space="0" w:color="auto"/>
      </w:divBdr>
      <w:divsChild>
        <w:div w:id="1030037343">
          <w:marLeft w:val="432"/>
          <w:marRight w:val="0"/>
          <w:marTop w:val="240"/>
          <w:marBottom w:val="0"/>
          <w:divBdr>
            <w:top w:val="none" w:sz="0" w:space="0" w:color="auto"/>
            <w:left w:val="none" w:sz="0" w:space="0" w:color="auto"/>
            <w:bottom w:val="none" w:sz="0" w:space="0" w:color="auto"/>
            <w:right w:val="none" w:sz="0" w:space="0" w:color="auto"/>
          </w:divBdr>
        </w:div>
        <w:div w:id="1031957632">
          <w:marLeft w:val="432"/>
          <w:marRight w:val="0"/>
          <w:marTop w:val="240"/>
          <w:marBottom w:val="0"/>
          <w:divBdr>
            <w:top w:val="none" w:sz="0" w:space="0" w:color="auto"/>
            <w:left w:val="none" w:sz="0" w:space="0" w:color="auto"/>
            <w:bottom w:val="none" w:sz="0" w:space="0" w:color="auto"/>
            <w:right w:val="none" w:sz="0" w:space="0" w:color="auto"/>
          </w:divBdr>
        </w:div>
        <w:div w:id="1125006348">
          <w:marLeft w:val="432"/>
          <w:marRight w:val="0"/>
          <w:marTop w:val="96"/>
          <w:marBottom w:val="0"/>
          <w:divBdr>
            <w:top w:val="none" w:sz="0" w:space="0" w:color="auto"/>
            <w:left w:val="none" w:sz="0" w:space="0" w:color="auto"/>
            <w:bottom w:val="none" w:sz="0" w:space="0" w:color="auto"/>
            <w:right w:val="none" w:sz="0" w:space="0" w:color="auto"/>
          </w:divBdr>
        </w:div>
      </w:divsChild>
    </w:div>
    <w:div w:id="514733381">
      <w:bodyDiv w:val="1"/>
      <w:marLeft w:val="0"/>
      <w:marRight w:val="0"/>
      <w:marTop w:val="0"/>
      <w:marBottom w:val="0"/>
      <w:divBdr>
        <w:top w:val="none" w:sz="0" w:space="0" w:color="auto"/>
        <w:left w:val="none" w:sz="0" w:space="0" w:color="auto"/>
        <w:bottom w:val="none" w:sz="0" w:space="0" w:color="auto"/>
        <w:right w:val="none" w:sz="0" w:space="0" w:color="auto"/>
      </w:divBdr>
    </w:div>
    <w:div w:id="563301158">
      <w:bodyDiv w:val="1"/>
      <w:marLeft w:val="0"/>
      <w:marRight w:val="0"/>
      <w:marTop w:val="0"/>
      <w:marBottom w:val="0"/>
      <w:divBdr>
        <w:top w:val="none" w:sz="0" w:space="0" w:color="auto"/>
        <w:left w:val="none" w:sz="0" w:space="0" w:color="auto"/>
        <w:bottom w:val="none" w:sz="0" w:space="0" w:color="auto"/>
        <w:right w:val="none" w:sz="0" w:space="0" w:color="auto"/>
      </w:divBdr>
    </w:div>
    <w:div w:id="566965081">
      <w:bodyDiv w:val="1"/>
      <w:marLeft w:val="0"/>
      <w:marRight w:val="0"/>
      <w:marTop w:val="0"/>
      <w:marBottom w:val="0"/>
      <w:divBdr>
        <w:top w:val="none" w:sz="0" w:space="0" w:color="auto"/>
        <w:left w:val="none" w:sz="0" w:space="0" w:color="auto"/>
        <w:bottom w:val="none" w:sz="0" w:space="0" w:color="auto"/>
        <w:right w:val="none" w:sz="0" w:space="0" w:color="auto"/>
      </w:divBdr>
      <w:divsChild>
        <w:div w:id="462887215">
          <w:marLeft w:val="547"/>
          <w:marRight w:val="0"/>
          <w:marTop w:val="115"/>
          <w:marBottom w:val="0"/>
          <w:divBdr>
            <w:top w:val="none" w:sz="0" w:space="0" w:color="auto"/>
            <w:left w:val="none" w:sz="0" w:space="0" w:color="auto"/>
            <w:bottom w:val="none" w:sz="0" w:space="0" w:color="auto"/>
            <w:right w:val="none" w:sz="0" w:space="0" w:color="auto"/>
          </w:divBdr>
        </w:div>
        <w:div w:id="472021605">
          <w:marLeft w:val="547"/>
          <w:marRight w:val="0"/>
          <w:marTop w:val="115"/>
          <w:marBottom w:val="0"/>
          <w:divBdr>
            <w:top w:val="none" w:sz="0" w:space="0" w:color="auto"/>
            <w:left w:val="none" w:sz="0" w:space="0" w:color="auto"/>
            <w:bottom w:val="none" w:sz="0" w:space="0" w:color="auto"/>
            <w:right w:val="none" w:sz="0" w:space="0" w:color="auto"/>
          </w:divBdr>
        </w:div>
        <w:div w:id="1227423891">
          <w:marLeft w:val="547"/>
          <w:marRight w:val="0"/>
          <w:marTop w:val="115"/>
          <w:marBottom w:val="0"/>
          <w:divBdr>
            <w:top w:val="none" w:sz="0" w:space="0" w:color="auto"/>
            <w:left w:val="none" w:sz="0" w:space="0" w:color="auto"/>
            <w:bottom w:val="none" w:sz="0" w:space="0" w:color="auto"/>
            <w:right w:val="none" w:sz="0" w:space="0" w:color="auto"/>
          </w:divBdr>
        </w:div>
        <w:div w:id="2126458852">
          <w:marLeft w:val="547"/>
          <w:marRight w:val="0"/>
          <w:marTop w:val="115"/>
          <w:marBottom w:val="0"/>
          <w:divBdr>
            <w:top w:val="none" w:sz="0" w:space="0" w:color="auto"/>
            <w:left w:val="none" w:sz="0" w:space="0" w:color="auto"/>
            <w:bottom w:val="none" w:sz="0" w:space="0" w:color="auto"/>
            <w:right w:val="none" w:sz="0" w:space="0" w:color="auto"/>
          </w:divBdr>
        </w:div>
      </w:divsChild>
    </w:div>
    <w:div w:id="583493876">
      <w:bodyDiv w:val="1"/>
      <w:marLeft w:val="0"/>
      <w:marRight w:val="0"/>
      <w:marTop w:val="0"/>
      <w:marBottom w:val="0"/>
      <w:divBdr>
        <w:top w:val="none" w:sz="0" w:space="0" w:color="auto"/>
        <w:left w:val="none" w:sz="0" w:space="0" w:color="auto"/>
        <w:bottom w:val="none" w:sz="0" w:space="0" w:color="auto"/>
        <w:right w:val="none" w:sz="0" w:space="0" w:color="auto"/>
      </w:divBdr>
      <w:divsChild>
        <w:div w:id="1053895540">
          <w:marLeft w:val="0"/>
          <w:marRight w:val="0"/>
          <w:marTop w:val="0"/>
          <w:marBottom w:val="0"/>
          <w:divBdr>
            <w:top w:val="none" w:sz="0" w:space="0" w:color="auto"/>
            <w:left w:val="none" w:sz="0" w:space="0" w:color="auto"/>
            <w:bottom w:val="none" w:sz="0" w:space="0" w:color="auto"/>
            <w:right w:val="none" w:sz="0" w:space="0" w:color="auto"/>
          </w:divBdr>
          <w:divsChild>
            <w:div w:id="1164393041">
              <w:marLeft w:val="0"/>
              <w:marRight w:val="0"/>
              <w:marTop w:val="153"/>
              <w:marBottom w:val="153"/>
              <w:divBdr>
                <w:top w:val="none" w:sz="0" w:space="0" w:color="auto"/>
                <w:left w:val="none" w:sz="0" w:space="0" w:color="auto"/>
                <w:bottom w:val="none" w:sz="0" w:space="0" w:color="auto"/>
                <w:right w:val="none" w:sz="0" w:space="0" w:color="auto"/>
              </w:divBdr>
              <w:divsChild>
                <w:div w:id="1727339240">
                  <w:marLeft w:val="0"/>
                  <w:marRight w:val="0"/>
                  <w:marTop w:val="0"/>
                  <w:marBottom w:val="0"/>
                  <w:divBdr>
                    <w:top w:val="none" w:sz="0" w:space="0" w:color="auto"/>
                    <w:left w:val="none" w:sz="0" w:space="0" w:color="auto"/>
                    <w:bottom w:val="none" w:sz="0" w:space="0" w:color="auto"/>
                    <w:right w:val="none" w:sz="0" w:space="0" w:color="auto"/>
                  </w:divBdr>
                  <w:divsChild>
                    <w:div w:id="289015534">
                      <w:marLeft w:val="0"/>
                      <w:marRight w:val="0"/>
                      <w:marTop w:val="0"/>
                      <w:marBottom w:val="0"/>
                      <w:divBdr>
                        <w:top w:val="none" w:sz="0" w:space="0" w:color="auto"/>
                        <w:left w:val="none" w:sz="0" w:space="0" w:color="auto"/>
                        <w:bottom w:val="none" w:sz="0" w:space="0" w:color="auto"/>
                        <w:right w:val="none" w:sz="0" w:space="0" w:color="auto"/>
                      </w:divBdr>
                      <w:divsChild>
                        <w:div w:id="1381978502">
                          <w:marLeft w:val="0"/>
                          <w:marRight w:val="0"/>
                          <w:marTop w:val="0"/>
                          <w:marBottom w:val="0"/>
                          <w:divBdr>
                            <w:top w:val="none" w:sz="0" w:space="0" w:color="auto"/>
                            <w:left w:val="none" w:sz="0" w:space="0" w:color="auto"/>
                            <w:bottom w:val="none" w:sz="0" w:space="0" w:color="auto"/>
                            <w:right w:val="none" w:sz="0" w:space="0" w:color="auto"/>
                          </w:divBdr>
                          <w:divsChild>
                            <w:div w:id="159581974">
                              <w:marLeft w:val="0"/>
                              <w:marRight w:val="0"/>
                              <w:marTop w:val="0"/>
                              <w:marBottom w:val="0"/>
                              <w:divBdr>
                                <w:top w:val="none" w:sz="0" w:space="0" w:color="auto"/>
                                <w:left w:val="none" w:sz="0" w:space="0" w:color="auto"/>
                                <w:bottom w:val="none" w:sz="0" w:space="0" w:color="auto"/>
                                <w:right w:val="none" w:sz="0" w:space="0" w:color="auto"/>
                              </w:divBdr>
                              <w:divsChild>
                                <w:div w:id="1010177933">
                                  <w:marLeft w:val="0"/>
                                  <w:marRight w:val="0"/>
                                  <w:marTop w:val="0"/>
                                  <w:marBottom w:val="0"/>
                                  <w:divBdr>
                                    <w:top w:val="none" w:sz="0" w:space="0" w:color="auto"/>
                                    <w:left w:val="none" w:sz="0" w:space="0" w:color="auto"/>
                                    <w:bottom w:val="none" w:sz="0" w:space="0" w:color="auto"/>
                                    <w:right w:val="none" w:sz="0" w:space="0" w:color="auto"/>
                                  </w:divBdr>
                                  <w:divsChild>
                                    <w:div w:id="4528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239435">
      <w:bodyDiv w:val="1"/>
      <w:marLeft w:val="0"/>
      <w:marRight w:val="0"/>
      <w:marTop w:val="0"/>
      <w:marBottom w:val="0"/>
      <w:divBdr>
        <w:top w:val="none" w:sz="0" w:space="0" w:color="auto"/>
        <w:left w:val="none" w:sz="0" w:space="0" w:color="auto"/>
        <w:bottom w:val="none" w:sz="0" w:space="0" w:color="auto"/>
        <w:right w:val="none" w:sz="0" w:space="0" w:color="auto"/>
      </w:divBdr>
    </w:div>
    <w:div w:id="645857919">
      <w:bodyDiv w:val="1"/>
      <w:marLeft w:val="0"/>
      <w:marRight w:val="0"/>
      <w:marTop w:val="0"/>
      <w:marBottom w:val="0"/>
      <w:divBdr>
        <w:top w:val="none" w:sz="0" w:space="0" w:color="auto"/>
        <w:left w:val="none" w:sz="0" w:space="0" w:color="auto"/>
        <w:bottom w:val="none" w:sz="0" w:space="0" w:color="auto"/>
        <w:right w:val="none" w:sz="0" w:space="0" w:color="auto"/>
      </w:divBdr>
      <w:divsChild>
        <w:div w:id="1398210606">
          <w:marLeft w:val="547"/>
          <w:marRight w:val="0"/>
          <w:marTop w:val="134"/>
          <w:marBottom w:val="0"/>
          <w:divBdr>
            <w:top w:val="none" w:sz="0" w:space="0" w:color="auto"/>
            <w:left w:val="none" w:sz="0" w:space="0" w:color="auto"/>
            <w:bottom w:val="none" w:sz="0" w:space="0" w:color="auto"/>
            <w:right w:val="none" w:sz="0" w:space="0" w:color="auto"/>
          </w:divBdr>
        </w:div>
        <w:div w:id="1674381657">
          <w:marLeft w:val="547"/>
          <w:marRight w:val="0"/>
          <w:marTop w:val="134"/>
          <w:marBottom w:val="0"/>
          <w:divBdr>
            <w:top w:val="none" w:sz="0" w:space="0" w:color="auto"/>
            <w:left w:val="none" w:sz="0" w:space="0" w:color="auto"/>
            <w:bottom w:val="none" w:sz="0" w:space="0" w:color="auto"/>
            <w:right w:val="none" w:sz="0" w:space="0" w:color="auto"/>
          </w:divBdr>
        </w:div>
      </w:divsChild>
    </w:div>
    <w:div w:id="682896742">
      <w:bodyDiv w:val="1"/>
      <w:marLeft w:val="0"/>
      <w:marRight w:val="0"/>
      <w:marTop w:val="0"/>
      <w:marBottom w:val="0"/>
      <w:divBdr>
        <w:top w:val="none" w:sz="0" w:space="0" w:color="auto"/>
        <w:left w:val="none" w:sz="0" w:space="0" w:color="auto"/>
        <w:bottom w:val="none" w:sz="0" w:space="0" w:color="auto"/>
        <w:right w:val="none" w:sz="0" w:space="0" w:color="auto"/>
      </w:divBdr>
    </w:div>
    <w:div w:id="714425488">
      <w:bodyDiv w:val="1"/>
      <w:marLeft w:val="0"/>
      <w:marRight w:val="0"/>
      <w:marTop w:val="0"/>
      <w:marBottom w:val="0"/>
      <w:divBdr>
        <w:top w:val="none" w:sz="0" w:space="0" w:color="auto"/>
        <w:left w:val="none" w:sz="0" w:space="0" w:color="auto"/>
        <w:bottom w:val="none" w:sz="0" w:space="0" w:color="auto"/>
        <w:right w:val="none" w:sz="0" w:space="0" w:color="auto"/>
      </w:divBdr>
    </w:div>
    <w:div w:id="770126717">
      <w:bodyDiv w:val="1"/>
      <w:marLeft w:val="0"/>
      <w:marRight w:val="0"/>
      <w:marTop w:val="0"/>
      <w:marBottom w:val="0"/>
      <w:divBdr>
        <w:top w:val="none" w:sz="0" w:space="0" w:color="auto"/>
        <w:left w:val="none" w:sz="0" w:space="0" w:color="auto"/>
        <w:bottom w:val="none" w:sz="0" w:space="0" w:color="auto"/>
        <w:right w:val="none" w:sz="0" w:space="0" w:color="auto"/>
      </w:divBdr>
      <w:divsChild>
        <w:div w:id="414017831">
          <w:marLeft w:val="1267"/>
          <w:marRight w:val="0"/>
          <w:marTop w:val="77"/>
          <w:marBottom w:val="0"/>
          <w:divBdr>
            <w:top w:val="none" w:sz="0" w:space="0" w:color="auto"/>
            <w:left w:val="none" w:sz="0" w:space="0" w:color="auto"/>
            <w:bottom w:val="none" w:sz="0" w:space="0" w:color="auto"/>
            <w:right w:val="none" w:sz="0" w:space="0" w:color="auto"/>
          </w:divBdr>
        </w:div>
        <w:div w:id="435446337">
          <w:marLeft w:val="0"/>
          <w:marRight w:val="0"/>
          <w:marTop w:val="96"/>
          <w:marBottom w:val="0"/>
          <w:divBdr>
            <w:top w:val="none" w:sz="0" w:space="0" w:color="auto"/>
            <w:left w:val="none" w:sz="0" w:space="0" w:color="auto"/>
            <w:bottom w:val="none" w:sz="0" w:space="0" w:color="auto"/>
            <w:right w:val="none" w:sz="0" w:space="0" w:color="auto"/>
          </w:divBdr>
        </w:div>
        <w:div w:id="462501098">
          <w:marLeft w:val="634"/>
          <w:marRight w:val="0"/>
          <w:marTop w:val="360"/>
          <w:marBottom w:val="0"/>
          <w:divBdr>
            <w:top w:val="none" w:sz="0" w:space="0" w:color="auto"/>
            <w:left w:val="none" w:sz="0" w:space="0" w:color="auto"/>
            <w:bottom w:val="none" w:sz="0" w:space="0" w:color="auto"/>
            <w:right w:val="none" w:sz="0" w:space="0" w:color="auto"/>
          </w:divBdr>
        </w:div>
        <w:div w:id="658965689">
          <w:marLeft w:val="1267"/>
          <w:marRight w:val="0"/>
          <w:marTop w:val="77"/>
          <w:marBottom w:val="0"/>
          <w:divBdr>
            <w:top w:val="none" w:sz="0" w:space="0" w:color="auto"/>
            <w:left w:val="none" w:sz="0" w:space="0" w:color="auto"/>
            <w:bottom w:val="none" w:sz="0" w:space="0" w:color="auto"/>
            <w:right w:val="none" w:sz="0" w:space="0" w:color="auto"/>
          </w:divBdr>
        </w:div>
        <w:div w:id="863909044">
          <w:marLeft w:val="1267"/>
          <w:marRight w:val="0"/>
          <w:marTop w:val="77"/>
          <w:marBottom w:val="0"/>
          <w:divBdr>
            <w:top w:val="none" w:sz="0" w:space="0" w:color="auto"/>
            <w:left w:val="none" w:sz="0" w:space="0" w:color="auto"/>
            <w:bottom w:val="none" w:sz="0" w:space="0" w:color="auto"/>
            <w:right w:val="none" w:sz="0" w:space="0" w:color="auto"/>
          </w:divBdr>
        </w:div>
        <w:div w:id="911348970">
          <w:marLeft w:val="1987"/>
          <w:marRight w:val="0"/>
          <w:marTop w:val="77"/>
          <w:marBottom w:val="0"/>
          <w:divBdr>
            <w:top w:val="none" w:sz="0" w:space="0" w:color="auto"/>
            <w:left w:val="none" w:sz="0" w:space="0" w:color="auto"/>
            <w:bottom w:val="none" w:sz="0" w:space="0" w:color="auto"/>
            <w:right w:val="none" w:sz="0" w:space="0" w:color="auto"/>
          </w:divBdr>
        </w:div>
        <w:div w:id="1130588094">
          <w:marLeft w:val="1267"/>
          <w:marRight w:val="0"/>
          <w:marTop w:val="77"/>
          <w:marBottom w:val="0"/>
          <w:divBdr>
            <w:top w:val="none" w:sz="0" w:space="0" w:color="auto"/>
            <w:left w:val="none" w:sz="0" w:space="0" w:color="auto"/>
            <w:bottom w:val="none" w:sz="0" w:space="0" w:color="auto"/>
            <w:right w:val="none" w:sz="0" w:space="0" w:color="auto"/>
          </w:divBdr>
        </w:div>
        <w:div w:id="1131093783">
          <w:marLeft w:val="1267"/>
          <w:marRight w:val="0"/>
          <w:marTop w:val="77"/>
          <w:marBottom w:val="0"/>
          <w:divBdr>
            <w:top w:val="none" w:sz="0" w:space="0" w:color="auto"/>
            <w:left w:val="none" w:sz="0" w:space="0" w:color="auto"/>
            <w:bottom w:val="none" w:sz="0" w:space="0" w:color="auto"/>
            <w:right w:val="none" w:sz="0" w:space="0" w:color="auto"/>
          </w:divBdr>
        </w:div>
        <w:div w:id="1442528987">
          <w:marLeft w:val="1987"/>
          <w:marRight w:val="0"/>
          <w:marTop w:val="77"/>
          <w:marBottom w:val="0"/>
          <w:divBdr>
            <w:top w:val="none" w:sz="0" w:space="0" w:color="auto"/>
            <w:left w:val="none" w:sz="0" w:space="0" w:color="auto"/>
            <w:bottom w:val="none" w:sz="0" w:space="0" w:color="auto"/>
            <w:right w:val="none" w:sz="0" w:space="0" w:color="auto"/>
          </w:divBdr>
        </w:div>
        <w:div w:id="1495141111">
          <w:marLeft w:val="1267"/>
          <w:marRight w:val="0"/>
          <w:marTop w:val="77"/>
          <w:marBottom w:val="0"/>
          <w:divBdr>
            <w:top w:val="none" w:sz="0" w:space="0" w:color="auto"/>
            <w:left w:val="none" w:sz="0" w:space="0" w:color="auto"/>
            <w:bottom w:val="none" w:sz="0" w:space="0" w:color="auto"/>
            <w:right w:val="none" w:sz="0" w:space="0" w:color="auto"/>
          </w:divBdr>
        </w:div>
        <w:div w:id="1819414180">
          <w:marLeft w:val="634"/>
          <w:marRight w:val="0"/>
          <w:marTop w:val="86"/>
          <w:marBottom w:val="0"/>
          <w:divBdr>
            <w:top w:val="none" w:sz="0" w:space="0" w:color="auto"/>
            <w:left w:val="none" w:sz="0" w:space="0" w:color="auto"/>
            <w:bottom w:val="none" w:sz="0" w:space="0" w:color="auto"/>
            <w:right w:val="none" w:sz="0" w:space="0" w:color="auto"/>
          </w:divBdr>
        </w:div>
        <w:div w:id="1856797830">
          <w:marLeft w:val="634"/>
          <w:marRight w:val="0"/>
          <w:marTop w:val="360"/>
          <w:marBottom w:val="0"/>
          <w:divBdr>
            <w:top w:val="none" w:sz="0" w:space="0" w:color="auto"/>
            <w:left w:val="none" w:sz="0" w:space="0" w:color="auto"/>
            <w:bottom w:val="none" w:sz="0" w:space="0" w:color="auto"/>
            <w:right w:val="none" w:sz="0" w:space="0" w:color="auto"/>
          </w:divBdr>
        </w:div>
        <w:div w:id="1869027222">
          <w:marLeft w:val="1267"/>
          <w:marRight w:val="0"/>
          <w:marTop w:val="77"/>
          <w:marBottom w:val="0"/>
          <w:divBdr>
            <w:top w:val="none" w:sz="0" w:space="0" w:color="auto"/>
            <w:left w:val="none" w:sz="0" w:space="0" w:color="auto"/>
            <w:bottom w:val="none" w:sz="0" w:space="0" w:color="auto"/>
            <w:right w:val="none" w:sz="0" w:space="0" w:color="auto"/>
          </w:divBdr>
        </w:div>
        <w:div w:id="2028943689">
          <w:marLeft w:val="1987"/>
          <w:marRight w:val="0"/>
          <w:marTop w:val="77"/>
          <w:marBottom w:val="0"/>
          <w:divBdr>
            <w:top w:val="none" w:sz="0" w:space="0" w:color="auto"/>
            <w:left w:val="none" w:sz="0" w:space="0" w:color="auto"/>
            <w:bottom w:val="none" w:sz="0" w:space="0" w:color="auto"/>
            <w:right w:val="none" w:sz="0" w:space="0" w:color="auto"/>
          </w:divBdr>
        </w:div>
      </w:divsChild>
    </w:div>
    <w:div w:id="775444191">
      <w:bodyDiv w:val="1"/>
      <w:marLeft w:val="0"/>
      <w:marRight w:val="0"/>
      <w:marTop w:val="0"/>
      <w:marBottom w:val="0"/>
      <w:divBdr>
        <w:top w:val="none" w:sz="0" w:space="0" w:color="auto"/>
        <w:left w:val="none" w:sz="0" w:space="0" w:color="auto"/>
        <w:bottom w:val="none" w:sz="0" w:space="0" w:color="auto"/>
        <w:right w:val="none" w:sz="0" w:space="0" w:color="auto"/>
      </w:divBdr>
      <w:divsChild>
        <w:div w:id="1353266781">
          <w:marLeft w:val="0"/>
          <w:marRight w:val="0"/>
          <w:marTop w:val="0"/>
          <w:marBottom w:val="0"/>
          <w:divBdr>
            <w:top w:val="none" w:sz="0" w:space="0" w:color="auto"/>
            <w:left w:val="none" w:sz="0" w:space="0" w:color="auto"/>
            <w:bottom w:val="none" w:sz="0" w:space="0" w:color="auto"/>
            <w:right w:val="none" w:sz="0" w:space="0" w:color="auto"/>
          </w:divBdr>
          <w:divsChild>
            <w:div w:id="663629095">
              <w:marLeft w:val="0"/>
              <w:marRight w:val="0"/>
              <w:marTop w:val="0"/>
              <w:marBottom w:val="0"/>
              <w:divBdr>
                <w:top w:val="none" w:sz="0" w:space="0" w:color="auto"/>
                <w:left w:val="none" w:sz="0" w:space="0" w:color="auto"/>
                <w:bottom w:val="none" w:sz="0" w:space="0" w:color="auto"/>
                <w:right w:val="none" w:sz="0" w:space="0" w:color="auto"/>
              </w:divBdr>
              <w:divsChild>
                <w:div w:id="570120716">
                  <w:marLeft w:val="0"/>
                  <w:marRight w:val="0"/>
                  <w:marTop w:val="0"/>
                  <w:marBottom w:val="0"/>
                  <w:divBdr>
                    <w:top w:val="none" w:sz="0" w:space="0" w:color="auto"/>
                    <w:left w:val="none" w:sz="0" w:space="0" w:color="auto"/>
                    <w:bottom w:val="none" w:sz="0" w:space="0" w:color="auto"/>
                    <w:right w:val="none" w:sz="0" w:space="0" w:color="auto"/>
                  </w:divBdr>
                  <w:divsChild>
                    <w:div w:id="1990288031">
                      <w:marLeft w:val="0"/>
                      <w:marRight w:val="0"/>
                      <w:marTop w:val="0"/>
                      <w:marBottom w:val="0"/>
                      <w:divBdr>
                        <w:top w:val="none" w:sz="0" w:space="0" w:color="auto"/>
                        <w:left w:val="none" w:sz="0" w:space="0" w:color="auto"/>
                        <w:bottom w:val="none" w:sz="0" w:space="0" w:color="auto"/>
                        <w:right w:val="none" w:sz="0" w:space="0" w:color="auto"/>
                      </w:divBdr>
                      <w:divsChild>
                        <w:div w:id="1967076355">
                          <w:marLeft w:val="0"/>
                          <w:marRight w:val="0"/>
                          <w:marTop w:val="0"/>
                          <w:marBottom w:val="0"/>
                          <w:divBdr>
                            <w:top w:val="none" w:sz="0" w:space="0" w:color="auto"/>
                            <w:left w:val="none" w:sz="0" w:space="0" w:color="auto"/>
                            <w:bottom w:val="none" w:sz="0" w:space="0" w:color="auto"/>
                            <w:right w:val="none" w:sz="0" w:space="0" w:color="auto"/>
                          </w:divBdr>
                          <w:divsChild>
                            <w:div w:id="996299117">
                              <w:marLeft w:val="0"/>
                              <w:marRight w:val="0"/>
                              <w:marTop w:val="0"/>
                              <w:marBottom w:val="0"/>
                              <w:divBdr>
                                <w:top w:val="none" w:sz="0" w:space="0" w:color="auto"/>
                                <w:left w:val="none" w:sz="0" w:space="0" w:color="auto"/>
                                <w:bottom w:val="none" w:sz="0" w:space="0" w:color="auto"/>
                                <w:right w:val="none" w:sz="0" w:space="0" w:color="auto"/>
                              </w:divBdr>
                              <w:divsChild>
                                <w:div w:id="1468160478">
                                  <w:marLeft w:val="0"/>
                                  <w:marRight w:val="0"/>
                                  <w:marTop w:val="0"/>
                                  <w:marBottom w:val="0"/>
                                  <w:divBdr>
                                    <w:top w:val="none" w:sz="0" w:space="0" w:color="auto"/>
                                    <w:left w:val="none" w:sz="0" w:space="0" w:color="auto"/>
                                    <w:bottom w:val="none" w:sz="0" w:space="0" w:color="auto"/>
                                    <w:right w:val="none" w:sz="0" w:space="0" w:color="auto"/>
                                  </w:divBdr>
                                  <w:divsChild>
                                    <w:div w:id="1902400950">
                                      <w:marLeft w:val="0"/>
                                      <w:marRight w:val="0"/>
                                      <w:marTop w:val="0"/>
                                      <w:marBottom w:val="0"/>
                                      <w:divBdr>
                                        <w:top w:val="none" w:sz="0" w:space="0" w:color="auto"/>
                                        <w:left w:val="none" w:sz="0" w:space="0" w:color="auto"/>
                                        <w:bottom w:val="none" w:sz="0" w:space="0" w:color="auto"/>
                                        <w:right w:val="none" w:sz="0" w:space="0" w:color="auto"/>
                                      </w:divBdr>
                                      <w:divsChild>
                                        <w:div w:id="813373328">
                                          <w:marLeft w:val="0"/>
                                          <w:marRight w:val="0"/>
                                          <w:marTop w:val="0"/>
                                          <w:marBottom w:val="0"/>
                                          <w:divBdr>
                                            <w:top w:val="none" w:sz="0" w:space="0" w:color="auto"/>
                                            <w:left w:val="none" w:sz="0" w:space="0" w:color="auto"/>
                                            <w:bottom w:val="none" w:sz="0" w:space="0" w:color="auto"/>
                                            <w:right w:val="none" w:sz="0" w:space="0" w:color="auto"/>
                                          </w:divBdr>
                                          <w:divsChild>
                                            <w:div w:id="119383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5515261">
      <w:bodyDiv w:val="1"/>
      <w:marLeft w:val="0"/>
      <w:marRight w:val="0"/>
      <w:marTop w:val="0"/>
      <w:marBottom w:val="0"/>
      <w:divBdr>
        <w:top w:val="none" w:sz="0" w:space="0" w:color="auto"/>
        <w:left w:val="none" w:sz="0" w:space="0" w:color="auto"/>
        <w:bottom w:val="none" w:sz="0" w:space="0" w:color="auto"/>
        <w:right w:val="none" w:sz="0" w:space="0" w:color="auto"/>
      </w:divBdr>
    </w:div>
    <w:div w:id="787354404">
      <w:bodyDiv w:val="1"/>
      <w:marLeft w:val="0"/>
      <w:marRight w:val="0"/>
      <w:marTop w:val="0"/>
      <w:marBottom w:val="0"/>
      <w:divBdr>
        <w:top w:val="none" w:sz="0" w:space="0" w:color="auto"/>
        <w:left w:val="none" w:sz="0" w:space="0" w:color="auto"/>
        <w:bottom w:val="none" w:sz="0" w:space="0" w:color="auto"/>
        <w:right w:val="none" w:sz="0" w:space="0" w:color="auto"/>
      </w:divBdr>
    </w:div>
    <w:div w:id="791900369">
      <w:bodyDiv w:val="1"/>
      <w:marLeft w:val="0"/>
      <w:marRight w:val="0"/>
      <w:marTop w:val="0"/>
      <w:marBottom w:val="0"/>
      <w:divBdr>
        <w:top w:val="none" w:sz="0" w:space="0" w:color="auto"/>
        <w:left w:val="none" w:sz="0" w:space="0" w:color="auto"/>
        <w:bottom w:val="none" w:sz="0" w:space="0" w:color="auto"/>
        <w:right w:val="none" w:sz="0" w:space="0" w:color="auto"/>
      </w:divBdr>
    </w:div>
    <w:div w:id="804853996">
      <w:bodyDiv w:val="1"/>
      <w:marLeft w:val="0"/>
      <w:marRight w:val="0"/>
      <w:marTop w:val="0"/>
      <w:marBottom w:val="0"/>
      <w:divBdr>
        <w:top w:val="none" w:sz="0" w:space="0" w:color="auto"/>
        <w:left w:val="none" w:sz="0" w:space="0" w:color="auto"/>
        <w:bottom w:val="none" w:sz="0" w:space="0" w:color="auto"/>
        <w:right w:val="none" w:sz="0" w:space="0" w:color="auto"/>
      </w:divBdr>
      <w:divsChild>
        <w:div w:id="1492328538">
          <w:marLeft w:val="432"/>
          <w:marRight w:val="0"/>
          <w:marTop w:val="86"/>
          <w:marBottom w:val="0"/>
          <w:divBdr>
            <w:top w:val="none" w:sz="0" w:space="0" w:color="auto"/>
            <w:left w:val="none" w:sz="0" w:space="0" w:color="auto"/>
            <w:bottom w:val="none" w:sz="0" w:space="0" w:color="auto"/>
            <w:right w:val="none" w:sz="0" w:space="0" w:color="auto"/>
          </w:divBdr>
        </w:div>
      </w:divsChild>
    </w:div>
    <w:div w:id="811680286">
      <w:bodyDiv w:val="1"/>
      <w:marLeft w:val="0"/>
      <w:marRight w:val="0"/>
      <w:marTop w:val="0"/>
      <w:marBottom w:val="0"/>
      <w:divBdr>
        <w:top w:val="none" w:sz="0" w:space="0" w:color="auto"/>
        <w:left w:val="none" w:sz="0" w:space="0" w:color="auto"/>
        <w:bottom w:val="none" w:sz="0" w:space="0" w:color="auto"/>
        <w:right w:val="none" w:sz="0" w:space="0" w:color="auto"/>
      </w:divBdr>
    </w:div>
    <w:div w:id="817458026">
      <w:bodyDiv w:val="1"/>
      <w:marLeft w:val="0"/>
      <w:marRight w:val="0"/>
      <w:marTop w:val="0"/>
      <w:marBottom w:val="0"/>
      <w:divBdr>
        <w:top w:val="none" w:sz="0" w:space="0" w:color="auto"/>
        <w:left w:val="none" w:sz="0" w:space="0" w:color="auto"/>
        <w:bottom w:val="none" w:sz="0" w:space="0" w:color="auto"/>
        <w:right w:val="none" w:sz="0" w:space="0" w:color="auto"/>
      </w:divBdr>
    </w:div>
    <w:div w:id="849876624">
      <w:bodyDiv w:val="1"/>
      <w:marLeft w:val="0"/>
      <w:marRight w:val="0"/>
      <w:marTop w:val="0"/>
      <w:marBottom w:val="0"/>
      <w:divBdr>
        <w:top w:val="none" w:sz="0" w:space="0" w:color="auto"/>
        <w:left w:val="none" w:sz="0" w:space="0" w:color="auto"/>
        <w:bottom w:val="none" w:sz="0" w:space="0" w:color="auto"/>
        <w:right w:val="none" w:sz="0" w:space="0" w:color="auto"/>
      </w:divBdr>
    </w:div>
    <w:div w:id="932203348">
      <w:bodyDiv w:val="1"/>
      <w:marLeft w:val="0"/>
      <w:marRight w:val="0"/>
      <w:marTop w:val="0"/>
      <w:marBottom w:val="0"/>
      <w:divBdr>
        <w:top w:val="none" w:sz="0" w:space="0" w:color="auto"/>
        <w:left w:val="none" w:sz="0" w:space="0" w:color="auto"/>
        <w:bottom w:val="none" w:sz="0" w:space="0" w:color="auto"/>
        <w:right w:val="none" w:sz="0" w:space="0" w:color="auto"/>
      </w:divBdr>
      <w:divsChild>
        <w:div w:id="630289364">
          <w:marLeft w:val="432"/>
          <w:marRight w:val="0"/>
          <w:marTop w:val="96"/>
          <w:marBottom w:val="0"/>
          <w:divBdr>
            <w:top w:val="none" w:sz="0" w:space="0" w:color="auto"/>
            <w:left w:val="none" w:sz="0" w:space="0" w:color="auto"/>
            <w:bottom w:val="none" w:sz="0" w:space="0" w:color="auto"/>
            <w:right w:val="none" w:sz="0" w:space="0" w:color="auto"/>
          </w:divBdr>
        </w:div>
        <w:div w:id="697436682">
          <w:marLeft w:val="432"/>
          <w:marRight w:val="0"/>
          <w:marTop w:val="96"/>
          <w:marBottom w:val="0"/>
          <w:divBdr>
            <w:top w:val="none" w:sz="0" w:space="0" w:color="auto"/>
            <w:left w:val="none" w:sz="0" w:space="0" w:color="auto"/>
            <w:bottom w:val="none" w:sz="0" w:space="0" w:color="auto"/>
            <w:right w:val="none" w:sz="0" w:space="0" w:color="auto"/>
          </w:divBdr>
        </w:div>
        <w:div w:id="699090851">
          <w:marLeft w:val="432"/>
          <w:marRight w:val="0"/>
          <w:marTop w:val="96"/>
          <w:marBottom w:val="0"/>
          <w:divBdr>
            <w:top w:val="none" w:sz="0" w:space="0" w:color="auto"/>
            <w:left w:val="none" w:sz="0" w:space="0" w:color="auto"/>
            <w:bottom w:val="none" w:sz="0" w:space="0" w:color="auto"/>
            <w:right w:val="none" w:sz="0" w:space="0" w:color="auto"/>
          </w:divBdr>
        </w:div>
        <w:div w:id="1636329317">
          <w:marLeft w:val="432"/>
          <w:marRight w:val="0"/>
          <w:marTop w:val="96"/>
          <w:marBottom w:val="0"/>
          <w:divBdr>
            <w:top w:val="none" w:sz="0" w:space="0" w:color="auto"/>
            <w:left w:val="none" w:sz="0" w:space="0" w:color="auto"/>
            <w:bottom w:val="none" w:sz="0" w:space="0" w:color="auto"/>
            <w:right w:val="none" w:sz="0" w:space="0" w:color="auto"/>
          </w:divBdr>
        </w:div>
      </w:divsChild>
    </w:div>
    <w:div w:id="938416665">
      <w:bodyDiv w:val="1"/>
      <w:marLeft w:val="0"/>
      <w:marRight w:val="0"/>
      <w:marTop w:val="0"/>
      <w:marBottom w:val="0"/>
      <w:divBdr>
        <w:top w:val="none" w:sz="0" w:space="0" w:color="auto"/>
        <w:left w:val="none" w:sz="0" w:space="0" w:color="auto"/>
        <w:bottom w:val="none" w:sz="0" w:space="0" w:color="auto"/>
        <w:right w:val="none" w:sz="0" w:space="0" w:color="auto"/>
      </w:divBdr>
      <w:divsChild>
        <w:div w:id="875043039">
          <w:marLeft w:val="432"/>
          <w:marRight w:val="0"/>
          <w:marTop w:val="86"/>
          <w:marBottom w:val="0"/>
          <w:divBdr>
            <w:top w:val="none" w:sz="0" w:space="0" w:color="auto"/>
            <w:left w:val="none" w:sz="0" w:space="0" w:color="auto"/>
            <w:bottom w:val="none" w:sz="0" w:space="0" w:color="auto"/>
            <w:right w:val="none" w:sz="0" w:space="0" w:color="auto"/>
          </w:divBdr>
        </w:div>
      </w:divsChild>
    </w:div>
    <w:div w:id="961307268">
      <w:bodyDiv w:val="1"/>
      <w:marLeft w:val="0"/>
      <w:marRight w:val="0"/>
      <w:marTop w:val="0"/>
      <w:marBottom w:val="0"/>
      <w:divBdr>
        <w:top w:val="none" w:sz="0" w:space="0" w:color="auto"/>
        <w:left w:val="none" w:sz="0" w:space="0" w:color="auto"/>
        <w:bottom w:val="none" w:sz="0" w:space="0" w:color="auto"/>
        <w:right w:val="none" w:sz="0" w:space="0" w:color="auto"/>
      </w:divBdr>
    </w:div>
    <w:div w:id="968559674">
      <w:bodyDiv w:val="1"/>
      <w:marLeft w:val="0"/>
      <w:marRight w:val="0"/>
      <w:marTop w:val="0"/>
      <w:marBottom w:val="0"/>
      <w:divBdr>
        <w:top w:val="none" w:sz="0" w:space="0" w:color="auto"/>
        <w:left w:val="none" w:sz="0" w:space="0" w:color="auto"/>
        <w:bottom w:val="none" w:sz="0" w:space="0" w:color="auto"/>
        <w:right w:val="none" w:sz="0" w:space="0" w:color="auto"/>
      </w:divBdr>
    </w:div>
    <w:div w:id="976183600">
      <w:bodyDiv w:val="1"/>
      <w:marLeft w:val="0"/>
      <w:marRight w:val="0"/>
      <w:marTop w:val="0"/>
      <w:marBottom w:val="0"/>
      <w:divBdr>
        <w:top w:val="none" w:sz="0" w:space="0" w:color="auto"/>
        <w:left w:val="none" w:sz="0" w:space="0" w:color="auto"/>
        <w:bottom w:val="none" w:sz="0" w:space="0" w:color="auto"/>
        <w:right w:val="none" w:sz="0" w:space="0" w:color="auto"/>
      </w:divBdr>
      <w:divsChild>
        <w:div w:id="1088426447">
          <w:marLeft w:val="0"/>
          <w:marRight w:val="0"/>
          <w:marTop w:val="0"/>
          <w:marBottom w:val="0"/>
          <w:divBdr>
            <w:top w:val="none" w:sz="0" w:space="0" w:color="auto"/>
            <w:left w:val="none" w:sz="0" w:space="0" w:color="auto"/>
            <w:bottom w:val="none" w:sz="0" w:space="0" w:color="auto"/>
            <w:right w:val="none" w:sz="0" w:space="0" w:color="auto"/>
          </w:divBdr>
          <w:divsChild>
            <w:div w:id="57417159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993486749">
      <w:bodyDiv w:val="1"/>
      <w:marLeft w:val="0"/>
      <w:marRight w:val="0"/>
      <w:marTop w:val="0"/>
      <w:marBottom w:val="0"/>
      <w:divBdr>
        <w:top w:val="none" w:sz="0" w:space="0" w:color="auto"/>
        <w:left w:val="none" w:sz="0" w:space="0" w:color="auto"/>
        <w:bottom w:val="none" w:sz="0" w:space="0" w:color="auto"/>
        <w:right w:val="none" w:sz="0" w:space="0" w:color="auto"/>
      </w:divBdr>
    </w:div>
    <w:div w:id="1026100128">
      <w:bodyDiv w:val="1"/>
      <w:marLeft w:val="0"/>
      <w:marRight w:val="0"/>
      <w:marTop w:val="0"/>
      <w:marBottom w:val="0"/>
      <w:divBdr>
        <w:top w:val="none" w:sz="0" w:space="0" w:color="auto"/>
        <w:left w:val="none" w:sz="0" w:space="0" w:color="auto"/>
        <w:bottom w:val="none" w:sz="0" w:space="0" w:color="auto"/>
        <w:right w:val="none" w:sz="0" w:space="0" w:color="auto"/>
      </w:divBdr>
    </w:div>
    <w:div w:id="1053962828">
      <w:bodyDiv w:val="1"/>
      <w:marLeft w:val="0"/>
      <w:marRight w:val="0"/>
      <w:marTop w:val="0"/>
      <w:marBottom w:val="0"/>
      <w:divBdr>
        <w:top w:val="none" w:sz="0" w:space="0" w:color="auto"/>
        <w:left w:val="none" w:sz="0" w:space="0" w:color="auto"/>
        <w:bottom w:val="none" w:sz="0" w:space="0" w:color="auto"/>
        <w:right w:val="none" w:sz="0" w:space="0" w:color="auto"/>
      </w:divBdr>
      <w:divsChild>
        <w:div w:id="1829204424">
          <w:marLeft w:val="0"/>
          <w:marRight w:val="0"/>
          <w:marTop w:val="0"/>
          <w:marBottom w:val="0"/>
          <w:divBdr>
            <w:top w:val="none" w:sz="0" w:space="0" w:color="auto"/>
            <w:left w:val="none" w:sz="0" w:space="0" w:color="auto"/>
            <w:bottom w:val="none" w:sz="0" w:space="0" w:color="auto"/>
            <w:right w:val="none" w:sz="0" w:space="0" w:color="auto"/>
          </w:divBdr>
          <w:divsChild>
            <w:div w:id="1957910470">
              <w:marLeft w:val="0"/>
              <w:marRight w:val="0"/>
              <w:marTop w:val="0"/>
              <w:marBottom w:val="0"/>
              <w:divBdr>
                <w:top w:val="none" w:sz="0" w:space="0" w:color="auto"/>
                <w:left w:val="none" w:sz="0" w:space="0" w:color="auto"/>
                <w:bottom w:val="none" w:sz="0" w:space="0" w:color="auto"/>
                <w:right w:val="none" w:sz="0" w:space="0" w:color="auto"/>
              </w:divBdr>
              <w:divsChild>
                <w:div w:id="1471164803">
                  <w:marLeft w:val="0"/>
                  <w:marRight w:val="0"/>
                  <w:marTop w:val="0"/>
                  <w:marBottom w:val="0"/>
                  <w:divBdr>
                    <w:top w:val="none" w:sz="0" w:space="0" w:color="auto"/>
                    <w:left w:val="none" w:sz="0" w:space="0" w:color="auto"/>
                    <w:bottom w:val="none" w:sz="0" w:space="0" w:color="auto"/>
                    <w:right w:val="none" w:sz="0" w:space="0" w:color="auto"/>
                  </w:divBdr>
                  <w:divsChild>
                    <w:div w:id="783504182">
                      <w:marLeft w:val="0"/>
                      <w:marRight w:val="0"/>
                      <w:marTop w:val="0"/>
                      <w:marBottom w:val="0"/>
                      <w:divBdr>
                        <w:top w:val="none" w:sz="0" w:space="0" w:color="auto"/>
                        <w:left w:val="none" w:sz="0" w:space="0" w:color="auto"/>
                        <w:bottom w:val="none" w:sz="0" w:space="0" w:color="auto"/>
                        <w:right w:val="none" w:sz="0" w:space="0" w:color="auto"/>
                      </w:divBdr>
                      <w:divsChild>
                        <w:div w:id="935746134">
                          <w:marLeft w:val="0"/>
                          <w:marRight w:val="0"/>
                          <w:marTop w:val="0"/>
                          <w:marBottom w:val="0"/>
                          <w:divBdr>
                            <w:top w:val="none" w:sz="0" w:space="0" w:color="auto"/>
                            <w:left w:val="none" w:sz="0" w:space="0" w:color="auto"/>
                            <w:bottom w:val="none" w:sz="0" w:space="0" w:color="auto"/>
                            <w:right w:val="none" w:sz="0" w:space="0" w:color="auto"/>
                          </w:divBdr>
                          <w:divsChild>
                            <w:div w:id="1585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855586">
      <w:bodyDiv w:val="1"/>
      <w:marLeft w:val="0"/>
      <w:marRight w:val="0"/>
      <w:marTop w:val="0"/>
      <w:marBottom w:val="0"/>
      <w:divBdr>
        <w:top w:val="none" w:sz="0" w:space="0" w:color="auto"/>
        <w:left w:val="none" w:sz="0" w:space="0" w:color="auto"/>
        <w:bottom w:val="none" w:sz="0" w:space="0" w:color="auto"/>
        <w:right w:val="none" w:sz="0" w:space="0" w:color="auto"/>
      </w:divBdr>
      <w:divsChild>
        <w:div w:id="857338">
          <w:marLeft w:val="0"/>
          <w:marRight w:val="0"/>
          <w:marTop w:val="0"/>
          <w:marBottom w:val="0"/>
          <w:divBdr>
            <w:top w:val="none" w:sz="0" w:space="0" w:color="auto"/>
            <w:left w:val="none" w:sz="0" w:space="0" w:color="auto"/>
            <w:bottom w:val="none" w:sz="0" w:space="0" w:color="auto"/>
            <w:right w:val="none" w:sz="0" w:space="0" w:color="auto"/>
          </w:divBdr>
          <w:divsChild>
            <w:div w:id="460074774">
              <w:marLeft w:val="0"/>
              <w:marRight w:val="0"/>
              <w:marTop w:val="0"/>
              <w:marBottom w:val="0"/>
              <w:divBdr>
                <w:top w:val="none" w:sz="0" w:space="0" w:color="auto"/>
                <w:left w:val="none" w:sz="0" w:space="0" w:color="auto"/>
                <w:bottom w:val="none" w:sz="0" w:space="0" w:color="auto"/>
                <w:right w:val="none" w:sz="0" w:space="0" w:color="auto"/>
              </w:divBdr>
              <w:divsChild>
                <w:div w:id="1836073145">
                  <w:marLeft w:val="0"/>
                  <w:marRight w:val="0"/>
                  <w:marTop w:val="0"/>
                  <w:marBottom w:val="0"/>
                  <w:divBdr>
                    <w:top w:val="none" w:sz="0" w:space="0" w:color="auto"/>
                    <w:left w:val="none" w:sz="0" w:space="0" w:color="auto"/>
                    <w:bottom w:val="none" w:sz="0" w:space="0" w:color="auto"/>
                    <w:right w:val="none" w:sz="0" w:space="0" w:color="auto"/>
                  </w:divBdr>
                  <w:divsChild>
                    <w:div w:id="132343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042379">
      <w:bodyDiv w:val="1"/>
      <w:marLeft w:val="0"/>
      <w:marRight w:val="0"/>
      <w:marTop w:val="0"/>
      <w:marBottom w:val="0"/>
      <w:divBdr>
        <w:top w:val="none" w:sz="0" w:space="0" w:color="auto"/>
        <w:left w:val="none" w:sz="0" w:space="0" w:color="auto"/>
        <w:bottom w:val="none" w:sz="0" w:space="0" w:color="auto"/>
        <w:right w:val="none" w:sz="0" w:space="0" w:color="auto"/>
      </w:divBdr>
    </w:div>
    <w:div w:id="1108698788">
      <w:bodyDiv w:val="1"/>
      <w:marLeft w:val="0"/>
      <w:marRight w:val="0"/>
      <w:marTop w:val="0"/>
      <w:marBottom w:val="0"/>
      <w:divBdr>
        <w:top w:val="none" w:sz="0" w:space="0" w:color="auto"/>
        <w:left w:val="none" w:sz="0" w:space="0" w:color="auto"/>
        <w:bottom w:val="none" w:sz="0" w:space="0" w:color="auto"/>
        <w:right w:val="none" w:sz="0" w:space="0" w:color="auto"/>
      </w:divBdr>
      <w:divsChild>
        <w:div w:id="173230527">
          <w:marLeft w:val="0"/>
          <w:marRight w:val="0"/>
          <w:marTop w:val="0"/>
          <w:marBottom w:val="0"/>
          <w:divBdr>
            <w:top w:val="single" w:sz="24" w:space="0" w:color="FFFFFF"/>
            <w:left w:val="single" w:sz="24" w:space="0" w:color="FFFFFF"/>
            <w:bottom w:val="single" w:sz="24" w:space="0" w:color="FFFFFF"/>
            <w:right w:val="single" w:sz="24" w:space="0" w:color="FFFFFF"/>
          </w:divBdr>
          <w:divsChild>
            <w:div w:id="1052539869">
              <w:marLeft w:val="0"/>
              <w:marRight w:val="0"/>
              <w:marTop w:val="0"/>
              <w:marBottom w:val="0"/>
              <w:divBdr>
                <w:top w:val="none" w:sz="0" w:space="0" w:color="auto"/>
                <w:left w:val="none" w:sz="0" w:space="0" w:color="auto"/>
                <w:bottom w:val="none" w:sz="0" w:space="0" w:color="auto"/>
                <w:right w:val="none" w:sz="0" w:space="0" w:color="auto"/>
              </w:divBdr>
              <w:divsChild>
                <w:div w:id="484710830">
                  <w:marLeft w:val="0"/>
                  <w:marRight w:val="-4320"/>
                  <w:marTop w:val="0"/>
                  <w:marBottom w:val="0"/>
                  <w:divBdr>
                    <w:top w:val="none" w:sz="0" w:space="0" w:color="auto"/>
                    <w:left w:val="none" w:sz="0" w:space="0" w:color="auto"/>
                    <w:bottom w:val="none" w:sz="0" w:space="0" w:color="auto"/>
                    <w:right w:val="none" w:sz="0" w:space="0" w:color="auto"/>
                  </w:divBdr>
                  <w:divsChild>
                    <w:div w:id="152839898">
                      <w:marLeft w:val="0"/>
                      <w:marRight w:val="5280"/>
                      <w:marTop w:val="360"/>
                      <w:marBottom w:val="0"/>
                      <w:divBdr>
                        <w:top w:val="none" w:sz="0" w:space="0" w:color="auto"/>
                        <w:left w:val="none" w:sz="0" w:space="0" w:color="auto"/>
                        <w:bottom w:val="none" w:sz="0" w:space="0" w:color="auto"/>
                        <w:right w:val="none" w:sz="0" w:space="0" w:color="auto"/>
                      </w:divBdr>
                      <w:divsChild>
                        <w:div w:id="750583941">
                          <w:marLeft w:val="0"/>
                          <w:marRight w:val="0"/>
                          <w:marTop w:val="0"/>
                          <w:marBottom w:val="0"/>
                          <w:divBdr>
                            <w:top w:val="none" w:sz="0" w:space="0" w:color="auto"/>
                            <w:left w:val="none" w:sz="0" w:space="0" w:color="auto"/>
                            <w:bottom w:val="none" w:sz="0" w:space="0" w:color="auto"/>
                            <w:right w:val="none" w:sz="0" w:space="0" w:color="auto"/>
                          </w:divBdr>
                          <w:divsChild>
                            <w:div w:id="133572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699255">
      <w:bodyDiv w:val="1"/>
      <w:marLeft w:val="0"/>
      <w:marRight w:val="0"/>
      <w:marTop w:val="0"/>
      <w:marBottom w:val="0"/>
      <w:divBdr>
        <w:top w:val="none" w:sz="0" w:space="0" w:color="auto"/>
        <w:left w:val="none" w:sz="0" w:space="0" w:color="auto"/>
        <w:bottom w:val="none" w:sz="0" w:space="0" w:color="auto"/>
        <w:right w:val="none" w:sz="0" w:space="0" w:color="auto"/>
      </w:divBdr>
      <w:divsChild>
        <w:div w:id="1084375370">
          <w:marLeft w:val="0"/>
          <w:marRight w:val="0"/>
          <w:marTop w:val="0"/>
          <w:marBottom w:val="0"/>
          <w:divBdr>
            <w:top w:val="none" w:sz="0" w:space="0" w:color="auto"/>
            <w:left w:val="none" w:sz="0" w:space="0" w:color="auto"/>
            <w:bottom w:val="none" w:sz="0" w:space="0" w:color="auto"/>
            <w:right w:val="none" w:sz="0" w:space="0" w:color="auto"/>
          </w:divBdr>
          <w:divsChild>
            <w:div w:id="134933147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116096332">
      <w:bodyDiv w:val="1"/>
      <w:marLeft w:val="0"/>
      <w:marRight w:val="0"/>
      <w:marTop w:val="0"/>
      <w:marBottom w:val="0"/>
      <w:divBdr>
        <w:top w:val="none" w:sz="0" w:space="0" w:color="auto"/>
        <w:left w:val="none" w:sz="0" w:space="0" w:color="auto"/>
        <w:bottom w:val="none" w:sz="0" w:space="0" w:color="auto"/>
        <w:right w:val="none" w:sz="0" w:space="0" w:color="auto"/>
      </w:divBdr>
      <w:divsChild>
        <w:div w:id="923034231">
          <w:marLeft w:val="432"/>
          <w:marRight w:val="0"/>
          <w:marTop w:val="86"/>
          <w:marBottom w:val="0"/>
          <w:divBdr>
            <w:top w:val="none" w:sz="0" w:space="0" w:color="auto"/>
            <w:left w:val="none" w:sz="0" w:space="0" w:color="auto"/>
            <w:bottom w:val="none" w:sz="0" w:space="0" w:color="auto"/>
            <w:right w:val="none" w:sz="0" w:space="0" w:color="auto"/>
          </w:divBdr>
        </w:div>
        <w:div w:id="2032800581">
          <w:marLeft w:val="432"/>
          <w:marRight w:val="0"/>
          <w:marTop w:val="86"/>
          <w:marBottom w:val="0"/>
          <w:divBdr>
            <w:top w:val="none" w:sz="0" w:space="0" w:color="auto"/>
            <w:left w:val="none" w:sz="0" w:space="0" w:color="auto"/>
            <w:bottom w:val="none" w:sz="0" w:space="0" w:color="auto"/>
            <w:right w:val="none" w:sz="0" w:space="0" w:color="auto"/>
          </w:divBdr>
        </w:div>
      </w:divsChild>
    </w:div>
    <w:div w:id="1147282544">
      <w:bodyDiv w:val="1"/>
      <w:marLeft w:val="0"/>
      <w:marRight w:val="0"/>
      <w:marTop w:val="0"/>
      <w:marBottom w:val="0"/>
      <w:divBdr>
        <w:top w:val="none" w:sz="0" w:space="0" w:color="auto"/>
        <w:left w:val="none" w:sz="0" w:space="0" w:color="auto"/>
        <w:bottom w:val="none" w:sz="0" w:space="0" w:color="auto"/>
        <w:right w:val="none" w:sz="0" w:space="0" w:color="auto"/>
      </w:divBdr>
      <w:divsChild>
        <w:div w:id="486242327">
          <w:marLeft w:val="0"/>
          <w:marRight w:val="0"/>
          <w:marTop w:val="0"/>
          <w:marBottom w:val="0"/>
          <w:divBdr>
            <w:top w:val="none" w:sz="0" w:space="0" w:color="auto"/>
            <w:left w:val="none" w:sz="0" w:space="0" w:color="auto"/>
            <w:bottom w:val="none" w:sz="0" w:space="0" w:color="auto"/>
            <w:right w:val="none" w:sz="0" w:space="0" w:color="auto"/>
          </w:divBdr>
          <w:divsChild>
            <w:div w:id="1546672428">
              <w:marLeft w:val="0"/>
              <w:marRight w:val="0"/>
              <w:marTop w:val="0"/>
              <w:marBottom w:val="0"/>
              <w:divBdr>
                <w:top w:val="none" w:sz="0" w:space="0" w:color="auto"/>
                <w:left w:val="none" w:sz="0" w:space="0" w:color="auto"/>
                <w:bottom w:val="none" w:sz="0" w:space="0" w:color="auto"/>
                <w:right w:val="none" w:sz="0" w:space="0" w:color="auto"/>
              </w:divBdr>
              <w:divsChild>
                <w:div w:id="1020859456">
                  <w:marLeft w:val="0"/>
                  <w:marRight w:val="0"/>
                  <w:marTop w:val="0"/>
                  <w:marBottom w:val="0"/>
                  <w:divBdr>
                    <w:top w:val="none" w:sz="0" w:space="0" w:color="auto"/>
                    <w:left w:val="none" w:sz="0" w:space="0" w:color="auto"/>
                    <w:bottom w:val="none" w:sz="0" w:space="0" w:color="auto"/>
                    <w:right w:val="none" w:sz="0" w:space="0" w:color="auto"/>
                  </w:divBdr>
                  <w:divsChild>
                    <w:div w:id="578364333">
                      <w:marLeft w:val="0"/>
                      <w:marRight w:val="0"/>
                      <w:marTop w:val="0"/>
                      <w:marBottom w:val="0"/>
                      <w:divBdr>
                        <w:top w:val="none" w:sz="0" w:space="0" w:color="auto"/>
                        <w:left w:val="none" w:sz="0" w:space="0" w:color="auto"/>
                        <w:bottom w:val="none" w:sz="0" w:space="0" w:color="auto"/>
                        <w:right w:val="none" w:sz="0" w:space="0" w:color="auto"/>
                      </w:divBdr>
                      <w:divsChild>
                        <w:div w:id="639270074">
                          <w:marLeft w:val="0"/>
                          <w:marRight w:val="0"/>
                          <w:marTop w:val="0"/>
                          <w:marBottom w:val="0"/>
                          <w:divBdr>
                            <w:top w:val="none" w:sz="0" w:space="0" w:color="auto"/>
                            <w:left w:val="none" w:sz="0" w:space="0" w:color="auto"/>
                            <w:bottom w:val="none" w:sz="0" w:space="0" w:color="auto"/>
                            <w:right w:val="none" w:sz="0" w:space="0" w:color="auto"/>
                          </w:divBdr>
                          <w:divsChild>
                            <w:div w:id="1845047754">
                              <w:marLeft w:val="0"/>
                              <w:marRight w:val="0"/>
                              <w:marTop w:val="0"/>
                              <w:marBottom w:val="0"/>
                              <w:divBdr>
                                <w:top w:val="none" w:sz="0" w:space="0" w:color="auto"/>
                                <w:left w:val="none" w:sz="0" w:space="0" w:color="auto"/>
                                <w:bottom w:val="none" w:sz="0" w:space="0" w:color="auto"/>
                                <w:right w:val="none" w:sz="0" w:space="0" w:color="auto"/>
                              </w:divBdr>
                              <w:divsChild>
                                <w:div w:id="1464040753">
                                  <w:marLeft w:val="0"/>
                                  <w:marRight w:val="0"/>
                                  <w:marTop w:val="0"/>
                                  <w:marBottom w:val="0"/>
                                  <w:divBdr>
                                    <w:top w:val="none" w:sz="0" w:space="0" w:color="auto"/>
                                    <w:left w:val="none" w:sz="0" w:space="0" w:color="auto"/>
                                    <w:bottom w:val="none" w:sz="0" w:space="0" w:color="auto"/>
                                    <w:right w:val="none" w:sz="0" w:space="0" w:color="auto"/>
                                  </w:divBdr>
                                  <w:divsChild>
                                    <w:div w:id="352417385">
                                      <w:marLeft w:val="0"/>
                                      <w:marRight w:val="0"/>
                                      <w:marTop w:val="0"/>
                                      <w:marBottom w:val="0"/>
                                      <w:divBdr>
                                        <w:top w:val="none" w:sz="0" w:space="0" w:color="auto"/>
                                        <w:left w:val="none" w:sz="0" w:space="0" w:color="auto"/>
                                        <w:bottom w:val="none" w:sz="0" w:space="0" w:color="auto"/>
                                        <w:right w:val="none" w:sz="0" w:space="0" w:color="auto"/>
                                      </w:divBdr>
                                    </w:div>
                                    <w:div w:id="9578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688539">
      <w:bodyDiv w:val="1"/>
      <w:marLeft w:val="0"/>
      <w:marRight w:val="0"/>
      <w:marTop w:val="0"/>
      <w:marBottom w:val="0"/>
      <w:divBdr>
        <w:top w:val="none" w:sz="0" w:space="0" w:color="auto"/>
        <w:left w:val="none" w:sz="0" w:space="0" w:color="auto"/>
        <w:bottom w:val="none" w:sz="0" w:space="0" w:color="auto"/>
        <w:right w:val="none" w:sz="0" w:space="0" w:color="auto"/>
      </w:divBdr>
    </w:div>
    <w:div w:id="1173840465">
      <w:bodyDiv w:val="1"/>
      <w:marLeft w:val="0"/>
      <w:marRight w:val="0"/>
      <w:marTop w:val="0"/>
      <w:marBottom w:val="0"/>
      <w:divBdr>
        <w:top w:val="none" w:sz="0" w:space="0" w:color="auto"/>
        <w:left w:val="none" w:sz="0" w:space="0" w:color="auto"/>
        <w:bottom w:val="none" w:sz="0" w:space="0" w:color="auto"/>
        <w:right w:val="none" w:sz="0" w:space="0" w:color="auto"/>
      </w:divBdr>
      <w:divsChild>
        <w:div w:id="454297592">
          <w:marLeft w:val="504"/>
          <w:marRight w:val="0"/>
          <w:marTop w:val="140"/>
          <w:marBottom w:val="0"/>
          <w:divBdr>
            <w:top w:val="none" w:sz="0" w:space="0" w:color="auto"/>
            <w:left w:val="none" w:sz="0" w:space="0" w:color="auto"/>
            <w:bottom w:val="none" w:sz="0" w:space="0" w:color="auto"/>
            <w:right w:val="none" w:sz="0" w:space="0" w:color="auto"/>
          </w:divBdr>
        </w:div>
        <w:div w:id="807435952">
          <w:marLeft w:val="504"/>
          <w:marRight w:val="0"/>
          <w:marTop w:val="140"/>
          <w:marBottom w:val="0"/>
          <w:divBdr>
            <w:top w:val="none" w:sz="0" w:space="0" w:color="auto"/>
            <w:left w:val="none" w:sz="0" w:space="0" w:color="auto"/>
            <w:bottom w:val="none" w:sz="0" w:space="0" w:color="auto"/>
            <w:right w:val="none" w:sz="0" w:space="0" w:color="auto"/>
          </w:divBdr>
        </w:div>
        <w:div w:id="947078760">
          <w:marLeft w:val="504"/>
          <w:marRight w:val="0"/>
          <w:marTop w:val="140"/>
          <w:marBottom w:val="0"/>
          <w:divBdr>
            <w:top w:val="none" w:sz="0" w:space="0" w:color="auto"/>
            <w:left w:val="none" w:sz="0" w:space="0" w:color="auto"/>
            <w:bottom w:val="none" w:sz="0" w:space="0" w:color="auto"/>
            <w:right w:val="none" w:sz="0" w:space="0" w:color="auto"/>
          </w:divBdr>
        </w:div>
        <w:div w:id="1602687589">
          <w:marLeft w:val="504"/>
          <w:marRight w:val="0"/>
          <w:marTop w:val="140"/>
          <w:marBottom w:val="0"/>
          <w:divBdr>
            <w:top w:val="none" w:sz="0" w:space="0" w:color="auto"/>
            <w:left w:val="none" w:sz="0" w:space="0" w:color="auto"/>
            <w:bottom w:val="none" w:sz="0" w:space="0" w:color="auto"/>
            <w:right w:val="none" w:sz="0" w:space="0" w:color="auto"/>
          </w:divBdr>
        </w:div>
      </w:divsChild>
    </w:div>
    <w:div w:id="1185173811">
      <w:bodyDiv w:val="1"/>
      <w:marLeft w:val="0"/>
      <w:marRight w:val="0"/>
      <w:marTop w:val="38"/>
      <w:marBottom w:val="38"/>
      <w:divBdr>
        <w:top w:val="none" w:sz="0" w:space="0" w:color="auto"/>
        <w:left w:val="none" w:sz="0" w:space="0" w:color="auto"/>
        <w:bottom w:val="none" w:sz="0" w:space="0" w:color="auto"/>
        <w:right w:val="none" w:sz="0" w:space="0" w:color="auto"/>
      </w:divBdr>
      <w:divsChild>
        <w:div w:id="1713264434">
          <w:marLeft w:val="0"/>
          <w:marRight w:val="0"/>
          <w:marTop w:val="0"/>
          <w:marBottom w:val="0"/>
          <w:divBdr>
            <w:top w:val="none" w:sz="0" w:space="0" w:color="auto"/>
            <w:left w:val="none" w:sz="0" w:space="0" w:color="auto"/>
            <w:bottom w:val="none" w:sz="0" w:space="0" w:color="auto"/>
            <w:right w:val="none" w:sz="0" w:space="0" w:color="auto"/>
          </w:divBdr>
          <w:divsChild>
            <w:div w:id="447553097">
              <w:marLeft w:val="0"/>
              <w:marRight w:val="61"/>
              <w:marTop w:val="0"/>
              <w:marBottom w:val="0"/>
              <w:divBdr>
                <w:top w:val="none" w:sz="0" w:space="0" w:color="auto"/>
                <w:left w:val="none" w:sz="0" w:space="0" w:color="auto"/>
                <w:bottom w:val="none" w:sz="0" w:space="0" w:color="auto"/>
                <w:right w:val="none" w:sz="0" w:space="0" w:color="auto"/>
              </w:divBdr>
            </w:div>
          </w:divsChild>
        </w:div>
      </w:divsChild>
    </w:div>
    <w:div w:id="1193036278">
      <w:bodyDiv w:val="1"/>
      <w:marLeft w:val="0"/>
      <w:marRight w:val="0"/>
      <w:marTop w:val="0"/>
      <w:marBottom w:val="0"/>
      <w:divBdr>
        <w:top w:val="none" w:sz="0" w:space="0" w:color="auto"/>
        <w:left w:val="none" w:sz="0" w:space="0" w:color="auto"/>
        <w:bottom w:val="none" w:sz="0" w:space="0" w:color="auto"/>
        <w:right w:val="none" w:sz="0" w:space="0" w:color="auto"/>
      </w:divBdr>
      <w:divsChild>
        <w:div w:id="1433015079">
          <w:marLeft w:val="0"/>
          <w:marRight w:val="0"/>
          <w:marTop w:val="0"/>
          <w:marBottom w:val="0"/>
          <w:divBdr>
            <w:top w:val="none" w:sz="0" w:space="0" w:color="auto"/>
            <w:left w:val="none" w:sz="0" w:space="0" w:color="auto"/>
            <w:bottom w:val="none" w:sz="0" w:space="0" w:color="auto"/>
            <w:right w:val="none" w:sz="0" w:space="0" w:color="auto"/>
          </w:divBdr>
        </w:div>
      </w:divsChild>
    </w:div>
    <w:div w:id="1209955501">
      <w:bodyDiv w:val="1"/>
      <w:marLeft w:val="0"/>
      <w:marRight w:val="0"/>
      <w:marTop w:val="0"/>
      <w:marBottom w:val="0"/>
      <w:divBdr>
        <w:top w:val="none" w:sz="0" w:space="0" w:color="auto"/>
        <w:left w:val="none" w:sz="0" w:space="0" w:color="auto"/>
        <w:bottom w:val="none" w:sz="0" w:space="0" w:color="auto"/>
        <w:right w:val="none" w:sz="0" w:space="0" w:color="auto"/>
      </w:divBdr>
    </w:div>
    <w:div w:id="1223982827">
      <w:bodyDiv w:val="1"/>
      <w:marLeft w:val="0"/>
      <w:marRight w:val="0"/>
      <w:marTop w:val="0"/>
      <w:marBottom w:val="0"/>
      <w:divBdr>
        <w:top w:val="none" w:sz="0" w:space="0" w:color="auto"/>
        <w:left w:val="none" w:sz="0" w:space="0" w:color="auto"/>
        <w:bottom w:val="none" w:sz="0" w:space="0" w:color="auto"/>
        <w:right w:val="none" w:sz="0" w:space="0" w:color="auto"/>
      </w:divBdr>
    </w:div>
    <w:div w:id="1235356939">
      <w:bodyDiv w:val="1"/>
      <w:marLeft w:val="0"/>
      <w:marRight w:val="0"/>
      <w:marTop w:val="0"/>
      <w:marBottom w:val="0"/>
      <w:divBdr>
        <w:top w:val="none" w:sz="0" w:space="0" w:color="auto"/>
        <w:left w:val="none" w:sz="0" w:space="0" w:color="auto"/>
        <w:bottom w:val="none" w:sz="0" w:space="0" w:color="auto"/>
        <w:right w:val="none" w:sz="0" w:space="0" w:color="auto"/>
      </w:divBdr>
    </w:div>
    <w:div w:id="1252004678">
      <w:bodyDiv w:val="1"/>
      <w:marLeft w:val="0"/>
      <w:marRight w:val="0"/>
      <w:marTop w:val="0"/>
      <w:marBottom w:val="0"/>
      <w:divBdr>
        <w:top w:val="none" w:sz="0" w:space="0" w:color="auto"/>
        <w:left w:val="none" w:sz="0" w:space="0" w:color="auto"/>
        <w:bottom w:val="none" w:sz="0" w:space="0" w:color="auto"/>
        <w:right w:val="none" w:sz="0" w:space="0" w:color="auto"/>
      </w:divBdr>
      <w:divsChild>
        <w:div w:id="1299451597">
          <w:marLeft w:val="0"/>
          <w:marRight w:val="0"/>
          <w:marTop w:val="0"/>
          <w:marBottom w:val="0"/>
          <w:divBdr>
            <w:top w:val="none" w:sz="0" w:space="0" w:color="auto"/>
            <w:left w:val="none" w:sz="0" w:space="0" w:color="auto"/>
            <w:bottom w:val="none" w:sz="0" w:space="0" w:color="auto"/>
            <w:right w:val="none" w:sz="0" w:space="0" w:color="auto"/>
          </w:divBdr>
        </w:div>
      </w:divsChild>
    </w:div>
    <w:div w:id="1353337285">
      <w:bodyDiv w:val="1"/>
      <w:marLeft w:val="0"/>
      <w:marRight w:val="0"/>
      <w:marTop w:val="0"/>
      <w:marBottom w:val="0"/>
      <w:divBdr>
        <w:top w:val="none" w:sz="0" w:space="0" w:color="auto"/>
        <w:left w:val="none" w:sz="0" w:space="0" w:color="auto"/>
        <w:bottom w:val="none" w:sz="0" w:space="0" w:color="auto"/>
        <w:right w:val="none" w:sz="0" w:space="0" w:color="auto"/>
      </w:divBdr>
      <w:divsChild>
        <w:div w:id="650913093">
          <w:marLeft w:val="504"/>
          <w:marRight w:val="0"/>
          <w:marTop w:val="140"/>
          <w:marBottom w:val="0"/>
          <w:divBdr>
            <w:top w:val="none" w:sz="0" w:space="0" w:color="auto"/>
            <w:left w:val="none" w:sz="0" w:space="0" w:color="auto"/>
            <w:bottom w:val="none" w:sz="0" w:space="0" w:color="auto"/>
            <w:right w:val="none" w:sz="0" w:space="0" w:color="auto"/>
          </w:divBdr>
        </w:div>
        <w:div w:id="1215971682">
          <w:marLeft w:val="504"/>
          <w:marRight w:val="0"/>
          <w:marTop w:val="140"/>
          <w:marBottom w:val="0"/>
          <w:divBdr>
            <w:top w:val="none" w:sz="0" w:space="0" w:color="auto"/>
            <w:left w:val="none" w:sz="0" w:space="0" w:color="auto"/>
            <w:bottom w:val="none" w:sz="0" w:space="0" w:color="auto"/>
            <w:right w:val="none" w:sz="0" w:space="0" w:color="auto"/>
          </w:divBdr>
        </w:div>
        <w:div w:id="1636715796">
          <w:marLeft w:val="504"/>
          <w:marRight w:val="0"/>
          <w:marTop w:val="140"/>
          <w:marBottom w:val="0"/>
          <w:divBdr>
            <w:top w:val="none" w:sz="0" w:space="0" w:color="auto"/>
            <w:left w:val="none" w:sz="0" w:space="0" w:color="auto"/>
            <w:bottom w:val="none" w:sz="0" w:space="0" w:color="auto"/>
            <w:right w:val="none" w:sz="0" w:space="0" w:color="auto"/>
          </w:divBdr>
        </w:div>
      </w:divsChild>
    </w:div>
    <w:div w:id="1355182715">
      <w:bodyDiv w:val="1"/>
      <w:marLeft w:val="0"/>
      <w:marRight w:val="0"/>
      <w:marTop w:val="51"/>
      <w:marBottom w:val="51"/>
      <w:divBdr>
        <w:top w:val="none" w:sz="0" w:space="0" w:color="auto"/>
        <w:left w:val="none" w:sz="0" w:space="0" w:color="auto"/>
        <w:bottom w:val="none" w:sz="0" w:space="0" w:color="auto"/>
        <w:right w:val="none" w:sz="0" w:space="0" w:color="auto"/>
      </w:divBdr>
      <w:divsChild>
        <w:div w:id="281545057">
          <w:marLeft w:val="0"/>
          <w:marRight w:val="0"/>
          <w:marTop w:val="0"/>
          <w:marBottom w:val="0"/>
          <w:divBdr>
            <w:top w:val="none" w:sz="0" w:space="0" w:color="auto"/>
            <w:left w:val="none" w:sz="0" w:space="0" w:color="auto"/>
            <w:bottom w:val="none" w:sz="0" w:space="0" w:color="auto"/>
            <w:right w:val="none" w:sz="0" w:space="0" w:color="auto"/>
          </w:divBdr>
          <w:divsChild>
            <w:div w:id="1096248792">
              <w:marLeft w:val="0"/>
              <w:marRight w:val="81"/>
              <w:marTop w:val="0"/>
              <w:marBottom w:val="0"/>
              <w:divBdr>
                <w:top w:val="none" w:sz="0" w:space="0" w:color="auto"/>
                <w:left w:val="none" w:sz="0" w:space="0" w:color="auto"/>
                <w:bottom w:val="none" w:sz="0" w:space="0" w:color="auto"/>
                <w:right w:val="none" w:sz="0" w:space="0" w:color="auto"/>
              </w:divBdr>
              <w:divsChild>
                <w:div w:id="376711152">
                  <w:marLeft w:val="51"/>
                  <w:marRight w:val="0"/>
                  <w:marTop w:val="0"/>
                  <w:marBottom w:val="51"/>
                  <w:divBdr>
                    <w:top w:val="single" w:sz="4" w:space="0" w:color="000000"/>
                    <w:left w:val="single" w:sz="4" w:space="0" w:color="000000"/>
                    <w:bottom w:val="single" w:sz="4" w:space="0" w:color="000000"/>
                    <w:right w:val="single" w:sz="4" w:space="0" w:color="000000"/>
                  </w:divBdr>
                </w:div>
              </w:divsChild>
            </w:div>
          </w:divsChild>
        </w:div>
      </w:divsChild>
    </w:div>
    <w:div w:id="1371608621">
      <w:bodyDiv w:val="1"/>
      <w:marLeft w:val="0"/>
      <w:marRight w:val="0"/>
      <w:marTop w:val="0"/>
      <w:marBottom w:val="0"/>
      <w:divBdr>
        <w:top w:val="none" w:sz="0" w:space="0" w:color="auto"/>
        <w:left w:val="none" w:sz="0" w:space="0" w:color="auto"/>
        <w:bottom w:val="none" w:sz="0" w:space="0" w:color="auto"/>
        <w:right w:val="none" w:sz="0" w:space="0" w:color="auto"/>
      </w:divBdr>
      <w:divsChild>
        <w:div w:id="1658418456">
          <w:marLeft w:val="0"/>
          <w:marRight w:val="0"/>
          <w:marTop w:val="0"/>
          <w:marBottom w:val="0"/>
          <w:divBdr>
            <w:top w:val="none" w:sz="0" w:space="0" w:color="auto"/>
            <w:left w:val="none" w:sz="0" w:space="0" w:color="auto"/>
            <w:bottom w:val="none" w:sz="0" w:space="0" w:color="auto"/>
            <w:right w:val="none" w:sz="0" w:space="0" w:color="auto"/>
          </w:divBdr>
          <w:divsChild>
            <w:div w:id="202204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4702">
      <w:bodyDiv w:val="1"/>
      <w:marLeft w:val="0"/>
      <w:marRight w:val="0"/>
      <w:marTop w:val="0"/>
      <w:marBottom w:val="0"/>
      <w:divBdr>
        <w:top w:val="none" w:sz="0" w:space="0" w:color="auto"/>
        <w:left w:val="none" w:sz="0" w:space="0" w:color="auto"/>
        <w:bottom w:val="none" w:sz="0" w:space="0" w:color="auto"/>
        <w:right w:val="none" w:sz="0" w:space="0" w:color="auto"/>
      </w:divBdr>
    </w:div>
    <w:div w:id="1434744522">
      <w:bodyDiv w:val="1"/>
      <w:marLeft w:val="0"/>
      <w:marRight w:val="0"/>
      <w:marTop w:val="0"/>
      <w:marBottom w:val="0"/>
      <w:divBdr>
        <w:top w:val="none" w:sz="0" w:space="0" w:color="auto"/>
        <w:left w:val="none" w:sz="0" w:space="0" w:color="auto"/>
        <w:bottom w:val="none" w:sz="0" w:space="0" w:color="auto"/>
        <w:right w:val="none" w:sz="0" w:space="0" w:color="auto"/>
      </w:divBdr>
    </w:div>
    <w:div w:id="1460025467">
      <w:bodyDiv w:val="1"/>
      <w:marLeft w:val="0"/>
      <w:marRight w:val="0"/>
      <w:marTop w:val="0"/>
      <w:marBottom w:val="0"/>
      <w:divBdr>
        <w:top w:val="none" w:sz="0" w:space="0" w:color="auto"/>
        <w:left w:val="none" w:sz="0" w:space="0" w:color="auto"/>
        <w:bottom w:val="none" w:sz="0" w:space="0" w:color="auto"/>
        <w:right w:val="none" w:sz="0" w:space="0" w:color="auto"/>
      </w:divBdr>
    </w:div>
    <w:div w:id="1502820502">
      <w:bodyDiv w:val="1"/>
      <w:marLeft w:val="0"/>
      <w:marRight w:val="0"/>
      <w:marTop w:val="0"/>
      <w:marBottom w:val="0"/>
      <w:divBdr>
        <w:top w:val="none" w:sz="0" w:space="0" w:color="auto"/>
        <w:left w:val="none" w:sz="0" w:space="0" w:color="auto"/>
        <w:bottom w:val="none" w:sz="0" w:space="0" w:color="auto"/>
        <w:right w:val="none" w:sz="0" w:space="0" w:color="auto"/>
      </w:divBdr>
    </w:div>
    <w:div w:id="1503201245">
      <w:bodyDiv w:val="1"/>
      <w:marLeft w:val="0"/>
      <w:marRight w:val="0"/>
      <w:marTop w:val="0"/>
      <w:marBottom w:val="0"/>
      <w:divBdr>
        <w:top w:val="none" w:sz="0" w:space="0" w:color="auto"/>
        <w:left w:val="none" w:sz="0" w:space="0" w:color="auto"/>
        <w:bottom w:val="none" w:sz="0" w:space="0" w:color="auto"/>
        <w:right w:val="none" w:sz="0" w:space="0" w:color="auto"/>
      </w:divBdr>
    </w:div>
    <w:div w:id="1527057430">
      <w:bodyDiv w:val="1"/>
      <w:marLeft w:val="0"/>
      <w:marRight w:val="0"/>
      <w:marTop w:val="0"/>
      <w:marBottom w:val="0"/>
      <w:divBdr>
        <w:top w:val="none" w:sz="0" w:space="0" w:color="auto"/>
        <w:left w:val="none" w:sz="0" w:space="0" w:color="auto"/>
        <w:bottom w:val="none" w:sz="0" w:space="0" w:color="auto"/>
        <w:right w:val="none" w:sz="0" w:space="0" w:color="auto"/>
      </w:divBdr>
    </w:div>
    <w:div w:id="1542208158">
      <w:bodyDiv w:val="1"/>
      <w:marLeft w:val="0"/>
      <w:marRight w:val="0"/>
      <w:marTop w:val="0"/>
      <w:marBottom w:val="0"/>
      <w:divBdr>
        <w:top w:val="none" w:sz="0" w:space="0" w:color="auto"/>
        <w:left w:val="none" w:sz="0" w:space="0" w:color="auto"/>
        <w:bottom w:val="none" w:sz="0" w:space="0" w:color="auto"/>
        <w:right w:val="none" w:sz="0" w:space="0" w:color="auto"/>
      </w:divBdr>
      <w:divsChild>
        <w:div w:id="65035625">
          <w:marLeft w:val="432"/>
          <w:marRight w:val="0"/>
          <w:marTop w:val="86"/>
          <w:marBottom w:val="0"/>
          <w:divBdr>
            <w:top w:val="none" w:sz="0" w:space="0" w:color="auto"/>
            <w:left w:val="none" w:sz="0" w:space="0" w:color="auto"/>
            <w:bottom w:val="none" w:sz="0" w:space="0" w:color="auto"/>
            <w:right w:val="none" w:sz="0" w:space="0" w:color="auto"/>
          </w:divBdr>
        </w:div>
        <w:div w:id="593056896">
          <w:marLeft w:val="432"/>
          <w:marRight w:val="0"/>
          <w:marTop w:val="86"/>
          <w:marBottom w:val="0"/>
          <w:divBdr>
            <w:top w:val="none" w:sz="0" w:space="0" w:color="auto"/>
            <w:left w:val="none" w:sz="0" w:space="0" w:color="auto"/>
            <w:bottom w:val="none" w:sz="0" w:space="0" w:color="auto"/>
            <w:right w:val="none" w:sz="0" w:space="0" w:color="auto"/>
          </w:divBdr>
        </w:div>
      </w:divsChild>
    </w:div>
    <w:div w:id="1544557398">
      <w:bodyDiv w:val="1"/>
      <w:marLeft w:val="0"/>
      <w:marRight w:val="0"/>
      <w:marTop w:val="0"/>
      <w:marBottom w:val="0"/>
      <w:divBdr>
        <w:top w:val="none" w:sz="0" w:space="0" w:color="auto"/>
        <w:left w:val="none" w:sz="0" w:space="0" w:color="auto"/>
        <w:bottom w:val="none" w:sz="0" w:space="0" w:color="auto"/>
        <w:right w:val="none" w:sz="0" w:space="0" w:color="auto"/>
      </w:divBdr>
      <w:divsChild>
        <w:div w:id="96559777">
          <w:marLeft w:val="1555"/>
          <w:marRight w:val="0"/>
          <w:marTop w:val="115"/>
          <w:marBottom w:val="0"/>
          <w:divBdr>
            <w:top w:val="none" w:sz="0" w:space="0" w:color="auto"/>
            <w:left w:val="none" w:sz="0" w:space="0" w:color="auto"/>
            <w:bottom w:val="none" w:sz="0" w:space="0" w:color="auto"/>
            <w:right w:val="none" w:sz="0" w:space="0" w:color="auto"/>
          </w:divBdr>
        </w:div>
        <w:div w:id="1685786779">
          <w:marLeft w:val="1555"/>
          <w:marRight w:val="0"/>
          <w:marTop w:val="115"/>
          <w:marBottom w:val="0"/>
          <w:divBdr>
            <w:top w:val="none" w:sz="0" w:space="0" w:color="auto"/>
            <w:left w:val="none" w:sz="0" w:space="0" w:color="auto"/>
            <w:bottom w:val="none" w:sz="0" w:space="0" w:color="auto"/>
            <w:right w:val="none" w:sz="0" w:space="0" w:color="auto"/>
          </w:divBdr>
        </w:div>
        <w:div w:id="1894122425">
          <w:marLeft w:val="1555"/>
          <w:marRight w:val="0"/>
          <w:marTop w:val="115"/>
          <w:marBottom w:val="0"/>
          <w:divBdr>
            <w:top w:val="none" w:sz="0" w:space="0" w:color="auto"/>
            <w:left w:val="none" w:sz="0" w:space="0" w:color="auto"/>
            <w:bottom w:val="none" w:sz="0" w:space="0" w:color="auto"/>
            <w:right w:val="none" w:sz="0" w:space="0" w:color="auto"/>
          </w:divBdr>
        </w:div>
      </w:divsChild>
    </w:div>
    <w:div w:id="1552767103">
      <w:bodyDiv w:val="1"/>
      <w:marLeft w:val="0"/>
      <w:marRight w:val="0"/>
      <w:marTop w:val="0"/>
      <w:marBottom w:val="0"/>
      <w:divBdr>
        <w:top w:val="none" w:sz="0" w:space="0" w:color="auto"/>
        <w:left w:val="none" w:sz="0" w:space="0" w:color="auto"/>
        <w:bottom w:val="none" w:sz="0" w:space="0" w:color="auto"/>
        <w:right w:val="none" w:sz="0" w:space="0" w:color="auto"/>
      </w:divBdr>
      <w:divsChild>
        <w:div w:id="479418720">
          <w:marLeft w:val="576"/>
          <w:marRight w:val="0"/>
          <w:marTop w:val="96"/>
          <w:marBottom w:val="0"/>
          <w:divBdr>
            <w:top w:val="none" w:sz="0" w:space="0" w:color="auto"/>
            <w:left w:val="none" w:sz="0" w:space="0" w:color="auto"/>
            <w:bottom w:val="none" w:sz="0" w:space="0" w:color="auto"/>
            <w:right w:val="none" w:sz="0" w:space="0" w:color="auto"/>
          </w:divBdr>
        </w:div>
        <w:div w:id="523713000">
          <w:marLeft w:val="576"/>
          <w:marRight w:val="0"/>
          <w:marTop w:val="96"/>
          <w:marBottom w:val="0"/>
          <w:divBdr>
            <w:top w:val="none" w:sz="0" w:space="0" w:color="auto"/>
            <w:left w:val="none" w:sz="0" w:space="0" w:color="auto"/>
            <w:bottom w:val="none" w:sz="0" w:space="0" w:color="auto"/>
            <w:right w:val="none" w:sz="0" w:space="0" w:color="auto"/>
          </w:divBdr>
        </w:div>
        <w:div w:id="558636124">
          <w:marLeft w:val="576"/>
          <w:marRight w:val="0"/>
          <w:marTop w:val="96"/>
          <w:marBottom w:val="0"/>
          <w:divBdr>
            <w:top w:val="none" w:sz="0" w:space="0" w:color="auto"/>
            <w:left w:val="none" w:sz="0" w:space="0" w:color="auto"/>
            <w:bottom w:val="none" w:sz="0" w:space="0" w:color="auto"/>
            <w:right w:val="none" w:sz="0" w:space="0" w:color="auto"/>
          </w:divBdr>
        </w:div>
        <w:div w:id="837234210">
          <w:marLeft w:val="576"/>
          <w:marRight w:val="0"/>
          <w:marTop w:val="96"/>
          <w:marBottom w:val="0"/>
          <w:divBdr>
            <w:top w:val="none" w:sz="0" w:space="0" w:color="auto"/>
            <w:left w:val="none" w:sz="0" w:space="0" w:color="auto"/>
            <w:bottom w:val="none" w:sz="0" w:space="0" w:color="auto"/>
            <w:right w:val="none" w:sz="0" w:space="0" w:color="auto"/>
          </w:divBdr>
        </w:div>
        <w:div w:id="1618222564">
          <w:marLeft w:val="576"/>
          <w:marRight w:val="0"/>
          <w:marTop w:val="96"/>
          <w:marBottom w:val="0"/>
          <w:divBdr>
            <w:top w:val="none" w:sz="0" w:space="0" w:color="auto"/>
            <w:left w:val="none" w:sz="0" w:space="0" w:color="auto"/>
            <w:bottom w:val="none" w:sz="0" w:space="0" w:color="auto"/>
            <w:right w:val="none" w:sz="0" w:space="0" w:color="auto"/>
          </w:divBdr>
        </w:div>
      </w:divsChild>
    </w:div>
    <w:div w:id="1561942082">
      <w:bodyDiv w:val="1"/>
      <w:marLeft w:val="0"/>
      <w:marRight w:val="0"/>
      <w:marTop w:val="0"/>
      <w:marBottom w:val="0"/>
      <w:divBdr>
        <w:top w:val="none" w:sz="0" w:space="0" w:color="auto"/>
        <w:left w:val="none" w:sz="0" w:space="0" w:color="auto"/>
        <w:bottom w:val="none" w:sz="0" w:space="0" w:color="auto"/>
        <w:right w:val="none" w:sz="0" w:space="0" w:color="auto"/>
      </w:divBdr>
      <w:divsChild>
        <w:div w:id="609313591">
          <w:marLeft w:val="0"/>
          <w:marRight w:val="0"/>
          <w:marTop w:val="0"/>
          <w:marBottom w:val="0"/>
          <w:divBdr>
            <w:top w:val="single" w:sz="24" w:space="0" w:color="FFFFFF"/>
            <w:left w:val="single" w:sz="24" w:space="0" w:color="FFFFFF"/>
            <w:bottom w:val="single" w:sz="24" w:space="0" w:color="FFFFFF"/>
            <w:right w:val="single" w:sz="24" w:space="0" w:color="FFFFFF"/>
          </w:divBdr>
          <w:divsChild>
            <w:div w:id="574898241">
              <w:marLeft w:val="0"/>
              <w:marRight w:val="0"/>
              <w:marTop w:val="0"/>
              <w:marBottom w:val="0"/>
              <w:divBdr>
                <w:top w:val="none" w:sz="0" w:space="0" w:color="auto"/>
                <w:left w:val="none" w:sz="0" w:space="0" w:color="auto"/>
                <w:bottom w:val="none" w:sz="0" w:space="0" w:color="auto"/>
                <w:right w:val="none" w:sz="0" w:space="0" w:color="auto"/>
              </w:divBdr>
              <w:divsChild>
                <w:div w:id="1068264330">
                  <w:marLeft w:val="0"/>
                  <w:marRight w:val="-4320"/>
                  <w:marTop w:val="0"/>
                  <w:marBottom w:val="0"/>
                  <w:divBdr>
                    <w:top w:val="none" w:sz="0" w:space="0" w:color="auto"/>
                    <w:left w:val="none" w:sz="0" w:space="0" w:color="auto"/>
                    <w:bottom w:val="none" w:sz="0" w:space="0" w:color="auto"/>
                    <w:right w:val="none" w:sz="0" w:space="0" w:color="auto"/>
                  </w:divBdr>
                  <w:divsChild>
                    <w:div w:id="2108646228">
                      <w:marLeft w:val="0"/>
                      <w:marRight w:val="5280"/>
                      <w:marTop w:val="360"/>
                      <w:marBottom w:val="0"/>
                      <w:divBdr>
                        <w:top w:val="none" w:sz="0" w:space="0" w:color="auto"/>
                        <w:left w:val="none" w:sz="0" w:space="0" w:color="auto"/>
                        <w:bottom w:val="none" w:sz="0" w:space="0" w:color="auto"/>
                        <w:right w:val="none" w:sz="0" w:space="0" w:color="auto"/>
                      </w:divBdr>
                      <w:divsChild>
                        <w:div w:id="888146117">
                          <w:marLeft w:val="0"/>
                          <w:marRight w:val="0"/>
                          <w:marTop w:val="0"/>
                          <w:marBottom w:val="0"/>
                          <w:divBdr>
                            <w:top w:val="none" w:sz="0" w:space="0" w:color="auto"/>
                            <w:left w:val="none" w:sz="0" w:space="0" w:color="auto"/>
                            <w:bottom w:val="none" w:sz="0" w:space="0" w:color="auto"/>
                            <w:right w:val="none" w:sz="0" w:space="0" w:color="auto"/>
                          </w:divBdr>
                          <w:divsChild>
                            <w:div w:id="9250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152395">
      <w:bodyDiv w:val="1"/>
      <w:marLeft w:val="0"/>
      <w:marRight w:val="0"/>
      <w:marTop w:val="0"/>
      <w:marBottom w:val="0"/>
      <w:divBdr>
        <w:top w:val="none" w:sz="0" w:space="0" w:color="auto"/>
        <w:left w:val="none" w:sz="0" w:space="0" w:color="auto"/>
        <w:bottom w:val="none" w:sz="0" w:space="0" w:color="auto"/>
        <w:right w:val="none" w:sz="0" w:space="0" w:color="auto"/>
      </w:divBdr>
    </w:div>
    <w:div w:id="1578974775">
      <w:bodyDiv w:val="1"/>
      <w:marLeft w:val="0"/>
      <w:marRight w:val="0"/>
      <w:marTop w:val="0"/>
      <w:marBottom w:val="0"/>
      <w:divBdr>
        <w:top w:val="none" w:sz="0" w:space="0" w:color="auto"/>
        <w:left w:val="none" w:sz="0" w:space="0" w:color="auto"/>
        <w:bottom w:val="none" w:sz="0" w:space="0" w:color="auto"/>
        <w:right w:val="none" w:sz="0" w:space="0" w:color="auto"/>
      </w:divBdr>
      <w:divsChild>
        <w:div w:id="655839518">
          <w:marLeft w:val="1008"/>
          <w:marRight w:val="0"/>
          <w:marTop w:val="110"/>
          <w:marBottom w:val="0"/>
          <w:divBdr>
            <w:top w:val="none" w:sz="0" w:space="0" w:color="auto"/>
            <w:left w:val="none" w:sz="0" w:space="0" w:color="auto"/>
            <w:bottom w:val="none" w:sz="0" w:space="0" w:color="auto"/>
            <w:right w:val="none" w:sz="0" w:space="0" w:color="auto"/>
          </w:divBdr>
        </w:div>
        <w:div w:id="2128154457">
          <w:marLeft w:val="1008"/>
          <w:marRight w:val="0"/>
          <w:marTop w:val="110"/>
          <w:marBottom w:val="0"/>
          <w:divBdr>
            <w:top w:val="none" w:sz="0" w:space="0" w:color="auto"/>
            <w:left w:val="none" w:sz="0" w:space="0" w:color="auto"/>
            <w:bottom w:val="none" w:sz="0" w:space="0" w:color="auto"/>
            <w:right w:val="none" w:sz="0" w:space="0" w:color="auto"/>
          </w:divBdr>
        </w:div>
      </w:divsChild>
    </w:div>
    <w:div w:id="1584297976">
      <w:bodyDiv w:val="1"/>
      <w:marLeft w:val="0"/>
      <w:marRight w:val="0"/>
      <w:marTop w:val="0"/>
      <w:marBottom w:val="0"/>
      <w:divBdr>
        <w:top w:val="none" w:sz="0" w:space="0" w:color="auto"/>
        <w:left w:val="none" w:sz="0" w:space="0" w:color="auto"/>
        <w:bottom w:val="none" w:sz="0" w:space="0" w:color="auto"/>
        <w:right w:val="none" w:sz="0" w:space="0" w:color="auto"/>
      </w:divBdr>
      <w:divsChild>
        <w:div w:id="317537066">
          <w:marLeft w:val="0"/>
          <w:marRight w:val="0"/>
          <w:marTop w:val="0"/>
          <w:marBottom w:val="0"/>
          <w:divBdr>
            <w:top w:val="none" w:sz="0" w:space="0" w:color="auto"/>
            <w:left w:val="none" w:sz="0" w:space="0" w:color="auto"/>
            <w:bottom w:val="none" w:sz="0" w:space="0" w:color="auto"/>
            <w:right w:val="none" w:sz="0" w:space="0" w:color="auto"/>
          </w:divBdr>
          <w:divsChild>
            <w:div w:id="169415532">
              <w:marLeft w:val="0"/>
              <w:marRight w:val="0"/>
              <w:marTop w:val="153"/>
              <w:marBottom w:val="153"/>
              <w:divBdr>
                <w:top w:val="none" w:sz="0" w:space="0" w:color="auto"/>
                <w:left w:val="none" w:sz="0" w:space="0" w:color="auto"/>
                <w:bottom w:val="none" w:sz="0" w:space="0" w:color="auto"/>
                <w:right w:val="none" w:sz="0" w:space="0" w:color="auto"/>
              </w:divBdr>
              <w:divsChild>
                <w:div w:id="1679189409">
                  <w:marLeft w:val="0"/>
                  <w:marRight w:val="0"/>
                  <w:marTop w:val="0"/>
                  <w:marBottom w:val="0"/>
                  <w:divBdr>
                    <w:top w:val="none" w:sz="0" w:space="0" w:color="auto"/>
                    <w:left w:val="none" w:sz="0" w:space="0" w:color="auto"/>
                    <w:bottom w:val="none" w:sz="0" w:space="0" w:color="auto"/>
                    <w:right w:val="none" w:sz="0" w:space="0" w:color="auto"/>
                  </w:divBdr>
                  <w:divsChild>
                    <w:div w:id="619000227">
                      <w:marLeft w:val="0"/>
                      <w:marRight w:val="0"/>
                      <w:marTop w:val="0"/>
                      <w:marBottom w:val="0"/>
                      <w:divBdr>
                        <w:top w:val="none" w:sz="0" w:space="0" w:color="auto"/>
                        <w:left w:val="none" w:sz="0" w:space="0" w:color="auto"/>
                        <w:bottom w:val="none" w:sz="0" w:space="0" w:color="auto"/>
                        <w:right w:val="none" w:sz="0" w:space="0" w:color="auto"/>
                      </w:divBdr>
                      <w:divsChild>
                        <w:div w:id="23217878">
                          <w:marLeft w:val="0"/>
                          <w:marRight w:val="0"/>
                          <w:marTop w:val="0"/>
                          <w:marBottom w:val="0"/>
                          <w:divBdr>
                            <w:top w:val="none" w:sz="0" w:space="0" w:color="auto"/>
                            <w:left w:val="none" w:sz="0" w:space="0" w:color="auto"/>
                            <w:bottom w:val="none" w:sz="0" w:space="0" w:color="auto"/>
                            <w:right w:val="none" w:sz="0" w:space="0" w:color="auto"/>
                          </w:divBdr>
                          <w:divsChild>
                            <w:div w:id="1150054798">
                              <w:marLeft w:val="0"/>
                              <w:marRight w:val="0"/>
                              <w:marTop w:val="0"/>
                              <w:marBottom w:val="0"/>
                              <w:divBdr>
                                <w:top w:val="none" w:sz="0" w:space="0" w:color="auto"/>
                                <w:left w:val="none" w:sz="0" w:space="0" w:color="auto"/>
                                <w:bottom w:val="none" w:sz="0" w:space="0" w:color="auto"/>
                                <w:right w:val="none" w:sz="0" w:space="0" w:color="auto"/>
                              </w:divBdr>
                              <w:divsChild>
                                <w:div w:id="2010060820">
                                  <w:marLeft w:val="0"/>
                                  <w:marRight w:val="0"/>
                                  <w:marTop w:val="0"/>
                                  <w:marBottom w:val="0"/>
                                  <w:divBdr>
                                    <w:top w:val="none" w:sz="0" w:space="0" w:color="auto"/>
                                    <w:left w:val="none" w:sz="0" w:space="0" w:color="auto"/>
                                    <w:bottom w:val="none" w:sz="0" w:space="0" w:color="auto"/>
                                    <w:right w:val="none" w:sz="0" w:space="0" w:color="auto"/>
                                  </w:divBdr>
                                  <w:divsChild>
                                    <w:div w:id="17976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435907">
      <w:bodyDiv w:val="1"/>
      <w:marLeft w:val="0"/>
      <w:marRight w:val="0"/>
      <w:marTop w:val="0"/>
      <w:marBottom w:val="0"/>
      <w:divBdr>
        <w:top w:val="none" w:sz="0" w:space="0" w:color="auto"/>
        <w:left w:val="none" w:sz="0" w:space="0" w:color="auto"/>
        <w:bottom w:val="none" w:sz="0" w:space="0" w:color="auto"/>
        <w:right w:val="none" w:sz="0" w:space="0" w:color="auto"/>
      </w:divBdr>
      <w:divsChild>
        <w:div w:id="1198930450">
          <w:marLeft w:val="0"/>
          <w:marRight w:val="0"/>
          <w:marTop w:val="0"/>
          <w:marBottom w:val="0"/>
          <w:divBdr>
            <w:top w:val="none" w:sz="0" w:space="0" w:color="auto"/>
            <w:left w:val="none" w:sz="0" w:space="0" w:color="auto"/>
            <w:bottom w:val="none" w:sz="0" w:space="0" w:color="auto"/>
            <w:right w:val="none" w:sz="0" w:space="0" w:color="auto"/>
          </w:divBdr>
          <w:divsChild>
            <w:div w:id="992561686">
              <w:marLeft w:val="77"/>
              <w:marRight w:val="38"/>
              <w:marTop w:val="38"/>
              <w:marBottom w:val="38"/>
              <w:divBdr>
                <w:top w:val="none" w:sz="0" w:space="0" w:color="auto"/>
                <w:left w:val="none" w:sz="0" w:space="0" w:color="auto"/>
                <w:bottom w:val="none" w:sz="0" w:space="0" w:color="auto"/>
                <w:right w:val="none" w:sz="0" w:space="0" w:color="auto"/>
              </w:divBdr>
            </w:div>
          </w:divsChild>
        </w:div>
      </w:divsChild>
    </w:div>
    <w:div w:id="1696149789">
      <w:bodyDiv w:val="1"/>
      <w:marLeft w:val="0"/>
      <w:marRight w:val="0"/>
      <w:marTop w:val="0"/>
      <w:marBottom w:val="0"/>
      <w:divBdr>
        <w:top w:val="none" w:sz="0" w:space="0" w:color="auto"/>
        <w:left w:val="none" w:sz="0" w:space="0" w:color="auto"/>
        <w:bottom w:val="none" w:sz="0" w:space="0" w:color="auto"/>
        <w:right w:val="none" w:sz="0" w:space="0" w:color="auto"/>
      </w:divBdr>
    </w:div>
    <w:div w:id="1696617084">
      <w:bodyDiv w:val="1"/>
      <w:marLeft w:val="0"/>
      <w:marRight w:val="0"/>
      <w:marTop w:val="0"/>
      <w:marBottom w:val="0"/>
      <w:divBdr>
        <w:top w:val="none" w:sz="0" w:space="0" w:color="auto"/>
        <w:left w:val="none" w:sz="0" w:space="0" w:color="auto"/>
        <w:bottom w:val="none" w:sz="0" w:space="0" w:color="auto"/>
        <w:right w:val="none" w:sz="0" w:space="0" w:color="auto"/>
      </w:divBdr>
    </w:div>
    <w:div w:id="1702511773">
      <w:bodyDiv w:val="1"/>
      <w:marLeft w:val="0"/>
      <w:marRight w:val="0"/>
      <w:marTop w:val="0"/>
      <w:marBottom w:val="0"/>
      <w:divBdr>
        <w:top w:val="none" w:sz="0" w:space="0" w:color="auto"/>
        <w:left w:val="none" w:sz="0" w:space="0" w:color="auto"/>
        <w:bottom w:val="none" w:sz="0" w:space="0" w:color="auto"/>
        <w:right w:val="none" w:sz="0" w:space="0" w:color="auto"/>
      </w:divBdr>
    </w:div>
    <w:div w:id="1709449255">
      <w:bodyDiv w:val="1"/>
      <w:marLeft w:val="0"/>
      <w:marRight w:val="0"/>
      <w:marTop w:val="0"/>
      <w:marBottom w:val="0"/>
      <w:divBdr>
        <w:top w:val="none" w:sz="0" w:space="0" w:color="auto"/>
        <w:left w:val="none" w:sz="0" w:space="0" w:color="auto"/>
        <w:bottom w:val="none" w:sz="0" w:space="0" w:color="auto"/>
        <w:right w:val="none" w:sz="0" w:space="0" w:color="auto"/>
      </w:divBdr>
      <w:divsChild>
        <w:div w:id="1172523873">
          <w:marLeft w:val="0"/>
          <w:marRight w:val="0"/>
          <w:marTop w:val="0"/>
          <w:marBottom w:val="0"/>
          <w:divBdr>
            <w:top w:val="single" w:sz="8" w:space="1" w:color="auto"/>
            <w:left w:val="single" w:sz="8" w:space="4" w:color="auto"/>
            <w:bottom w:val="single" w:sz="8" w:space="1" w:color="auto"/>
            <w:right w:val="single" w:sz="8" w:space="4" w:color="auto"/>
          </w:divBdr>
        </w:div>
      </w:divsChild>
    </w:div>
    <w:div w:id="1725444029">
      <w:bodyDiv w:val="1"/>
      <w:marLeft w:val="0"/>
      <w:marRight w:val="0"/>
      <w:marTop w:val="0"/>
      <w:marBottom w:val="0"/>
      <w:divBdr>
        <w:top w:val="none" w:sz="0" w:space="0" w:color="auto"/>
        <w:left w:val="none" w:sz="0" w:space="0" w:color="auto"/>
        <w:bottom w:val="none" w:sz="0" w:space="0" w:color="auto"/>
        <w:right w:val="none" w:sz="0" w:space="0" w:color="auto"/>
      </w:divBdr>
    </w:div>
    <w:div w:id="1760442036">
      <w:bodyDiv w:val="1"/>
      <w:marLeft w:val="0"/>
      <w:marRight w:val="0"/>
      <w:marTop w:val="0"/>
      <w:marBottom w:val="0"/>
      <w:divBdr>
        <w:top w:val="none" w:sz="0" w:space="0" w:color="auto"/>
        <w:left w:val="none" w:sz="0" w:space="0" w:color="auto"/>
        <w:bottom w:val="none" w:sz="0" w:space="0" w:color="auto"/>
        <w:right w:val="none" w:sz="0" w:space="0" w:color="auto"/>
      </w:divBdr>
      <w:divsChild>
        <w:div w:id="582765543">
          <w:marLeft w:val="0"/>
          <w:marRight w:val="0"/>
          <w:marTop w:val="0"/>
          <w:marBottom w:val="0"/>
          <w:divBdr>
            <w:top w:val="none" w:sz="0" w:space="0" w:color="auto"/>
            <w:left w:val="none" w:sz="0" w:space="0" w:color="auto"/>
            <w:bottom w:val="none" w:sz="0" w:space="0" w:color="auto"/>
            <w:right w:val="none" w:sz="0" w:space="0" w:color="auto"/>
          </w:divBdr>
          <w:divsChild>
            <w:div w:id="801112655">
              <w:marLeft w:val="0"/>
              <w:marRight w:val="0"/>
              <w:marTop w:val="0"/>
              <w:marBottom w:val="0"/>
              <w:divBdr>
                <w:top w:val="none" w:sz="0" w:space="0" w:color="auto"/>
                <w:left w:val="none" w:sz="0" w:space="0" w:color="auto"/>
                <w:bottom w:val="none" w:sz="0" w:space="0" w:color="auto"/>
                <w:right w:val="none" w:sz="0" w:space="0" w:color="auto"/>
              </w:divBdr>
              <w:divsChild>
                <w:div w:id="13046419">
                  <w:marLeft w:val="0"/>
                  <w:marRight w:val="0"/>
                  <w:marTop w:val="0"/>
                  <w:marBottom w:val="0"/>
                  <w:divBdr>
                    <w:top w:val="none" w:sz="0" w:space="0" w:color="auto"/>
                    <w:left w:val="none" w:sz="0" w:space="0" w:color="auto"/>
                    <w:bottom w:val="none" w:sz="0" w:space="0" w:color="auto"/>
                    <w:right w:val="none" w:sz="0" w:space="0" w:color="auto"/>
                  </w:divBdr>
                  <w:divsChild>
                    <w:div w:id="669914333">
                      <w:marLeft w:val="0"/>
                      <w:marRight w:val="0"/>
                      <w:marTop w:val="0"/>
                      <w:marBottom w:val="0"/>
                      <w:divBdr>
                        <w:top w:val="none" w:sz="0" w:space="0" w:color="auto"/>
                        <w:left w:val="none" w:sz="0" w:space="0" w:color="auto"/>
                        <w:bottom w:val="none" w:sz="0" w:space="0" w:color="auto"/>
                        <w:right w:val="none" w:sz="0" w:space="0" w:color="auto"/>
                      </w:divBdr>
                      <w:divsChild>
                        <w:div w:id="852954230">
                          <w:marLeft w:val="0"/>
                          <w:marRight w:val="0"/>
                          <w:marTop w:val="0"/>
                          <w:marBottom w:val="0"/>
                          <w:divBdr>
                            <w:top w:val="none" w:sz="0" w:space="0" w:color="auto"/>
                            <w:left w:val="none" w:sz="0" w:space="0" w:color="auto"/>
                            <w:bottom w:val="none" w:sz="0" w:space="0" w:color="auto"/>
                            <w:right w:val="none" w:sz="0" w:space="0" w:color="auto"/>
                          </w:divBdr>
                          <w:divsChild>
                            <w:div w:id="376440764">
                              <w:marLeft w:val="0"/>
                              <w:marRight w:val="0"/>
                              <w:marTop w:val="0"/>
                              <w:marBottom w:val="0"/>
                              <w:divBdr>
                                <w:top w:val="none" w:sz="0" w:space="0" w:color="auto"/>
                                <w:left w:val="none" w:sz="0" w:space="0" w:color="auto"/>
                                <w:bottom w:val="none" w:sz="0" w:space="0" w:color="auto"/>
                                <w:right w:val="none" w:sz="0" w:space="0" w:color="auto"/>
                              </w:divBdr>
                              <w:divsChild>
                                <w:div w:id="679818721">
                                  <w:marLeft w:val="0"/>
                                  <w:marRight w:val="0"/>
                                  <w:marTop w:val="0"/>
                                  <w:marBottom w:val="0"/>
                                  <w:divBdr>
                                    <w:top w:val="none" w:sz="0" w:space="0" w:color="auto"/>
                                    <w:left w:val="none" w:sz="0" w:space="0" w:color="auto"/>
                                    <w:bottom w:val="none" w:sz="0" w:space="0" w:color="auto"/>
                                    <w:right w:val="none" w:sz="0" w:space="0" w:color="auto"/>
                                  </w:divBdr>
                                  <w:divsChild>
                                    <w:div w:id="1290473517">
                                      <w:marLeft w:val="0"/>
                                      <w:marRight w:val="0"/>
                                      <w:marTop w:val="0"/>
                                      <w:marBottom w:val="0"/>
                                      <w:divBdr>
                                        <w:top w:val="none" w:sz="0" w:space="0" w:color="auto"/>
                                        <w:left w:val="none" w:sz="0" w:space="0" w:color="auto"/>
                                        <w:bottom w:val="none" w:sz="0" w:space="0" w:color="auto"/>
                                        <w:right w:val="none" w:sz="0" w:space="0" w:color="auto"/>
                                      </w:divBdr>
                                      <w:divsChild>
                                        <w:div w:id="1979914867">
                                          <w:marLeft w:val="0"/>
                                          <w:marRight w:val="0"/>
                                          <w:marTop w:val="0"/>
                                          <w:marBottom w:val="0"/>
                                          <w:divBdr>
                                            <w:top w:val="none" w:sz="0" w:space="0" w:color="auto"/>
                                            <w:left w:val="none" w:sz="0" w:space="0" w:color="auto"/>
                                            <w:bottom w:val="none" w:sz="0" w:space="0" w:color="auto"/>
                                            <w:right w:val="none" w:sz="0" w:space="0" w:color="auto"/>
                                          </w:divBdr>
                                          <w:divsChild>
                                            <w:div w:id="201602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6346408">
      <w:bodyDiv w:val="1"/>
      <w:marLeft w:val="0"/>
      <w:marRight w:val="0"/>
      <w:marTop w:val="0"/>
      <w:marBottom w:val="0"/>
      <w:divBdr>
        <w:top w:val="none" w:sz="0" w:space="0" w:color="auto"/>
        <w:left w:val="none" w:sz="0" w:space="0" w:color="auto"/>
        <w:bottom w:val="none" w:sz="0" w:space="0" w:color="auto"/>
        <w:right w:val="none" w:sz="0" w:space="0" w:color="auto"/>
      </w:divBdr>
      <w:divsChild>
        <w:div w:id="154348323">
          <w:marLeft w:val="1008"/>
          <w:marRight w:val="0"/>
          <w:marTop w:val="110"/>
          <w:marBottom w:val="0"/>
          <w:divBdr>
            <w:top w:val="none" w:sz="0" w:space="0" w:color="auto"/>
            <w:left w:val="none" w:sz="0" w:space="0" w:color="auto"/>
            <w:bottom w:val="none" w:sz="0" w:space="0" w:color="auto"/>
            <w:right w:val="none" w:sz="0" w:space="0" w:color="auto"/>
          </w:divBdr>
        </w:div>
      </w:divsChild>
    </w:div>
    <w:div w:id="1831020733">
      <w:bodyDiv w:val="1"/>
      <w:marLeft w:val="0"/>
      <w:marRight w:val="0"/>
      <w:marTop w:val="0"/>
      <w:marBottom w:val="0"/>
      <w:divBdr>
        <w:top w:val="none" w:sz="0" w:space="0" w:color="auto"/>
        <w:left w:val="none" w:sz="0" w:space="0" w:color="auto"/>
        <w:bottom w:val="none" w:sz="0" w:space="0" w:color="auto"/>
        <w:right w:val="none" w:sz="0" w:space="0" w:color="auto"/>
      </w:divBdr>
    </w:div>
    <w:div w:id="1835337078">
      <w:bodyDiv w:val="1"/>
      <w:marLeft w:val="0"/>
      <w:marRight w:val="0"/>
      <w:marTop w:val="0"/>
      <w:marBottom w:val="0"/>
      <w:divBdr>
        <w:top w:val="none" w:sz="0" w:space="0" w:color="auto"/>
        <w:left w:val="none" w:sz="0" w:space="0" w:color="auto"/>
        <w:bottom w:val="none" w:sz="0" w:space="0" w:color="auto"/>
        <w:right w:val="none" w:sz="0" w:space="0" w:color="auto"/>
      </w:divBdr>
      <w:divsChild>
        <w:div w:id="853151905">
          <w:marLeft w:val="0"/>
          <w:marRight w:val="0"/>
          <w:marTop w:val="0"/>
          <w:marBottom w:val="0"/>
          <w:divBdr>
            <w:top w:val="none" w:sz="0" w:space="0" w:color="auto"/>
            <w:left w:val="none" w:sz="0" w:space="0" w:color="auto"/>
            <w:bottom w:val="none" w:sz="0" w:space="0" w:color="auto"/>
            <w:right w:val="none" w:sz="0" w:space="0" w:color="auto"/>
          </w:divBdr>
          <w:divsChild>
            <w:div w:id="1086340288">
              <w:marLeft w:val="0"/>
              <w:marRight w:val="0"/>
              <w:marTop w:val="0"/>
              <w:marBottom w:val="0"/>
              <w:divBdr>
                <w:top w:val="none" w:sz="0" w:space="0" w:color="auto"/>
                <w:left w:val="none" w:sz="0" w:space="0" w:color="auto"/>
                <w:bottom w:val="none" w:sz="0" w:space="0" w:color="auto"/>
                <w:right w:val="none" w:sz="0" w:space="0" w:color="auto"/>
              </w:divBdr>
              <w:divsChild>
                <w:div w:id="730268957">
                  <w:marLeft w:val="0"/>
                  <w:marRight w:val="0"/>
                  <w:marTop w:val="0"/>
                  <w:marBottom w:val="0"/>
                  <w:divBdr>
                    <w:top w:val="none" w:sz="0" w:space="0" w:color="auto"/>
                    <w:left w:val="none" w:sz="0" w:space="0" w:color="auto"/>
                    <w:bottom w:val="none" w:sz="0" w:space="0" w:color="auto"/>
                    <w:right w:val="none" w:sz="0" w:space="0" w:color="auto"/>
                  </w:divBdr>
                  <w:divsChild>
                    <w:div w:id="333532206">
                      <w:marLeft w:val="0"/>
                      <w:marRight w:val="0"/>
                      <w:marTop w:val="0"/>
                      <w:marBottom w:val="0"/>
                      <w:divBdr>
                        <w:top w:val="none" w:sz="0" w:space="0" w:color="auto"/>
                        <w:left w:val="none" w:sz="0" w:space="0" w:color="auto"/>
                        <w:bottom w:val="none" w:sz="0" w:space="0" w:color="auto"/>
                        <w:right w:val="none" w:sz="0" w:space="0" w:color="auto"/>
                      </w:divBdr>
                      <w:divsChild>
                        <w:div w:id="1756046559">
                          <w:marLeft w:val="0"/>
                          <w:marRight w:val="0"/>
                          <w:marTop w:val="0"/>
                          <w:marBottom w:val="0"/>
                          <w:divBdr>
                            <w:top w:val="none" w:sz="0" w:space="0" w:color="auto"/>
                            <w:left w:val="none" w:sz="0" w:space="0" w:color="auto"/>
                            <w:bottom w:val="none" w:sz="0" w:space="0" w:color="auto"/>
                            <w:right w:val="none" w:sz="0" w:space="0" w:color="auto"/>
                          </w:divBdr>
                          <w:divsChild>
                            <w:div w:id="16336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720880">
      <w:bodyDiv w:val="1"/>
      <w:marLeft w:val="0"/>
      <w:marRight w:val="0"/>
      <w:marTop w:val="0"/>
      <w:marBottom w:val="0"/>
      <w:divBdr>
        <w:top w:val="none" w:sz="0" w:space="0" w:color="auto"/>
        <w:left w:val="none" w:sz="0" w:space="0" w:color="auto"/>
        <w:bottom w:val="none" w:sz="0" w:space="0" w:color="auto"/>
        <w:right w:val="none" w:sz="0" w:space="0" w:color="auto"/>
      </w:divBdr>
      <w:divsChild>
        <w:div w:id="258952590">
          <w:marLeft w:val="0"/>
          <w:marRight w:val="0"/>
          <w:marTop w:val="0"/>
          <w:marBottom w:val="0"/>
          <w:divBdr>
            <w:top w:val="none" w:sz="0" w:space="0" w:color="auto"/>
            <w:left w:val="none" w:sz="0" w:space="0" w:color="auto"/>
            <w:bottom w:val="none" w:sz="0" w:space="0" w:color="auto"/>
            <w:right w:val="none" w:sz="0" w:space="0" w:color="auto"/>
          </w:divBdr>
        </w:div>
      </w:divsChild>
    </w:div>
    <w:div w:id="1888495182">
      <w:bodyDiv w:val="1"/>
      <w:marLeft w:val="0"/>
      <w:marRight w:val="0"/>
      <w:marTop w:val="0"/>
      <w:marBottom w:val="0"/>
      <w:divBdr>
        <w:top w:val="none" w:sz="0" w:space="0" w:color="auto"/>
        <w:left w:val="none" w:sz="0" w:space="0" w:color="auto"/>
        <w:bottom w:val="none" w:sz="0" w:space="0" w:color="auto"/>
        <w:right w:val="none" w:sz="0" w:space="0" w:color="auto"/>
      </w:divBdr>
      <w:divsChild>
        <w:div w:id="54594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74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233479">
      <w:bodyDiv w:val="1"/>
      <w:marLeft w:val="0"/>
      <w:marRight w:val="0"/>
      <w:marTop w:val="0"/>
      <w:marBottom w:val="0"/>
      <w:divBdr>
        <w:top w:val="none" w:sz="0" w:space="0" w:color="auto"/>
        <w:left w:val="none" w:sz="0" w:space="0" w:color="auto"/>
        <w:bottom w:val="none" w:sz="0" w:space="0" w:color="auto"/>
        <w:right w:val="none" w:sz="0" w:space="0" w:color="auto"/>
      </w:divBdr>
    </w:div>
    <w:div w:id="1920095735">
      <w:bodyDiv w:val="1"/>
      <w:marLeft w:val="0"/>
      <w:marRight w:val="0"/>
      <w:marTop w:val="0"/>
      <w:marBottom w:val="0"/>
      <w:divBdr>
        <w:top w:val="none" w:sz="0" w:space="0" w:color="auto"/>
        <w:left w:val="none" w:sz="0" w:space="0" w:color="auto"/>
        <w:bottom w:val="none" w:sz="0" w:space="0" w:color="auto"/>
        <w:right w:val="none" w:sz="0" w:space="0" w:color="auto"/>
      </w:divBdr>
      <w:divsChild>
        <w:div w:id="38865664">
          <w:marLeft w:val="1008"/>
          <w:marRight w:val="0"/>
          <w:marTop w:val="110"/>
          <w:marBottom w:val="0"/>
          <w:divBdr>
            <w:top w:val="none" w:sz="0" w:space="0" w:color="auto"/>
            <w:left w:val="none" w:sz="0" w:space="0" w:color="auto"/>
            <w:bottom w:val="none" w:sz="0" w:space="0" w:color="auto"/>
            <w:right w:val="none" w:sz="0" w:space="0" w:color="auto"/>
          </w:divBdr>
        </w:div>
        <w:div w:id="273825647">
          <w:marLeft w:val="504"/>
          <w:marRight w:val="0"/>
          <w:marTop w:val="140"/>
          <w:marBottom w:val="0"/>
          <w:divBdr>
            <w:top w:val="none" w:sz="0" w:space="0" w:color="auto"/>
            <w:left w:val="none" w:sz="0" w:space="0" w:color="auto"/>
            <w:bottom w:val="none" w:sz="0" w:space="0" w:color="auto"/>
            <w:right w:val="none" w:sz="0" w:space="0" w:color="auto"/>
          </w:divBdr>
        </w:div>
        <w:div w:id="437339895">
          <w:marLeft w:val="1008"/>
          <w:marRight w:val="0"/>
          <w:marTop w:val="110"/>
          <w:marBottom w:val="0"/>
          <w:divBdr>
            <w:top w:val="none" w:sz="0" w:space="0" w:color="auto"/>
            <w:left w:val="none" w:sz="0" w:space="0" w:color="auto"/>
            <w:bottom w:val="none" w:sz="0" w:space="0" w:color="auto"/>
            <w:right w:val="none" w:sz="0" w:space="0" w:color="auto"/>
          </w:divBdr>
        </w:div>
        <w:div w:id="477722923">
          <w:marLeft w:val="1008"/>
          <w:marRight w:val="0"/>
          <w:marTop w:val="110"/>
          <w:marBottom w:val="0"/>
          <w:divBdr>
            <w:top w:val="none" w:sz="0" w:space="0" w:color="auto"/>
            <w:left w:val="none" w:sz="0" w:space="0" w:color="auto"/>
            <w:bottom w:val="none" w:sz="0" w:space="0" w:color="auto"/>
            <w:right w:val="none" w:sz="0" w:space="0" w:color="auto"/>
          </w:divBdr>
        </w:div>
        <w:div w:id="535893457">
          <w:marLeft w:val="504"/>
          <w:marRight w:val="0"/>
          <w:marTop w:val="140"/>
          <w:marBottom w:val="0"/>
          <w:divBdr>
            <w:top w:val="none" w:sz="0" w:space="0" w:color="auto"/>
            <w:left w:val="none" w:sz="0" w:space="0" w:color="auto"/>
            <w:bottom w:val="none" w:sz="0" w:space="0" w:color="auto"/>
            <w:right w:val="none" w:sz="0" w:space="0" w:color="auto"/>
          </w:divBdr>
        </w:div>
        <w:div w:id="676005371">
          <w:marLeft w:val="1008"/>
          <w:marRight w:val="0"/>
          <w:marTop w:val="110"/>
          <w:marBottom w:val="0"/>
          <w:divBdr>
            <w:top w:val="none" w:sz="0" w:space="0" w:color="auto"/>
            <w:left w:val="none" w:sz="0" w:space="0" w:color="auto"/>
            <w:bottom w:val="none" w:sz="0" w:space="0" w:color="auto"/>
            <w:right w:val="none" w:sz="0" w:space="0" w:color="auto"/>
          </w:divBdr>
        </w:div>
        <w:div w:id="1112820143">
          <w:marLeft w:val="504"/>
          <w:marRight w:val="0"/>
          <w:marTop w:val="140"/>
          <w:marBottom w:val="0"/>
          <w:divBdr>
            <w:top w:val="none" w:sz="0" w:space="0" w:color="auto"/>
            <w:left w:val="none" w:sz="0" w:space="0" w:color="auto"/>
            <w:bottom w:val="none" w:sz="0" w:space="0" w:color="auto"/>
            <w:right w:val="none" w:sz="0" w:space="0" w:color="auto"/>
          </w:divBdr>
        </w:div>
        <w:div w:id="1230968790">
          <w:marLeft w:val="1008"/>
          <w:marRight w:val="0"/>
          <w:marTop w:val="110"/>
          <w:marBottom w:val="0"/>
          <w:divBdr>
            <w:top w:val="none" w:sz="0" w:space="0" w:color="auto"/>
            <w:left w:val="none" w:sz="0" w:space="0" w:color="auto"/>
            <w:bottom w:val="none" w:sz="0" w:space="0" w:color="auto"/>
            <w:right w:val="none" w:sz="0" w:space="0" w:color="auto"/>
          </w:divBdr>
        </w:div>
        <w:div w:id="1707095197">
          <w:marLeft w:val="1008"/>
          <w:marRight w:val="0"/>
          <w:marTop w:val="110"/>
          <w:marBottom w:val="0"/>
          <w:divBdr>
            <w:top w:val="none" w:sz="0" w:space="0" w:color="auto"/>
            <w:left w:val="none" w:sz="0" w:space="0" w:color="auto"/>
            <w:bottom w:val="none" w:sz="0" w:space="0" w:color="auto"/>
            <w:right w:val="none" w:sz="0" w:space="0" w:color="auto"/>
          </w:divBdr>
        </w:div>
        <w:div w:id="1996685899">
          <w:marLeft w:val="1008"/>
          <w:marRight w:val="0"/>
          <w:marTop w:val="110"/>
          <w:marBottom w:val="0"/>
          <w:divBdr>
            <w:top w:val="none" w:sz="0" w:space="0" w:color="auto"/>
            <w:left w:val="none" w:sz="0" w:space="0" w:color="auto"/>
            <w:bottom w:val="none" w:sz="0" w:space="0" w:color="auto"/>
            <w:right w:val="none" w:sz="0" w:space="0" w:color="auto"/>
          </w:divBdr>
        </w:div>
        <w:div w:id="2079477613">
          <w:marLeft w:val="1008"/>
          <w:marRight w:val="0"/>
          <w:marTop w:val="110"/>
          <w:marBottom w:val="0"/>
          <w:divBdr>
            <w:top w:val="none" w:sz="0" w:space="0" w:color="auto"/>
            <w:left w:val="none" w:sz="0" w:space="0" w:color="auto"/>
            <w:bottom w:val="none" w:sz="0" w:space="0" w:color="auto"/>
            <w:right w:val="none" w:sz="0" w:space="0" w:color="auto"/>
          </w:divBdr>
        </w:div>
        <w:div w:id="2114670204">
          <w:marLeft w:val="1008"/>
          <w:marRight w:val="0"/>
          <w:marTop w:val="110"/>
          <w:marBottom w:val="0"/>
          <w:divBdr>
            <w:top w:val="none" w:sz="0" w:space="0" w:color="auto"/>
            <w:left w:val="none" w:sz="0" w:space="0" w:color="auto"/>
            <w:bottom w:val="none" w:sz="0" w:space="0" w:color="auto"/>
            <w:right w:val="none" w:sz="0" w:space="0" w:color="auto"/>
          </w:divBdr>
        </w:div>
      </w:divsChild>
    </w:div>
    <w:div w:id="1943610468">
      <w:bodyDiv w:val="1"/>
      <w:marLeft w:val="0"/>
      <w:marRight w:val="0"/>
      <w:marTop w:val="0"/>
      <w:marBottom w:val="0"/>
      <w:divBdr>
        <w:top w:val="none" w:sz="0" w:space="0" w:color="auto"/>
        <w:left w:val="none" w:sz="0" w:space="0" w:color="auto"/>
        <w:bottom w:val="none" w:sz="0" w:space="0" w:color="auto"/>
        <w:right w:val="none" w:sz="0" w:space="0" w:color="auto"/>
      </w:divBdr>
      <w:divsChild>
        <w:div w:id="878585635">
          <w:marLeft w:val="0"/>
          <w:marRight w:val="0"/>
          <w:marTop w:val="0"/>
          <w:marBottom w:val="0"/>
          <w:divBdr>
            <w:top w:val="none" w:sz="0" w:space="0" w:color="auto"/>
            <w:left w:val="none" w:sz="0" w:space="0" w:color="auto"/>
            <w:bottom w:val="none" w:sz="0" w:space="0" w:color="auto"/>
            <w:right w:val="none" w:sz="0" w:space="0" w:color="auto"/>
          </w:divBdr>
          <w:divsChild>
            <w:div w:id="1851946614">
              <w:marLeft w:val="0"/>
              <w:marRight w:val="0"/>
              <w:marTop w:val="0"/>
              <w:marBottom w:val="0"/>
              <w:divBdr>
                <w:top w:val="none" w:sz="0" w:space="0" w:color="auto"/>
                <w:left w:val="none" w:sz="0" w:space="0" w:color="auto"/>
                <w:bottom w:val="none" w:sz="0" w:space="0" w:color="auto"/>
                <w:right w:val="none" w:sz="0" w:space="0" w:color="auto"/>
              </w:divBdr>
              <w:divsChild>
                <w:div w:id="872502527">
                  <w:marLeft w:val="0"/>
                  <w:marRight w:val="0"/>
                  <w:marTop w:val="0"/>
                  <w:marBottom w:val="0"/>
                  <w:divBdr>
                    <w:top w:val="none" w:sz="0" w:space="0" w:color="auto"/>
                    <w:left w:val="none" w:sz="0" w:space="0" w:color="auto"/>
                    <w:bottom w:val="none" w:sz="0" w:space="0" w:color="auto"/>
                    <w:right w:val="none" w:sz="0" w:space="0" w:color="auto"/>
                  </w:divBdr>
                  <w:divsChild>
                    <w:div w:id="251665294">
                      <w:marLeft w:val="0"/>
                      <w:marRight w:val="0"/>
                      <w:marTop w:val="0"/>
                      <w:marBottom w:val="0"/>
                      <w:divBdr>
                        <w:top w:val="none" w:sz="0" w:space="0" w:color="auto"/>
                        <w:left w:val="none" w:sz="0" w:space="0" w:color="auto"/>
                        <w:bottom w:val="none" w:sz="0" w:space="0" w:color="auto"/>
                        <w:right w:val="none" w:sz="0" w:space="0" w:color="auto"/>
                      </w:divBdr>
                      <w:divsChild>
                        <w:div w:id="804077870">
                          <w:marLeft w:val="0"/>
                          <w:marRight w:val="0"/>
                          <w:marTop w:val="0"/>
                          <w:marBottom w:val="0"/>
                          <w:divBdr>
                            <w:top w:val="none" w:sz="0" w:space="0" w:color="auto"/>
                            <w:left w:val="none" w:sz="0" w:space="0" w:color="auto"/>
                            <w:bottom w:val="none" w:sz="0" w:space="0" w:color="auto"/>
                            <w:right w:val="none" w:sz="0" w:space="0" w:color="auto"/>
                          </w:divBdr>
                          <w:divsChild>
                            <w:div w:id="1724596753">
                              <w:marLeft w:val="0"/>
                              <w:marRight w:val="0"/>
                              <w:marTop w:val="0"/>
                              <w:marBottom w:val="0"/>
                              <w:divBdr>
                                <w:top w:val="none" w:sz="0" w:space="0" w:color="auto"/>
                                <w:left w:val="none" w:sz="0" w:space="0" w:color="auto"/>
                                <w:bottom w:val="none" w:sz="0" w:space="0" w:color="auto"/>
                                <w:right w:val="none" w:sz="0" w:space="0" w:color="auto"/>
                              </w:divBdr>
                              <w:divsChild>
                                <w:div w:id="608780455">
                                  <w:marLeft w:val="0"/>
                                  <w:marRight w:val="0"/>
                                  <w:marTop w:val="0"/>
                                  <w:marBottom w:val="0"/>
                                  <w:divBdr>
                                    <w:top w:val="none" w:sz="0" w:space="0" w:color="auto"/>
                                    <w:left w:val="none" w:sz="0" w:space="0" w:color="auto"/>
                                    <w:bottom w:val="none" w:sz="0" w:space="0" w:color="auto"/>
                                    <w:right w:val="none" w:sz="0" w:space="0" w:color="auto"/>
                                  </w:divBdr>
                                  <w:divsChild>
                                    <w:div w:id="1479614514">
                                      <w:marLeft w:val="0"/>
                                      <w:marRight w:val="0"/>
                                      <w:marTop w:val="0"/>
                                      <w:marBottom w:val="0"/>
                                      <w:divBdr>
                                        <w:top w:val="none" w:sz="0" w:space="0" w:color="auto"/>
                                        <w:left w:val="none" w:sz="0" w:space="0" w:color="auto"/>
                                        <w:bottom w:val="none" w:sz="0" w:space="0" w:color="auto"/>
                                        <w:right w:val="none" w:sz="0" w:space="0" w:color="auto"/>
                                      </w:divBdr>
                                      <w:divsChild>
                                        <w:div w:id="1257131466">
                                          <w:marLeft w:val="0"/>
                                          <w:marRight w:val="0"/>
                                          <w:marTop w:val="0"/>
                                          <w:marBottom w:val="0"/>
                                          <w:divBdr>
                                            <w:top w:val="none" w:sz="0" w:space="0" w:color="auto"/>
                                            <w:left w:val="none" w:sz="0" w:space="0" w:color="auto"/>
                                            <w:bottom w:val="none" w:sz="0" w:space="0" w:color="auto"/>
                                            <w:right w:val="none" w:sz="0" w:space="0" w:color="auto"/>
                                          </w:divBdr>
                                          <w:divsChild>
                                            <w:div w:id="7777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414238">
      <w:bodyDiv w:val="1"/>
      <w:marLeft w:val="0"/>
      <w:marRight w:val="0"/>
      <w:marTop w:val="0"/>
      <w:marBottom w:val="0"/>
      <w:divBdr>
        <w:top w:val="none" w:sz="0" w:space="0" w:color="auto"/>
        <w:left w:val="none" w:sz="0" w:space="0" w:color="auto"/>
        <w:bottom w:val="none" w:sz="0" w:space="0" w:color="auto"/>
        <w:right w:val="none" w:sz="0" w:space="0" w:color="auto"/>
      </w:divBdr>
    </w:div>
    <w:div w:id="2091346904">
      <w:bodyDiv w:val="1"/>
      <w:marLeft w:val="0"/>
      <w:marRight w:val="0"/>
      <w:marTop w:val="0"/>
      <w:marBottom w:val="0"/>
      <w:divBdr>
        <w:top w:val="none" w:sz="0" w:space="0" w:color="auto"/>
        <w:left w:val="none" w:sz="0" w:space="0" w:color="auto"/>
        <w:bottom w:val="none" w:sz="0" w:space="0" w:color="auto"/>
        <w:right w:val="none" w:sz="0" w:space="0" w:color="auto"/>
      </w:divBdr>
    </w:div>
    <w:div w:id="214075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footer" Target="footer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e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chart" Target="charts/chart1.xml"/><Relationship Id="rId30" Type="http://schemas.openxmlformats.org/officeDocument/2006/relationships/image" Target="media/image11.png"/><Relationship Id="rId35"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web.worldbank.org/WBSITE/EXTERNAL/TOPICS/EXTPOVERTY/EXTISPMA/0,,menuPK:384336~pagePK:149018~piPK:149093~theSitePK:384329,00.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cuments\0.%20En%20cours...%20Burkina\ii.%20Social%20Safety%20Net%20Review\Burkina%20Filets%20Sociaux%20-%20final10071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cuments\0.%20En%20cours...%20Burkina\ii.%20Social%20Safety%20Net%20Review\Burkina%20Filets%20Sociaux%20-%20final1007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1"/>
          <c:order val="0"/>
          <c:tx>
            <c:strRef>
              <c:f>Summary!$A$5</c:f>
              <c:strCache>
                <c:ptCount val="1"/>
                <c:pt idx="0">
                  <c:v>1. Cash and near-cash transfers</c:v>
                </c:pt>
              </c:strCache>
            </c:strRef>
          </c:tx>
          <c:spPr>
            <a:solidFill>
              <a:schemeClr val="accent1"/>
            </a:solidFill>
            <a:ln>
              <a:noFill/>
            </a:ln>
          </c:spPr>
          <c:cat>
            <c:numRef>
              <c:f>Summary!$B$4:$G$4</c:f>
              <c:numCache>
                <c:formatCode>General</c:formatCode>
                <c:ptCount val="6"/>
                <c:pt idx="0">
                  <c:v>2005</c:v>
                </c:pt>
                <c:pt idx="1">
                  <c:v>2006</c:v>
                </c:pt>
                <c:pt idx="2">
                  <c:v>2007</c:v>
                </c:pt>
                <c:pt idx="3">
                  <c:v>2008</c:v>
                </c:pt>
                <c:pt idx="4">
                  <c:v>2009</c:v>
                </c:pt>
                <c:pt idx="5">
                  <c:v>2010</c:v>
                </c:pt>
              </c:numCache>
            </c:numRef>
          </c:cat>
          <c:val>
            <c:numRef>
              <c:f>Summary!$B$5:$G$5</c:f>
              <c:numCache>
                <c:formatCode>_-* #,##0\ _€_-;\-* #,##0\ _€_-;_-* "-"??\ _€_-;_-@_-</c:formatCode>
                <c:ptCount val="6"/>
                <c:pt idx="0">
                  <c:v>0</c:v>
                </c:pt>
                <c:pt idx="1">
                  <c:v>0</c:v>
                </c:pt>
                <c:pt idx="2">
                  <c:v>0</c:v>
                </c:pt>
                <c:pt idx="3">
                  <c:v>283.68399999999963</c:v>
                </c:pt>
                <c:pt idx="4">
                  <c:v>9021.3190000000013</c:v>
                </c:pt>
                <c:pt idx="5">
                  <c:v>4358.8978189999998</c:v>
                </c:pt>
              </c:numCache>
            </c:numRef>
          </c:val>
        </c:ser>
        <c:ser>
          <c:idx val="3"/>
          <c:order val="1"/>
          <c:tx>
            <c:strRef>
              <c:f>Summary!$A$7</c:f>
              <c:strCache>
                <c:ptCount val="1"/>
                <c:pt idx="0">
                  <c:v>2.1 Targeted subsidized food sales</c:v>
                </c:pt>
              </c:strCache>
            </c:strRef>
          </c:tx>
          <c:spPr>
            <a:solidFill>
              <a:schemeClr val="accent2"/>
            </a:solidFill>
          </c:spPr>
          <c:cat>
            <c:numRef>
              <c:f>Summary!$B$4:$G$4</c:f>
              <c:numCache>
                <c:formatCode>General</c:formatCode>
                <c:ptCount val="6"/>
                <c:pt idx="0">
                  <c:v>2005</c:v>
                </c:pt>
                <c:pt idx="1">
                  <c:v>2006</c:v>
                </c:pt>
                <c:pt idx="2">
                  <c:v>2007</c:v>
                </c:pt>
                <c:pt idx="3">
                  <c:v>2008</c:v>
                </c:pt>
                <c:pt idx="4">
                  <c:v>2009</c:v>
                </c:pt>
                <c:pt idx="5">
                  <c:v>2010</c:v>
                </c:pt>
              </c:numCache>
            </c:numRef>
          </c:cat>
          <c:val>
            <c:numRef>
              <c:f>Summary!$B$7:$G$7</c:f>
              <c:numCache>
                <c:formatCode>_-* #,##0\ _€_-;\-* #,##0\ _€_-;_-* "-"??\ _€_-;_-@_-</c:formatCode>
                <c:ptCount val="6"/>
                <c:pt idx="0">
                  <c:v>0</c:v>
                </c:pt>
                <c:pt idx="1">
                  <c:v>247.5</c:v>
                </c:pt>
                <c:pt idx="2">
                  <c:v>239.154</c:v>
                </c:pt>
                <c:pt idx="3">
                  <c:v>1644.1289999999999</c:v>
                </c:pt>
                <c:pt idx="4">
                  <c:v>2144.1289999999854</c:v>
                </c:pt>
                <c:pt idx="5">
                  <c:v>2144.1289999999854</c:v>
                </c:pt>
              </c:numCache>
            </c:numRef>
          </c:val>
        </c:ser>
        <c:ser>
          <c:idx val="4"/>
          <c:order val="2"/>
          <c:tx>
            <c:strRef>
              <c:f>Summary!$A$8</c:f>
              <c:strCache>
                <c:ptCount val="1"/>
                <c:pt idx="0">
                  <c:v>2.2 Targeted food distributions</c:v>
                </c:pt>
              </c:strCache>
            </c:strRef>
          </c:tx>
          <c:spPr>
            <a:solidFill>
              <a:schemeClr val="accent3"/>
            </a:solidFill>
          </c:spPr>
          <c:cat>
            <c:numRef>
              <c:f>Summary!$B$4:$G$4</c:f>
              <c:numCache>
                <c:formatCode>General</c:formatCode>
                <c:ptCount val="6"/>
                <c:pt idx="0">
                  <c:v>2005</c:v>
                </c:pt>
                <c:pt idx="1">
                  <c:v>2006</c:v>
                </c:pt>
                <c:pt idx="2">
                  <c:v>2007</c:v>
                </c:pt>
                <c:pt idx="3">
                  <c:v>2008</c:v>
                </c:pt>
                <c:pt idx="4">
                  <c:v>2009</c:v>
                </c:pt>
                <c:pt idx="5">
                  <c:v>2010</c:v>
                </c:pt>
              </c:numCache>
            </c:numRef>
          </c:cat>
          <c:val>
            <c:numRef>
              <c:f>Summary!$B$8:$G$8</c:f>
              <c:numCache>
                <c:formatCode>_-* #,##0\ _€_-;\-* #,##0\ _€_-;_-* "-"??\ _€_-;_-@_-</c:formatCode>
                <c:ptCount val="6"/>
                <c:pt idx="0">
                  <c:v>272.54909299999997</c:v>
                </c:pt>
                <c:pt idx="1">
                  <c:v>1399.5490930000001</c:v>
                </c:pt>
                <c:pt idx="2">
                  <c:v>557.54909299999997</c:v>
                </c:pt>
                <c:pt idx="3">
                  <c:v>406.54909299999997</c:v>
                </c:pt>
                <c:pt idx="4">
                  <c:v>496.54909299999997</c:v>
                </c:pt>
                <c:pt idx="5">
                  <c:v>562.54909299999997</c:v>
                </c:pt>
              </c:numCache>
            </c:numRef>
          </c:val>
        </c:ser>
        <c:ser>
          <c:idx val="5"/>
          <c:order val="3"/>
          <c:tx>
            <c:strRef>
              <c:f>Summary!$A$9</c:f>
              <c:strCache>
                <c:ptCount val="1"/>
                <c:pt idx="0">
                  <c:v>2.3 Nutrition</c:v>
                </c:pt>
              </c:strCache>
            </c:strRef>
          </c:tx>
          <c:spPr>
            <a:solidFill>
              <a:schemeClr val="accent4"/>
            </a:solidFill>
          </c:spPr>
          <c:cat>
            <c:numRef>
              <c:f>Summary!$B$4:$G$4</c:f>
              <c:numCache>
                <c:formatCode>General</c:formatCode>
                <c:ptCount val="6"/>
                <c:pt idx="0">
                  <c:v>2005</c:v>
                </c:pt>
                <c:pt idx="1">
                  <c:v>2006</c:v>
                </c:pt>
                <c:pt idx="2">
                  <c:v>2007</c:v>
                </c:pt>
                <c:pt idx="3">
                  <c:v>2008</c:v>
                </c:pt>
                <c:pt idx="4">
                  <c:v>2009</c:v>
                </c:pt>
                <c:pt idx="5">
                  <c:v>2010</c:v>
                </c:pt>
              </c:numCache>
            </c:numRef>
          </c:cat>
          <c:val>
            <c:numRef>
              <c:f>Summary!$B$9:$G$9</c:f>
              <c:numCache>
                <c:formatCode>_-* #,##0\ _€_-;\-* #,##0\ _€_-;_-* "-"??\ _€_-;_-@_-</c:formatCode>
                <c:ptCount val="6"/>
                <c:pt idx="0">
                  <c:v>0</c:v>
                </c:pt>
                <c:pt idx="1">
                  <c:v>1940</c:v>
                </c:pt>
                <c:pt idx="2">
                  <c:v>5872.6</c:v>
                </c:pt>
                <c:pt idx="3">
                  <c:v>12000.5</c:v>
                </c:pt>
                <c:pt idx="4">
                  <c:v>13770.8</c:v>
                </c:pt>
                <c:pt idx="5">
                  <c:v>12692.4</c:v>
                </c:pt>
              </c:numCache>
            </c:numRef>
          </c:val>
        </c:ser>
        <c:ser>
          <c:idx val="6"/>
          <c:order val="4"/>
          <c:tx>
            <c:strRef>
              <c:f>Summary!$A$10</c:f>
              <c:strCache>
                <c:ptCount val="1"/>
                <c:pt idx="0">
                  <c:v>2.4 School feeding</c:v>
                </c:pt>
              </c:strCache>
            </c:strRef>
          </c:tx>
          <c:spPr>
            <a:solidFill>
              <a:schemeClr val="accent5"/>
            </a:solidFill>
          </c:spPr>
          <c:cat>
            <c:numRef>
              <c:f>Summary!$B$4:$G$4</c:f>
              <c:numCache>
                <c:formatCode>General</c:formatCode>
                <c:ptCount val="6"/>
                <c:pt idx="0">
                  <c:v>2005</c:v>
                </c:pt>
                <c:pt idx="1">
                  <c:v>2006</c:v>
                </c:pt>
                <c:pt idx="2">
                  <c:v>2007</c:v>
                </c:pt>
                <c:pt idx="3">
                  <c:v>2008</c:v>
                </c:pt>
                <c:pt idx="4">
                  <c:v>2009</c:v>
                </c:pt>
                <c:pt idx="5">
                  <c:v>2010</c:v>
                </c:pt>
              </c:numCache>
            </c:numRef>
          </c:cat>
          <c:val>
            <c:numRef>
              <c:f>Summary!$B$10:$G$10</c:f>
              <c:numCache>
                <c:formatCode>_-* #,##0\ _€_-;\-* #,##0\ _€_-;_-* "-"??\ _€_-;_-@_-</c:formatCode>
                <c:ptCount val="6"/>
                <c:pt idx="0">
                  <c:v>7105.8526300000321</c:v>
                </c:pt>
                <c:pt idx="1">
                  <c:v>7608.3166070000034</c:v>
                </c:pt>
                <c:pt idx="2">
                  <c:v>7090.2351509999999</c:v>
                </c:pt>
                <c:pt idx="3">
                  <c:v>8079.1170060000004</c:v>
                </c:pt>
                <c:pt idx="4">
                  <c:v>8635.1343259999994</c:v>
                </c:pt>
                <c:pt idx="5">
                  <c:v>19314.992992000021</c:v>
                </c:pt>
              </c:numCache>
            </c:numRef>
          </c:val>
        </c:ser>
        <c:ser>
          <c:idx val="10"/>
          <c:order val="5"/>
          <c:tx>
            <c:strRef>
              <c:f>Summary!$A$14</c:f>
              <c:strCache>
                <c:ptCount val="1"/>
                <c:pt idx="0">
                  <c:v>4. Public works</c:v>
                </c:pt>
              </c:strCache>
            </c:strRef>
          </c:tx>
          <c:spPr>
            <a:solidFill>
              <a:schemeClr val="accent6"/>
            </a:solidFill>
          </c:spPr>
          <c:cat>
            <c:numRef>
              <c:f>Summary!$B$4:$G$4</c:f>
              <c:numCache>
                <c:formatCode>General</c:formatCode>
                <c:ptCount val="6"/>
                <c:pt idx="0">
                  <c:v>2005</c:v>
                </c:pt>
                <c:pt idx="1">
                  <c:v>2006</c:v>
                </c:pt>
                <c:pt idx="2">
                  <c:v>2007</c:v>
                </c:pt>
                <c:pt idx="3">
                  <c:v>2008</c:v>
                </c:pt>
                <c:pt idx="4">
                  <c:v>2009</c:v>
                </c:pt>
                <c:pt idx="5">
                  <c:v>2010</c:v>
                </c:pt>
              </c:numCache>
            </c:numRef>
          </c:cat>
          <c:val>
            <c:numRef>
              <c:f>Summary!$B$14:$G$14</c:f>
              <c:numCache>
                <c:formatCode>_-* #,##0\ _€_-;\-* #,##0\ _€_-;_-* "-"??\ _€_-;_-@_-</c:formatCode>
                <c:ptCount val="6"/>
                <c:pt idx="0">
                  <c:v>945.38396027778185</c:v>
                </c:pt>
                <c:pt idx="1">
                  <c:v>864.77777777778374</c:v>
                </c:pt>
                <c:pt idx="2">
                  <c:v>650.77777777778374</c:v>
                </c:pt>
                <c:pt idx="3">
                  <c:v>1074.7777777777869</c:v>
                </c:pt>
                <c:pt idx="4">
                  <c:v>771.77777777778374</c:v>
                </c:pt>
                <c:pt idx="5">
                  <c:v>912.77777777778374</c:v>
                </c:pt>
              </c:numCache>
            </c:numRef>
          </c:val>
        </c:ser>
        <c:ser>
          <c:idx val="12"/>
          <c:order val="6"/>
          <c:tx>
            <c:strRef>
              <c:f>Summary!$A$16</c:f>
              <c:strCache>
                <c:ptCount val="1"/>
                <c:pt idx="0">
                  <c:v>5.1 Fee waivers for health</c:v>
                </c:pt>
              </c:strCache>
            </c:strRef>
          </c:tx>
          <c:cat>
            <c:numRef>
              <c:f>Summary!$B$4:$G$4</c:f>
              <c:numCache>
                <c:formatCode>General</c:formatCode>
                <c:ptCount val="6"/>
                <c:pt idx="0">
                  <c:v>2005</c:v>
                </c:pt>
                <c:pt idx="1">
                  <c:v>2006</c:v>
                </c:pt>
                <c:pt idx="2">
                  <c:v>2007</c:v>
                </c:pt>
                <c:pt idx="3">
                  <c:v>2008</c:v>
                </c:pt>
                <c:pt idx="4">
                  <c:v>2009</c:v>
                </c:pt>
                <c:pt idx="5">
                  <c:v>2010</c:v>
                </c:pt>
              </c:numCache>
            </c:numRef>
          </c:cat>
          <c:val>
            <c:numRef>
              <c:f>Summary!$B$16:$G$16</c:f>
              <c:numCache>
                <c:formatCode>_-* #,##0\ _€_-;\-* #,##0\ _€_-;_-* "-"??\ _€_-;_-@_-</c:formatCode>
                <c:ptCount val="6"/>
                <c:pt idx="0">
                  <c:v>0</c:v>
                </c:pt>
                <c:pt idx="1">
                  <c:v>0</c:v>
                </c:pt>
                <c:pt idx="2">
                  <c:v>310.5</c:v>
                </c:pt>
                <c:pt idx="3">
                  <c:v>1162.05</c:v>
                </c:pt>
                <c:pt idx="4">
                  <c:v>1248.7</c:v>
                </c:pt>
                <c:pt idx="5">
                  <c:v>1117.5</c:v>
                </c:pt>
              </c:numCache>
            </c:numRef>
          </c:val>
        </c:ser>
        <c:ser>
          <c:idx val="7"/>
          <c:order val="7"/>
          <c:tx>
            <c:strRef>
              <c:f>Summary!$A$11</c:f>
              <c:strCache>
                <c:ptCount val="1"/>
                <c:pt idx="0">
                  <c:v>3. Universal subsidies</c:v>
                </c:pt>
              </c:strCache>
            </c:strRef>
          </c:tx>
          <c:spPr>
            <a:solidFill>
              <a:schemeClr val="bg1">
                <a:lumMod val="65000"/>
              </a:schemeClr>
            </a:solidFill>
            <a:ln>
              <a:noFill/>
            </a:ln>
          </c:spPr>
          <c:cat>
            <c:numRef>
              <c:f>Summary!$B$4:$G$4</c:f>
              <c:numCache>
                <c:formatCode>General</c:formatCode>
                <c:ptCount val="6"/>
                <c:pt idx="0">
                  <c:v>2005</c:v>
                </c:pt>
                <c:pt idx="1">
                  <c:v>2006</c:v>
                </c:pt>
                <c:pt idx="2">
                  <c:v>2007</c:v>
                </c:pt>
                <c:pt idx="3">
                  <c:v>2008</c:v>
                </c:pt>
                <c:pt idx="4">
                  <c:v>2009</c:v>
                </c:pt>
                <c:pt idx="5">
                  <c:v>2010</c:v>
                </c:pt>
              </c:numCache>
            </c:numRef>
          </c:cat>
          <c:val>
            <c:numRef>
              <c:f>Summary!$B$11:$G$11</c:f>
              <c:numCache>
                <c:formatCode>_-* #,##0\ _€_-;\-* #,##0\ _€_-;_-* "-"??\ _€_-;_-@_-</c:formatCode>
                <c:ptCount val="6"/>
                <c:pt idx="0">
                  <c:v>16726</c:v>
                </c:pt>
                <c:pt idx="1">
                  <c:v>21999</c:v>
                </c:pt>
                <c:pt idx="2">
                  <c:v>23757</c:v>
                </c:pt>
                <c:pt idx="3">
                  <c:v>26340</c:v>
                </c:pt>
                <c:pt idx="4">
                  <c:v>21730</c:v>
                </c:pt>
                <c:pt idx="5">
                  <c:v>24500</c:v>
                </c:pt>
              </c:numCache>
            </c:numRef>
          </c:val>
        </c:ser>
        <c:overlap val="100"/>
        <c:axId val="46523136"/>
        <c:axId val="46524672"/>
      </c:barChart>
      <c:catAx>
        <c:axId val="46523136"/>
        <c:scaling>
          <c:orientation val="minMax"/>
        </c:scaling>
        <c:axPos val="b"/>
        <c:numFmt formatCode="General" sourceLinked="1"/>
        <c:tickLblPos val="nextTo"/>
        <c:crossAx val="46524672"/>
        <c:crosses val="autoZero"/>
        <c:auto val="1"/>
        <c:lblAlgn val="ctr"/>
        <c:lblOffset val="100"/>
      </c:catAx>
      <c:valAx>
        <c:axId val="46524672"/>
        <c:scaling>
          <c:orientation val="minMax"/>
        </c:scaling>
        <c:axPos val="l"/>
        <c:majorGridlines/>
        <c:numFmt formatCode="_-* #,##0\ _€_-;\-* #,##0\ _€_-;_-* &quot;-&quot;??\ _€_-;_-@_-" sourceLinked="1"/>
        <c:tickLblPos val="nextTo"/>
        <c:crossAx val="46523136"/>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Graphiques!$B$3</c:f>
              <c:strCache>
                <c:ptCount val="1"/>
                <c:pt idx="0">
                  <c:v>Nombre annuel indicatif de bénéficiaires</c:v>
                </c:pt>
              </c:strCache>
            </c:strRef>
          </c:tx>
          <c:dLbls>
            <c:dLbl>
              <c:idx val="0"/>
              <c:layout>
                <c:manualLayout>
                  <c:x val="0.13623281645142768"/>
                  <c:y val="6.1302766737222014E-2"/>
                </c:manualLayout>
              </c:layout>
              <c:tx>
                <c:rich>
                  <a:bodyPr/>
                  <a:lstStyle/>
                  <a:p>
                    <a:pPr>
                      <a:defRPr/>
                    </a:pPr>
                    <a:r>
                      <a:rPr lang="en-US"/>
                      <a:t>Transferts monétaires et quasi-monétaires</a:t>
                    </a:r>
                  </a:p>
                </c:rich>
              </c:tx>
              <c:spPr/>
              <c:showCatName val="1"/>
            </c:dLbl>
            <c:dLbl>
              <c:idx val="1"/>
              <c:layout>
                <c:manualLayout>
                  <c:x val="2.3024169934792848E-2"/>
                  <c:y val="-4.3781994031411774E-2"/>
                </c:manualLayout>
              </c:layout>
              <c:tx>
                <c:rich>
                  <a:bodyPr/>
                  <a:lstStyle/>
                  <a:p>
                    <a:pPr>
                      <a:defRPr/>
                    </a:pPr>
                    <a:r>
                      <a:rPr lang="en-US"/>
                      <a:t>Ventes de denrées à prix social</a:t>
                    </a:r>
                  </a:p>
                </c:rich>
              </c:tx>
              <c:spPr/>
              <c:showCatName val="1"/>
            </c:dLbl>
            <c:dLbl>
              <c:idx val="2"/>
              <c:tx>
                <c:rich>
                  <a:bodyPr/>
                  <a:lstStyle/>
                  <a:p>
                    <a:pPr>
                      <a:defRPr/>
                    </a:pPr>
                    <a:r>
                      <a:rPr lang="en-US"/>
                      <a:t>Distributions alimentaires ciblées</a:t>
                    </a:r>
                  </a:p>
                </c:rich>
              </c:tx>
              <c:spPr/>
              <c:showCatName val="1"/>
            </c:dLbl>
            <c:dLbl>
              <c:idx val="3"/>
              <c:layout>
                <c:manualLayout>
                  <c:x val="-4.2430528073072321E-2"/>
                  <c:y val="-3.863517060367487E-2"/>
                </c:manualLayout>
              </c:layout>
              <c:tx>
                <c:rich>
                  <a:bodyPr/>
                  <a:lstStyle/>
                  <a:p>
                    <a:pPr>
                      <a:defRPr/>
                    </a:pPr>
                    <a:r>
                      <a:rPr lang="en-US"/>
                      <a:t>Nutrition</a:t>
                    </a:r>
                  </a:p>
                </c:rich>
              </c:tx>
              <c:spPr/>
              <c:showCatName val="1"/>
            </c:dLbl>
            <c:dLbl>
              <c:idx val="4"/>
              <c:layout>
                <c:manualLayout>
                  <c:x val="-2.1769173580327015E-2"/>
                  <c:y val="2.7772089949971341E-2"/>
                </c:manualLayout>
              </c:layout>
              <c:tx>
                <c:rich>
                  <a:bodyPr/>
                  <a:lstStyle/>
                  <a:p>
                    <a:pPr>
                      <a:defRPr/>
                    </a:pPr>
                    <a:r>
                      <a:rPr lang="en-US"/>
                      <a:t>Cantines scolaires </a:t>
                    </a:r>
                  </a:p>
                </c:rich>
              </c:tx>
              <c:spPr/>
              <c:showCatName val="1"/>
            </c:dLbl>
            <c:dLbl>
              <c:idx val="5"/>
              <c:tx>
                <c:rich>
                  <a:bodyPr/>
                  <a:lstStyle/>
                  <a:p>
                    <a:pPr>
                      <a:defRPr/>
                    </a:pPr>
                    <a:r>
                      <a:rPr lang="en-US"/>
                      <a:t>Travaux publics</a:t>
                    </a:r>
                  </a:p>
                </c:rich>
              </c:tx>
              <c:spPr/>
              <c:showCatName val="1"/>
            </c:dLbl>
            <c:dLbl>
              <c:idx val="6"/>
              <c:layout>
                <c:manualLayout>
                  <c:x val="0.15885281818157371"/>
                  <c:y val="0"/>
                </c:manualLayout>
              </c:layout>
              <c:tx>
                <c:rich>
                  <a:bodyPr/>
                  <a:lstStyle/>
                  <a:p>
                    <a:pPr>
                      <a:defRPr/>
                    </a:pPr>
                    <a:r>
                      <a:rPr lang="en-US"/>
                      <a:t>Dispenses des frais de santé</a:t>
                    </a:r>
                  </a:p>
                </c:rich>
              </c:tx>
              <c:spPr/>
              <c:showCatName val="1"/>
            </c:dLbl>
            <c:showCatName val="1"/>
            <c:separator> </c:separator>
            <c:showLeaderLines val="1"/>
          </c:dLbls>
          <c:cat>
            <c:strRef>
              <c:f>Graphiques!$A$4:$A$10</c:f>
              <c:strCache>
                <c:ptCount val="7"/>
                <c:pt idx="0">
                  <c:v>Transferts monétaires et quasi-monétaires</c:v>
                </c:pt>
                <c:pt idx="1">
                  <c:v>Ventes de denrées à prix social</c:v>
                </c:pt>
                <c:pt idx="2">
                  <c:v>Distributions alimentaires ciblées</c:v>
                </c:pt>
                <c:pt idx="3">
                  <c:v>Nutrition</c:v>
                </c:pt>
                <c:pt idx="4">
                  <c:v>Cantines scolaires</c:v>
                </c:pt>
                <c:pt idx="5">
                  <c:v>Travaux publics</c:v>
                </c:pt>
                <c:pt idx="6">
                  <c:v>Dispenses des frais de santé</c:v>
                </c:pt>
              </c:strCache>
            </c:strRef>
          </c:cat>
          <c:val>
            <c:numRef>
              <c:f>Graphiques!$B$4:$B$10</c:f>
              <c:numCache>
                <c:formatCode>_-* #,##0\ _€_-;\-* #,##0\ _€_-;_-* "-"??\ _€_-;_-@_-</c:formatCode>
                <c:ptCount val="7"/>
                <c:pt idx="0">
                  <c:v>359062</c:v>
                </c:pt>
                <c:pt idx="1">
                  <c:v>1800000</c:v>
                </c:pt>
                <c:pt idx="2">
                  <c:v>95878</c:v>
                </c:pt>
                <c:pt idx="3">
                  <c:v>377362</c:v>
                </c:pt>
                <c:pt idx="4">
                  <c:v>1070649</c:v>
                </c:pt>
                <c:pt idx="5">
                  <c:v>63065</c:v>
                </c:pt>
                <c:pt idx="6">
                  <c:v>140200</c:v>
                </c:pt>
              </c:numCache>
            </c:numRef>
          </c:val>
        </c:ser>
        <c:dLbls>
          <c:showCatName val="1"/>
        </c:dLbls>
        <c:firstSliceAng val="0"/>
      </c:pieChart>
      <c:spPr>
        <a:noFill/>
        <a:ln w="25400">
          <a:noFill/>
        </a:ln>
      </c:spPr>
    </c:plotArea>
    <c:plotVisOnly val="1"/>
    <c:dispBlanksAs val="zero"/>
  </c:chart>
  <c:txPr>
    <a:bodyPr/>
    <a:lstStyle/>
    <a:p>
      <a:pPr>
        <a:defRPr>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326CF-0A65-4DC4-9EAF-53A8D242E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68806</Words>
  <Characters>392197</Characters>
  <Application>Microsoft Office Word</Application>
  <DocSecurity>0</DocSecurity>
  <Lines>3268</Lines>
  <Paragraphs>920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Mali SSN Review Chapter III Draft</vt:lpstr>
      <vt:lpstr>Mali SSN Review Chapter III Draft</vt:lpstr>
    </vt:vector>
  </TitlesOfParts>
  <Company>The World Bank Group</Company>
  <LinksUpToDate>false</LinksUpToDate>
  <CharactersWithSpaces>460083</CharactersWithSpaces>
  <SharedDoc>false</SharedDoc>
  <HLinks>
    <vt:vector size="504" baseType="variant">
      <vt:variant>
        <vt:i4>1572864</vt:i4>
      </vt:variant>
      <vt:variant>
        <vt:i4>506</vt:i4>
      </vt:variant>
      <vt:variant>
        <vt:i4>0</vt:i4>
      </vt:variant>
      <vt:variant>
        <vt:i4>5</vt:i4>
      </vt:variant>
      <vt:variant>
        <vt:lpwstr/>
      </vt:variant>
      <vt:variant>
        <vt:lpwstr>_Toc262170087</vt:lpwstr>
      </vt:variant>
      <vt:variant>
        <vt:i4>1572865</vt:i4>
      </vt:variant>
      <vt:variant>
        <vt:i4>500</vt:i4>
      </vt:variant>
      <vt:variant>
        <vt:i4>0</vt:i4>
      </vt:variant>
      <vt:variant>
        <vt:i4>5</vt:i4>
      </vt:variant>
      <vt:variant>
        <vt:lpwstr/>
      </vt:variant>
      <vt:variant>
        <vt:lpwstr>_Toc262170086</vt:lpwstr>
      </vt:variant>
      <vt:variant>
        <vt:i4>1572866</vt:i4>
      </vt:variant>
      <vt:variant>
        <vt:i4>494</vt:i4>
      </vt:variant>
      <vt:variant>
        <vt:i4>0</vt:i4>
      </vt:variant>
      <vt:variant>
        <vt:i4>5</vt:i4>
      </vt:variant>
      <vt:variant>
        <vt:lpwstr/>
      </vt:variant>
      <vt:variant>
        <vt:lpwstr>_Toc262170085</vt:lpwstr>
      </vt:variant>
      <vt:variant>
        <vt:i4>1572867</vt:i4>
      </vt:variant>
      <vt:variant>
        <vt:i4>488</vt:i4>
      </vt:variant>
      <vt:variant>
        <vt:i4>0</vt:i4>
      </vt:variant>
      <vt:variant>
        <vt:i4>5</vt:i4>
      </vt:variant>
      <vt:variant>
        <vt:lpwstr/>
      </vt:variant>
      <vt:variant>
        <vt:lpwstr>_Toc262170084</vt:lpwstr>
      </vt:variant>
      <vt:variant>
        <vt:i4>1572868</vt:i4>
      </vt:variant>
      <vt:variant>
        <vt:i4>482</vt:i4>
      </vt:variant>
      <vt:variant>
        <vt:i4>0</vt:i4>
      </vt:variant>
      <vt:variant>
        <vt:i4>5</vt:i4>
      </vt:variant>
      <vt:variant>
        <vt:lpwstr/>
      </vt:variant>
      <vt:variant>
        <vt:lpwstr>_Toc262170083</vt:lpwstr>
      </vt:variant>
      <vt:variant>
        <vt:i4>1572869</vt:i4>
      </vt:variant>
      <vt:variant>
        <vt:i4>476</vt:i4>
      </vt:variant>
      <vt:variant>
        <vt:i4>0</vt:i4>
      </vt:variant>
      <vt:variant>
        <vt:i4>5</vt:i4>
      </vt:variant>
      <vt:variant>
        <vt:lpwstr/>
      </vt:variant>
      <vt:variant>
        <vt:lpwstr>_Toc262170082</vt:lpwstr>
      </vt:variant>
      <vt:variant>
        <vt:i4>1572870</vt:i4>
      </vt:variant>
      <vt:variant>
        <vt:i4>470</vt:i4>
      </vt:variant>
      <vt:variant>
        <vt:i4>0</vt:i4>
      </vt:variant>
      <vt:variant>
        <vt:i4>5</vt:i4>
      </vt:variant>
      <vt:variant>
        <vt:lpwstr/>
      </vt:variant>
      <vt:variant>
        <vt:lpwstr>_Toc262170081</vt:lpwstr>
      </vt:variant>
      <vt:variant>
        <vt:i4>1572871</vt:i4>
      </vt:variant>
      <vt:variant>
        <vt:i4>464</vt:i4>
      </vt:variant>
      <vt:variant>
        <vt:i4>0</vt:i4>
      </vt:variant>
      <vt:variant>
        <vt:i4>5</vt:i4>
      </vt:variant>
      <vt:variant>
        <vt:lpwstr/>
      </vt:variant>
      <vt:variant>
        <vt:lpwstr>_Toc262170080</vt:lpwstr>
      </vt:variant>
      <vt:variant>
        <vt:i4>1507342</vt:i4>
      </vt:variant>
      <vt:variant>
        <vt:i4>458</vt:i4>
      </vt:variant>
      <vt:variant>
        <vt:i4>0</vt:i4>
      </vt:variant>
      <vt:variant>
        <vt:i4>5</vt:i4>
      </vt:variant>
      <vt:variant>
        <vt:lpwstr/>
      </vt:variant>
      <vt:variant>
        <vt:lpwstr>_Toc262170079</vt:lpwstr>
      </vt:variant>
      <vt:variant>
        <vt:i4>1507343</vt:i4>
      </vt:variant>
      <vt:variant>
        <vt:i4>452</vt:i4>
      </vt:variant>
      <vt:variant>
        <vt:i4>0</vt:i4>
      </vt:variant>
      <vt:variant>
        <vt:i4>5</vt:i4>
      </vt:variant>
      <vt:variant>
        <vt:lpwstr/>
      </vt:variant>
      <vt:variant>
        <vt:lpwstr>_Toc262170078</vt:lpwstr>
      </vt:variant>
      <vt:variant>
        <vt:i4>1507328</vt:i4>
      </vt:variant>
      <vt:variant>
        <vt:i4>446</vt:i4>
      </vt:variant>
      <vt:variant>
        <vt:i4>0</vt:i4>
      </vt:variant>
      <vt:variant>
        <vt:i4>5</vt:i4>
      </vt:variant>
      <vt:variant>
        <vt:lpwstr/>
      </vt:variant>
      <vt:variant>
        <vt:lpwstr>_Toc262170077</vt:lpwstr>
      </vt:variant>
      <vt:variant>
        <vt:i4>1507329</vt:i4>
      </vt:variant>
      <vt:variant>
        <vt:i4>440</vt:i4>
      </vt:variant>
      <vt:variant>
        <vt:i4>0</vt:i4>
      </vt:variant>
      <vt:variant>
        <vt:i4>5</vt:i4>
      </vt:variant>
      <vt:variant>
        <vt:lpwstr/>
      </vt:variant>
      <vt:variant>
        <vt:lpwstr>_Toc262170076</vt:lpwstr>
      </vt:variant>
      <vt:variant>
        <vt:i4>1507330</vt:i4>
      </vt:variant>
      <vt:variant>
        <vt:i4>434</vt:i4>
      </vt:variant>
      <vt:variant>
        <vt:i4>0</vt:i4>
      </vt:variant>
      <vt:variant>
        <vt:i4>5</vt:i4>
      </vt:variant>
      <vt:variant>
        <vt:lpwstr/>
      </vt:variant>
      <vt:variant>
        <vt:lpwstr>_Toc262170075</vt:lpwstr>
      </vt:variant>
      <vt:variant>
        <vt:i4>1507331</vt:i4>
      </vt:variant>
      <vt:variant>
        <vt:i4>428</vt:i4>
      </vt:variant>
      <vt:variant>
        <vt:i4>0</vt:i4>
      </vt:variant>
      <vt:variant>
        <vt:i4>5</vt:i4>
      </vt:variant>
      <vt:variant>
        <vt:lpwstr/>
      </vt:variant>
      <vt:variant>
        <vt:lpwstr>_Toc262170074</vt:lpwstr>
      </vt:variant>
      <vt:variant>
        <vt:i4>1507332</vt:i4>
      </vt:variant>
      <vt:variant>
        <vt:i4>422</vt:i4>
      </vt:variant>
      <vt:variant>
        <vt:i4>0</vt:i4>
      </vt:variant>
      <vt:variant>
        <vt:i4>5</vt:i4>
      </vt:variant>
      <vt:variant>
        <vt:lpwstr/>
      </vt:variant>
      <vt:variant>
        <vt:lpwstr>_Toc262170073</vt:lpwstr>
      </vt:variant>
      <vt:variant>
        <vt:i4>1441807</vt:i4>
      </vt:variant>
      <vt:variant>
        <vt:i4>413</vt:i4>
      </vt:variant>
      <vt:variant>
        <vt:i4>0</vt:i4>
      </vt:variant>
      <vt:variant>
        <vt:i4>5</vt:i4>
      </vt:variant>
      <vt:variant>
        <vt:lpwstr/>
      </vt:variant>
      <vt:variant>
        <vt:lpwstr>_Toc262170068</vt:lpwstr>
      </vt:variant>
      <vt:variant>
        <vt:i4>1441792</vt:i4>
      </vt:variant>
      <vt:variant>
        <vt:i4>407</vt:i4>
      </vt:variant>
      <vt:variant>
        <vt:i4>0</vt:i4>
      </vt:variant>
      <vt:variant>
        <vt:i4>5</vt:i4>
      </vt:variant>
      <vt:variant>
        <vt:lpwstr/>
      </vt:variant>
      <vt:variant>
        <vt:lpwstr>_Toc262170067</vt:lpwstr>
      </vt:variant>
      <vt:variant>
        <vt:i4>1441793</vt:i4>
      </vt:variant>
      <vt:variant>
        <vt:i4>401</vt:i4>
      </vt:variant>
      <vt:variant>
        <vt:i4>0</vt:i4>
      </vt:variant>
      <vt:variant>
        <vt:i4>5</vt:i4>
      </vt:variant>
      <vt:variant>
        <vt:lpwstr/>
      </vt:variant>
      <vt:variant>
        <vt:lpwstr>_Toc262170066</vt:lpwstr>
      </vt:variant>
      <vt:variant>
        <vt:i4>1441794</vt:i4>
      </vt:variant>
      <vt:variant>
        <vt:i4>395</vt:i4>
      </vt:variant>
      <vt:variant>
        <vt:i4>0</vt:i4>
      </vt:variant>
      <vt:variant>
        <vt:i4>5</vt:i4>
      </vt:variant>
      <vt:variant>
        <vt:lpwstr/>
      </vt:variant>
      <vt:variant>
        <vt:lpwstr>_Toc262170065</vt:lpwstr>
      </vt:variant>
      <vt:variant>
        <vt:i4>1441795</vt:i4>
      </vt:variant>
      <vt:variant>
        <vt:i4>389</vt:i4>
      </vt:variant>
      <vt:variant>
        <vt:i4>0</vt:i4>
      </vt:variant>
      <vt:variant>
        <vt:i4>5</vt:i4>
      </vt:variant>
      <vt:variant>
        <vt:lpwstr/>
      </vt:variant>
      <vt:variant>
        <vt:lpwstr>_Toc262170064</vt:lpwstr>
      </vt:variant>
      <vt:variant>
        <vt:i4>1441796</vt:i4>
      </vt:variant>
      <vt:variant>
        <vt:i4>383</vt:i4>
      </vt:variant>
      <vt:variant>
        <vt:i4>0</vt:i4>
      </vt:variant>
      <vt:variant>
        <vt:i4>5</vt:i4>
      </vt:variant>
      <vt:variant>
        <vt:lpwstr/>
      </vt:variant>
      <vt:variant>
        <vt:lpwstr>_Toc262170063</vt:lpwstr>
      </vt:variant>
      <vt:variant>
        <vt:i4>1441797</vt:i4>
      </vt:variant>
      <vt:variant>
        <vt:i4>377</vt:i4>
      </vt:variant>
      <vt:variant>
        <vt:i4>0</vt:i4>
      </vt:variant>
      <vt:variant>
        <vt:i4>5</vt:i4>
      </vt:variant>
      <vt:variant>
        <vt:lpwstr/>
      </vt:variant>
      <vt:variant>
        <vt:lpwstr>_Toc262170062</vt:lpwstr>
      </vt:variant>
      <vt:variant>
        <vt:i4>1441798</vt:i4>
      </vt:variant>
      <vt:variant>
        <vt:i4>371</vt:i4>
      </vt:variant>
      <vt:variant>
        <vt:i4>0</vt:i4>
      </vt:variant>
      <vt:variant>
        <vt:i4>5</vt:i4>
      </vt:variant>
      <vt:variant>
        <vt:lpwstr/>
      </vt:variant>
      <vt:variant>
        <vt:lpwstr>_Toc262170061</vt:lpwstr>
      </vt:variant>
      <vt:variant>
        <vt:i4>1441799</vt:i4>
      </vt:variant>
      <vt:variant>
        <vt:i4>365</vt:i4>
      </vt:variant>
      <vt:variant>
        <vt:i4>0</vt:i4>
      </vt:variant>
      <vt:variant>
        <vt:i4>5</vt:i4>
      </vt:variant>
      <vt:variant>
        <vt:lpwstr/>
      </vt:variant>
      <vt:variant>
        <vt:lpwstr>_Toc262170060</vt:lpwstr>
      </vt:variant>
      <vt:variant>
        <vt:i4>1376270</vt:i4>
      </vt:variant>
      <vt:variant>
        <vt:i4>359</vt:i4>
      </vt:variant>
      <vt:variant>
        <vt:i4>0</vt:i4>
      </vt:variant>
      <vt:variant>
        <vt:i4>5</vt:i4>
      </vt:variant>
      <vt:variant>
        <vt:lpwstr/>
      </vt:variant>
      <vt:variant>
        <vt:lpwstr>_Toc262170059</vt:lpwstr>
      </vt:variant>
      <vt:variant>
        <vt:i4>1376271</vt:i4>
      </vt:variant>
      <vt:variant>
        <vt:i4>350</vt:i4>
      </vt:variant>
      <vt:variant>
        <vt:i4>0</vt:i4>
      </vt:variant>
      <vt:variant>
        <vt:i4>5</vt:i4>
      </vt:variant>
      <vt:variant>
        <vt:lpwstr/>
      </vt:variant>
      <vt:variant>
        <vt:lpwstr>_Toc262170058</vt:lpwstr>
      </vt:variant>
      <vt:variant>
        <vt:i4>1376256</vt:i4>
      </vt:variant>
      <vt:variant>
        <vt:i4>344</vt:i4>
      </vt:variant>
      <vt:variant>
        <vt:i4>0</vt:i4>
      </vt:variant>
      <vt:variant>
        <vt:i4>5</vt:i4>
      </vt:variant>
      <vt:variant>
        <vt:lpwstr/>
      </vt:variant>
      <vt:variant>
        <vt:lpwstr>_Toc262170057</vt:lpwstr>
      </vt:variant>
      <vt:variant>
        <vt:i4>1376257</vt:i4>
      </vt:variant>
      <vt:variant>
        <vt:i4>338</vt:i4>
      </vt:variant>
      <vt:variant>
        <vt:i4>0</vt:i4>
      </vt:variant>
      <vt:variant>
        <vt:i4>5</vt:i4>
      </vt:variant>
      <vt:variant>
        <vt:lpwstr/>
      </vt:variant>
      <vt:variant>
        <vt:lpwstr>_Toc262170056</vt:lpwstr>
      </vt:variant>
      <vt:variant>
        <vt:i4>1376258</vt:i4>
      </vt:variant>
      <vt:variant>
        <vt:i4>332</vt:i4>
      </vt:variant>
      <vt:variant>
        <vt:i4>0</vt:i4>
      </vt:variant>
      <vt:variant>
        <vt:i4>5</vt:i4>
      </vt:variant>
      <vt:variant>
        <vt:lpwstr/>
      </vt:variant>
      <vt:variant>
        <vt:lpwstr>_Toc262170055</vt:lpwstr>
      </vt:variant>
      <vt:variant>
        <vt:i4>1376259</vt:i4>
      </vt:variant>
      <vt:variant>
        <vt:i4>326</vt:i4>
      </vt:variant>
      <vt:variant>
        <vt:i4>0</vt:i4>
      </vt:variant>
      <vt:variant>
        <vt:i4>5</vt:i4>
      </vt:variant>
      <vt:variant>
        <vt:lpwstr/>
      </vt:variant>
      <vt:variant>
        <vt:lpwstr>_Toc262170054</vt:lpwstr>
      </vt:variant>
      <vt:variant>
        <vt:i4>1376260</vt:i4>
      </vt:variant>
      <vt:variant>
        <vt:i4>320</vt:i4>
      </vt:variant>
      <vt:variant>
        <vt:i4>0</vt:i4>
      </vt:variant>
      <vt:variant>
        <vt:i4>5</vt:i4>
      </vt:variant>
      <vt:variant>
        <vt:lpwstr/>
      </vt:variant>
      <vt:variant>
        <vt:lpwstr>_Toc262170053</vt:lpwstr>
      </vt:variant>
      <vt:variant>
        <vt:i4>1376261</vt:i4>
      </vt:variant>
      <vt:variant>
        <vt:i4>314</vt:i4>
      </vt:variant>
      <vt:variant>
        <vt:i4>0</vt:i4>
      </vt:variant>
      <vt:variant>
        <vt:i4>5</vt:i4>
      </vt:variant>
      <vt:variant>
        <vt:lpwstr/>
      </vt:variant>
      <vt:variant>
        <vt:lpwstr>_Toc262170052</vt:lpwstr>
      </vt:variant>
      <vt:variant>
        <vt:i4>1376262</vt:i4>
      </vt:variant>
      <vt:variant>
        <vt:i4>308</vt:i4>
      </vt:variant>
      <vt:variant>
        <vt:i4>0</vt:i4>
      </vt:variant>
      <vt:variant>
        <vt:i4>5</vt:i4>
      </vt:variant>
      <vt:variant>
        <vt:lpwstr/>
      </vt:variant>
      <vt:variant>
        <vt:lpwstr>_Toc262170051</vt:lpwstr>
      </vt:variant>
      <vt:variant>
        <vt:i4>1376263</vt:i4>
      </vt:variant>
      <vt:variant>
        <vt:i4>302</vt:i4>
      </vt:variant>
      <vt:variant>
        <vt:i4>0</vt:i4>
      </vt:variant>
      <vt:variant>
        <vt:i4>5</vt:i4>
      </vt:variant>
      <vt:variant>
        <vt:lpwstr/>
      </vt:variant>
      <vt:variant>
        <vt:lpwstr>_Toc262170050</vt:lpwstr>
      </vt:variant>
      <vt:variant>
        <vt:i4>1310734</vt:i4>
      </vt:variant>
      <vt:variant>
        <vt:i4>296</vt:i4>
      </vt:variant>
      <vt:variant>
        <vt:i4>0</vt:i4>
      </vt:variant>
      <vt:variant>
        <vt:i4>5</vt:i4>
      </vt:variant>
      <vt:variant>
        <vt:lpwstr/>
      </vt:variant>
      <vt:variant>
        <vt:lpwstr>_Toc262170049</vt:lpwstr>
      </vt:variant>
      <vt:variant>
        <vt:i4>1310735</vt:i4>
      </vt:variant>
      <vt:variant>
        <vt:i4>290</vt:i4>
      </vt:variant>
      <vt:variant>
        <vt:i4>0</vt:i4>
      </vt:variant>
      <vt:variant>
        <vt:i4>5</vt:i4>
      </vt:variant>
      <vt:variant>
        <vt:lpwstr/>
      </vt:variant>
      <vt:variant>
        <vt:lpwstr>_Toc262170048</vt:lpwstr>
      </vt:variant>
      <vt:variant>
        <vt:i4>1310720</vt:i4>
      </vt:variant>
      <vt:variant>
        <vt:i4>284</vt:i4>
      </vt:variant>
      <vt:variant>
        <vt:i4>0</vt:i4>
      </vt:variant>
      <vt:variant>
        <vt:i4>5</vt:i4>
      </vt:variant>
      <vt:variant>
        <vt:lpwstr/>
      </vt:variant>
      <vt:variant>
        <vt:lpwstr>_Toc262170047</vt:lpwstr>
      </vt:variant>
      <vt:variant>
        <vt:i4>1310721</vt:i4>
      </vt:variant>
      <vt:variant>
        <vt:i4>278</vt:i4>
      </vt:variant>
      <vt:variant>
        <vt:i4>0</vt:i4>
      </vt:variant>
      <vt:variant>
        <vt:i4>5</vt:i4>
      </vt:variant>
      <vt:variant>
        <vt:lpwstr/>
      </vt:variant>
      <vt:variant>
        <vt:lpwstr>_Toc262170046</vt:lpwstr>
      </vt:variant>
      <vt:variant>
        <vt:i4>1310722</vt:i4>
      </vt:variant>
      <vt:variant>
        <vt:i4>272</vt:i4>
      </vt:variant>
      <vt:variant>
        <vt:i4>0</vt:i4>
      </vt:variant>
      <vt:variant>
        <vt:i4>5</vt:i4>
      </vt:variant>
      <vt:variant>
        <vt:lpwstr/>
      </vt:variant>
      <vt:variant>
        <vt:lpwstr>_Toc262170045</vt:lpwstr>
      </vt:variant>
      <vt:variant>
        <vt:i4>1310723</vt:i4>
      </vt:variant>
      <vt:variant>
        <vt:i4>266</vt:i4>
      </vt:variant>
      <vt:variant>
        <vt:i4>0</vt:i4>
      </vt:variant>
      <vt:variant>
        <vt:i4>5</vt:i4>
      </vt:variant>
      <vt:variant>
        <vt:lpwstr/>
      </vt:variant>
      <vt:variant>
        <vt:lpwstr>_Toc262170044</vt:lpwstr>
      </vt:variant>
      <vt:variant>
        <vt:i4>1310724</vt:i4>
      </vt:variant>
      <vt:variant>
        <vt:i4>260</vt:i4>
      </vt:variant>
      <vt:variant>
        <vt:i4>0</vt:i4>
      </vt:variant>
      <vt:variant>
        <vt:i4>5</vt:i4>
      </vt:variant>
      <vt:variant>
        <vt:lpwstr/>
      </vt:variant>
      <vt:variant>
        <vt:lpwstr>_Toc262170043</vt:lpwstr>
      </vt:variant>
      <vt:variant>
        <vt:i4>1310725</vt:i4>
      </vt:variant>
      <vt:variant>
        <vt:i4>254</vt:i4>
      </vt:variant>
      <vt:variant>
        <vt:i4>0</vt:i4>
      </vt:variant>
      <vt:variant>
        <vt:i4>5</vt:i4>
      </vt:variant>
      <vt:variant>
        <vt:lpwstr/>
      </vt:variant>
      <vt:variant>
        <vt:lpwstr>_Toc262170042</vt:lpwstr>
      </vt:variant>
      <vt:variant>
        <vt:i4>1310726</vt:i4>
      </vt:variant>
      <vt:variant>
        <vt:i4>248</vt:i4>
      </vt:variant>
      <vt:variant>
        <vt:i4>0</vt:i4>
      </vt:variant>
      <vt:variant>
        <vt:i4>5</vt:i4>
      </vt:variant>
      <vt:variant>
        <vt:lpwstr/>
      </vt:variant>
      <vt:variant>
        <vt:lpwstr>_Toc262170041</vt:lpwstr>
      </vt:variant>
      <vt:variant>
        <vt:i4>1310727</vt:i4>
      </vt:variant>
      <vt:variant>
        <vt:i4>242</vt:i4>
      </vt:variant>
      <vt:variant>
        <vt:i4>0</vt:i4>
      </vt:variant>
      <vt:variant>
        <vt:i4>5</vt:i4>
      </vt:variant>
      <vt:variant>
        <vt:lpwstr/>
      </vt:variant>
      <vt:variant>
        <vt:lpwstr>_Toc262170040</vt:lpwstr>
      </vt:variant>
      <vt:variant>
        <vt:i4>1245198</vt:i4>
      </vt:variant>
      <vt:variant>
        <vt:i4>236</vt:i4>
      </vt:variant>
      <vt:variant>
        <vt:i4>0</vt:i4>
      </vt:variant>
      <vt:variant>
        <vt:i4>5</vt:i4>
      </vt:variant>
      <vt:variant>
        <vt:lpwstr/>
      </vt:variant>
      <vt:variant>
        <vt:lpwstr>_Toc262170039</vt:lpwstr>
      </vt:variant>
      <vt:variant>
        <vt:i4>1245199</vt:i4>
      </vt:variant>
      <vt:variant>
        <vt:i4>230</vt:i4>
      </vt:variant>
      <vt:variant>
        <vt:i4>0</vt:i4>
      </vt:variant>
      <vt:variant>
        <vt:i4>5</vt:i4>
      </vt:variant>
      <vt:variant>
        <vt:lpwstr/>
      </vt:variant>
      <vt:variant>
        <vt:lpwstr>_Toc262170038</vt:lpwstr>
      </vt:variant>
      <vt:variant>
        <vt:i4>1245184</vt:i4>
      </vt:variant>
      <vt:variant>
        <vt:i4>224</vt:i4>
      </vt:variant>
      <vt:variant>
        <vt:i4>0</vt:i4>
      </vt:variant>
      <vt:variant>
        <vt:i4>5</vt:i4>
      </vt:variant>
      <vt:variant>
        <vt:lpwstr/>
      </vt:variant>
      <vt:variant>
        <vt:lpwstr>_Toc262170037</vt:lpwstr>
      </vt:variant>
      <vt:variant>
        <vt:i4>1245185</vt:i4>
      </vt:variant>
      <vt:variant>
        <vt:i4>218</vt:i4>
      </vt:variant>
      <vt:variant>
        <vt:i4>0</vt:i4>
      </vt:variant>
      <vt:variant>
        <vt:i4>5</vt:i4>
      </vt:variant>
      <vt:variant>
        <vt:lpwstr/>
      </vt:variant>
      <vt:variant>
        <vt:lpwstr>_Toc262170036</vt:lpwstr>
      </vt:variant>
      <vt:variant>
        <vt:i4>1245186</vt:i4>
      </vt:variant>
      <vt:variant>
        <vt:i4>212</vt:i4>
      </vt:variant>
      <vt:variant>
        <vt:i4>0</vt:i4>
      </vt:variant>
      <vt:variant>
        <vt:i4>5</vt:i4>
      </vt:variant>
      <vt:variant>
        <vt:lpwstr/>
      </vt:variant>
      <vt:variant>
        <vt:lpwstr>_Toc262170035</vt:lpwstr>
      </vt:variant>
      <vt:variant>
        <vt:i4>1245187</vt:i4>
      </vt:variant>
      <vt:variant>
        <vt:i4>206</vt:i4>
      </vt:variant>
      <vt:variant>
        <vt:i4>0</vt:i4>
      </vt:variant>
      <vt:variant>
        <vt:i4>5</vt:i4>
      </vt:variant>
      <vt:variant>
        <vt:lpwstr/>
      </vt:variant>
      <vt:variant>
        <vt:lpwstr>_Toc262170034</vt:lpwstr>
      </vt:variant>
      <vt:variant>
        <vt:i4>1245188</vt:i4>
      </vt:variant>
      <vt:variant>
        <vt:i4>200</vt:i4>
      </vt:variant>
      <vt:variant>
        <vt:i4>0</vt:i4>
      </vt:variant>
      <vt:variant>
        <vt:i4>5</vt:i4>
      </vt:variant>
      <vt:variant>
        <vt:lpwstr/>
      </vt:variant>
      <vt:variant>
        <vt:lpwstr>_Toc262170033</vt:lpwstr>
      </vt:variant>
      <vt:variant>
        <vt:i4>1245189</vt:i4>
      </vt:variant>
      <vt:variant>
        <vt:i4>194</vt:i4>
      </vt:variant>
      <vt:variant>
        <vt:i4>0</vt:i4>
      </vt:variant>
      <vt:variant>
        <vt:i4>5</vt:i4>
      </vt:variant>
      <vt:variant>
        <vt:lpwstr/>
      </vt:variant>
      <vt:variant>
        <vt:lpwstr>_Toc262170032</vt:lpwstr>
      </vt:variant>
      <vt:variant>
        <vt:i4>1048588</vt:i4>
      </vt:variant>
      <vt:variant>
        <vt:i4>185</vt:i4>
      </vt:variant>
      <vt:variant>
        <vt:i4>0</vt:i4>
      </vt:variant>
      <vt:variant>
        <vt:i4>5</vt:i4>
      </vt:variant>
      <vt:variant>
        <vt:lpwstr/>
      </vt:variant>
      <vt:variant>
        <vt:lpwstr>_Toc262169993</vt:lpwstr>
      </vt:variant>
      <vt:variant>
        <vt:i4>1048589</vt:i4>
      </vt:variant>
      <vt:variant>
        <vt:i4>179</vt:i4>
      </vt:variant>
      <vt:variant>
        <vt:i4>0</vt:i4>
      </vt:variant>
      <vt:variant>
        <vt:i4>5</vt:i4>
      </vt:variant>
      <vt:variant>
        <vt:lpwstr/>
      </vt:variant>
      <vt:variant>
        <vt:lpwstr>_Toc262169992</vt:lpwstr>
      </vt:variant>
      <vt:variant>
        <vt:i4>1048590</vt:i4>
      </vt:variant>
      <vt:variant>
        <vt:i4>173</vt:i4>
      </vt:variant>
      <vt:variant>
        <vt:i4>0</vt:i4>
      </vt:variant>
      <vt:variant>
        <vt:i4>5</vt:i4>
      </vt:variant>
      <vt:variant>
        <vt:lpwstr/>
      </vt:variant>
      <vt:variant>
        <vt:lpwstr>_Toc262169991</vt:lpwstr>
      </vt:variant>
      <vt:variant>
        <vt:i4>1900550</vt:i4>
      </vt:variant>
      <vt:variant>
        <vt:i4>164</vt:i4>
      </vt:variant>
      <vt:variant>
        <vt:i4>0</vt:i4>
      </vt:variant>
      <vt:variant>
        <vt:i4>5</vt:i4>
      </vt:variant>
      <vt:variant>
        <vt:lpwstr/>
      </vt:variant>
      <vt:variant>
        <vt:lpwstr>_Toc262169646</vt:lpwstr>
      </vt:variant>
      <vt:variant>
        <vt:i4>1900549</vt:i4>
      </vt:variant>
      <vt:variant>
        <vt:i4>158</vt:i4>
      </vt:variant>
      <vt:variant>
        <vt:i4>0</vt:i4>
      </vt:variant>
      <vt:variant>
        <vt:i4>5</vt:i4>
      </vt:variant>
      <vt:variant>
        <vt:lpwstr/>
      </vt:variant>
      <vt:variant>
        <vt:lpwstr>_Toc262169645</vt:lpwstr>
      </vt:variant>
      <vt:variant>
        <vt:i4>1900548</vt:i4>
      </vt:variant>
      <vt:variant>
        <vt:i4>152</vt:i4>
      </vt:variant>
      <vt:variant>
        <vt:i4>0</vt:i4>
      </vt:variant>
      <vt:variant>
        <vt:i4>5</vt:i4>
      </vt:variant>
      <vt:variant>
        <vt:lpwstr/>
      </vt:variant>
      <vt:variant>
        <vt:lpwstr>_Toc262169644</vt:lpwstr>
      </vt:variant>
      <vt:variant>
        <vt:i4>1900547</vt:i4>
      </vt:variant>
      <vt:variant>
        <vt:i4>146</vt:i4>
      </vt:variant>
      <vt:variant>
        <vt:i4>0</vt:i4>
      </vt:variant>
      <vt:variant>
        <vt:i4>5</vt:i4>
      </vt:variant>
      <vt:variant>
        <vt:lpwstr/>
      </vt:variant>
      <vt:variant>
        <vt:lpwstr>_Toc262169643</vt:lpwstr>
      </vt:variant>
      <vt:variant>
        <vt:i4>1900546</vt:i4>
      </vt:variant>
      <vt:variant>
        <vt:i4>140</vt:i4>
      </vt:variant>
      <vt:variant>
        <vt:i4>0</vt:i4>
      </vt:variant>
      <vt:variant>
        <vt:i4>5</vt:i4>
      </vt:variant>
      <vt:variant>
        <vt:lpwstr/>
      </vt:variant>
      <vt:variant>
        <vt:lpwstr>_Toc262169642</vt:lpwstr>
      </vt:variant>
      <vt:variant>
        <vt:i4>1900545</vt:i4>
      </vt:variant>
      <vt:variant>
        <vt:i4>134</vt:i4>
      </vt:variant>
      <vt:variant>
        <vt:i4>0</vt:i4>
      </vt:variant>
      <vt:variant>
        <vt:i4>5</vt:i4>
      </vt:variant>
      <vt:variant>
        <vt:lpwstr/>
      </vt:variant>
      <vt:variant>
        <vt:lpwstr>_Toc262169641</vt:lpwstr>
      </vt:variant>
      <vt:variant>
        <vt:i4>1900544</vt:i4>
      </vt:variant>
      <vt:variant>
        <vt:i4>128</vt:i4>
      </vt:variant>
      <vt:variant>
        <vt:i4>0</vt:i4>
      </vt:variant>
      <vt:variant>
        <vt:i4>5</vt:i4>
      </vt:variant>
      <vt:variant>
        <vt:lpwstr/>
      </vt:variant>
      <vt:variant>
        <vt:lpwstr>_Toc262169640</vt:lpwstr>
      </vt:variant>
      <vt:variant>
        <vt:i4>1703945</vt:i4>
      </vt:variant>
      <vt:variant>
        <vt:i4>122</vt:i4>
      </vt:variant>
      <vt:variant>
        <vt:i4>0</vt:i4>
      </vt:variant>
      <vt:variant>
        <vt:i4>5</vt:i4>
      </vt:variant>
      <vt:variant>
        <vt:lpwstr/>
      </vt:variant>
      <vt:variant>
        <vt:lpwstr>_Toc262169639</vt:lpwstr>
      </vt:variant>
      <vt:variant>
        <vt:i4>1703944</vt:i4>
      </vt:variant>
      <vt:variant>
        <vt:i4>116</vt:i4>
      </vt:variant>
      <vt:variant>
        <vt:i4>0</vt:i4>
      </vt:variant>
      <vt:variant>
        <vt:i4>5</vt:i4>
      </vt:variant>
      <vt:variant>
        <vt:lpwstr/>
      </vt:variant>
      <vt:variant>
        <vt:lpwstr>_Toc262169638</vt:lpwstr>
      </vt:variant>
      <vt:variant>
        <vt:i4>1703943</vt:i4>
      </vt:variant>
      <vt:variant>
        <vt:i4>110</vt:i4>
      </vt:variant>
      <vt:variant>
        <vt:i4>0</vt:i4>
      </vt:variant>
      <vt:variant>
        <vt:i4>5</vt:i4>
      </vt:variant>
      <vt:variant>
        <vt:lpwstr/>
      </vt:variant>
      <vt:variant>
        <vt:lpwstr>_Toc262169637</vt:lpwstr>
      </vt:variant>
      <vt:variant>
        <vt:i4>1703942</vt:i4>
      </vt:variant>
      <vt:variant>
        <vt:i4>104</vt:i4>
      </vt:variant>
      <vt:variant>
        <vt:i4>0</vt:i4>
      </vt:variant>
      <vt:variant>
        <vt:i4>5</vt:i4>
      </vt:variant>
      <vt:variant>
        <vt:lpwstr/>
      </vt:variant>
      <vt:variant>
        <vt:lpwstr>_Toc262169636</vt:lpwstr>
      </vt:variant>
      <vt:variant>
        <vt:i4>1703941</vt:i4>
      </vt:variant>
      <vt:variant>
        <vt:i4>98</vt:i4>
      </vt:variant>
      <vt:variant>
        <vt:i4>0</vt:i4>
      </vt:variant>
      <vt:variant>
        <vt:i4>5</vt:i4>
      </vt:variant>
      <vt:variant>
        <vt:lpwstr/>
      </vt:variant>
      <vt:variant>
        <vt:lpwstr>_Toc262169635</vt:lpwstr>
      </vt:variant>
      <vt:variant>
        <vt:i4>1703940</vt:i4>
      </vt:variant>
      <vt:variant>
        <vt:i4>92</vt:i4>
      </vt:variant>
      <vt:variant>
        <vt:i4>0</vt:i4>
      </vt:variant>
      <vt:variant>
        <vt:i4>5</vt:i4>
      </vt:variant>
      <vt:variant>
        <vt:lpwstr/>
      </vt:variant>
      <vt:variant>
        <vt:lpwstr>_Toc262169634</vt:lpwstr>
      </vt:variant>
      <vt:variant>
        <vt:i4>1703939</vt:i4>
      </vt:variant>
      <vt:variant>
        <vt:i4>86</vt:i4>
      </vt:variant>
      <vt:variant>
        <vt:i4>0</vt:i4>
      </vt:variant>
      <vt:variant>
        <vt:i4>5</vt:i4>
      </vt:variant>
      <vt:variant>
        <vt:lpwstr/>
      </vt:variant>
      <vt:variant>
        <vt:lpwstr>_Toc262169633</vt:lpwstr>
      </vt:variant>
      <vt:variant>
        <vt:i4>1703938</vt:i4>
      </vt:variant>
      <vt:variant>
        <vt:i4>80</vt:i4>
      </vt:variant>
      <vt:variant>
        <vt:i4>0</vt:i4>
      </vt:variant>
      <vt:variant>
        <vt:i4>5</vt:i4>
      </vt:variant>
      <vt:variant>
        <vt:lpwstr/>
      </vt:variant>
      <vt:variant>
        <vt:lpwstr>_Toc262169632</vt:lpwstr>
      </vt:variant>
      <vt:variant>
        <vt:i4>1703937</vt:i4>
      </vt:variant>
      <vt:variant>
        <vt:i4>74</vt:i4>
      </vt:variant>
      <vt:variant>
        <vt:i4>0</vt:i4>
      </vt:variant>
      <vt:variant>
        <vt:i4>5</vt:i4>
      </vt:variant>
      <vt:variant>
        <vt:lpwstr/>
      </vt:variant>
      <vt:variant>
        <vt:lpwstr>_Toc262169631</vt:lpwstr>
      </vt:variant>
      <vt:variant>
        <vt:i4>1703936</vt:i4>
      </vt:variant>
      <vt:variant>
        <vt:i4>68</vt:i4>
      </vt:variant>
      <vt:variant>
        <vt:i4>0</vt:i4>
      </vt:variant>
      <vt:variant>
        <vt:i4>5</vt:i4>
      </vt:variant>
      <vt:variant>
        <vt:lpwstr/>
      </vt:variant>
      <vt:variant>
        <vt:lpwstr>_Toc262169630</vt:lpwstr>
      </vt:variant>
      <vt:variant>
        <vt:i4>1769481</vt:i4>
      </vt:variant>
      <vt:variant>
        <vt:i4>62</vt:i4>
      </vt:variant>
      <vt:variant>
        <vt:i4>0</vt:i4>
      </vt:variant>
      <vt:variant>
        <vt:i4>5</vt:i4>
      </vt:variant>
      <vt:variant>
        <vt:lpwstr/>
      </vt:variant>
      <vt:variant>
        <vt:lpwstr>_Toc262169629</vt:lpwstr>
      </vt:variant>
      <vt:variant>
        <vt:i4>1769480</vt:i4>
      </vt:variant>
      <vt:variant>
        <vt:i4>56</vt:i4>
      </vt:variant>
      <vt:variant>
        <vt:i4>0</vt:i4>
      </vt:variant>
      <vt:variant>
        <vt:i4>5</vt:i4>
      </vt:variant>
      <vt:variant>
        <vt:lpwstr/>
      </vt:variant>
      <vt:variant>
        <vt:lpwstr>_Toc262169628</vt:lpwstr>
      </vt:variant>
      <vt:variant>
        <vt:i4>1769479</vt:i4>
      </vt:variant>
      <vt:variant>
        <vt:i4>50</vt:i4>
      </vt:variant>
      <vt:variant>
        <vt:i4>0</vt:i4>
      </vt:variant>
      <vt:variant>
        <vt:i4>5</vt:i4>
      </vt:variant>
      <vt:variant>
        <vt:lpwstr/>
      </vt:variant>
      <vt:variant>
        <vt:lpwstr>_Toc262169627</vt:lpwstr>
      </vt:variant>
      <vt:variant>
        <vt:i4>1769478</vt:i4>
      </vt:variant>
      <vt:variant>
        <vt:i4>44</vt:i4>
      </vt:variant>
      <vt:variant>
        <vt:i4>0</vt:i4>
      </vt:variant>
      <vt:variant>
        <vt:i4>5</vt:i4>
      </vt:variant>
      <vt:variant>
        <vt:lpwstr/>
      </vt:variant>
      <vt:variant>
        <vt:lpwstr>_Toc262169626</vt:lpwstr>
      </vt:variant>
      <vt:variant>
        <vt:i4>1769477</vt:i4>
      </vt:variant>
      <vt:variant>
        <vt:i4>38</vt:i4>
      </vt:variant>
      <vt:variant>
        <vt:i4>0</vt:i4>
      </vt:variant>
      <vt:variant>
        <vt:i4>5</vt:i4>
      </vt:variant>
      <vt:variant>
        <vt:lpwstr/>
      </vt:variant>
      <vt:variant>
        <vt:lpwstr>_Toc262169625</vt:lpwstr>
      </vt:variant>
      <vt:variant>
        <vt:i4>1769476</vt:i4>
      </vt:variant>
      <vt:variant>
        <vt:i4>32</vt:i4>
      </vt:variant>
      <vt:variant>
        <vt:i4>0</vt:i4>
      </vt:variant>
      <vt:variant>
        <vt:i4>5</vt:i4>
      </vt:variant>
      <vt:variant>
        <vt:lpwstr/>
      </vt:variant>
      <vt:variant>
        <vt:lpwstr>_Toc262169624</vt:lpwstr>
      </vt:variant>
      <vt:variant>
        <vt:i4>1769475</vt:i4>
      </vt:variant>
      <vt:variant>
        <vt:i4>26</vt:i4>
      </vt:variant>
      <vt:variant>
        <vt:i4>0</vt:i4>
      </vt:variant>
      <vt:variant>
        <vt:i4>5</vt:i4>
      </vt:variant>
      <vt:variant>
        <vt:lpwstr/>
      </vt:variant>
      <vt:variant>
        <vt:lpwstr>_Toc262169623</vt:lpwstr>
      </vt:variant>
      <vt:variant>
        <vt:i4>1769474</vt:i4>
      </vt:variant>
      <vt:variant>
        <vt:i4>20</vt:i4>
      </vt:variant>
      <vt:variant>
        <vt:i4>0</vt:i4>
      </vt:variant>
      <vt:variant>
        <vt:i4>5</vt:i4>
      </vt:variant>
      <vt:variant>
        <vt:lpwstr/>
      </vt:variant>
      <vt:variant>
        <vt:lpwstr>_Toc262169622</vt:lpwstr>
      </vt:variant>
      <vt:variant>
        <vt:i4>1769473</vt:i4>
      </vt:variant>
      <vt:variant>
        <vt:i4>14</vt:i4>
      </vt:variant>
      <vt:variant>
        <vt:i4>0</vt:i4>
      </vt:variant>
      <vt:variant>
        <vt:i4>5</vt:i4>
      </vt:variant>
      <vt:variant>
        <vt:lpwstr/>
      </vt:variant>
      <vt:variant>
        <vt:lpwstr>_Toc262169621</vt:lpwstr>
      </vt:variant>
      <vt:variant>
        <vt:i4>1769472</vt:i4>
      </vt:variant>
      <vt:variant>
        <vt:i4>8</vt:i4>
      </vt:variant>
      <vt:variant>
        <vt:i4>0</vt:i4>
      </vt:variant>
      <vt:variant>
        <vt:i4>5</vt:i4>
      </vt:variant>
      <vt:variant>
        <vt:lpwstr/>
      </vt:variant>
      <vt:variant>
        <vt:lpwstr>_Toc262169620</vt:lpwstr>
      </vt:variant>
      <vt:variant>
        <vt:i4>1572873</vt:i4>
      </vt:variant>
      <vt:variant>
        <vt:i4>2</vt:i4>
      </vt:variant>
      <vt:variant>
        <vt:i4>0</vt:i4>
      </vt:variant>
      <vt:variant>
        <vt:i4>5</vt:i4>
      </vt:variant>
      <vt:variant>
        <vt:lpwstr/>
      </vt:variant>
      <vt:variant>
        <vt:lpwstr>_Toc262169619</vt:lpwstr>
      </vt:variant>
      <vt:variant>
        <vt:i4>7208977</vt:i4>
      </vt:variant>
      <vt:variant>
        <vt:i4>0</vt:i4>
      </vt:variant>
      <vt:variant>
        <vt:i4>0</vt:i4>
      </vt:variant>
      <vt:variant>
        <vt:i4>5</vt:i4>
      </vt:variant>
      <vt:variant>
        <vt:lpwstr>http://web.worldbank.org/WBSITE/EXTERNAL/TOPICS/EXTPOVERTY/EXTISPMA/0,,menuPK:384336~pagePK:149018~piPK:149093~theSitePK:384329,00.html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Mali SSN Review Chapter III Draft</dc:title>
  <dc:creator>Cécile Cherrier</dc:creator>
  <dc:description>TR : JPDS - FINAL FULLY EDITED - SENT TO S. RAZMARA ON 6/21/10</dc:description>
  <cp:lastModifiedBy>wb20439</cp:lastModifiedBy>
  <cp:revision>3</cp:revision>
  <cp:lastPrinted>2011-05-02T19:24:00Z</cp:lastPrinted>
  <dcterms:created xsi:type="dcterms:W3CDTF">2011-05-02T19:24:00Z</dcterms:created>
  <dcterms:modified xsi:type="dcterms:W3CDTF">2011-05-02T19:24:00Z</dcterms:modified>
</cp:coreProperties>
</file>