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charts/chart10.xml" ContentType="application/vnd.openxmlformats-officedocument.drawingml.chart+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emf" ContentType="image/x-emf"/>
  <Override PartName="/word/diagrams/colors1.xml" ContentType="application/vnd.openxmlformats-officedocument.drawingml.diagramColors+xml"/>
  <Override PartName="/word/drawings/drawing6.xml" ContentType="application/vnd.openxmlformats-officedocument.drawingml.chartshap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drawings/drawing4.xml" ContentType="application/vnd.openxmlformats-officedocument.drawingml.chartshapes+xml"/>
  <Override PartName="/word/drawings/drawing5.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rawings/drawing1.xml" ContentType="application/vnd.openxmlformats-officedocument.drawingml.chartshapes+xml"/>
  <Override PartName="/word/drawings/drawing2.xml" ContentType="application/vnd.openxmlformats-officedocument.drawingml.chartshapes+xml"/>
  <Override PartName="/word/diagrams/drawing1.xml" ContentType="application/vnd.ms-office.drawingml.diagramDrawing+xml"/>
  <Override PartName="/word/diagrams/drawing2.xml" ContentType="application/vnd.ms-office.drawingml.diagramDrawing+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word/diagrams/layout2.xml" ContentType="application/vnd.openxmlformats-officedocument.drawingml.diagramLayou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Default Extension="png" ContentType="image/png"/>
  <Override PartName="/word/diagrams/quickStyle1.xml" ContentType="application/vnd.openxmlformats-officedocument.drawingml.diagram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1DAA" w:rsidRPr="00581DAA" w:rsidRDefault="00581DAA" w:rsidP="00581DAA">
      <w:pPr>
        <w:spacing w:after="0"/>
        <w:rPr>
          <w:rFonts w:asciiTheme="minorHAnsi" w:hAnsiTheme="minorHAnsi"/>
          <w:b/>
          <w:sz w:val="23"/>
          <w:szCs w:val="23"/>
        </w:rPr>
      </w:pPr>
      <w:r w:rsidRPr="00581DAA">
        <w:rPr>
          <w:rFonts w:asciiTheme="minorHAnsi" w:hAnsiTheme="minorHAnsi"/>
          <w:b/>
          <w:sz w:val="23"/>
          <w:szCs w:val="23"/>
        </w:rPr>
        <w:t>Report No. 70290-GE</w:t>
      </w:r>
    </w:p>
    <w:p w:rsidR="00581DAA" w:rsidRPr="00581DAA" w:rsidRDefault="00581DAA" w:rsidP="00581DAA">
      <w:pPr>
        <w:spacing w:after="0"/>
        <w:rPr>
          <w:rFonts w:asciiTheme="minorHAnsi" w:hAnsiTheme="minorHAnsi"/>
          <w:b/>
          <w:sz w:val="23"/>
          <w:szCs w:val="23"/>
        </w:rPr>
      </w:pPr>
    </w:p>
    <w:p w:rsidR="00581DAA" w:rsidRPr="00581DAA" w:rsidRDefault="00581DAA" w:rsidP="00581DAA">
      <w:pPr>
        <w:spacing w:after="0"/>
        <w:rPr>
          <w:rFonts w:asciiTheme="minorHAnsi" w:hAnsiTheme="minorHAnsi"/>
          <w:b/>
          <w:sz w:val="23"/>
          <w:szCs w:val="23"/>
        </w:rPr>
      </w:pPr>
    </w:p>
    <w:p w:rsidR="00581DAA" w:rsidRPr="00581DAA" w:rsidRDefault="00581DAA" w:rsidP="00581DAA">
      <w:pPr>
        <w:spacing w:after="0"/>
        <w:rPr>
          <w:rFonts w:asciiTheme="minorHAnsi" w:hAnsiTheme="minorHAnsi"/>
          <w:b/>
          <w:sz w:val="23"/>
          <w:szCs w:val="23"/>
        </w:rPr>
      </w:pPr>
    </w:p>
    <w:p w:rsidR="00581DAA" w:rsidRPr="00581DAA" w:rsidRDefault="00581DAA" w:rsidP="00581DAA">
      <w:pPr>
        <w:spacing w:after="0"/>
        <w:rPr>
          <w:rFonts w:asciiTheme="minorHAnsi" w:hAnsiTheme="minorHAnsi"/>
          <w:b/>
          <w:sz w:val="23"/>
          <w:szCs w:val="23"/>
        </w:rPr>
      </w:pPr>
    </w:p>
    <w:p w:rsidR="00581DAA" w:rsidRPr="00581DAA" w:rsidRDefault="00581DAA" w:rsidP="00581DAA">
      <w:pPr>
        <w:pBdr>
          <w:bottom w:val="single" w:sz="4" w:space="1" w:color="auto"/>
        </w:pBdr>
        <w:spacing w:after="0"/>
        <w:contextualSpacing/>
        <w:jc w:val="left"/>
        <w:rPr>
          <w:rFonts w:asciiTheme="majorHAnsi" w:eastAsiaTheme="majorEastAsia" w:hAnsiTheme="majorHAnsi" w:cstheme="majorBidi"/>
          <w:sz w:val="52"/>
          <w:szCs w:val="52"/>
        </w:rPr>
      </w:pPr>
      <w:r w:rsidRPr="00581DAA">
        <w:rPr>
          <w:rFonts w:asciiTheme="majorHAnsi" w:eastAsiaTheme="majorEastAsia" w:hAnsiTheme="majorHAnsi" w:cstheme="majorBidi"/>
          <w:sz w:val="52"/>
          <w:szCs w:val="52"/>
        </w:rPr>
        <w:t xml:space="preserve">A Policy Framework for </w:t>
      </w:r>
    </w:p>
    <w:p w:rsidR="00581DAA" w:rsidRPr="00581DAA" w:rsidRDefault="00581DAA" w:rsidP="00581DAA">
      <w:pPr>
        <w:pBdr>
          <w:bottom w:val="single" w:sz="4" w:space="1" w:color="auto"/>
        </w:pBdr>
        <w:spacing w:after="0"/>
        <w:contextualSpacing/>
        <w:jc w:val="left"/>
        <w:rPr>
          <w:rFonts w:asciiTheme="majorHAnsi" w:eastAsiaTheme="majorEastAsia" w:hAnsiTheme="majorHAnsi" w:cstheme="majorBidi"/>
          <w:sz w:val="52"/>
          <w:szCs w:val="52"/>
        </w:rPr>
      </w:pPr>
      <w:r w:rsidRPr="00581DAA">
        <w:rPr>
          <w:rFonts w:asciiTheme="majorHAnsi" w:eastAsiaTheme="majorEastAsia" w:hAnsiTheme="majorHAnsi" w:cstheme="majorBidi"/>
          <w:sz w:val="52"/>
          <w:szCs w:val="52"/>
        </w:rPr>
        <w:t>Green Transportation in Georgia</w:t>
      </w:r>
    </w:p>
    <w:p w:rsidR="00581DAA" w:rsidRPr="00581DAA" w:rsidRDefault="00581DAA" w:rsidP="00581DAA">
      <w:pPr>
        <w:spacing w:after="0"/>
        <w:rPr>
          <w:rFonts w:asciiTheme="majorHAnsi" w:eastAsiaTheme="majorEastAsia" w:hAnsiTheme="majorHAnsi" w:cstheme="majorBidi"/>
          <w:i/>
          <w:iCs/>
          <w:sz w:val="26"/>
          <w:szCs w:val="26"/>
        </w:rPr>
      </w:pPr>
    </w:p>
    <w:p w:rsidR="00581DAA" w:rsidRPr="00581DAA" w:rsidRDefault="00581DAA" w:rsidP="00581DAA">
      <w:pPr>
        <w:spacing w:after="0"/>
        <w:rPr>
          <w:sz w:val="30"/>
          <w:szCs w:val="30"/>
        </w:rPr>
      </w:pPr>
      <w:r w:rsidRPr="00581DAA">
        <w:rPr>
          <w:sz w:val="30"/>
          <w:szCs w:val="30"/>
        </w:rPr>
        <w:t>Achieving Reforms and Building Infrastructure for Sustainability</w:t>
      </w:r>
    </w:p>
    <w:p w:rsidR="00581DAA" w:rsidRPr="00581DAA" w:rsidRDefault="00581DAA" w:rsidP="00581DAA">
      <w:pPr>
        <w:spacing w:after="0"/>
        <w:rPr>
          <w:rFonts w:asciiTheme="minorHAnsi" w:hAnsiTheme="minorHAnsi"/>
          <w:sz w:val="26"/>
          <w:szCs w:val="26"/>
        </w:rPr>
      </w:pPr>
    </w:p>
    <w:p w:rsidR="00581DAA" w:rsidRPr="00581DAA" w:rsidRDefault="00581DAA" w:rsidP="00581DAA">
      <w:pPr>
        <w:spacing w:after="0"/>
        <w:rPr>
          <w:rFonts w:asciiTheme="minorHAnsi" w:hAnsiTheme="minorHAnsi"/>
          <w:sz w:val="26"/>
          <w:szCs w:val="26"/>
        </w:rPr>
      </w:pPr>
    </w:p>
    <w:p w:rsidR="00581DAA" w:rsidRPr="00581DAA" w:rsidRDefault="00581DAA" w:rsidP="00581DAA">
      <w:pPr>
        <w:spacing w:after="0"/>
        <w:rPr>
          <w:rFonts w:asciiTheme="minorHAnsi" w:hAnsiTheme="minorHAnsi"/>
          <w:sz w:val="26"/>
          <w:szCs w:val="26"/>
        </w:rPr>
      </w:pPr>
    </w:p>
    <w:p w:rsidR="00581DAA" w:rsidRPr="00581DAA" w:rsidRDefault="00581DAA" w:rsidP="00581DAA">
      <w:pPr>
        <w:spacing w:after="0"/>
        <w:rPr>
          <w:rFonts w:asciiTheme="minorHAnsi" w:hAnsiTheme="minorHAnsi"/>
          <w:sz w:val="26"/>
          <w:szCs w:val="26"/>
        </w:rPr>
      </w:pPr>
    </w:p>
    <w:p w:rsidR="00581DAA" w:rsidRPr="00581DAA" w:rsidRDefault="00581DAA" w:rsidP="00581DAA">
      <w:pPr>
        <w:spacing w:after="0"/>
        <w:rPr>
          <w:rFonts w:asciiTheme="minorHAnsi" w:hAnsiTheme="minorHAnsi"/>
          <w:sz w:val="26"/>
          <w:szCs w:val="26"/>
        </w:rPr>
      </w:pPr>
    </w:p>
    <w:p w:rsidR="00581DAA" w:rsidRPr="00581DAA" w:rsidRDefault="00581DAA" w:rsidP="00581DAA">
      <w:pPr>
        <w:spacing w:after="0"/>
        <w:rPr>
          <w:rFonts w:asciiTheme="minorHAnsi" w:hAnsiTheme="minorHAnsi"/>
          <w:sz w:val="26"/>
          <w:szCs w:val="26"/>
        </w:rPr>
      </w:pPr>
    </w:p>
    <w:p w:rsidR="00581DAA" w:rsidRPr="00581DAA" w:rsidRDefault="00581DAA" w:rsidP="00581DAA">
      <w:pPr>
        <w:spacing w:after="0"/>
        <w:rPr>
          <w:rFonts w:asciiTheme="minorHAnsi" w:hAnsiTheme="minorHAnsi"/>
          <w:sz w:val="26"/>
          <w:szCs w:val="26"/>
        </w:rPr>
      </w:pPr>
    </w:p>
    <w:p w:rsidR="00581DAA" w:rsidRPr="00581DAA" w:rsidRDefault="00581DAA" w:rsidP="00581DAA">
      <w:pPr>
        <w:spacing w:after="0"/>
        <w:rPr>
          <w:rFonts w:asciiTheme="minorHAnsi" w:hAnsiTheme="minorHAnsi"/>
          <w:sz w:val="26"/>
          <w:szCs w:val="26"/>
        </w:rPr>
      </w:pPr>
    </w:p>
    <w:p w:rsidR="00581DAA" w:rsidRPr="00581DAA" w:rsidRDefault="00581DAA" w:rsidP="00581DAA">
      <w:pPr>
        <w:spacing w:after="0"/>
        <w:rPr>
          <w:rFonts w:asciiTheme="minorHAnsi" w:hAnsiTheme="minorHAnsi"/>
          <w:sz w:val="26"/>
          <w:szCs w:val="26"/>
        </w:rPr>
      </w:pPr>
    </w:p>
    <w:p w:rsidR="00581DAA" w:rsidRPr="00581DAA" w:rsidRDefault="00581DAA" w:rsidP="00581DAA">
      <w:pPr>
        <w:spacing w:after="0"/>
        <w:rPr>
          <w:rFonts w:asciiTheme="minorHAnsi" w:hAnsiTheme="minorHAnsi"/>
          <w:sz w:val="26"/>
          <w:szCs w:val="26"/>
        </w:rPr>
      </w:pPr>
    </w:p>
    <w:p w:rsidR="00581DAA" w:rsidRPr="00581DAA" w:rsidRDefault="00581DAA" w:rsidP="00581DAA">
      <w:pPr>
        <w:spacing w:after="0"/>
        <w:rPr>
          <w:rFonts w:asciiTheme="minorHAnsi" w:hAnsiTheme="minorHAnsi"/>
          <w:sz w:val="26"/>
          <w:szCs w:val="26"/>
        </w:rPr>
      </w:pPr>
    </w:p>
    <w:p w:rsidR="00581DAA" w:rsidRPr="00581DAA" w:rsidRDefault="00581DAA" w:rsidP="00581DAA">
      <w:pPr>
        <w:spacing w:after="0"/>
        <w:rPr>
          <w:rFonts w:asciiTheme="minorHAnsi" w:hAnsiTheme="minorHAnsi"/>
          <w:sz w:val="26"/>
          <w:szCs w:val="26"/>
        </w:rPr>
      </w:pPr>
    </w:p>
    <w:p w:rsidR="00581DAA" w:rsidRPr="00581DAA" w:rsidRDefault="00581DAA" w:rsidP="00581DAA">
      <w:pPr>
        <w:spacing w:after="0"/>
        <w:rPr>
          <w:rFonts w:asciiTheme="minorHAnsi" w:hAnsiTheme="minorHAnsi"/>
          <w:sz w:val="26"/>
          <w:szCs w:val="26"/>
        </w:rPr>
      </w:pPr>
    </w:p>
    <w:p w:rsidR="00581DAA" w:rsidRPr="00581DAA" w:rsidRDefault="00581DAA" w:rsidP="00581DAA">
      <w:pPr>
        <w:spacing w:after="0"/>
        <w:rPr>
          <w:rFonts w:asciiTheme="minorHAnsi" w:hAnsiTheme="minorHAnsi"/>
          <w:sz w:val="26"/>
          <w:szCs w:val="26"/>
        </w:rPr>
      </w:pPr>
    </w:p>
    <w:p w:rsidR="00581DAA" w:rsidRPr="00581DAA" w:rsidRDefault="00581DAA" w:rsidP="00581DAA">
      <w:pPr>
        <w:spacing w:after="0"/>
        <w:rPr>
          <w:rFonts w:asciiTheme="minorHAnsi" w:hAnsiTheme="minorHAnsi"/>
          <w:sz w:val="24"/>
          <w:szCs w:val="24"/>
        </w:rPr>
      </w:pPr>
    </w:p>
    <w:p w:rsidR="00581DAA" w:rsidRPr="00581DAA" w:rsidRDefault="00581DAA" w:rsidP="00581DAA">
      <w:pPr>
        <w:spacing w:after="0"/>
        <w:rPr>
          <w:rFonts w:asciiTheme="minorHAnsi" w:hAnsiTheme="minorHAnsi"/>
          <w:sz w:val="24"/>
          <w:szCs w:val="24"/>
        </w:rPr>
      </w:pPr>
    </w:p>
    <w:p w:rsidR="00581DAA" w:rsidRPr="00581DAA" w:rsidRDefault="00581DAA" w:rsidP="00581DAA">
      <w:pPr>
        <w:spacing w:after="0"/>
        <w:rPr>
          <w:rFonts w:asciiTheme="minorHAnsi" w:hAnsiTheme="minorHAnsi"/>
          <w:sz w:val="24"/>
          <w:szCs w:val="24"/>
        </w:rPr>
      </w:pPr>
    </w:p>
    <w:p w:rsidR="00581DAA" w:rsidRPr="00581DAA" w:rsidRDefault="00581DAA" w:rsidP="00581DAA">
      <w:pPr>
        <w:spacing w:after="0"/>
        <w:rPr>
          <w:rFonts w:asciiTheme="minorHAnsi" w:hAnsiTheme="minorHAnsi"/>
          <w:b/>
          <w:bCs/>
          <w:iCs/>
          <w:sz w:val="23"/>
          <w:szCs w:val="23"/>
        </w:rPr>
      </w:pPr>
      <w:bookmarkStart w:id="0" w:name="_Toc319856971"/>
      <w:r w:rsidRPr="00581DAA">
        <w:rPr>
          <w:rFonts w:asciiTheme="minorHAnsi" w:hAnsiTheme="minorHAnsi"/>
          <w:b/>
          <w:bCs/>
          <w:iCs/>
          <w:sz w:val="23"/>
          <w:szCs w:val="23"/>
        </w:rPr>
        <w:t>June 2012</w:t>
      </w:r>
      <w:bookmarkEnd w:id="0"/>
    </w:p>
    <w:p w:rsidR="00581DAA" w:rsidRPr="00581DAA" w:rsidRDefault="00581DAA" w:rsidP="00581DAA">
      <w:pPr>
        <w:spacing w:after="0"/>
        <w:rPr>
          <w:rFonts w:asciiTheme="minorHAnsi" w:hAnsiTheme="minorHAnsi"/>
          <w:bCs/>
          <w:iCs/>
          <w:sz w:val="23"/>
          <w:szCs w:val="23"/>
        </w:rPr>
      </w:pPr>
    </w:p>
    <w:p w:rsidR="00581DAA" w:rsidRPr="00581DAA" w:rsidRDefault="00581DAA" w:rsidP="00581DAA">
      <w:pPr>
        <w:spacing w:after="0"/>
        <w:rPr>
          <w:rFonts w:asciiTheme="minorHAnsi" w:hAnsiTheme="minorHAnsi"/>
          <w:bCs/>
          <w:iCs/>
          <w:sz w:val="23"/>
          <w:szCs w:val="23"/>
        </w:rPr>
      </w:pPr>
      <w:bookmarkStart w:id="1" w:name="_Toc319856972"/>
      <w:r w:rsidRPr="00581DAA">
        <w:rPr>
          <w:rFonts w:asciiTheme="minorHAnsi" w:hAnsiTheme="minorHAnsi"/>
          <w:bCs/>
          <w:iCs/>
          <w:sz w:val="23"/>
          <w:szCs w:val="23"/>
        </w:rPr>
        <w:t>Sustainable Development Department</w:t>
      </w:r>
    </w:p>
    <w:p w:rsidR="00581DAA" w:rsidRPr="00581DAA" w:rsidRDefault="00581DAA" w:rsidP="00581DAA">
      <w:pPr>
        <w:spacing w:after="0"/>
        <w:rPr>
          <w:rFonts w:asciiTheme="minorHAnsi" w:hAnsiTheme="minorHAnsi"/>
          <w:bCs/>
          <w:iCs/>
          <w:sz w:val="23"/>
          <w:szCs w:val="23"/>
        </w:rPr>
      </w:pPr>
      <w:r w:rsidRPr="00581DAA">
        <w:rPr>
          <w:rFonts w:asciiTheme="minorHAnsi" w:hAnsiTheme="minorHAnsi"/>
          <w:bCs/>
          <w:iCs/>
          <w:sz w:val="23"/>
          <w:szCs w:val="23"/>
        </w:rPr>
        <w:t>Europe and Central Asia Region</w:t>
      </w:r>
    </w:p>
    <w:p w:rsidR="00581DAA" w:rsidRPr="00581DAA" w:rsidRDefault="00581DAA" w:rsidP="00581DAA">
      <w:pPr>
        <w:spacing w:after="0"/>
        <w:rPr>
          <w:rFonts w:asciiTheme="minorHAnsi" w:hAnsiTheme="minorHAnsi"/>
          <w:bCs/>
          <w:iCs/>
          <w:sz w:val="23"/>
          <w:szCs w:val="23"/>
        </w:rPr>
      </w:pPr>
      <w:r w:rsidRPr="00581DAA">
        <w:rPr>
          <w:rFonts w:asciiTheme="minorHAnsi" w:hAnsiTheme="minorHAnsi"/>
          <w:bCs/>
          <w:iCs/>
          <w:sz w:val="23"/>
          <w:szCs w:val="23"/>
        </w:rPr>
        <w:t>The World Bank</w:t>
      </w:r>
    </w:p>
    <w:p w:rsidR="00581DAA" w:rsidRPr="00581DAA" w:rsidRDefault="00581DAA" w:rsidP="00581DAA">
      <w:pPr>
        <w:spacing w:after="0"/>
        <w:rPr>
          <w:rFonts w:asciiTheme="majorHAnsi" w:hAnsiTheme="majorHAnsi"/>
          <w:bCs/>
          <w:i/>
          <w:iCs/>
          <w:sz w:val="23"/>
          <w:szCs w:val="23"/>
        </w:rPr>
      </w:pPr>
    </w:p>
    <w:bookmarkEnd w:id="1"/>
    <w:p w:rsidR="00581DAA" w:rsidRPr="00581DAA" w:rsidRDefault="00581DAA" w:rsidP="00581DAA">
      <w:pPr>
        <w:spacing w:after="0"/>
        <w:jc w:val="left"/>
        <w:rPr>
          <w:b/>
          <w:bCs/>
          <w:i/>
          <w:iCs/>
          <w:spacing w:val="10"/>
          <w:sz w:val="26"/>
          <w:szCs w:val="26"/>
        </w:rPr>
      </w:pPr>
      <w:r w:rsidRPr="00581DAA">
        <w:rPr>
          <w:b/>
          <w:bCs/>
          <w:i/>
          <w:iCs/>
          <w:noProof/>
          <w:spacing w:val="10"/>
          <w:sz w:val="26"/>
          <w:szCs w:val="26"/>
          <w:lang w:bidi="ar-SA"/>
        </w:rPr>
        <w:drawing>
          <wp:inline distT="0" distB="0" distL="0" distR="0">
            <wp:extent cx="586408" cy="594553"/>
            <wp:effectExtent l="19050" t="0" r="4142" b="0"/>
            <wp:docPr id="111" name="Picture 1" descr="wbcube-m"/>
            <wp:cNvGraphicFramePr/>
            <a:graphic xmlns:a="http://schemas.openxmlformats.org/drawingml/2006/main">
              <a:graphicData uri="http://schemas.openxmlformats.org/drawingml/2006/picture">
                <pic:pic xmlns:pic="http://schemas.openxmlformats.org/drawingml/2006/picture">
                  <pic:nvPicPr>
                    <pic:cNvPr id="11" name="Picture 6" descr="wbcube-m"/>
                    <pic:cNvPicPr>
                      <a:picLocks noChangeAspect="1" noChangeArrowheads="1"/>
                    </pic:cNvPicPr>
                  </pic:nvPicPr>
                  <pic:blipFill>
                    <a:blip r:embed="rId8" cstate="print"/>
                    <a:srcRect/>
                    <a:stretch>
                      <a:fillRect/>
                    </a:stretch>
                  </pic:blipFill>
                  <pic:spPr bwMode="auto">
                    <a:xfrm>
                      <a:off x="0" y="0"/>
                      <a:ext cx="586408" cy="594553"/>
                    </a:xfrm>
                    <a:prstGeom prst="rect">
                      <a:avLst/>
                    </a:prstGeom>
                    <a:noFill/>
                    <a:ln w="9525">
                      <a:noFill/>
                      <a:miter lim="800000"/>
                      <a:headEnd/>
                      <a:tailEnd/>
                    </a:ln>
                  </pic:spPr>
                </pic:pic>
              </a:graphicData>
            </a:graphic>
          </wp:inline>
        </w:drawing>
      </w:r>
      <w:r w:rsidRPr="00581DAA">
        <w:rPr>
          <w:b/>
          <w:bCs/>
          <w:i/>
          <w:iCs/>
          <w:spacing w:val="10"/>
          <w:sz w:val="26"/>
          <w:szCs w:val="26"/>
        </w:rPr>
        <w:t xml:space="preserve"> </w:t>
      </w:r>
    </w:p>
    <w:p w:rsidR="00245204" w:rsidRDefault="00245204">
      <w:pPr>
        <w:spacing w:after="200"/>
        <w:jc w:val="left"/>
        <w:rPr>
          <w:rStyle w:val="Emphasis"/>
          <w:rFonts w:eastAsiaTheme="majorEastAsia"/>
          <w:b w:val="0"/>
          <w:bCs w:val="0"/>
          <w:sz w:val="26"/>
          <w:szCs w:val="26"/>
        </w:rPr>
      </w:pPr>
      <w:r>
        <w:rPr>
          <w:rStyle w:val="Emphasis"/>
          <w:rFonts w:eastAsiaTheme="majorEastAsia"/>
          <w:b w:val="0"/>
          <w:bCs w:val="0"/>
          <w:sz w:val="26"/>
          <w:szCs w:val="26"/>
        </w:rPr>
        <w:lastRenderedPageBreak/>
        <w:br w:type="page"/>
      </w:r>
    </w:p>
    <w:p w:rsidR="00AD362A" w:rsidRDefault="00AD362A" w:rsidP="00AD362A">
      <w:pPr>
        <w:jc w:val="center"/>
        <w:rPr>
          <w:color w:val="000000"/>
        </w:rPr>
      </w:pPr>
    </w:p>
    <w:p w:rsidR="00245204" w:rsidRDefault="00BB5E98" w:rsidP="00AD362A">
      <w:pPr>
        <w:jc w:val="center"/>
        <w:rPr>
          <w:color w:val="000000"/>
          <w:sz w:val="24"/>
          <w:szCs w:val="24"/>
        </w:rPr>
      </w:pPr>
      <w:r w:rsidRPr="00BB5E98">
        <w:rPr>
          <w:color w:val="000000"/>
          <w:sz w:val="24"/>
          <w:szCs w:val="24"/>
        </w:rPr>
        <w:t xml:space="preserve">Abbreviations </w:t>
      </w:r>
      <w:r>
        <w:rPr>
          <w:color w:val="000000"/>
          <w:sz w:val="24"/>
          <w:szCs w:val="24"/>
        </w:rPr>
        <w:t>a</w:t>
      </w:r>
      <w:r w:rsidRPr="00BB5E98">
        <w:rPr>
          <w:color w:val="000000"/>
          <w:sz w:val="24"/>
          <w:szCs w:val="24"/>
        </w:rPr>
        <w:t>nd Acronyms</w:t>
      </w:r>
    </w:p>
    <w:p w:rsidR="00BB5E98" w:rsidRPr="00BB5E98" w:rsidRDefault="00BB5E98" w:rsidP="00AD362A">
      <w:pPr>
        <w:jc w:val="center"/>
        <w:rPr>
          <w:color w:val="000000"/>
          <w:sz w:val="24"/>
          <w:szCs w:val="24"/>
        </w:rPr>
      </w:pPr>
    </w:p>
    <w:p w:rsidR="00BB5E98" w:rsidRDefault="00BB5E98" w:rsidP="00D93B9E">
      <w:pPr>
        <w:tabs>
          <w:tab w:val="left" w:pos="990"/>
        </w:tabs>
        <w:spacing w:after="0" w:line="240" w:lineRule="auto"/>
        <w:rPr>
          <w:color w:val="000000"/>
          <w:sz w:val="20"/>
          <w:szCs w:val="20"/>
        </w:rPr>
      </w:pPr>
    </w:p>
    <w:p w:rsidR="00BB5E98" w:rsidRDefault="00BB5E98" w:rsidP="00D93B9E">
      <w:pPr>
        <w:tabs>
          <w:tab w:val="left" w:pos="990"/>
        </w:tabs>
        <w:spacing w:after="0" w:line="240" w:lineRule="auto"/>
        <w:rPr>
          <w:color w:val="000000"/>
          <w:sz w:val="20"/>
          <w:szCs w:val="20"/>
        </w:rPr>
        <w:sectPr w:rsidR="00BB5E98" w:rsidSect="00AA5298">
          <w:footerReference w:type="default" r:id="rId9"/>
          <w:pgSz w:w="12240" w:h="15840"/>
          <w:pgMar w:top="1440" w:right="1440" w:bottom="1440" w:left="1440" w:header="720" w:footer="720" w:gutter="0"/>
          <w:pgNumType w:fmt="lowerRoman" w:start="1"/>
          <w:cols w:space="720"/>
          <w:docGrid w:linePitch="360"/>
        </w:sectPr>
      </w:pPr>
    </w:p>
    <w:p w:rsidR="00BB5E98" w:rsidRPr="00BB5E98" w:rsidRDefault="00BB5E98" w:rsidP="00BB5E98">
      <w:pPr>
        <w:tabs>
          <w:tab w:val="left" w:pos="1170"/>
        </w:tabs>
        <w:spacing w:after="20" w:line="240" w:lineRule="auto"/>
        <w:ind w:left="1166" w:hanging="1166"/>
        <w:jc w:val="left"/>
        <w:rPr>
          <w:color w:val="000000"/>
        </w:rPr>
      </w:pPr>
      <w:r w:rsidRPr="00BB5E98">
        <w:rPr>
          <w:color w:val="000000"/>
        </w:rPr>
        <w:lastRenderedPageBreak/>
        <w:t>BRT</w:t>
      </w:r>
      <w:r w:rsidRPr="00BB5E98">
        <w:rPr>
          <w:color w:val="000000"/>
        </w:rPr>
        <w:tab/>
        <w:t>Bus rapid transit</w:t>
      </w:r>
    </w:p>
    <w:p w:rsidR="00BB5E98" w:rsidRPr="00BB5E98" w:rsidRDefault="00BB5E98" w:rsidP="00BB5E98">
      <w:pPr>
        <w:tabs>
          <w:tab w:val="left" w:pos="1170"/>
        </w:tabs>
        <w:spacing w:after="20" w:line="240" w:lineRule="auto"/>
        <w:ind w:left="1166" w:hanging="1166"/>
        <w:jc w:val="left"/>
        <w:rPr>
          <w:color w:val="000000"/>
        </w:rPr>
      </w:pPr>
      <w:r w:rsidRPr="00BB5E98">
        <w:rPr>
          <w:color w:val="000000"/>
        </w:rPr>
        <w:t>CHF</w:t>
      </w:r>
      <w:r w:rsidRPr="00BB5E98">
        <w:rPr>
          <w:color w:val="000000"/>
        </w:rPr>
        <w:tab/>
        <w:t>Swiss Franc</w:t>
      </w:r>
    </w:p>
    <w:p w:rsidR="00BB5E98" w:rsidRPr="00BB5E98" w:rsidRDefault="00BB5E98" w:rsidP="00BB5E98">
      <w:pPr>
        <w:tabs>
          <w:tab w:val="left" w:pos="1170"/>
        </w:tabs>
        <w:spacing w:after="20" w:line="240" w:lineRule="auto"/>
        <w:ind w:left="1166" w:hanging="1166"/>
        <w:jc w:val="left"/>
        <w:rPr>
          <w:color w:val="000000"/>
        </w:rPr>
      </w:pPr>
      <w:r w:rsidRPr="00BB5E98">
        <w:rPr>
          <w:color w:val="000000"/>
        </w:rPr>
        <w:t>CO</w:t>
      </w:r>
      <w:r w:rsidRPr="00BB5E98">
        <w:rPr>
          <w:color w:val="000000"/>
        </w:rPr>
        <w:tab/>
        <w:t>Carbon monoxide</w:t>
      </w:r>
    </w:p>
    <w:p w:rsidR="00BB5E98" w:rsidRPr="00BB5E98" w:rsidRDefault="00BB5E98" w:rsidP="00BB5E98">
      <w:pPr>
        <w:tabs>
          <w:tab w:val="left" w:pos="1170"/>
        </w:tabs>
        <w:spacing w:after="20" w:line="240" w:lineRule="auto"/>
        <w:ind w:left="1166" w:hanging="1166"/>
        <w:jc w:val="left"/>
        <w:rPr>
          <w:color w:val="000000"/>
        </w:rPr>
      </w:pPr>
      <w:r w:rsidRPr="00BB5E98">
        <w:rPr>
          <w:color w:val="000000"/>
        </w:rPr>
        <w:t>CO</w:t>
      </w:r>
      <w:r w:rsidRPr="00BB5E98">
        <w:rPr>
          <w:color w:val="000000"/>
          <w:vertAlign w:val="subscript"/>
        </w:rPr>
        <w:t>2</w:t>
      </w:r>
      <w:r w:rsidRPr="00BB5E98">
        <w:rPr>
          <w:color w:val="000000"/>
        </w:rPr>
        <w:tab/>
        <w:t>Carbon dioxide</w:t>
      </w:r>
    </w:p>
    <w:p w:rsidR="00BB5E98" w:rsidRPr="00BB5E98" w:rsidRDefault="00BB5E98" w:rsidP="00BB5E98">
      <w:pPr>
        <w:tabs>
          <w:tab w:val="left" w:pos="1170"/>
        </w:tabs>
        <w:spacing w:after="20" w:line="240" w:lineRule="auto"/>
        <w:ind w:left="1166" w:hanging="1166"/>
        <w:jc w:val="left"/>
        <w:rPr>
          <w:color w:val="000000"/>
        </w:rPr>
      </w:pPr>
      <w:r w:rsidRPr="00BB5E98">
        <w:rPr>
          <w:color w:val="000000"/>
        </w:rPr>
        <w:t>EC</w:t>
      </w:r>
      <w:r w:rsidRPr="00BB5E98">
        <w:rPr>
          <w:color w:val="000000"/>
        </w:rPr>
        <w:tab/>
        <w:t>European Commission</w:t>
      </w:r>
    </w:p>
    <w:p w:rsidR="00BB5E98" w:rsidRPr="00BB5E98" w:rsidRDefault="00BB5E98" w:rsidP="00BB5E98">
      <w:pPr>
        <w:tabs>
          <w:tab w:val="left" w:pos="1170"/>
        </w:tabs>
        <w:spacing w:after="20" w:line="240" w:lineRule="auto"/>
        <w:ind w:left="1166" w:hanging="1166"/>
        <w:jc w:val="left"/>
        <w:rPr>
          <w:color w:val="000000"/>
        </w:rPr>
      </w:pPr>
      <w:r w:rsidRPr="00BB5E98">
        <w:rPr>
          <w:color w:val="000000"/>
        </w:rPr>
        <w:t>EEV</w:t>
      </w:r>
      <w:r w:rsidRPr="00BB5E98">
        <w:rPr>
          <w:color w:val="000000"/>
        </w:rPr>
        <w:tab/>
        <w:t>Enhanced Environmentally-friendly Vehicles</w:t>
      </w:r>
    </w:p>
    <w:p w:rsidR="00BB5E98" w:rsidRPr="00BB5E98" w:rsidRDefault="00BB5E98" w:rsidP="00BB5E98">
      <w:pPr>
        <w:tabs>
          <w:tab w:val="left" w:pos="1170"/>
        </w:tabs>
        <w:spacing w:after="20" w:line="240" w:lineRule="auto"/>
        <w:ind w:left="1166" w:hanging="1166"/>
        <w:jc w:val="left"/>
        <w:rPr>
          <w:color w:val="000000"/>
        </w:rPr>
      </w:pPr>
      <w:r w:rsidRPr="00BB5E98">
        <w:rPr>
          <w:color w:val="000000"/>
        </w:rPr>
        <w:t>EFFECT</w:t>
      </w:r>
      <w:r w:rsidRPr="00BB5E98">
        <w:rPr>
          <w:color w:val="000000"/>
        </w:rPr>
        <w:tab/>
        <w:t>Energy Forecasting Framework and Emissions Consensus</w:t>
      </w:r>
    </w:p>
    <w:p w:rsidR="00BB5E98" w:rsidRPr="00BB5E98" w:rsidRDefault="00BB5E98" w:rsidP="00BB5E98">
      <w:pPr>
        <w:tabs>
          <w:tab w:val="left" w:pos="1170"/>
        </w:tabs>
        <w:spacing w:after="20" w:line="240" w:lineRule="auto"/>
        <w:ind w:left="1166" w:hanging="1166"/>
        <w:jc w:val="left"/>
        <w:rPr>
          <w:color w:val="000000"/>
        </w:rPr>
      </w:pPr>
      <w:r w:rsidRPr="00BB5E98">
        <w:rPr>
          <w:color w:val="000000"/>
        </w:rPr>
        <w:t>EPA</w:t>
      </w:r>
      <w:r w:rsidRPr="00BB5E98">
        <w:rPr>
          <w:color w:val="000000"/>
        </w:rPr>
        <w:tab/>
        <w:t>Environmental Protection Agency</w:t>
      </w:r>
    </w:p>
    <w:p w:rsidR="00BB5E98" w:rsidRPr="00BB5E98" w:rsidRDefault="00BB5E98" w:rsidP="00BB5E98">
      <w:pPr>
        <w:tabs>
          <w:tab w:val="left" w:pos="1170"/>
        </w:tabs>
        <w:spacing w:after="20" w:line="240" w:lineRule="auto"/>
        <w:ind w:left="1166" w:hanging="1166"/>
        <w:jc w:val="left"/>
        <w:rPr>
          <w:color w:val="000000"/>
        </w:rPr>
      </w:pPr>
      <w:r w:rsidRPr="00BB5E98">
        <w:rPr>
          <w:color w:val="000000"/>
        </w:rPr>
        <w:t>ESMAP</w:t>
      </w:r>
      <w:r w:rsidRPr="00BB5E98">
        <w:rPr>
          <w:color w:val="000000"/>
        </w:rPr>
        <w:tab/>
        <w:t>Energy Sector Management Assistance Program</w:t>
      </w:r>
    </w:p>
    <w:p w:rsidR="00BB5E98" w:rsidRDefault="00BB5E98" w:rsidP="00BB5E98">
      <w:pPr>
        <w:tabs>
          <w:tab w:val="left" w:pos="1170"/>
        </w:tabs>
        <w:spacing w:after="20" w:line="240" w:lineRule="auto"/>
        <w:ind w:left="1166" w:hanging="1166"/>
        <w:jc w:val="left"/>
        <w:rPr>
          <w:color w:val="000000"/>
        </w:rPr>
      </w:pPr>
      <w:r w:rsidRPr="00BB5E98">
        <w:rPr>
          <w:color w:val="000000"/>
        </w:rPr>
        <w:t>EU</w:t>
      </w:r>
      <w:r w:rsidRPr="00BB5E98">
        <w:rPr>
          <w:color w:val="000000"/>
        </w:rPr>
        <w:tab/>
        <w:t>European Union</w:t>
      </w:r>
    </w:p>
    <w:p w:rsidR="00FD6F21" w:rsidRPr="00BB5E98" w:rsidRDefault="00FD6F21" w:rsidP="00BB5E98">
      <w:pPr>
        <w:tabs>
          <w:tab w:val="left" w:pos="1170"/>
        </w:tabs>
        <w:spacing w:after="20" w:line="240" w:lineRule="auto"/>
        <w:ind w:left="1166" w:hanging="1166"/>
        <w:jc w:val="left"/>
        <w:rPr>
          <w:color w:val="000000"/>
        </w:rPr>
      </w:pPr>
      <w:r>
        <w:rPr>
          <w:color w:val="000000"/>
        </w:rPr>
        <w:t>EV</w:t>
      </w:r>
      <w:r>
        <w:rPr>
          <w:color w:val="000000"/>
        </w:rPr>
        <w:tab/>
        <w:t>Electric vehicles</w:t>
      </w:r>
    </w:p>
    <w:p w:rsidR="00BB5E98" w:rsidRPr="00BB5E98" w:rsidRDefault="00BB5E98" w:rsidP="00BB5E98">
      <w:pPr>
        <w:tabs>
          <w:tab w:val="left" w:pos="1170"/>
        </w:tabs>
        <w:spacing w:after="20" w:line="240" w:lineRule="auto"/>
        <w:ind w:left="1166" w:hanging="1166"/>
        <w:jc w:val="left"/>
        <w:rPr>
          <w:color w:val="000000"/>
        </w:rPr>
      </w:pPr>
      <w:r w:rsidRPr="00BB5E98">
        <w:rPr>
          <w:color w:val="000000"/>
        </w:rPr>
        <w:t>GDP</w:t>
      </w:r>
      <w:r w:rsidRPr="00BB5E98">
        <w:rPr>
          <w:color w:val="000000"/>
        </w:rPr>
        <w:tab/>
        <w:t>Gross Domestic Production</w:t>
      </w:r>
    </w:p>
    <w:p w:rsidR="00BB5E98" w:rsidRPr="00BB5E98" w:rsidRDefault="00BB5E98" w:rsidP="00BB5E98">
      <w:pPr>
        <w:tabs>
          <w:tab w:val="left" w:pos="1170"/>
        </w:tabs>
        <w:spacing w:after="20" w:line="240" w:lineRule="auto"/>
        <w:ind w:left="1166" w:hanging="1166"/>
        <w:jc w:val="left"/>
        <w:rPr>
          <w:color w:val="000000"/>
        </w:rPr>
      </w:pPr>
      <w:r w:rsidRPr="00BB5E98">
        <w:rPr>
          <w:color w:val="000000"/>
        </w:rPr>
        <w:t>GEL</w:t>
      </w:r>
      <w:r w:rsidRPr="00BB5E98">
        <w:rPr>
          <w:color w:val="000000"/>
        </w:rPr>
        <w:tab/>
        <w:t>Georgian lari</w:t>
      </w:r>
    </w:p>
    <w:p w:rsidR="00BB5E98" w:rsidRPr="00BB5E98" w:rsidRDefault="00BB5E98" w:rsidP="00BB5E98">
      <w:pPr>
        <w:tabs>
          <w:tab w:val="left" w:pos="1170"/>
        </w:tabs>
        <w:spacing w:after="20" w:line="240" w:lineRule="auto"/>
        <w:ind w:left="1166" w:hanging="1166"/>
        <w:jc w:val="left"/>
        <w:rPr>
          <w:color w:val="000000"/>
        </w:rPr>
      </w:pPr>
      <w:r w:rsidRPr="00BB5E98">
        <w:rPr>
          <w:color w:val="000000"/>
        </w:rPr>
        <w:t>GHG</w:t>
      </w:r>
      <w:r w:rsidRPr="00BB5E98">
        <w:rPr>
          <w:color w:val="000000"/>
        </w:rPr>
        <w:tab/>
        <w:t>Green house gas</w:t>
      </w:r>
    </w:p>
    <w:p w:rsidR="00BB5E98" w:rsidRPr="00BB5E98" w:rsidRDefault="00BB5E98" w:rsidP="00BB5E98">
      <w:pPr>
        <w:tabs>
          <w:tab w:val="left" w:pos="1170"/>
        </w:tabs>
        <w:spacing w:after="20" w:line="240" w:lineRule="auto"/>
        <w:ind w:left="1166" w:hanging="1166"/>
        <w:jc w:val="left"/>
        <w:rPr>
          <w:color w:val="000000"/>
        </w:rPr>
      </w:pPr>
      <w:r w:rsidRPr="00BB5E98">
        <w:rPr>
          <w:color w:val="000000"/>
        </w:rPr>
        <w:t>GIZ</w:t>
      </w:r>
      <w:r w:rsidRPr="00BB5E98">
        <w:rPr>
          <w:color w:val="000000"/>
        </w:rPr>
        <w:tab/>
        <w:t>Deutsche Gesellschaft für Internationale Zusammenarbeit</w:t>
      </w:r>
    </w:p>
    <w:p w:rsidR="00BB5E98" w:rsidRPr="00BB5E98" w:rsidRDefault="00BB5E98" w:rsidP="00BB5E98">
      <w:pPr>
        <w:tabs>
          <w:tab w:val="left" w:pos="1170"/>
        </w:tabs>
        <w:spacing w:after="20" w:line="240" w:lineRule="auto"/>
        <w:ind w:left="1166" w:hanging="1166"/>
        <w:jc w:val="left"/>
        <w:rPr>
          <w:color w:val="000000"/>
        </w:rPr>
      </w:pPr>
      <w:r w:rsidRPr="00BB5E98">
        <w:rPr>
          <w:color w:val="000000"/>
        </w:rPr>
        <w:t>HC</w:t>
      </w:r>
      <w:r w:rsidRPr="00BB5E98">
        <w:rPr>
          <w:color w:val="000000"/>
        </w:rPr>
        <w:tab/>
        <w:t>Hydro carbon</w:t>
      </w:r>
    </w:p>
    <w:p w:rsidR="00BB5E98" w:rsidRPr="00BB5E98" w:rsidRDefault="00BB5E98" w:rsidP="00BB5E98">
      <w:pPr>
        <w:tabs>
          <w:tab w:val="left" w:pos="1170"/>
        </w:tabs>
        <w:spacing w:after="20" w:line="240" w:lineRule="auto"/>
        <w:ind w:left="1166" w:hanging="1166"/>
        <w:jc w:val="left"/>
        <w:rPr>
          <w:color w:val="000000"/>
        </w:rPr>
      </w:pPr>
      <w:r w:rsidRPr="00BB5E98">
        <w:rPr>
          <w:color w:val="000000"/>
        </w:rPr>
        <w:t>IEA</w:t>
      </w:r>
      <w:r w:rsidRPr="00BB5E98">
        <w:rPr>
          <w:color w:val="000000"/>
        </w:rPr>
        <w:tab/>
        <w:t>International Energy Agency</w:t>
      </w:r>
    </w:p>
    <w:p w:rsidR="00BB5E98" w:rsidRPr="00BB5E98" w:rsidRDefault="00BB5E98" w:rsidP="00BB5E98">
      <w:pPr>
        <w:tabs>
          <w:tab w:val="left" w:pos="1170"/>
        </w:tabs>
        <w:spacing w:after="20" w:line="240" w:lineRule="auto"/>
        <w:ind w:left="1166" w:hanging="1166"/>
        <w:jc w:val="left"/>
        <w:rPr>
          <w:color w:val="000000"/>
        </w:rPr>
      </w:pPr>
      <w:r w:rsidRPr="00BB5E98">
        <w:rPr>
          <w:color w:val="000000"/>
        </w:rPr>
        <w:t>ITS</w:t>
      </w:r>
      <w:r w:rsidRPr="00BB5E98">
        <w:rPr>
          <w:color w:val="000000"/>
        </w:rPr>
        <w:tab/>
        <w:t>Intelligent transportation systems</w:t>
      </w:r>
    </w:p>
    <w:p w:rsidR="00BB5E98" w:rsidRPr="00BB5E98" w:rsidRDefault="00BB5E98" w:rsidP="00BB5E98">
      <w:pPr>
        <w:tabs>
          <w:tab w:val="left" w:pos="1170"/>
        </w:tabs>
        <w:spacing w:after="20" w:line="240" w:lineRule="auto"/>
        <w:ind w:left="1166" w:hanging="1166"/>
        <w:jc w:val="left"/>
        <w:rPr>
          <w:color w:val="000000"/>
        </w:rPr>
      </w:pPr>
      <w:r w:rsidRPr="00BB5E98">
        <w:rPr>
          <w:color w:val="000000"/>
        </w:rPr>
        <w:t>LLC</w:t>
      </w:r>
      <w:r w:rsidRPr="00BB5E98">
        <w:rPr>
          <w:color w:val="000000"/>
        </w:rPr>
        <w:tab/>
        <w:t>Limited Liability Company</w:t>
      </w:r>
    </w:p>
    <w:p w:rsidR="00BB5E98" w:rsidRPr="00BB5E98" w:rsidRDefault="00BB5E98" w:rsidP="00BB5E98">
      <w:pPr>
        <w:tabs>
          <w:tab w:val="left" w:pos="1170"/>
        </w:tabs>
        <w:spacing w:after="20" w:line="240" w:lineRule="auto"/>
        <w:ind w:left="1166" w:hanging="1166"/>
        <w:jc w:val="left"/>
        <w:rPr>
          <w:color w:val="000000"/>
        </w:rPr>
      </w:pPr>
      <w:r w:rsidRPr="00BB5E98">
        <w:rPr>
          <w:color w:val="000000"/>
        </w:rPr>
        <w:t>LRT</w:t>
      </w:r>
      <w:r w:rsidRPr="00BB5E98">
        <w:rPr>
          <w:color w:val="000000"/>
        </w:rPr>
        <w:tab/>
        <w:t>Light rail transit</w:t>
      </w:r>
    </w:p>
    <w:p w:rsidR="00BB5E98" w:rsidRPr="00BB5E98" w:rsidRDefault="00BB5E98" w:rsidP="00BB5E98">
      <w:pPr>
        <w:tabs>
          <w:tab w:val="left" w:pos="1170"/>
        </w:tabs>
        <w:spacing w:after="20" w:line="240" w:lineRule="auto"/>
        <w:ind w:left="1166" w:hanging="1166"/>
        <w:jc w:val="left"/>
        <w:rPr>
          <w:color w:val="000000"/>
        </w:rPr>
      </w:pPr>
      <w:r w:rsidRPr="00BB5E98">
        <w:rPr>
          <w:color w:val="000000"/>
        </w:rPr>
        <w:t>LTA</w:t>
      </w:r>
      <w:r w:rsidRPr="00BB5E98">
        <w:rPr>
          <w:color w:val="000000"/>
        </w:rPr>
        <w:tab/>
        <w:t>Land Transport Agency</w:t>
      </w:r>
    </w:p>
    <w:p w:rsidR="00BB5E98" w:rsidRPr="00BB5E98" w:rsidRDefault="00BB5E98" w:rsidP="00BB5E98">
      <w:pPr>
        <w:tabs>
          <w:tab w:val="left" w:pos="1170"/>
        </w:tabs>
        <w:spacing w:after="20" w:line="240" w:lineRule="auto"/>
        <w:ind w:left="1166" w:hanging="1166"/>
        <w:jc w:val="left"/>
        <w:rPr>
          <w:color w:val="000000"/>
        </w:rPr>
      </w:pPr>
      <w:r w:rsidRPr="00BB5E98">
        <w:rPr>
          <w:color w:val="000000"/>
        </w:rPr>
        <w:lastRenderedPageBreak/>
        <w:t>MoE</w:t>
      </w:r>
      <w:r w:rsidRPr="00BB5E98">
        <w:rPr>
          <w:color w:val="000000"/>
        </w:rPr>
        <w:tab/>
        <w:t>Ministry of Energy</w:t>
      </w:r>
    </w:p>
    <w:p w:rsidR="00BB5E98" w:rsidRPr="00BB5E98" w:rsidRDefault="00BB5E98" w:rsidP="00BB5E98">
      <w:pPr>
        <w:tabs>
          <w:tab w:val="left" w:pos="1170"/>
        </w:tabs>
        <w:spacing w:after="20" w:line="240" w:lineRule="auto"/>
        <w:ind w:left="1166" w:hanging="1166"/>
        <w:jc w:val="left"/>
        <w:rPr>
          <w:color w:val="000000"/>
        </w:rPr>
      </w:pPr>
      <w:r w:rsidRPr="00BB5E98">
        <w:rPr>
          <w:color w:val="000000"/>
        </w:rPr>
        <w:t>MoEnv</w:t>
      </w:r>
      <w:r w:rsidRPr="00BB5E98">
        <w:rPr>
          <w:color w:val="000000"/>
        </w:rPr>
        <w:tab/>
        <w:t>Ministry of Environment</w:t>
      </w:r>
    </w:p>
    <w:p w:rsidR="00BB5E98" w:rsidRPr="00BB5E98" w:rsidRDefault="00BB5E98" w:rsidP="00BB5E98">
      <w:pPr>
        <w:tabs>
          <w:tab w:val="left" w:pos="1170"/>
        </w:tabs>
        <w:spacing w:after="20" w:line="240" w:lineRule="auto"/>
        <w:ind w:left="1166" w:hanging="1166"/>
        <w:jc w:val="left"/>
        <w:rPr>
          <w:color w:val="000000"/>
        </w:rPr>
      </w:pPr>
      <w:r w:rsidRPr="00BB5E98">
        <w:rPr>
          <w:color w:val="000000"/>
        </w:rPr>
        <w:t>MoESD</w:t>
      </w:r>
      <w:r w:rsidRPr="00BB5E98">
        <w:rPr>
          <w:color w:val="000000"/>
        </w:rPr>
        <w:tab/>
        <w:t>Ministry of Economy and Sustainable Development</w:t>
      </w:r>
    </w:p>
    <w:p w:rsidR="00BB5E98" w:rsidRPr="00BB5E98" w:rsidRDefault="00BB5E98" w:rsidP="00BB5E98">
      <w:pPr>
        <w:tabs>
          <w:tab w:val="left" w:pos="1170"/>
        </w:tabs>
        <w:spacing w:after="20" w:line="240" w:lineRule="auto"/>
        <w:ind w:left="1166" w:hanging="1166"/>
        <w:jc w:val="left"/>
        <w:rPr>
          <w:color w:val="000000"/>
        </w:rPr>
      </w:pPr>
      <w:r w:rsidRPr="00BB5E98">
        <w:rPr>
          <w:color w:val="000000"/>
        </w:rPr>
        <w:t>MoRDI</w:t>
      </w:r>
      <w:r w:rsidRPr="00BB5E98">
        <w:rPr>
          <w:color w:val="000000"/>
        </w:rPr>
        <w:tab/>
        <w:t>Ministry of Regional Development and Infrastructure</w:t>
      </w:r>
    </w:p>
    <w:p w:rsidR="00BB5E98" w:rsidRPr="00BB5E98" w:rsidRDefault="00BB5E98" w:rsidP="00BB5E98">
      <w:pPr>
        <w:tabs>
          <w:tab w:val="left" w:pos="1170"/>
        </w:tabs>
        <w:spacing w:after="20" w:line="240" w:lineRule="auto"/>
        <w:ind w:left="1166" w:hanging="1166"/>
        <w:jc w:val="left"/>
        <w:rPr>
          <w:color w:val="000000"/>
        </w:rPr>
      </w:pPr>
      <w:r w:rsidRPr="00BB5E98">
        <w:rPr>
          <w:color w:val="000000"/>
        </w:rPr>
        <w:t>NO</w:t>
      </w:r>
      <w:r w:rsidRPr="00BB5E98">
        <w:rPr>
          <w:color w:val="000000"/>
          <w:vertAlign w:val="subscript"/>
        </w:rPr>
        <w:t>X</w:t>
      </w:r>
      <w:r w:rsidRPr="00BB5E98">
        <w:rPr>
          <w:color w:val="000000"/>
        </w:rPr>
        <w:tab/>
        <w:t>Mono-nitrogen oxide</w:t>
      </w:r>
    </w:p>
    <w:p w:rsidR="00BB5E98" w:rsidRPr="00BB5E98" w:rsidRDefault="00BB5E98" w:rsidP="00BB5E98">
      <w:pPr>
        <w:tabs>
          <w:tab w:val="left" w:pos="1170"/>
        </w:tabs>
        <w:spacing w:after="20" w:line="240" w:lineRule="auto"/>
        <w:ind w:left="1166" w:hanging="1166"/>
        <w:jc w:val="left"/>
        <w:rPr>
          <w:color w:val="000000"/>
        </w:rPr>
      </w:pPr>
      <w:r w:rsidRPr="00BB5E98">
        <w:rPr>
          <w:color w:val="000000"/>
        </w:rPr>
        <w:t>NTA</w:t>
      </w:r>
      <w:r w:rsidRPr="00BB5E98">
        <w:rPr>
          <w:color w:val="000000"/>
        </w:rPr>
        <w:tab/>
        <w:t>National Tourism Agency</w:t>
      </w:r>
    </w:p>
    <w:p w:rsidR="00BB5E98" w:rsidRPr="00BB5E98" w:rsidRDefault="00BB5E98" w:rsidP="00BB5E98">
      <w:pPr>
        <w:tabs>
          <w:tab w:val="left" w:pos="1170"/>
        </w:tabs>
        <w:spacing w:after="20" w:line="240" w:lineRule="auto"/>
        <w:ind w:left="1166" w:hanging="1166"/>
        <w:jc w:val="left"/>
        <w:rPr>
          <w:color w:val="000000"/>
        </w:rPr>
      </w:pPr>
      <w:r w:rsidRPr="00BB5E98">
        <w:rPr>
          <w:color w:val="000000"/>
        </w:rPr>
        <w:t>OECD</w:t>
      </w:r>
      <w:r w:rsidRPr="00BB5E98">
        <w:rPr>
          <w:color w:val="000000"/>
        </w:rPr>
        <w:tab/>
        <w:t>Organization for Economic Co-operation and Development</w:t>
      </w:r>
    </w:p>
    <w:p w:rsidR="00BB5E98" w:rsidRPr="00BB5E98" w:rsidRDefault="00BB5E98" w:rsidP="00BB5E98">
      <w:pPr>
        <w:tabs>
          <w:tab w:val="left" w:pos="1170"/>
        </w:tabs>
        <w:spacing w:after="20" w:line="240" w:lineRule="auto"/>
        <w:ind w:left="1166" w:hanging="1166"/>
        <w:jc w:val="left"/>
        <w:rPr>
          <w:color w:val="000000"/>
        </w:rPr>
      </w:pPr>
      <w:r w:rsidRPr="00BB5E98">
        <w:rPr>
          <w:color w:val="000000"/>
        </w:rPr>
        <w:t>PM</w:t>
      </w:r>
      <w:r w:rsidRPr="00BB5E98">
        <w:rPr>
          <w:color w:val="000000"/>
        </w:rPr>
        <w:tab/>
        <w:t>Particulate matter</w:t>
      </w:r>
    </w:p>
    <w:p w:rsidR="00BB5E98" w:rsidRPr="00BB5E98" w:rsidRDefault="00BB5E98" w:rsidP="00BB5E98">
      <w:pPr>
        <w:tabs>
          <w:tab w:val="left" w:pos="1170"/>
        </w:tabs>
        <w:spacing w:after="20" w:line="240" w:lineRule="auto"/>
        <w:ind w:left="1166" w:hanging="1166"/>
        <w:jc w:val="left"/>
        <w:rPr>
          <w:color w:val="000000"/>
        </w:rPr>
      </w:pPr>
      <w:r w:rsidRPr="00BB5E98">
        <w:rPr>
          <w:color w:val="000000"/>
        </w:rPr>
        <w:t>Ro-Mo</w:t>
      </w:r>
      <w:r w:rsidRPr="00BB5E98">
        <w:rPr>
          <w:color w:val="000000"/>
        </w:rPr>
        <w:tab/>
        <w:t>Rolling Motorway</w:t>
      </w:r>
    </w:p>
    <w:p w:rsidR="00BB5E98" w:rsidRPr="00BB5E98" w:rsidRDefault="00BB5E98" w:rsidP="00BB5E98">
      <w:pPr>
        <w:tabs>
          <w:tab w:val="left" w:pos="1170"/>
        </w:tabs>
        <w:spacing w:after="20" w:line="240" w:lineRule="auto"/>
        <w:ind w:left="1166" w:hanging="1166"/>
        <w:jc w:val="left"/>
        <w:rPr>
          <w:color w:val="000000"/>
        </w:rPr>
      </w:pPr>
      <w:r w:rsidRPr="00BB5E98">
        <w:rPr>
          <w:color w:val="000000"/>
        </w:rPr>
        <w:t>Ro-Ro</w:t>
      </w:r>
      <w:r w:rsidRPr="00BB5E98">
        <w:rPr>
          <w:color w:val="000000"/>
        </w:rPr>
        <w:tab/>
        <w:t>Rolled-on and rolled-off</w:t>
      </w:r>
    </w:p>
    <w:p w:rsidR="00BB5E98" w:rsidRPr="00BB5E98" w:rsidRDefault="00BB5E98" w:rsidP="00BB5E98">
      <w:pPr>
        <w:tabs>
          <w:tab w:val="left" w:pos="1170"/>
        </w:tabs>
        <w:spacing w:after="20" w:line="240" w:lineRule="auto"/>
        <w:ind w:left="1166" w:hanging="1166"/>
        <w:jc w:val="left"/>
        <w:rPr>
          <w:color w:val="000000"/>
        </w:rPr>
      </w:pPr>
      <w:r w:rsidRPr="00BB5E98">
        <w:rPr>
          <w:color w:val="000000"/>
        </w:rPr>
        <w:t>RUC</w:t>
      </w:r>
      <w:r w:rsidRPr="00BB5E98">
        <w:rPr>
          <w:color w:val="000000"/>
        </w:rPr>
        <w:tab/>
        <w:t>Road user charges</w:t>
      </w:r>
    </w:p>
    <w:p w:rsidR="00BB5E98" w:rsidRPr="00BB5E98" w:rsidRDefault="00BB5E98" w:rsidP="00BB5E98">
      <w:pPr>
        <w:tabs>
          <w:tab w:val="left" w:pos="1170"/>
        </w:tabs>
        <w:spacing w:after="20" w:line="240" w:lineRule="auto"/>
        <w:ind w:left="1166" w:hanging="1166"/>
        <w:jc w:val="left"/>
        <w:rPr>
          <w:color w:val="000000"/>
        </w:rPr>
      </w:pPr>
      <w:r w:rsidRPr="00BB5E98">
        <w:rPr>
          <w:color w:val="000000"/>
        </w:rPr>
        <w:t>SO</w:t>
      </w:r>
      <w:r w:rsidRPr="00BB5E98">
        <w:rPr>
          <w:color w:val="000000"/>
          <w:vertAlign w:val="subscript"/>
        </w:rPr>
        <w:t>2</w:t>
      </w:r>
      <w:r w:rsidRPr="00BB5E98">
        <w:rPr>
          <w:color w:val="000000"/>
        </w:rPr>
        <w:tab/>
        <w:t>Sulfur dioxide</w:t>
      </w:r>
    </w:p>
    <w:p w:rsidR="00BB5E98" w:rsidRPr="00BB5E98" w:rsidRDefault="00BB5E98" w:rsidP="00BB5E98">
      <w:pPr>
        <w:tabs>
          <w:tab w:val="left" w:pos="1170"/>
        </w:tabs>
        <w:spacing w:after="20" w:line="240" w:lineRule="auto"/>
        <w:ind w:left="1166" w:hanging="1166"/>
        <w:jc w:val="left"/>
        <w:rPr>
          <w:color w:val="000000"/>
        </w:rPr>
      </w:pPr>
      <w:r w:rsidRPr="00BB5E98">
        <w:rPr>
          <w:color w:val="000000"/>
        </w:rPr>
        <w:t>TPD</w:t>
      </w:r>
      <w:r w:rsidRPr="00BB5E98">
        <w:rPr>
          <w:color w:val="000000"/>
        </w:rPr>
        <w:tab/>
        <w:t>Transport Policy Department within the MoESD</w:t>
      </w:r>
    </w:p>
    <w:p w:rsidR="00BB5E98" w:rsidRPr="00BB5E98" w:rsidRDefault="00BB5E98" w:rsidP="00BB5E98">
      <w:pPr>
        <w:tabs>
          <w:tab w:val="left" w:pos="1170"/>
        </w:tabs>
        <w:spacing w:after="20" w:line="240" w:lineRule="auto"/>
        <w:ind w:left="1166" w:hanging="1166"/>
        <w:jc w:val="left"/>
        <w:rPr>
          <w:color w:val="000000"/>
        </w:rPr>
      </w:pPr>
      <w:r w:rsidRPr="00BB5E98">
        <w:rPr>
          <w:color w:val="000000"/>
        </w:rPr>
        <w:t>TRACECA</w:t>
      </w:r>
      <w:r w:rsidRPr="00BB5E98">
        <w:rPr>
          <w:color w:val="000000"/>
        </w:rPr>
        <w:tab/>
        <w:t>Transport Corridor Europe-Caucasus-Asia</w:t>
      </w:r>
    </w:p>
    <w:p w:rsidR="00BB5E98" w:rsidRPr="00BB5E98" w:rsidRDefault="00BB5E98" w:rsidP="00BB5E98">
      <w:pPr>
        <w:tabs>
          <w:tab w:val="left" w:pos="1170"/>
        </w:tabs>
        <w:spacing w:after="20" w:line="240" w:lineRule="auto"/>
        <w:ind w:left="1166" w:hanging="1166"/>
        <w:jc w:val="left"/>
        <w:rPr>
          <w:color w:val="000000"/>
        </w:rPr>
      </w:pPr>
      <w:r w:rsidRPr="00BB5E98">
        <w:rPr>
          <w:color w:val="000000"/>
        </w:rPr>
        <w:t>TWh</w:t>
      </w:r>
      <w:r w:rsidRPr="00BB5E98">
        <w:rPr>
          <w:color w:val="000000"/>
        </w:rPr>
        <w:tab/>
        <w:t>Terawatt-hour</w:t>
      </w:r>
    </w:p>
    <w:p w:rsidR="00BB5E98" w:rsidRPr="00BB5E98" w:rsidRDefault="00BB5E98" w:rsidP="00BB5E98">
      <w:pPr>
        <w:tabs>
          <w:tab w:val="left" w:pos="1170"/>
        </w:tabs>
        <w:spacing w:after="20" w:line="240" w:lineRule="auto"/>
        <w:ind w:left="1166" w:hanging="1166"/>
        <w:jc w:val="left"/>
        <w:rPr>
          <w:color w:val="000000"/>
        </w:rPr>
      </w:pPr>
      <w:r w:rsidRPr="00BB5E98">
        <w:rPr>
          <w:color w:val="000000"/>
        </w:rPr>
        <w:t>UNFCCC</w:t>
      </w:r>
      <w:r w:rsidRPr="00BB5E98">
        <w:rPr>
          <w:color w:val="000000"/>
        </w:rPr>
        <w:tab/>
        <w:t>United Nations Framework Convention on Climate Change</w:t>
      </w:r>
    </w:p>
    <w:p w:rsidR="00BB5E98" w:rsidRPr="00BB5E98" w:rsidRDefault="00BB5E98" w:rsidP="00BB5E98">
      <w:pPr>
        <w:tabs>
          <w:tab w:val="left" w:pos="1170"/>
        </w:tabs>
        <w:spacing w:after="20" w:line="240" w:lineRule="auto"/>
        <w:ind w:left="1166" w:hanging="1166"/>
        <w:jc w:val="left"/>
        <w:rPr>
          <w:color w:val="000000"/>
        </w:rPr>
      </w:pPr>
      <w:r w:rsidRPr="00BB5E98">
        <w:rPr>
          <w:color w:val="000000"/>
        </w:rPr>
        <w:t>VOC</w:t>
      </w:r>
      <w:r w:rsidRPr="00BB5E98">
        <w:rPr>
          <w:color w:val="000000"/>
        </w:rPr>
        <w:tab/>
        <w:t>Volatile organic compounds</w:t>
      </w:r>
    </w:p>
    <w:p w:rsidR="00FD6F21" w:rsidRDefault="00BB5E98" w:rsidP="00BB5E98">
      <w:pPr>
        <w:tabs>
          <w:tab w:val="left" w:pos="1170"/>
        </w:tabs>
        <w:spacing w:after="20" w:line="240" w:lineRule="auto"/>
        <w:ind w:left="1166" w:hanging="1166"/>
        <w:jc w:val="left"/>
        <w:rPr>
          <w:color w:val="000000"/>
        </w:rPr>
        <w:sectPr w:rsidR="00FD6F21" w:rsidSect="00FD6F21">
          <w:type w:val="continuous"/>
          <w:pgSz w:w="12240" w:h="15840"/>
          <w:pgMar w:top="1440" w:right="1440" w:bottom="1440" w:left="1440" w:header="720" w:footer="720" w:gutter="0"/>
          <w:pgNumType w:fmt="lowerRoman" w:start="1"/>
          <w:cols w:num="2" w:space="360"/>
          <w:docGrid w:linePitch="360"/>
        </w:sectPr>
      </w:pPr>
      <w:r w:rsidRPr="00BB5E98">
        <w:rPr>
          <w:color w:val="000000"/>
        </w:rPr>
        <w:t>WDI</w:t>
      </w:r>
      <w:r w:rsidRPr="00BB5E98">
        <w:rPr>
          <w:color w:val="000000"/>
        </w:rPr>
        <w:tab/>
        <w:t>World Development Indicators</w:t>
      </w:r>
    </w:p>
    <w:p w:rsidR="00BB5E98" w:rsidRPr="00BB5E98" w:rsidRDefault="00BB5E98" w:rsidP="00BB5E98">
      <w:pPr>
        <w:tabs>
          <w:tab w:val="left" w:pos="1170"/>
        </w:tabs>
        <w:spacing w:after="20" w:line="240" w:lineRule="auto"/>
        <w:ind w:left="1166" w:hanging="1166"/>
        <w:jc w:val="left"/>
        <w:rPr>
          <w:color w:val="000000"/>
        </w:rPr>
      </w:pPr>
    </w:p>
    <w:p w:rsidR="00BB5E98" w:rsidRDefault="00BB5E98" w:rsidP="00AD362A">
      <w:pPr>
        <w:rPr>
          <w:rStyle w:val="Emphasis"/>
          <w:rFonts w:eastAsiaTheme="majorEastAsia"/>
          <w:b w:val="0"/>
          <w:bCs w:val="0"/>
          <w:i w:val="0"/>
          <w:sz w:val="26"/>
          <w:szCs w:val="26"/>
        </w:rPr>
        <w:sectPr w:rsidR="00BB5E98" w:rsidSect="00BB5E98">
          <w:type w:val="continuous"/>
          <w:pgSz w:w="12240" w:h="15840"/>
          <w:pgMar w:top="1440" w:right="1440" w:bottom="1440" w:left="1440" w:header="720" w:footer="720" w:gutter="0"/>
          <w:pgNumType w:fmt="lowerRoman" w:start="1"/>
          <w:cols w:num="2" w:space="360"/>
          <w:docGrid w:linePitch="360"/>
        </w:sectPr>
      </w:pPr>
    </w:p>
    <w:p w:rsidR="00BB5E98" w:rsidRDefault="00BB5E98" w:rsidP="00AD362A">
      <w:pPr>
        <w:rPr>
          <w:rStyle w:val="Emphasis"/>
          <w:rFonts w:eastAsiaTheme="majorEastAsia"/>
          <w:b w:val="0"/>
          <w:bCs w:val="0"/>
          <w:i w:val="0"/>
          <w:sz w:val="26"/>
          <w:szCs w:val="26"/>
        </w:rPr>
      </w:pPr>
    </w:p>
    <w:p w:rsidR="00BB5E98" w:rsidRDefault="00BB5E98" w:rsidP="00AD362A">
      <w:pPr>
        <w:rPr>
          <w:rStyle w:val="Emphasis"/>
          <w:rFonts w:eastAsiaTheme="majorEastAsia"/>
          <w:b w:val="0"/>
          <w:bCs w:val="0"/>
          <w:i w:val="0"/>
          <w:sz w:val="26"/>
          <w:szCs w:val="26"/>
        </w:rPr>
      </w:pPr>
    </w:p>
    <w:p w:rsidR="00BB5E98" w:rsidRDefault="00BB5E98" w:rsidP="00AD362A">
      <w:pPr>
        <w:rPr>
          <w:rStyle w:val="Emphasis"/>
          <w:rFonts w:eastAsiaTheme="majorEastAsia"/>
          <w:b w:val="0"/>
          <w:bCs w:val="0"/>
          <w:i w:val="0"/>
          <w:sz w:val="26"/>
          <w:szCs w:val="26"/>
        </w:rPr>
      </w:pPr>
    </w:p>
    <w:p w:rsidR="00BB5E98" w:rsidRDefault="00BB5E98" w:rsidP="00AD362A">
      <w:pPr>
        <w:rPr>
          <w:rStyle w:val="Emphasis"/>
          <w:rFonts w:eastAsiaTheme="majorEastAsia"/>
          <w:b w:val="0"/>
          <w:bCs w:val="0"/>
          <w:i w:val="0"/>
          <w:sz w:val="26"/>
          <w:szCs w:val="26"/>
        </w:rPr>
      </w:pPr>
    </w:p>
    <w:p w:rsidR="00BB5E98" w:rsidRDefault="00BB5E98" w:rsidP="00AD362A">
      <w:pPr>
        <w:rPr>
          <w:rStyle w:val="Emphasis"/>
          <w:rFonts w:eastAsiaTheme="majorEastAsia"/>
          <w:b w:val="0"/>
          <w:bCs w:val="0"/>
          <w:i w:val="0"/>
          <w:sz w:val="26"/>
          <w:szCs w:val="26"/>
        </w:rPr>
      </w:pPr>
    </w:p>
    <w:tbl>
      <w:tblPr>
        <w:tblW w:w="9576" w:type="dxa"/>
        <w:tblBorders>
          <w:top w:val="single" w:sz="4" w:space="0" w:color="auto"/>
          <w:left w:val="single" w:sz="4" w:space="0" w:color="auto"/>
          <w:bottom w:val="single" w:sz="4" w:space="0" w:color="auto"/>
          <w:right w:val="single" w:sz="4" w:space="0" w:color="auto"/>
        </w:tblBorders>
        <w:tblLook w:val="0000"/>
      </w:tblPr>
      <w:tblGrid>
        <w:gridCol w:w="4668"/>
        <w:gridCol w:w="360"/>
        <w:gridCol w:w="4548"/>
      </w:tblGrid>
      <w:tr w:rsidR="00245204" w:rsidRPr="00245204" w:rsidTr="00245204">
        <w:tc>
          <w:tcPr>
            <w:tcW w:w="4668" w:type="dxa"/>
          </w:tcPr>
          <w:p w:rsidR="00245204" w:rsidRPr="00245204" w:rsidRDefault="00245204" w:rsidP="00245204">
            <w:pPr>
              <w:autoSpaceDE w:val="0"/>
              <w:autoSpaceDN w:val="0"/>
              <w:adjustRightInd w:val="0"/>
              <w:spacing w:after="0" w:line="240" w:lineRule="atLeast"/>
              <w:jc w:val="right"/>
              <w:rPr>
                <w:rFonts w:eastAsia="Times New Roman"/>
                <w:color w:val="000000"/>
                <w:sz w:val="24"/>
                <w:lang w:bidi="ar-SA"/>
              </w:rPr>
            </w:pPr>
            <w:r w:rsidRPr="00245204">
              <w:rPr>
                <w:rFonts w:eastAsia="Times New Roman"/>
                <w:color w:val="000000"/>
                <w:sz w:val="24"/>
                <w:lang w:bidi="ar-SA"/>
              </w:rPr>
              <w:t>Regional Vice President:</w:t>
            </w:r>
          </w:p>
        </w:tc>
        <w:tc>
          <w:tcPr>
            <w:tcW w:w="360" w:type="dxa"/>
          </w:tcPr>
          <w:p w:rsidR="00245204" w:rsidRPr="00245204" w:rsidRDefault="00245204" w:rsidP="00245204">
            <w:pPr>
              <w:autoSpaceDE w:val="0"/>
              <w:autoSpaceDN w:val="0"/>
              <w:adjustRightInd w:val="0"/>
              <w:spacing w:after="0" w:line="240" w:lineRule="atLeast"/>
              <w:jc w:val="left"/>
              <w:rPr>
                <w:rFonts w:eastAsia="Times New Roman"/>
                <w:color w:val="000000"/>
                <w:sz w:val="24"/>
                <w:lang w:bidi="ar-SA"/>
              </w:rPr>
            </w:pPr>
          </w:p>
        </w:tc>
        <w:tc>
          <w:tcPr>
            <w:tcW w:w="4548" w:type="dxa"/>
          </w:tcPr>
          <w:p w:rsidR="00245204" w:rsidRPr="00245204" w:rsidRDefault="00245204" w:rsidP="00245204">
            <w:pPr>
              <w:autoSpaceDE w:val="0"/>
              <w:autoSpaceDN w:val="0"/>
              <w:adjustRightInd w:val="0"/>
              <w:spacing w:after="0" w:line="240" w:lineRule="atLeast"/>
              <w:jc w:val="left"/>
              <w:rPr>
                <w:rFonts w:eastAsia="Times New Roman"/>
                <w:color w:val="000000"/>
                <w:sz w:val="24"/>
                <w:szCs w:val="24"/>
                <w:lang w:bidi="ar-SA"/>
              </w:rPr>
            </w:pPr>
            <w:r w:rsidRPr="00245204">
              <w:rPr>
                <w:rFonts w:eastAsia="Times New Roman"/>
                <w:sz w:val="24"/>
                <w:szCs w:val="24"/>
                <w:lang w:bidi="ar-SA"/>
              </w:rPr>
              <w:t>Philippe H. Le Houérou, ECAVP</w:t>
            </w:r>
          </w:p>
        </w:tc>
      </w:tr>
      <w:tr w:rsidR="00245204" w:rsidRPr="00245204" w:rsidTr="00245204">
        <w:tc>
          <w:tcPr>
            <w:tcW w:w="4668" w:type="dxa"/>
          </w:tcPr>
          <w:p w:rsidR="00245204" w:rsidRPr="00245204" w:rsidRDefault="00245204" w:rsidP="00245204">
            <w:pPr>
              <w:autoSpaceDE w:val="0"/>
              <w:autoSpaceDN w:val="0"/>
              <w:adjustRightInd w:val="0"/>
              <w:spacing w:after="0" w:line="240" w:lineRule="atLeast"/>
              <w:jc w:val="right"/>
              <w:rPr>
                <w:rFonts w:eastAsia="Times New Roman"/>
                <w:color w:val="000000"/>
                <w:sz w:val="24"/>
                <w:lang w:bidi="ar-SA"/>
              </w:rPr>
            </w:pPr>
            <w:r w:rsidRPr="00245204">
              <w:rPr>
                <w:rFonts w:eastAsia="Times New Roman"/>
                <w:color w:val="000000"/>
                <w:sz w:val="24"/>
                <w:lang w:bidi="ar-SA"/>
              </w:rPr>
              <w:t>Country Director:</w:t>
            </w:r>
          </w:p>
        </w:tc>
        <w:tc>
          <w:tcPr>
            <w:tcW w:w="360" w:type="dxa"/>
          </w:tcPr>
          <w:p w:rsidR="00245204" w:rsidRPr="00245204" w:rsidRDefault="00245204" w:rsidP="00245204">
            <w:pPr>
              <w:autoSpaceDE w:val="0"/>
              <w:autoSpaceDN w:val="0"/>
              <w:adjustRightInd w:val="0"/>
              <w:spacing w:after="0" w:line="240" w:lineRule="atLeast"/>
              <w:jc w:val="left"/>
              <w:rPr>
                <w:rFonts w:eastAsia="Times New Roman"/>
                <w:color w:val="000000"/>
                <w:sz w:val="24"/>
                <w:lang w:bidi="ar-SA"/>
              </w:rPr>
            </w:pPr>
          </w:p>
        </w:tc>
        <w:tc>
          <w:tcPr>
            <w:tcW w:w="4548" w:type="dxa"/>
          </w:tcPr>
          <w:p w:rsidR="00245204" w:rsidRPr="00245204" w:rsidRDefault="00245204" w:rsidP="00245204">
            <w:pPr>
              <w:autoSpaceDE w:val="0"/>
              <w:autoSpaceDN w:val="0"/>
              <w:adjustRightInd w:val="0"/>
              <w:spacing w:after="0" w:line="240" w:lineRule="atLeast"/>
              <w:jc w:val="left"/>
              <w:rPr>
                <w:rFonts w:eastAsia="Times New Roman"/>
                <w:color w:val="000000"/>
                <w:sz w:val="24"/>
                <w:szCs w:val="24"/>
                <w:lang w:bidi="ar-SA"/>
              </w:rPr>
            </w:pPr>
            <w:r>
              <w:rPr>
                <w:rFonts w:eastAsia="Times New Roman"/>
                <w:color w:val="000000"/>
                <w:sz w:val="24"/>
                <w:szCs w:val="24"/>
                <w:lang w:bidi="ar-SA"/>
              </w:rPr>
              <w:t>Asad Alam</w:t>
            </w:r>
            <w:r w:rsidRPr="00245204">
              <w:rPr>
                <w:rFonts w:eastAsia="Times New Roman"/>
                <w:color w:val="000000"/>
                <w:sz w:val="24"/>
                <w:szCs w:val="24"/>
                <w:lang w:bidi="ar-SA"/>
              </w:rPr>
              <w:t>, ECCU</w:t>
            </w:r>
            <w:r>
              <w:rPr>
                <w:rFonts w:eastAsia="Times New Roman"/>
                <w:color w:val="000000"/>
                <w:sz w:val="24"/>
                <w:szCs w:val="24"/>
                <w:lang w:bidi="ar-SA"/>
              </w:rPr>
              <w:t>3</w:t>
            </w:r>
          </w:p>
        </w:tc>
      </w:tr>
      <w:tr w:rsidR="00245204" w:rsidRPr="00245204" w:rsidTr="00245204">
        <w:tc>
          <w:tcPr>
            <w:tcW w:w="4668" w:type="dxa"/>
          </w:tcPr>
          <w:p w:rsidR="00245204" w:rsidRPr="00245204" w:rsidRDefault="00245204" w:rsidP="00245204">
            <w:pPr>
              <w:autoSpaceDE w:val="0"/>
              <w:autoSpaceDN w:val="0"/>
              <w:adjustRightInd w:val="0"/>
              <w:spacing w:after="0" w:line="240" w:lineRule="atLeast"/>
              <w:jc w:val="right"/>
              <w:rPr>
                <w:rFonts w:eastAsia="Times New Roman"/>
                <w:color w:val="000000"/>
                <w:sz w:val="24"/>
                <w:lang w:bidi="ar-SA"/>
              </w:rPr>
            </w:pPr>
            <w:r w:rsidRPr="00245204">
              <w:rPr>
                <w:rFonts w:eastAsia="Times New Roman"/>
                <w:color w:val="000000"/>
                <w:sz w:val="24"/>
                <w:lang w:bidi="ar-SA"/>
              </w:rPr>
              <w:t>Sector Director:</w:t>
            </w:r>
          </w:p>
        </w:tc>
        <w:tc>
          <w:tcPr>
            <w:tcW w:w="360" w:type="dxa"/>
          </w:tcPr>
          <w:p w:rsidR="00245204" w:rsidRPr="00245204" w:rsidRDefault="00245204" w:rsidP="00245204">
            <w:pPr>
              <w:autoSpaceDE w:val="0"/>
              <w:autoSpaceDN w:val="0"/>
              <w:adjustRightInd w:val="0"/>
              <w:spacing w:after="0" w:line="240" w:lineRule="atLeast"/>
              <w:jc w:val="left"/>
              <w:rPr>
                <w:rFonts w:eastAsia="Times New Roman"/>
                <w:color w:val="000000"/>
                <w:sz w:val="24"/>
                <w:lang w:bidi="ar-SA"/>
              </w:rPr>
            </w:pPr>
          </w:p>
        </w:tc>
        <w:tc>
          <w:tcPr>
            <w:tcW w:w="4548" w:type="dxa"/>
          </w:tcPr>
          <w:p w:rsidR="00245204" w:rsidRPr="00245204" w:rsidRDefault="00245204" w:rsidP="00245204">
            <w:pPr>
              <w:autoSpaceDE w:val="0"/>
              <w:autoSpaceDN w:val="0"/>
              <w:adjustRightInd w:val="0"/>
              <w:spacing w:after="0" w:line="240" w:lineRule="atLeast"/>
              <w:jc w:val="left"/>
              <w:rPr>
                <w:rFonts w:eastAsia="Times New Roman"/>
                <w:sz w:val="24"/>
                <w:szCs w:val="24"/>
                <w:lang w:bidi="ar-SA"/>
              </w:rPr>
            </w:pPr>
            <w:r w:rsidRPr="00245204">
              <w:rPr>
                <w:rFonts w:eastAsia="Times New Roman"/>
                <w:sz w:val="24"/>
                <w:szCs w:val="24"/>
                <w:lang w:bidi="ar-SA"/>
              </w:rPr>
              <w:t>Laszlo Lovei, ECSSD</w:t>
            </w:r>
          </w:p>
        </w:tc>
      </w:tr>
      <w:tr w:rsidR="00245204" w:rsidRPr="00245204" w:rsidTr="00245204">
        <w:tc>
          <w:tcPr>
            <w:tcW w:w="4668" w:type="dxa"/>
          </w:tcPr>
          <w:p w:rsidR="00245204" w:rsidRPr="00245204" w:rsidRDefault="00245204" w:rsidP="00245204">
            <w:pPr>
              <w:autoSpaceDE w:val="0"/>
              <w:autoSpaceDN w:val="0"/>
              <w:adjustRightInd w:val="0"/>
              <w:spacing w:after="0" w:line="240" w:lineRule="atLeast"/>
              <w:jc w:val="right"/>
              <w:rPr>
                <w:rFonts w:eastAsia="Times New Roman"/>
                <w:color w:val="000000"/>
                <w:sz w:val="24"/>
                <w:lang w:bidi="ar-SA"/>
              </w:rPr>
            </w:pPr>
            <w:r w:rsidRPr="00245204">
              <w:rPr>
                <w:rFonts w:eastAsia="Times New Roman"/>
                <w:color w:val="000000"/>
                <w:sz w:val="24"/>
                <w:lang w:bidi="ar-SA"/>
              </w:rPr>
              <w:t>Sector Manager:</w:t>
            </w:r>
          </w:p>
        </w:tc>
        <w:tc>
          <w:tcPr>
            <w:tcW w:w="360" w:type="dxa"/>
          </w:tcPr>
          <w:p w:rsidR="00245204" w:rsidRPr="00245204" w:rsidRDefault="00245204" w:rsidP="00245204">
            <w:pPr>
              <w:autoSpaceDE w:val="0"/>
              <w:autoSpaceDN w:val="0"/>
              <w:adjustRightInd w:val="0"/>
              <w:spacing w:after="0" w:line="240" w:lineRule="atLeast"/>
              <w:jc w:val="left"/>
              <w:rPr>
                <w:rFonts w:eastAsia="Times New Roman"/>
                <w:color w:val="000000"/>
                <w:sz w:val="24"/>
                <w:lang w:bidi="ar-SA"/>
              </w:rPr>
            </w:pPr>
          </w:p>
        </w:tc>
        <w:tc>
          <w:tcPr>
            <w:tcW w:w="4548" w:type="dxa"/>
          </w:tcPr>
          <w:p w:rsidR="00245204" w:rsidRPr="00245204" w:rsidRDefault="00245204" w:rsidP="00245204">
            <w:pPr>
              <w:autoSpaceDE w:val="0"/>
              <w:autoSpaceDN w:val="0"/>
              <w:adjustRightInd w:val="0"/>
              <w:spacing w:after="0" w:line="240" w:lineRule="atLeast"/>
              <w:jc w:val="left"/>
              <w:rPr>
                <w:rFonts w:eastAsia="Times New Roman"/>
                <w:sz w:val="24"/>
                <w:szCs w:val="24"/>
                <w:lang w:bidi="ar-SA"/>
              </w:rPr>
            </w:pPr>
            <w:r w:rsidRPr="00245204">
              <w:rPr>
                <w:rFonts w:eastAsia="Times New Roman"/>
                <w:sz w:val="24"/>
                <w:szCs w:val="24"/>
                <w:lang w:bidi="ar-SA"/>
              </w:rPr>
              <w:t>Henry G. R. Kerali, ECSSD</w:t>
            </w:r>
          </w:p>
        </w:tc>
      </w:tr>
      <w:tr w:rsidR="00245204" w:rsidRPr="00245204" w:rsidTr="00245204">
        <w:tc>
          <w:tcPr>
            <w:tcW w:w="4668" w:type="dxa"/>
          </w:tcPr>
          <w:p w:rsidR="00245204" w:rsidRPr="00245204" w:rsidRDefault="00245204" w:rsidP="00245204">
            <w:pPr>
              <w:autoSpaceDE w:val="0"/>
              <w:autoSpaceDN w:val="0"/>
              <w:adjustRightInd w:val="0"/>
              <w:spacing w:after="0" w:line="240" w:lineRule="atLeast"/>
              <w:jc w:val="right"/>
              <w:rPr>
                <w:rFonts w:eastAsia="Times New Roman"/>
                <w:color w:val="000000"/>
                <w:sz w:val="24"/>
                <w:lang w:bidi="ar-SA"/>
              </w:rPr>
            </w:pPr>
            <w:r w:rsidRPr="00245204">
              <w:rPr>
                <w:rFonts w:eastAsia="Times New Roman"/>
                <w:color w:val="000000"/>
                <w:sz w:val="24"/>
                <w:lang w:bidi="ar-SA"/>
              </w:rPr>
              <w:t>Task Team Leader:</w:t>
            </w:r>
          </w:p>
        </w:tc>
        <w:tc>
          <w:tcPr>
            <w:tcW w:w="360" w:type="dxa"/>
          </w:tcPr>
          <w:p w:rsidR="00245204" w:rsidRPr="00245204" w:rsidRDefault="00245204" w:rsidP="00245204">
            <w:pPr>
              <w:autoSpaceDE w:val="0"/>
              <w:autoSpaceDN w:val="0"/>
              <w:adjustRightInd w:val="0"/>
              <w:spacing w:after="0" w:line="240" w:lineRule="atLeast"/>
              <w:jc w:val="left"/>
              <w:rPr>
                <w:rFonts w:eastAsia="Times New Roman"/>
                <w:color w:val="000000"/>
                <w:sz w:val="24"/>
                <w:lang w:bidi="ar-SA"/>
              </w:rPr>
            </w:pPr>
          </w:p>
        </w:tc>
        <w:tc>
          <w:tcPr>
            <w:tcW w:w="4548" w:type="dxa"/>
          </w:tcPr>
          <w:p w:rsidR="00245204" w:rsidRPr="00245204" w:rsidRDefault="00245204" w:rsidP="00245204">
            <w:pPr>
              <w:autoSpaceDE w:val="0"/>
              <w:autoSpaceDN w:val="0"/>
              <w:adjustRightInd w:val="0"/>
              <w:spacing w:after="0" w:line="240" w:lineRule="atLeast"/>
              <w:jc w:val="left"/>
              <w:rPr>
                <w:rFonts w:eastAsia="Times New Roman"/>
                <w:color w:val="000000"/>
                <w:sz w:val="24"/>
                <w:szCs w:val="24"/>
                <w:lang w:bidi="ar-SA"/>
              </w:rPr>
            </w:pPr>
            <w:r w:rsidRPr="00245204">
              <w:rPr>
                <w:rFonts w:eastAsia="Times New Roman"/>
                <w:color w:val="000000"/>
                <w:sz w:val="24"/>
                <w:szCs w:val="24"/>
                <w:lang w:bidi="ar-SA"/>
              </w:rPr>
              <w:t>Jung Eun Oh, ECSSD</w:t>
            </w:r>
          </w:p>
        </w:tc>
      </w:tr>
    </w:tbl>
    <w:p w:rsidR="00245204" w:rsidRDefault="00245204">
      <w:pPr>
        <w:spacing w:after="200"/>
        <w:jc w:val="left"/>
        <w:rPr>
          <w:rStyle w:val="Emphasis"/>
          <w:rFonts w:eastAsiaTheme="majorEastAsia"/>
          <w:b w:val="0"/>
          <w:bCs w:val="0"/>
          <w:sz w:val="26"/>
          <w:szCs w:val="26"/>
        </w:rPr>
      </w:pPr>
      <w:r>
        <w:rPr>
          <w:rStyle w:val="Emphasis"/>
          <w:rFonts w:eastAsiaTheme="majorEastAsia"/>
          <w:b w:val="0"/>
          <w:bCs w:val="0"/>
          <w:sz w:val="26"/>
          <w:szCs w:val="26"/>
        </w:rPr>
        <w:br w:type="page"/>
      </w:r>
    </w:p>
    <w:p w:rsidR="00F83E99" w:rsidRDefault="00F83E99" w:rsidP="00525183">
      <w:pPr>
        <w:spacing w:after="200"/>
        <w:jc w:val="left"/>
        <w:rPr>
          <w:rStyle w:val="Emphasis"/>
          <w:rFonts w:eastAsiaTheme="majorEastAsia"/>
          <w:b w:val="0"/>
          <w:bCs w:val="0"/>
          <w:sz w:val="26"/>
          <w:szCs w:val="26"/>
        </w:rPr>
        <w:sectPr w:rsidR="00F83E99" w:rsidSect="00BB5E98">
          <w:type w:val="continuous"/>
          <w:pgSz w:w="12240" w:h="15840"/>
          <w:pgMar w:top="1440" w:right="1440" w:bottom="1440" w:left="1440" w:header="720" w:footer="720" w:gutter="0"/>
          <w:pgNumType w:fmt="lowerRoman" w:start="1"/>
          <w:cols w:space="720"/>
          <w:docGrid w:linePitch="360"/>
        </w:sectPr>
      </w:pPr>
    </w:p>
    <w:sdt>
      <w:sdtPr>
        <w:rPr>
          <w:rFonts w:eastAsiaTheme="minorEastAsia"/>
          <w:b w:val="0"/>
          <w:bCs w:val="0"/>
          <w:i/>
          <w:iCs/>
          <w:spacing w:val="10"/>
          <w:sz w:val="22"/>
          <w:szCs w:val="22"/>
        </w:rPr>
        <w:id w:val="16262060"/>
        <w:docPartObj>
          <w:docPartGallery w:val="Table of Contents"/>
          <w:docPartUnique/>
        </w:docPartObj>
      </w:sdtPr>
      <w:sdtContent>
        <w:bookmarkStart w:id="2" w:name="_Toc324595722" w:displacedByCustomXml="prev"/>
        <w:p w:rsidR="004F41D4" w:rsidRPr="00477DD6" w:rsidRDefault="004F41D4" w:rsidP="00525183">
          <w:pPr>
            <w:pStyle w:val="TOCHeading"/>
            <w:numPr>
              <w:ilvl w:val="0"/>
              <w:numId w:val="0"/>
            </w:numPr>
            <w:jc w:val="center"/>
            <w:rPr>
              <w:sz w:val="26"/>
              <w:szCs w:val="26"/>
            </w:rPr>
          </w:pPr>
          <w:r>
            <w:rPr>
              <w:sz w:val="26"/>
              <w:szCs w:val="26"/>
            </w:rPr>
            <w:t>Table of Contents</w:t>
          </w:r>
          <w:bookmarkEnd w:id="2"/>
        </w:p>
        <w:p w:rsidR="004F41D4" w:rsidRDefault="004F41D4" w:rsidP="004F41D4">
          <w:pPr>
            <w:pStyle w:val="TOC1"/>
          </w:pPr>
        </w:p>
        <w:p w:rsidR="00BB5E98" w:rsidRDefault="00BB5E98" w:rsidP="00BB5E98">
          <w:pPr>
            <w:pStyle w:val="TOC1"/>
            <w:rPr>
              <w:rFonts w:asciiTheme="minorHAnsi" w:hAnsiTheme="minorHAnsi" w:cstheme="minorBidi"/>
              <w:b w:val="0"/>
              <w:lang w:eastAsia="ko-KR" w:bidi="ar-SA"/>
            </w:rPr>
          </w:pPr>
          <w:r w:rsidRPr="00BB5E98">
            <w:t>Acknowledgement</w:t>
          </w:r>
          <w:r>
            <w:rPr>
              <w:webHidden/>
            </w:rPr>
            <w:tab/>
          </w:r>
          <w:r w:rsidR="001A7AF8">
            <w:rPr>
              <w:webHidden/>
            </w:rPr>
            <w:fldChar w:fldCharType="begin"/>
          </w:r>
          <w:r>
            <w:rPr>
              <w:webHidden/>
            </w:rPr>
            <w:instrText xml:space="preserve"> PAGEREF _Toc326892921 \h </w:instrText>
          </w:r>
          <w:r w:rsidR="001A7AF8">
            <w:rPr>
              <w:webHidden/>
            </w:rPr>
          </w:r>
          <w:r w:rsidR="001A7AF8">
            <w:rPr>
              <w:webHidden/>
            </w:rPr>
            <w:fldChar w:fldCharType="separate"/>
          </w:r>
          <w:r>
            <w:rPr>
              <w:webHidden/>
            </w:rPr>
            <w:t>v</w:t>
          </w:r>
          <w:r w:rsidR="001A7AF8">
            <w:rPr>
              <w:webHidden/>
            </w:rPr>
            <w:fldChar w:fldCharType="end"/>
          </w:r>
        </w:p>
        <w:p w:rsidR="0072342D" w:rsidRDefault="001A7AF8">
          <w:pPr>
            <w:pStyle w:val="TOC1"/>
            <w:rPr>
              <w:rFonts w:asciiTheme="minorHAnsi" w:hAnsiTheme="minorHAnsi" w:cstheme="minorBidi"/>
              <w:b w:val="0"/>
              <w:lang w:eastAsia="ko-KR" w:bidi="ar-SA"/>
            </w:rPr>
          </w:pPr>
          <w:r w:rsidRPr="001A7AF8">
            <w:fldChar w:fldCharType="begin"/>
          </w:r>
          <w:r w:rsidR="004F41D4">
            <w:instrText xml:space="preserve"> TOC \o "1-3" \h \z \u </w:instrText>
          </w:r>
          <w:r w:rsidRPr="001A7AF8">
            <w:fldChar w:fldCharType="separate"/>
          </w:r>
          <w:hyperlink w:anchor="_Toc326892920" w:history="1">
            <w:r w:rsidR="0072342D" w:rsidRPr="004F3E29">
              <w:rPr>
                <w:rStyle w:val="Hyperlink"/>
              </w:rPr>
              <w:t>Executive Summary</w:t>
            </w:r>
            <w:r w:rsidR="0072342D">
              <w:rPr>
                <w:webHidden/>
              </w:rPr>
              <w:tab/>
            </w:r>
            <w:r>
              <w:rPr>
                <w:webHidden/>
              </w:rPr>
              <w:fldChar w:fldCharType="begin"/>
            </w:r>
            <w:r w:rsidR="0072342D">
              <w:rPr>
                <w:webHidden/>
              </w:rPr>
              <w:instrText xml:space="preserve"> PAGEREF _Toc326892920 \h </w:instrText>
            </w:r>
            <w:r>
              <w:rPr>
                <w:webHidden/>
              </w:rPr>
            </w:r>
            <w:r>
              <w:rPr>
                <w:webHidden/>
              </w:rPr>
              <w:fldChar w:fldCharType="separate"/>
            </w:r>
            <w:r w:rsidR="00E65CBA">
              <w:rPr>
                <w:webHidden/>
              </w:rPr>
              <w:t>v</w:t>
            </w:r>
            <w:r>
              <w:rPr>
                <w:webHidden/>
              </w:rPr>
              <w:fldChar w:fldCharType="end"/>
            </w:r>
          </w:hyperlink>
          <w:r w:rsidR="00BB5E98">
            <w:t>i</w:t>
          </w:r>
        </w:p>
        <w:p w:rsidR="0072342D" w:rsidRDefault="001A7AF8">
          <w:pPr>
            <w:pStyle w:val="TOC1"/>
            <w:rPr>
              <w:rFonts w:asciiTheme="minorHAnsi" w:hAnsiTheme="minorHAnsi" w:cstheme="minorBidi"/>
              <w:b w:val="0"/>
              <w:lang w:eastAsia="ko-KR" w:bidi="ar-SA"/>
            </w:rPr>
          </w:pPr>
          <w:hyperlink w:anchor="_Toc326892922" w:history="1">
            <w:r w:rsidR="0072342D" w:rsidRPr="004F3E29">
              <w:rPr>
                <w:rStyle w:val="Hyperlink"/>
              </w:rPr>
              <w:t>I.</w:t>
            </w:r>
            <w:r w:rsidR="0072342D">
              <w:rPr>
                <w:rFonts w:asciiTheme="minorHAnsi" w:hAnsiTheme="minorHAnsi" w:cstheme="minorBidi"/>
                <w:b w:val="0"/>
                <w:lang w:eastAsia="ko-KR" w:bidi="ar-SA"/>
              </w:rPr>
              <w:tab/>
            </w:r>
            <w:r w:rsidR="0072342D" w:rsidRPr="004F3E29">
              <w:rPr>
                <w:rStyle w:val="Hyperlink"/>
              </w:rPr>
              <w:t>Framing the Policy Questions</w:t>
            </w:r>
            <w:r w:rsidR="0072342D">
              <w:rPr>
                <w:webHidden/>
              </w:rPr>
              <w:tab/>
            </w:r>
            <w:r>
              <w:rPr>
                <w:webHidden/>
              </w:rPr>
              <w:fldChar w:fldCharType="begin"/>
            </w:r>
            <w:r w:rsidR="0072342D">
              <w:rPr>
                <w:webHidden/>
              </w:rPr>
              <w:instrText xml:space="preserve"> PAGEREF _Toc326892922 \h </w:instrText>
            </w:r>
            <w:r>
              <w:rPr>
                <w:webHidden/>
              </w:rPr>
            </w:r>
            <w:r>
              <w:rPr>
                <w:webHidden/>
              </w:rPr>
              <w:fldChar w:fldCharType="separate"/>
            </w:r>
            <w:r w:rsidR="00E65CBA">
              <w:rPr>
                <w:webHidden/>
              </w:rPr>
              <w:t>1</w:t>
            </w:r>
            <w:r>
              <w:rPr>
                <w:webHidden/>
              </w:rPr>
              <w:fldChar w:fldCharType="end"/>
            </w:r>
          </w:hyperlink>
        </w:p>
        <w:p w:rsidR="0072342D" w:rsidRDefault="001A7AF8">
          <w:pPr>
            <w:pStyle w:val="TOC2"/>
            <w:tabs>
              <w:tab w:val="left" w:pos="660"/>
              <w:tab w:val="right" w:leader="dot" w:pos="9350"/>
            </w:tabs>
            <w:rPr>
              <w:rFonts w:asciiTheme="minorHAnsi" w:hAnsiTheme="minorHAnsi" w:cstheme="minorBidi"/>
              <w:noProof/>
              <w:lang w:eastAsia="ko-KR" w:bidi="ar-SA"/>
            </w:rPr>
          </w:pPr>
          <w:hyperlink w:anchor="_Toc326892923" w:history="1">
            <w:r w:rsidR="0072342D" w:rsidRPr="004F3E29">
              <w:rPr>
                <w:rStyle w:val="Hyperlink"/>
                <w:noProof/>
              </w:rPr>
              <w:t>A.</w:t>
            </w:r>
            <w:r w:rsidR="0072342D">
              <w:rPr>
                <w:rFonts w:asciiTheme="minorHAnsi" w:hAnsiTheme="minorHAnsi" w:cstheme="minorBidi"/>
                <w:noProof/>
                <w:lang w:eastAsia="ko-KR" w:bidi="ar-SA"/>
              </w:rPr>
              <w:tab/>
            </w:r>
            <w:r w:rsidR="0072342D" w:rsidRPr="004F3E29">
              <w:rPr>
                <w:rStyle w:val="Hyperlink"/>
                <w:noProof/>
              </w:rPr>
              <w:t>What is Green Transportation?</w:t>
            </w:r>
            <w:r w:rsidR="0072342D">
              <w:rPr>
                <w:noProof/>
                <w:webHidden/>
              </w:rPr>
              <w:tab/>
            </w:r>
            <w:r>
              <w:rPr>
                <w:noProof/>
                <w:webHidden/>
              </w:rPr>
              <w:fldChar w:fldCharType="begin"/>
            </w:r>
            <w:r w:rsidR="0072342D">
              <w:rPr>
                <w:noProof/>
                <w:webHidden/>
              </w:rPr>
              <w:instrText xml:space="preserve"> PAGEREF _Toc326892923 \h </w:instrText>
            </w:r>
            <w:r>
              <w:rPr>
                <w:noProof/>
                <w:webHidden/>
              </w:rPr>
            </w:r>
            <w:r>
              <w:rPr>
                <w:noProof/>
                <w:webHidden/>
              </w:rPr>
              <w:fldChar w:fldCharType="separate"/>
            </w:r>
            <w:r w:rsidR="00E65CBA">
              <w:rPr>
                <w:noProof/>
                <w:webHidden/>
              </w:rPr>
              <w:t>1</w:t>
            </w:r>
            <w:r>
              <w:rPr>
                <w:noProof/>
                <w:webHidden/>
              </w:rPr>
              <w:fldChar w:fldCharType="end"/>
            </w:r>
          </w:hyperlink>
        </w:p>
        <w:p w:rsidR="0072342D" w:rsidRDefault="001A7AF8">
          <w:pPr>
            <w:pStyle w:val="TOC2"/>
            <w:tabs>
              <w:tab w:val="left" w:pos="660"/>
              <w:tab w:val="right" w:leader="dot" w:pos="9350"/>
            </w:tabs>
            <w:rPr>
              <w:rFonts w:asciiTheme="minorHAnsi" w:hAnsiTheme="minorHAnsi" w:cstheme="minorBidi"/>
              <w:noProof/>
              <w:lang w:eastAsia="ko-KR" w:bidi="ar-SA"/>
            </w:rPr>
          </w:pPr>
          <w:hyperlink w:anchor="_Toc326892924" w:history="1">
            <w:r w:rsidR="0072342D" w:rsidRPr="004F3E29">
              <w:rPr>
                <w:rStyle w:val="Hyperlink"/>
                <w:noProof/>
              </w:rPr>
              <w:t>B.</w:t>
            </w:r>
            <w:r w:rsidR="0072342D">
              <w:rPr>
                <w:rFonts w:asciiTheme="minorHAnsi" w:hAnsiTheme="minorHAnsi" w:cstheme="minorBidi"/>
                <w:noProof/>
                <w:lang w:eastAsia="ko-KR" w:bidi="ar-SA"/>
              </w:rPr>
              <w:tab/>
            </w:r>
            <w:r w:rsidR="0072342D" w:rsidRPr="004F3E29">
              <w:rPr>
                <w:rStyle w:val="Hyperlink"/>
                <w:noProof/>
              </w:rPr>
              <w:t>What is the Rationale for Green Transportation?</w:t>
            </w:r>
            <w:r w:rsidR="0072342D">
              <w:rPr>
                <w:noProof/>
                <w:webHidden/>
              </w:rPr>
              <w:tab/>
            </w:r>
            <w:r>
              <w:rPr>
                <w:noProof/>
                <w:webHidden/>
              </w:rPr>
              <w:fldChar w:fldCharType="begin"/>
            </w:r>
            <w:r w:rsidR="0072342D">
              <w:rPr>
                <w:noProof/>
                <w:webHidden/>
              </w:rPr>
              <w:instrText xml:space="preserve"> PAGEREF _Toc326892924 \h </w:instrText>
            </w:r>
            <w:r>
              <w:rPr>
                <w:noProof/>
                <w:webHidden/>
              </w:rPr>
            </w:r>
            <w:r>
              <w:rPr>
                <w:noProof/>
                <w:webHidden/>
              </w:rPr>
              <w:fldChar w:fldCharType="separate"/>
            </w:r>
            <w:r w:rsidR="00E65CBA">
              <w:rPr>
                <w:noProof/>
                <w:webHidden/>
              </w:rPr>
              <w:t>1</w:t>
            </w:r>
            <w:r>
              <w:rPr>
                <w:noProof/>
                <w:webHidden/>
              </w:rPr>
              <w:fldChar w:fldCharType="end"/>
            </w:r>
          </w:hyperlink>
        </w:p>
        <w:p w:rsidR="0072342D" w:rsidRDefault="001A7AF8">
          <w:pPr>
            <w:pStyle w:val="TOC2"/>
            <w:tabs>
              <w:tab w:val="left" w:pos="660"/>
              <w:tab w:val="right" w:leader="dot" w:pos="9350"/>
            </w:tabs>
            <w:rPr>
              <w:rFonts w:asciiTheme="minorHAnsi" w:hAnsiTheme="minorHAnsi" w:cstheme="minorBidi"/>
              <w:noProof/>
              <w:lang w:eastAsia="ko-KR" w:bidi="ar-SA"/>
            </w:rPr>
          </w:pPr>
          <w:hyperlink w:anchor="_Toc326892925" w:history="1">
            <w:r w:rsidR="0072342D" w:rsidRPr="004F3E29">
              <w:rPr>
                <w:rStyle w:val="Hyperlink"/>
                <w:noProof/>
              </w:rPr>
              <w:t>C.</w:t>
            </w:r>
            <w:r w:rsidR="0072342D">
              <w:rPr>
                <w:rFonts w:asciiTheme="minorHAnsi" w:hAnsiTheme="minorHAnsi" w:cstheme="minorBidi"/>
                <w:noProof/>
                <w:lang w:eastAsia="ko-KR" w:bidi="ar-SA"/>
              </w:rPr>
              <w:tab/>
            </w:r>
            <w:r w:rsidR="0072342D" w:rsidRPr="004F3E29">
              <w:rPr>
                <w:rStyle w:val="Hyperlink"/>
                <w:noProof/>
              </w:rPr>
              <w:t>What is the Rationale for Government’s Involvement in Greening Transportation?</w:t>
            </w:r>
            <w:r w:rsidR="0072342D">
              <w:rPr>
                <w:noProof/>
                <w:webHidden/>
              </w:rPr>
              <w:tab/>
            </w:r>
            <w:r>
              <w:rPr>
                <w:noProof/>
                <w:webHidden/>
              </w:rPr>
              <w:fldChar w:fldCharType="begin"/>
            </w:r>
            <w:r w:rsidR="0072342D">
              <w:rPr>
                <w:noProof/>
                <w:webHidden/>
              </w:rPr>
              <w:instrText xml:space="preserve"> PAGEREF _Toc326892925 \h </w:instrText>
            </w:r>
            <w:r>
              <w:rPr>
                <w:noProof/>
                <w:webHidden/>
              </w:rPr>
            </w:r>
            <w:r>
              <w:rPr>
                <w:noProof/>
                <w:webHidden/>
              </w:rPr>
              <w:fldChar w:fldCharType="separate"/>
            </w:r>
            <w:r w:rsidR="00E65CBA">
              <w:rPr>
                <w:noProof/>
                <w:webHidden/>
              </w:rPr>
              <w:t>5</w:t>
            </w:r>
            <w:r>
              <w:rPr>
                <w:noProof/>
                <w:webHidden/>
              </w:rPr>
              <w:fldChar w:fldCharType="end"/>
            </w:r>
          </w:hyperlink>
        </w:p>
        <w:p w:rsidR="0072342D" w:rsidRDefault="001A7AF8">
          <w:pPr>
            <w:pStyle w:val="TOC1"/>
            <w:rPr>
              <w:rFonts w:asciiTheme="minorHAnsi" w:hAnsiTheme="minorHAnsi" w:cstheme="minorBidi"/>
              <w:b w:val="0"/>
              <w:lang w:eastAsia="ko-KR" w:bidi="ar-SA"/>
            </w:rPr>
          </w:pPr>
          <w:hyperlink w:anchor="_Toc326892926" w:history="1">
            <w:r w:rsidR="0072342D" w:rsidRPr="004F3E29">
              <w:rPr>
                <w:rStyle w:val="Hyperlink"/>
              </w:rPr>
              <w:t>II.</w:t>
            </w:r>
            <w:r w:rsidR="0072342D">
              <w:rPr>
                <w:rFonts w:asciiTheme="minorHAnsi" w:hAnsiTheme="minorHAnsi" w:cstheme="minorBidi"/>
                <w:b w:val="0"/>
                <w:lang w:eastAsia="ko-KR" w:bidi="ar-SA"/>
              </w:rPr>
              <w:tab/>
            </w:r>
            <w:r w:rsidR="0072342D" w:rsidRPr="004F3E29">
              <w:rPr>
                <w:rStyle w:val="Hyperlink"/>
              </w:rPr>
              <w:t>Defining the Goal, Principle, Instruments and Scope</w:t>
            </w:r>
            <w:r w:rsidR="0072342D">
              <w:rPr>
                <w:webHidden/>
              </w:rPr>
              <w:tab/>
            </w:r>
            <w:r>
              <w:rPr>
                <w:webHidden/>
              </w:rPr>
              <w:fldChar w:fldCharType="begin"/>
            </w:r>
            <w:r w:rsidR="0072342D">
              <w:rPr>
                <w:webHidden/>
              </w:rPr>
              <w:instrText xml:space="preserve"> PAGEREF _Toc326892926 \h </w:instrText>
            </w:r>
            <w:r>
              <w:rPr>
                <w:webHidden/>
              </w:rPr>
            </w:r>
            <w:r>
              <w:rPr>
                <w:webHidden/>
              </w:rPr>
              <w:fldChar w:fldCharType="separate"/>
            </w:r>
            <w:r w:rsidR="00E65CBA">
              <w:rPr>
                <w:webHidden/>
              </w:rPr>
              <w:t>8</w:t>
            </w:r>
            <w:r>
              <w:rPr>
                <w:webHidden/>
              </w:rPr>
              <w:fldChar w:fldCharType="end"/>
            </w:r>
          </w:hyperlink>
        </w:p>
        <w:p w:rsidR="0072342D" w:rsidRDefault="001A7AF8">
          <w:pPr>
            <w:pStyle w:val="TOC2"/>
            <w:tabs>
              <w:tab w:val="left" w:pos="660"/>
              <w:tab w:val="right" w:leader="dot" w:pos="9350"/>
            </w:tabs>
            <w:rPr>
              <w:rFonts w:asciiTheme="minorHAnsi" w:hAnsiTheme="minorHAnsi" w:cstheme="minorBidi"/>
              <w:noProof/>
              <w:lang w:eastAsia="ko-KR" w:bidi="ar-SA"/>
            </w:rPr>
          </w:pPr>
          <w:hyperlink w:anchor="_Toc326892927" w:history="1">
            <w:r w:rsidR="0072342D" w:rsidRPr="004F3E29">
              <w:rPr>
                <w:rStyle w:val="Hyperlink"/>
                <w:noProof/>
              </w:rPr>
              <w:t>A.</w:t>
            </w:r>
            <w:r w:rsidR="0072342D">
              <w:rPr>
                <w:rFonts w:asciiTheme="minorHAnsi" w:hAnsiTheme="minorHAnsi" w:cstheme="minorBidi"/>
                <w:noProof/>
                <w:lang w:eastAsia="ko-KR" w:bidi="ar-SA"/>
              </w:rPr>
              <w:tab/>
            </w:r>
            <w:r w:rsidR="0072342D" w:rsidRPr="004F3E29">
              <w:rPr>
                <w:rStyle w:val="Hyperlink"/>
                <w:noProof/>
              </w:rPr>
              <w:t>Goal: Reduce Total Cost of Transportation</w:t>
            </w:r>
            <w:r w:rsidR="0072342D">
              <w:rPr>
                <w:noProof/>
                <w:webHidden/>
              </w:rPr>
              <w:tab/>
            </w:r>
            <w:r>
              <w:rPr>
                <w:noProof/>
                <w:webHidden/>
              </w:rPr>
              <w:fldChar w:fldCharType="begin"/>
            </w:r>
            <w:r w:rsidR="0072342D">
              <w:rPr>
                <w:noProof/>
                <w:webHidden/>
              </w:rPr>
              <w:instrText xml:space="preserve"> PAGEREF _Toc326892927 \h </w:instrText>
            </w:r>
            <w:r>
              <w:rPr>
                <w:noProof/>
                <w:webHidden/>
              </w:rPr>
            </w:r>
            <w:r>
              <w:rPr>
                <w:noProof/>
                <w:webHidden/>
              </w:rPr>
              <w:fldChar w:fldCharType="separate"/>
            </w:r>
            <w:r w:rsidR="00E65CBA">
              <w:rPr>
                <w:noProof/>
                <w:webHidden/>
              </w:rPr>
              <w:t>8</w:t>
            </w:r>
            <w:r>
              <w:rPr>
                <w:noProof/>
                <w:webHidden/>
              </w:rPr>
              <w:fldChar w:fldCharType="end"/>
            </w:r>
          </w:hyperlink>
        </w:p>
        <w:p w:rsidR="0072342D" w:rsidRDefault="001A7AF8">
          <w:pPr>
            <w:pStyle w:val="TOC2"/>
            <w:tabs>
              <w:tab w:val="left" w:pos="660"/>
              <w:tab w:val="right" w:leader="dot" w:pos="9350"/>
            </w:tabs>
            <w:rPr>
              <w:rFonts w:asciiTheme="minorHAnsi" w:hAnsiTheme="minorHAnsi" w:cstheme="minorBidi"/>
              <w:noProof/>
              <w:lang w:eastAsia="ko-KR" w:bidi="ar-SA"/>
            </w:rPr>
          </w:pPr>
          <w:hyperlink w:anchor="_Toc326892928" w:history="1">
            <w:r w:rsidR="0072342D" w:rsidRPr="004F3E29">
              <w:rPr>
                <w:rStyle w:val="Hyperlink"/>
                <w:noProof/>
              </w:rPr>
              <w:t>B.</w:t>
            </w:r>
            <w:r w:rsidR="0072342D">
              <w:rPr>
                <w:rFonts w:asciiTheme="minorHAnsi" w:hAnsiTheme="minorHAnsi" w:cstheme="minorBidi"/>
                <w:noProof/>
                <w:lang w:eastAsia="ko-KR" w:bidi="ar-SA"/>
              </w:rPr>
              <w:tab/>
            </w:r>
            <w:r w:rsidR="0072342D" w:rsidRPr="004F3E29">
              <w:rPr>
                <w:rStyle w:val="Hyperlink"/>
                <w:noProof/>
              </w:rPr>
              <w:t>Principle: Influence and Improve Transport User Choices</w:t>
            </w:r>
            <w:r w:rsidR="0072342D">
              <w:rPr>
                <w:noProof/>
                <w:webHidden/>
              </w:rPr>
              <w:tab/>
            </w:r>
            <w:r>
              <w:rPr>
                <w:noProof/>
                <w:webHidden/>
              </w:rPr>
              <w:fldChar w:fldCharType="begin"/>
            </w:r>
            <w:r w:rsidR="0072342D">
              <w:rPr>
                <w:noProof/>
                <w:webHidden/>
              </w:rPr>
              <w:instrText xml:space="preserve"> PAGEREF _Toc326892928 \h </w:instrText>
            </w:r>
            <w:r>
              <w:rPr>
                <w:noProof/>
                <w:webHidden/>
              </w:rPr>
            </w:r>
            <w:r>
              <w:rPr>
                <w:noProof/>
                <w:webHidden/>
              </w:rPr>
              <w:fldChar w:fldCharType="separate"/>
            </w:r>
            <w:r w:rsidR="00E65CBA">
              <w:rPr>
                <w:noProof/>
                <w:webHidden/>
              </w:rPr>
              <w:t>8</w:t>
            </w:r>
            <w:r>
              <w:rPr>
                <w:noProof/>
                <w:webHidden/>
              </w:rPr>
              <w:fldChar w:fldCharType="end"/>
            </w:r>
          </w:hyperlink>
        </w:p>
        <w:p w:rsidR="0072342D" w:rsidRDefault="001A7AF8">
          <w:pPr>
            <w:pStyle w:val="TOC2"/>
            <w:tabs>
              <w:tab w:val="left" w:pos="660"/>
              <w:tab w:val="right" w:leader="dot" w:pos="9350"/>
            </w:tabs>
            <w:rPr>
              <w:rFonts w:asciiTheme="minorHAnsi" w:hAnsiTheme="minorHAnsi" w:cstheme="minorBidi"/>
              <w:noProof/>
              <w:lang w:eastAsia="ko-KR" w:bidi="ar-SA"/>
            </w:rPr>
          </w:pPr>
          <w:hyperlink w:anchor="_Toc326892929" w:history="1">
            <w:r w:rsidR="0072342D" w:rsidRPr="004F3E29">
              <w:rPr>
                <w:rStyle w:val="Hyperlink"/>
                <w:noProof/>
              </w:rPr>
              <w:t>C.</w:t>
            </w:r>
            <w:r w:rsidR="0072342D">
              <w:rPr>
                <w:rFonts w:asciiTheme="minorHAnsi" w:hAnsiTheme="minorHAnsi" w:cstheme="minorBidi"/>
                <w:noProof/>
                <w:lang w:eastAsia="ko-KR" w:bidi="ar-SA"/>
              </w:rPr>
              <w:tab/>
            </w:r>
            <w:r w:rsidR="0072342D" w:rsidRPr="004F3E29">
              <w:rPr>
                <w:rStyle w:val="Hyperlink"/>
                <w:noProof/>
              </w:rPr>
              <w:t>Instruments: Tools to Influence and Improve Transport User Choices</w:t>
            </w:r>
            <w:r w:rsidR="0072342D">
              <w:rPr>
                <w:noProof/>
                <w:webHidden/>
              </w:rPr>
              <w:tab/>
            </w:r>
            <w:r>
              <w:rPr>
                <w:noProof/>
                <w:webHidden/>
              </w:rPr>
              <w:fldChar w:fldCharType="begin"/>
            </w:r>
            <w:r w:rsidR="0072342D">
              <w:rPr>
                <w:noProof/>
                <w:webHidden/>
              </w:rPr>
              <w:instrText xml:space="preserve"> PAGEREF _Toc326892929 \h </w:instrText>
            </w:r>
            <w:r>
              <w:rPr>
                <w:noProof/>
                <w:webHidden/>
              </w:rPr>
            </w:r>
            <w:r>
              <w:rPr>
                <w:noProof/>
                <w:webHidden/>
              </w:rPr>
              <w:fldChar w:fldCharType="separate"/>
            </w:r>
            <w:r w:rsidR="00E65CBA">
              <w:rPr>
                <w:noProof/>
                <w:webHidden/>
              </w:rPr>
              <w:t>9</w:t>
            </w:r>
            <w:r>
              <w:rPr>
                <w:noProof/>
                <w:webHidden/>
              </w:rPr>
              <w:fldChar w:fldCharType="end"/>
            </w:r>
          </w:hyperlink>
        </w:p>
        <w:p w:rsidR="0072342D" w:rsidRDefault="001A7AF8">
          <w:pPr>
            <w:pStyle w:val="TOC2"/>
            <w:tabs>
              <w:tab w:val="left" w:pos="660"/>
              <w:tab w:val="right" w:leader="dot" w:pos="9350"/>
            </w:tabs>
            <w:rPr>
              <w:rFonts w:asciiTheme="minorHAnsi" w:hAnsiTheme="minorHAnsi" w:cstheme="minorBidi"/>
              <w:noProof/>
              <w:lang w:eastAsia="ko-KR" w:bidi="ar-SA"/>
            </w:rPr>
          </w:pPr>
          <w:hyperlink w:anchor="_Toc326892930" w:history="1">
            <w:r w:rsidR="0072342D" w:rsidRPr="004F3E29">
              <w:rPr>
                <w:rStyle w:val="Hyperlink"/>
                <w:noProof/>
              </w:rPr>
              <w:t>D.</w:t>
            </w:r>
            <w:r w:rsidR="0072342D">
              <w:rPr>
                <w:rFonts w:asciiTheme="minorHAnsi" w:hAnsiTheme="minorHAnsi" w:cstheme="minorBidi"/>
                <w:noProof/>
                <w:lang w:eastAsia="ko-KR" w:bidi="ar-SA"/>
              </w:rPr>
              <w:tab/>
            </w:r>
            <w:r w:rsidR="0072342D" w:rsidRPr="004F3E29">
              <w:rPr>
                <w:rStyle w:val="Hyperlink"/>
                <w:noProof/>
              </w:rPr>
              <w:t>Scope: Transport Network and Key Sub-sectors in Georgia</w:t>
            </w:r>
            <w:r w:rsidR="0072342D">
              <w:rPr>
                <w:noProof/>
                <w:webHidden/>
              </w:rPr>
              <w:tab/>
            </w:r>
            <w:r>
              <w:rPr>
                <w:noProof/>
                <w:webHidden/>
              </w:rPr>
              <w:fldChar w:fldCharType="begin"/>
            </w:r>
            <w:r w:rsidR="0072342D">
              <w:rPr>
                <w:noProof/>
                <w:webHidden/>
              </w:rPr>
              <w:instrText xml:space="preserve"> PAGEREF _Toc326892930 \h </w:instrText>
            </w:r>
            <w:r>
              <w:rPr>
                <w:noProof/>
                <w:webHidden/>
              </w:rPr>
            </w:r>
            <w:r>
              <w:rPr>
                <w:noProof/>
                <w:webHidden/>
              </w:rPr>
              <w:fldChar w:fldCharType="separate"/>
            </w:r>
            <w:r w:rsidR="00E65CBA">
              <w:rPr>
                <w:noProof/>
                <w:webHidden/>
              </w:rPr>
              <w:t>12</w:t>
            </w:r>
            <w:r>
              <w:rPr>
                <w:noProof/>
                <w:webHidden/>
              </w:rPr>
              <w:fldChar w:fldCharType="end"/>
            </w:r>
          </w:hyperlink>
        </w:p>
        <w:p w:rsidR="0072342D" w:rsidRDefault="001A7AF8">
          <w:pPr>
            <w:pStyle w:val="TOC1"/>
            <w:rPr>
              <w:rFonts w:asciiTheme="minorHAnsi" w:hAnsiTheme="minorHAnsi" w:cstheme="minorBidi"/>
              <w:b w:val="0"/>
              <w:lang w:eastAsia="ko-KR" w:bidi="ar-SA"/>
            </w:rPr>
          </w:pPr>
          <w:hyperlink w:anchor="_Toc326892931" w:history="1">
            <w:r w:rsidR="0072342D" w:rsidRPr="004F3E29">
              <w:rPr>
                <w:rStyle w:val="Hyperlink"/>
              </w:rPr>
              <w:t>III.</w:t>
            </w:r>
            <w:r w:rsidR="0072342D">
              <w:rPr>
                <w:rFonts w:asciiTheme="minorHAnsi" w:hAnsiTheme="minorHAnsi" w:cstheme="minorBidi"/>
                <w:b w:val="0"/>
                <w:lang w:eastAsia="ko-KR" w:bidi="ar-SA"/>
              </w:rPr>
              <w:tab/>
            </w:r>
            <w:r w:rsidR="0072342D" w:rsidRPr="004F3E29">
              <w:rPr>
                <w:rStyle w:val="Hyperlink"/>
              </w:rPr>
              <w:t>Policy Framework for Green Transportation in Georgia</w:t>
            </w:r>
            <w:r w:rsidR="0072342D">
              <w:rPr>
                <w:webHidden/>
              </w:rPr>
              <w:tab/>
            </w:r>
            <w:r>
              <w:rPr>
                <w:webHidden/>
              </w:rPr>
              <w:fldChar w:fldCharType="begin"/>
            </w:r>
            <w:r w:rsidR="0072342D">
              <w:rPr>
                <w:webHidden/>
              </w:rPr>
              <w:instrText xml:space="preserve"> PAGEREF _Toc326892931 \h </w:instrText>
            </w:r>
            <w:r>
              <w:rPr>
                <w:webHidden/>
              </w:rPr>
            </w:r>
            <w:r>
              <w:rPr>
                <w:webHidden/>
              </w:rPr>
              <w:fldChar w:fldCharType="separate"/>
            </w:r>
            <w:r w:rsidR="00E65CBA">
              <w:rPr>
                <w:webHidden/>
              </w:rPr>
              <w:t>14</w:t>
            </w:r>
            <w:r>
              <w:rPr>
                <w:webHidden/>
              </w:rPr>
              <w:fldChar w:fldCharType="end"/>
            </w:r>
          </w:hyperlink>
        </w:p>
        <w:p w:rsidR="0072342D" w:rsidRDefault="001A7AF8">
          <w:pPr>
            <w:pStyle w:val="TOC2"/>
            <w:tabs>
              <w:tab w:val="left" w:pos="660"/>
              <w:tab w:val="right" w:leader="dot" w:pos="9350"/>
            </w:tabs>
            <w:rPr>
              <w:rFonts w:asciiTheme="minorHAnsi" w:hAnsiTheme="minorHAnsi" w:cstheme="minorBidi"/>
              <w:noProof/>
              <w:lang w:eastAsia="ko-KR" w:bidi="ar-SA"/>
            </w:rPr>
          </w:pPr>
          <w:hyperlink w:anchor="_Toc326892932" w:history="1">
            <w:r w:rsidR="0072342D" w:rsidRPr="004F3E29">
              <w:rPr>
                <w:rStyle w:val="Hyperlink"/>
                <w:noProof/>
              </w:rPr>
              <w:t>A.</w:t>
            </w:r>
            <w:r w:rsidR="0072342D">
              <w:rPr>
                <w:rFonts w:asciiTheme="minorHAnsi" w:hAnsiTheme="minorHAnsi" w:cstheme="minorBidi"/>
                <w:noProof/>
                <w:lang w:eastAsia="ko-KR" w:bidi="ar-SA"/>
              </w:rPr>
              <w:tab/>
            </w:r>
            <w:r w:rsidR="0072342D" w:rsidRPr="004F3E29">
              <w:rPr>
                <w:rStyle w:val="Hyperlink"/>
                <w:noProof/>
              </w:rPr>
              <w:t>Integrate Environmental Concerns into Transport Policy</w:t>
            </w:r>
            <w:r w:rsidR="0072342D">
              <w:rPr>
                <w:noProof/>
                <w:webHidden/>
              </w:rPr>
              <w:tab/>
            </w:r>
            <w:r>
              <w:rPr>
                <w:noProof/>
                <w:webHidden/>
              </w:rPr>
              <w:fldChar w:fldCharType="begin"/>
            </w:r>
            <w:r w:rsidR="0072342D">
              <w:rPr>
                <w:noProof/>
                <w:webHidden/>
              </w:rPr>
              <w:instrText xml:space="preserve"> PAGEREF _Toc326892932 \h </w:instrText>
            </w:r>
            <w:r>
              <w:rPr>
                <w:noProof/>
                <w:webHidden/>
              </w:rPr>
            </w:r>
            <w:r>
              <w:rPr>
                <w:noProof/>
                <w:webHidden/>
              </w:rPr>
              <w:fldChar w:fldCharType="separate"/>
            </w:r>
            <w:r w:rsidR="00E65CBA">
              <w:rPr>
                <w:noProof/>
                <w:webHidden/>
              </w:rPr>
              <w:t>14</w:t>
            </w:r>
            <w:r>
              <w:rPr>
                <w:noProof/>
                <w:webHidden/>
              </w:rPr>
              <w:fldChar w:fldCharType="end"/>
            </w:r>
          </w:hyperlink>
        </w:p>
        <w:p w:rsidR="0072342D" w:rsidRDefault="001A7AF8">
          <w:pPr>
            <w:pStyle w:val="TOC2"/>
            <w:tabs>
              <w:tab w:val="left" w:pos="660"/>
              <w:tab w:val="right" w:leader="dot" w:pos="9350"/>
            </w:tabs>
            <w:rPr>
              <w:rFonts w:asciiTheme="minorHAnsi" w:hAnsiTheme="minorHAnsi" w:cstheme="minorBidi"/>
              <w:noProof/>
              <w:lang w:eastAsia="ko-KR" w:bidi="ar-SA"/>
            </w:rPr>
          </w:pPr>
          <w:hyperlink w:anchor="_Toc326892933" w:history="1">
            <w:r w:rsidR="0072342D" w:rsidRPr="004F3E29">
              <w:rPr>
                <w:rStyle w:val="Hyperlink"/>
                <w:noProof/>
              </w:rPr>
              <w:t>B.</w:t>
            </w:r>
            <w:r w:rsidR="0072342D">
              <w:rPr>
                <w:rFonts w:asciiTheme="minorHAnsi" w:hAnsiTheme="minorHAnsi" w:cstheme="minorBidi"/>
                <w:noProof/>
                <w:lang w:eastAsia="ko-KR" w:bidi="ar-SA"/>
              </w:rPr>
              <w:tab/>
            </w:r>
            <w:r w:rsidR="0072342D" w:rsidRPr="004F3E29">
              <w:rPr>
                <w:rStyle w:val="Hyperlink"/>
                <w:noProof/>
              </w:rPr>
              <w:t>Achieve and Maintain a Greener Vehicle Fleet</w:t>
            </w:r>
            <w:r w:rsidR="0072342D">
              <w:rPr>
                <w:noProof/>
                <w:webHidden/>
              </w:rPr>
              <w:tab/>
            </w:r>
            <w:r>
              <w:rPr>
                <w:noProof/>
                <w:webHidden/>
              </w:rPr>
              <w:fldChar w:fldCharType="begin"/>
            </w:r>
            <w:r w:rsidR="0072342D">
              <w:rPr>
                <w:noProof/>
                <w:webHidden/>
              </w:rPr>
              <w:instrText xml:space="preserve"> PAGEREF _Toc326892933 \h </w:instrText>
            </w:r>
            <w:r>
              <w:rPr>
                <w:noProof/>
                <w:webHidden/>
              </w:rPr>
            </w:r>
            <w:r>
              <w:rPr>
                <w:noProof/>
                <w:webHidden/>
              </w:rPr>
              <w:fldChar w:fldCharType="separate"/>
            </w:r>
            <w:r w:rsidR="00E65CBA">
              <w:rPr>
                <w:noProof/>
                <w:webHidden/>
              </w:rPr>
              <w:t>18</w:t>
            </w:r>
            <w:r>
              <w:rPr>
                <w:noProof/>
                <w:webHidden/>
              </w:rPr>
              <w:fldChar w:fldCharType="end"/>
            </w:r>
          </w:hyperlink>
        </w:p>
        <w:p w:rsidR="0072342D" w:rsidRDefault="001A7AF8">
          <w:pPr>
            <w:pStyle w:val="TOC2"/>
            <w:tabs>
              <w:tab w:val="left" w:pos="660"/>
              <w:tab w:val="right" w:leader="dot" w:pos="9350"/>
            </w:tabs>
            <w:rPr>
              <w:rFonts w:asciiTheme="minorHAnsi" w:hAnsiTheme="minorHAnsi" w:cstheme="minorBidi"/>
              <w:noProof/>
              <w:lang w:eastAsia="ko-KR" w:bidi="ar-SA"/>
            </w:rPr>
          </w:pPr>
          <w:hyperlink w:anchor="_Toc326892934" w:history="1">
            <w:r w:rsidR="0072342D" w:rsidRPr="004F3E29">
              <w:rPr>
                <w:rStyle w:val="Hyperlink"/>
                <w:noProof/>
              </w:rPr>
              <w:t>C.</w:t>
            </w:r>
            <w:r w:rsidR="0072342D">
              <w:rPr>
                <w:rFonts w:asciiTheme="minorHAnsi" w:hAnsiTheme="minorHAnsi" w:cstheme="minorBidi"/>
                <w:noProof/>
                <w:lang w:eastAsia="ko-KR" w:bidi="ar-SA"/>
              </w:rPr>
              <w:tab/>
            </w:r>
            <w:r w:rsidR="0072342D" w:rsidRPr="004F3E29">
              <w:rPr>
                <w:rStyle w:val="Hyperlink"/>
                <w:noProof/>
              </w:rPr>
              <w:t>Promote Low Emission Freight Transport Modes</w:t>
            </w:r>
            <w:r w:rsidR="0072342D">
              <w:rPr>
                <w:noProof/>
                <w:webHidden/>
              </w:rPr>
              <w:tab/>
            </w:r>
            <w:r>
              <w:rPr>
                <w:noProof/>
                <w:webHidden/>
              </w:rPr>
              <w:fldChar w:fldCharType="begin"/>
            </w:r>
            <w:r w:rsidR="0072342D">
              <w:rPr>
                <w:noProof/>
                <w:webHidden/>
              </w:rPr>
              <w:instrText xml:space="preserve"> PAGEREF _Toc326892934 \h </w:instrText>
            </w:r>
            <w:r>
              <w:rPr>
                <w:noProof/>
                <w:webHidden/>
              </w:rPr>
            </w:r>
            <w:r>
              <w:rPr>
                <w:noProof/>
                <w:webHidden/>
              </w:rPr>
              <w:fldChar w:fldCharType="separate"/>
            </w:r>
            <w:r w:rsidR="00E65CBA">
              <w:rPr>
                <w:noProof/>
                <w:webHidden/>
              </w:rPr>
              <w:t>25</w:t>
            </w:r>
            <w:r>
              <w:rPr>
                <w:noProof/>
                <w:webHidden/>
              </w:rPr>
              <w:fldChar w:fldCharType="end"/>
            </w:r>
          </w:hyperlink>
        </w:p>
        <w:p w:rsidR="0072342D" w:rsidRDefault="001A7AF8">
          <w:pPr>
            <w:pStyle w:val="TOC2"/>
            <w:tabs>
              <w:tab w:val="left" w:pos="660"/>
              <w:tab w:val="right" w:leader="dot" w:pos="9350"/>
            </w:tabs>
            <w:rPr>
              <w:rFonts w:asciiTheme="minorHAnsi" w:hAnsiTheme="minorHAnsi" w:cstheme="minorBidi"/>
              <w:noProof/>
              <w:lang w:eastAsia="ko-KR" w:bidi="ar-SA"/>
            </w:rPr>
          </w:pPr>
          <w:hyperlink w:anchor="_Toc326892935" w:history="1">
            <w:r w:rsidR="0072342D" w:rsidRPr="004F3E29">
              <w:rPr>
                <w:rStyle w:val="Hyperlink"/>
                <w:noProof/>
              </w:rPr>
              <w:t>D.</w:t>
            </w:r>
            <w:r w:rsidR="0072342D">
              <w:rPr>
                <w:rFonts w:asciiTheme="minorHAnsi" w:hAnsiTheme="minorHAnsi" w:cstheme="minorBidi"/>
                <w:noProof/>
                <w:lang w:eastAsia="ko-KR" w:bidi="ar-SA"/>
              </w:rPr>
              <w:tab/>
            </w:r>
            <w:r w:rsidR="0072342D" w:rsidRPr="004F3E29">
              <w:rPr>
                <w:rStyle w:val="Hyperlink"/>
                <w:noProof/>
              </w:rPr>
              <w:t>Support Commercial Development of Intercity Passenger Transport Services</w:t>
            </w:r>
            <w:r w:rsidR="0072342D">
              <w:rPr>
                <w:noProof/>
                <w:webHidden/>
              </w:rPr>
              <w:tab/>
            </w:r>
            <w:r>
              <w:rPr>
                <w:noProof/>
                <w:webHidden/>
              </w:rPr>
              <w:fldChar w:fldCharType="begin"/>
            </w:r>
            <w:r w:rsidR="0072342D">
              <w:rPr>
                <w:noProof/>
                <w:webHidden/>
              </w:rPr>
              <w:instrText xml:space="preserve"> PAGEREF _Toc326892935 \h </w:instrText>
            </w:r>
            <w:r>
              <w:rPr>
                <w:noProof/>
                <w:webHidden/>
              </w:rPr>
            </w:r>
            <w:r>
              <w:rPr>
                <w:noProof/>
                <w:webHidden/>
              </w:rPr>
              <w:fldChar w:fldCharType="separate"/>
            </w:r>
            <w:r w:rsidR="00E65CBA">
              <w:rPr>
                <w:noProof/>
                <w:webHidden/>
              </w:rPr>
              <w:t>32</w:t>
            </w:r>
            <w:r>
              <w:rPr>
                <w:noProof/>
                <w:webHidden/>
              </w:rPr>
              <w:fldChar w:fldCharType="end"/>
            </w:r>
          </w:hyperlink>
        </w:p>
        <w:p w:rsidR="0072342D" w:rsidRDefault="001A7AF8">
          <w:pPr>
            <w:pStyle w:val="TOC2"/>
            <w:tabs>
              <w:tab w:val="left" w:pos="660"/>
              <w:tab w:val="right" w:leader="dot" w:pos="9350"/>
            </w:tabs>
            <w:rPr>
              <w:rFonts w:asciiTheme="minorHAnsi" w:hAnsiTheme="minorHAnsi" w:cstheme="minorBidi"/>
              <w:noProof/>
              <w:lang w:eastAsia="ko-KR" w:bidi="ar-SA"/>
            </w:rPr>
          </w:pPr>
          <w:hyperlink w:anchor="_Toc326892936" w:history="1">
            <w:r w:rsidR="0072342D" w:rsidRPr="004F3E29">
              <w:rPr>
                <w:rStyle w:val="Hyperlink"/>
                <w:noProof/>
              </w:rPr>
              <w:t>E.</w:t>
            </w:r>
            <w:r w:rsidR="0072342D">
              <w:rPr>
                <w:rFonts w:asciiTheme="minorHAnsi" w:hAnsiTheme="minorHAnsi" w:cstheme="minorBidi"/>
                <w:noProof/>
                <w:lang w:eastAsia="ko-KR" w:bidi="ar-SA"/>
              </w:rPr>
              <w:tab/>
            </w:r>
            <w:r w:rsidR="0072342D" w:rsidRPr="004F3E29">
              <w:rPr>
                <w:rStyle w:val="Hyperlink"/>
                <w:noProof/>
              </w:rPr>
              <w:t>Transform Minibuses and Taxis into Modern Urban Transport Modes</w:t>
            </w:r>
            <w:r w:rsidR="0072342D">
              <w:rPr>
                <w:noProof/>
                <w:webHidden/>
              </w:rPr>
              <w:tab/>
            </w:r>
            <w:r>
              <w:rPr>
                <w:noProof/>
                <w:webHidden/>
              </w:rPr>
              <w:fldChar w:fldCharType="begin"/>
            </w:r>
            <w:r w:rsidR="0072342D">
              <w:rPr>
                <w:noProof/>
                <w:webHidden/>
              </w:rPr>
              <w:instrText xml:space="preserve"> PAGEREF _Toc326892936 \h </w:instrText>
            </w:r>
            <w:r>
              <w:rPr>
                <w:noProof/>
                <w:webHidden/>
              </w:rPr>
            </w:r>
            <w:r>
              <w:rPr>
                <w:noProof/>
                <w:webHidden/>
              </w:rPr>
              <w:fldChar w:fldCharType="separate"/>
            </w:r>
            <w:r w:rsidR="00E65CBA">
              <w:rPr>
                <w:noProof/>
                <w:webHidden/>
              </w:rPr>
              <w:t>37</w:t>
            </w:r>
            <w:r>
              <w:rPr>
                <w:noProof/>
                <w:webHidden/>
              </w:rPr>
              <w:fldChar w:fldCharType="end"/>
            </w:r>
          </w:hyperlink>
        </w:p>
        <w:p w:rsidR="0072342D" w:rsidRDefault="001A7AF8">
          <w:pPr>
            <w:pStyle w:val="TOC2"/>
            <w:tabs>
              <w:tab w:val="left" w:pos="660"/>
              <w:tab w:val="right" w:leader="dot" w:pos="9350"/>
            </w:tabs>
            <w:rPr>
              <w:rFonts w:asciiTheme="minorHAnsi" w:hAnsiTheme="minorHAnsi" w:cstheme="minorBidi"/>
              <w:noProof/>
              <w:lang w:eastAsia="ko-KR" w:bidi="ar-SA"/>
            </w:rPr>
          </w:pPr>
          <w:hyperlink w:anchor="_Toc326892937" w:history="1">
            <w:r w:rsidR="0072342D" w:rsidRPr="004F3E29">
              <w:rPr>
                <w:rStyle w:val="Hyperlink"/>
                <w:noProof/>
              </w:rPr>
              <w:t>F.</w:t>
            </w:r>
            <w:r w:rsidR="0072342D">
              <w:rPr>
                <w:rFonts w:asciiTheme="minorHAnsi" w:hAnsiTheme="minorHAnsi" w:cstheme="minorBidi"/>
                <w:noProof/>
                <w:lang w:eastAsia="ko-KR" w:bidi="ar-SA"/>
              </w:rPr>
              <w:tab/>
            </w:r>
            <w:r w:rsidR="0072342D" w:rsidRPr="004F3E29">
              <w:rPr>
                <w:rStyle w:val="Hyperlink"/>
                <w:noProof/>
              </w:rPr>
              <w:t>Support Sustainable Development of Urban Transport</w:t>
            </w:r>
            <w:r w:rsidR="0072342D">
              <w:rPr>
                <w:noProof/>
                <w:webHidden/>
              </w:rPr>
              <w:tab/>
            </w:r>
            <w:r>
              <w:rPr>
                <w:noProof/>
                <w:webHidden/>
              </w:rPr>
              <w:fldChar w:fldCharType="begin"/>
            </w:r>
            <w:r w:rsidR="0072342D">
              <w:rPr>
                <w:noProof/>
                <w:webHidden/>
              </w:rPr>
              <w:instrText xml:space="preserve"> PAGEREF _Toc326892937 \h </w:instrText>
            </w:r>
            <w:r>
              <w:rPr>
                <w:noProof/>
                <w:webHidden/>
              </w:rPr>
            </w:r>
            <w:r>
              <w:rPr>
                <w:noProof/>
                <w:webHidden/>
              </w:rPr>
              <w:fldChar w:fldCharType="separate"/>
            </w:r>
            <w:r w:rsidR="00E65CBA">
              <w:rPr>
                <w:noProof/>
                <w:webHidden/>
              </w:rPr>
              <w:t>42</w:t>
            </w:r>
            <w:r>
              <w:rPr>
                <w:noProof/>
                <w:webHidden/>
              </w:rPr>
              <w:fldChar w:fldCharType="end"/>
            </w:r>
          </w:hyperlink>
        </w:p>
        <w:p w:rsidR="0072342D" w:rsidRDefault="001A7AF8">
          <w:pPr>
            <w:pStyle w:val="TOC1"/>
            <w:rPr>
              <w:rFonts w:asciiTheme="minorHAnsi" w:hAnsiTheme="minorHAnsi" w:cstheme="minorBidi"/>
              <w:b w:val="0"/>
              <w:lang w:eastAsia="ko-KR" w:bidi="ar-SA"/>
            </w:rPr>
          </w:pPr>
          <w:hyperlink w:anchor="_Toc326892938" w:history="1">
            <w:r w:rsidR="0072342D" w:rsidRPr="004F3E29">
              <w:rPr>
                <w:rStyle w:val="Hyperlink"/>
              </w:rPr>
              <w:t>IV.</w:t>
            </w:r>
            <w:r w:rsidR="0072342D">
              <w:rPr>
                <w:rFonts w:asciiTheme="minorHAnsi" w:hAnsiTheme="minorHAnsi" w:cstheme="minorBidi"/>
                <w:b w:val="0"/>
                <w:lang w:eastAsia="ko-KR" w:bidi="ar-SA"/>
              </w:rPr>
              <w:tab/>
            </w:r>
            <w:r w:rsidR="0072342D" w:rsidRPr="004F3E29">
              <w:rPr>
                <w:rStyle w:val="Hyperlink"/>
              </w:rPr>
              <w:t>Summary and Roadmap of Priority Actions</w:t>
            </w:r>
            <w:r w:rsidR="0072342D">
              <w:rPr>
                <w:webHidden/>
              </w:rPr>
              <w:tab/>
            </w:r>
            <w:r>
              <w:rPr>
                <w:webHidden/>
              </w:rPr>
              <w:fldChar w:fldCharType="begin"/>
            </w:r>
            <w:r w:rsidR="0072342D">
              <w:rPr>
                <w:webHidden/>
              </w:rPr>
              <w:instrText xml:space="preserve"> PAGEREF _Toc326892938 \h </w:instrText>
            </w:r>
            <w:r>
              <w:rPr>
                <w:webHidden/>
              </w:rPr>
            </w:r>
            <w:r>
              <w:rPr>
                <w:webHidden/>
              </w:rPr>
              <w:fldChar w:fldCharType="separate"/>
            </w:r>
            <w:r w:rsidR="00E65CBA">
              <w:rPr>
                <w:webHidden/>
              </w:rPr>
              <w:t>47</w:t>
            </w:r>
            <w:r>
              <w:rPr>
                <w:webHidden/>
              </w:rPr>
              <w:fldChar w:fldCharType="end"/>
            </w:r>
          </w:hyperlink>
        </w:p>
        <w:p w:rsidR="0072342D" w:rsidRDefault="001A7AF8">
          <w:pPr>
            <w:pStyle w:val="TOC2"/>
            <w:tabs>
              <w:tab w:val="left" w:pos="660"/>
              <w:tab w:val="right" w:leader="dot" w:pos="9350"/>
            </w:tabs>
            <w:rPr>
              <w:rFonts w:asciiTheme="minorHAnsi" w:hAnsiTheme="minorHAnsi" w:cstheme="minorBidi"/>
              <w:noProof/>
              <w:lang w:eastAsia="ko-KR" w:bidi="ar-SA"/>
            </w:rPr>
          </w:pPr>
          <w:hyperlink w:anchor="_Toc326892939" w:history="1">
            <w:r w:rsidR="0072342D" w:rsidRPr="004F3E29">
              <w:rPr>
                <w:rStyle w:val="Hyperlink"/>
                <w:noProof/>
              </w:rPr>
              <w:t>A.</w:t>
            </w:r>
            <w:r w:rsidR="0072342D">
              <w:rPr>
                <w:rFonts w:asciiTheme="minorHAnsi" w:hAnsiTheme="minorHAnsi" w:cstheme="minorBidi"/>
                <w:noProof/>
                <w:lang w:eastAsia="ko-KR" w:bidi="ar-SA"/>
              </w:rPr>
              <w:tab/>
            </w:r>
            <w:r w:rsidR="0072342D" w:rsidRPr="004F3E29">
              <w:rPr>
                <w:rStyle w:val="Hyperlink"/>
                <w:noProof/>
              </w:rPr>
              <w:t>Summary of the proposed Green Transportation Policy Framework</w:t>
            </w:r>
            <w:r w:rsidR="0072342D">
              <w:rPr>
                <w:noProof/>
                <w:webHidden/>
              </w:rPr>
              <w:tab/>
            </w:r>
            <w:r>
              <w:rPr>
                <w:noProof/>
                <w:webHidden/>
              </w:rPr>
              <w:fldChar w:fldCharType="begin"/>
            </w:r>
            <w:r w:rsidR="0072342D">
              <w:rPr>
                <w:noProof/>
                <w:webHidden/>
              </w:rPr>
              <w:instrText xml:space="preserve"> PAGEREF _Toc326892939 \h </w:instrText>
            </w:r>
            <w:r>
              <w:rPr>
                <w:noProof/>
                <w:webHidden/>
              </w:rPr>
            </w:r>
            <w:r>
              <w:rPr>
                <w:noProof/>
                <w:webHidden/>
              </w:rPr>
              <w:fldChar w:fldCharType="separate"/>
            </w:r>
            <w:r w:rsidR="00E65CBA">
              <w:rPr>
                <w:noProof/>
                <w:webHidden/>
              </w:rPr>
              <w:t>47</w:t>
            </w:r>
            <w:r>
              <w:rPr>
                <w:noProof/>
                <w:webHidden/>
              </w:rPr>
              <w:fldChar w:fldCharType="end"/>
            </w:r>
          </w:hyperlink>
        </w:p>
        <w:p w:rsidR="0072342D" w:rsidRDefault="001A7AF8">
          <w:pPr>
            <w:pStyle w:val="TOC2"/>
            <w:tabs>
              <w:tab w:val="left" w:pos="660"/>
              <w:tab w:val="right" w:leader="dot" w:pos="9350"/>
            </w:tabs>
            <w:rPr>
              <w:rFonts w:asciiTheme="minorHAnsi" w:hAnsiTheme="minorHAnsi" w:cstheme="minorBidi"/>
              <w:noProof/>
              <w:lang w:eastAsia="ko-KR" w:bidi="ar-SA"/>
            </w:rPr>
          </w:pPr>
          <w:hyperlink w:anchor="_Toc326892940" w:history="1">
            <w:r w:rsidR="0072342D" w:rsidRPr="004F3E29">
              <w:rPr>
                <w:rStyle w:val="Hyperlink"/>
                <w:noProof/>
              </w:rPr>
              <w:t>B.</w:t>
            </w:r>
            <w:r w:rsidR="0072342D">
              <w:rPr>
                <w:rFonts w:asciiTheme="minorHAnsi" w:hAnsiTheme="minorHAnsi" w:cstheme="minorBidi"/>
                <w:noProof/>
                <w:lang w:eastAsia="ko-KR" w:bidi="ar-SA"/>
              </w:rPr>
              <w:tab/>
            </w:r>
            <w:r w:rsidR="0072342D" w:rsidRPr="004F3E29">
              <w:rPr>
                <w:rStyle w:val="Hyperlink"/>
                <w:noProof/>
              </w:rPr>
              <w:t>Business-As-Usual vs. Green Transportation Scenarios</w:t>
            </w:r>
            <w:r w:rsidR="0072342D">
              <w:rPr>
                <w:noProof/>
                <w:webHidden/>
              </w:rPr>
              <w:tab/>
            </w:r>
            <w:r>
              <w:rPr>
                <w:noProof/>
                <w:webHidden/>
              </w:rPr>
              <w:fldChar w:fldCharType="begin"/>
            </w:r>
            <w:r w:rsidR="0072342D">
              <w:rPr>
                <w:noProof/>
                <w:webHidden/>
              </w:rPr>
              <w:instrText xml:space="preserve"> PAGEREF _Toc326892940 \h </w:instrText>
            </w:r>
            <w:r>
              <w:rPr>
                <w:noProof/>
                <w:webHidden/>
              </w:rPr>
            </w:r>
            <w:r>
              <w:rPr>
                <w:noProof/>
                <w:webHidden/>
              </w:rPr>
              <w:fldChar w:fldCharType="separate"/>
            </w:r>
            <w:r w:rsidR="00E65CBA">
              <w:rPr>
                <w:noProof/>
                <w:webHidden/>
              </w:rPr>
              <w:t>49</w:t>
            </w:r>
            <w:r>
              <w:rPr>
                <w:noProof/>
                <w:webHidden/>
              </w:rPr>
              <w:fldChar w:fldCharType="end"/>
            </w:r>
          </w:hyperlink>
        </w:p>
        <w:p w:rsidR="0072342D" w:rsidRDefault="001A7AF8">
          <w:pPr>
            <w:pStyle w:val="TOC2"/>
            <w:tabs>
              <w:tab w:val="left" w:pos="660"/>
              <w:tab w:val="right" w:leader="dot" w:pos="9350"/>
            </w:tabs>
            <w:rPr>
              <w:rFonts w:asciiTheme="minorHAnsi" w:hAnsiTheme="minorHAnsi" w:cstheme="minorBidi"/>
              <w:noProof/>
              <w:lang w:eastAsia="ko-KR" w:bidi="ar-SA"/>
            </w:rPr>
          </w:pPr>
          <w:hyperlink w:anchor="_Toc326892941" w:history="1">
            <w:r w:rsidR="0072342D" w:rsidRPr="004F3E29">
              <w:rPr>
                <w:rStyle w:val="Hyperlink"/>
                <w:noProof/>
              </w:rPr>
              <w:t>C.</w:t>
            </w:r>
            <w:r w:rsidR="0072342D">
              <w:rPr>
                <w:rFonts w:asciiTheme="minorHAnsi" w:hAnsiTheme="minorHAnsi" w:cstheme="minorBidi"/>
                <w:noProof/>
                <w:lang w:eastAsia="ko-KR" w:bidi="ar-SA"/>
              </w:rPr>
              <w:tab/>
            </w:r>
            <w:r w:rsidR="0072342D" w:rsidRPr="004F3E29">
              <w:rPr>
                <w:rStyle w:val="Hyperlink"/>
                <w:noProof/>
              </w:rPr>
              <w:t>How to Implement the Policy Framework: Roadmap for Green Transportation</w:t>
            </w:r>
            <w:r w:rsidR="0072342D">
              <w:rPr>
                <w:noProof/>
                <w:webHidden/>
              </w:rPr>
              <w:tab/>
            </w:r>
            <w:r>
              <w:rPr>
                <w:noProof/>
                <w:webHidden/>
              </w:rPr>
              <w:fldChar w:fldCharType="begin"/>
            </w:r>
            <w:r w:rsidR="0072342D">
              <w:rPr>
                <w:noProof/>
                <w:webHidden/>
              </w:rPr>
              <w:instrText xml:space="preserve"> PAGEREF _Toc326892941 \h </w:instrText>
            </w:r>
            <w:r>
              <w:rPr>
                <w:noProof/>
                <w:webHidden/>
              </w:rPr>
            </w:r>
            <w:r>
              <w:rPr>
                <w:noProof/>
                <w:webHidden/>
              </w:rPr>
              <w:fldChar w:fldCharType="separate"/>
            </w:r>
            <w:r w:rsidR="00E65CBA">
              <w:rPr>
                <w:noProof/>
                <w:webHidden/>
              </w:rPr>
              <w:t>53</w:t>
            </w:r>
            <w:r>
              <w:rPr>
                <w:noProof/>
                <w:webHidden/>
              </w:rPr>
              <w:fldChar w:fldCharType="end"/>
            </w:r>
          </w:hyperlink>
        </w:p>
        <w:p w:rsidR="0072342D" w:rsidRDefault="001A7AF8">
          <w:pPr>
            <w:pStyle w:val="TOC1"/>
            <w:rPr>
              <w:rFonts w:asciiTheme="minorHAnsi" w:hAnsiTheme="minorHAnsi" w:cstheme="minorBidi"/>
              <w:b w:val="0"/>
              <w:lang w:eastAsia="ko-KR" w:bidi="ar-SA"/>
            </w:rPr>
          </w:pPr>
          <w:hyperlink w:anchor="_Toc326892942" w:history="1">
            <w:r w:rsidR="0072342D" w:rsidRPr="004F3E29">
              <w:rPr>
                <w:rStyle w:val="Hyperlink"/>
              </w:rPr>
              <w:t>ANNEX 1: EFFECT Analysis Methodology</w:t>
            </w:r>
            <w:r w:rsidR="0072342D">
              <w:rPr>
                <w:webHidden/>
              </w:rPr>
              <w:tab/>
            </w:r>
            <w:r>
              <w:rPr>
                <w:webHidden/>
              </w:rPr>
              <w:fldChar w:fldCharType="begin"/>
            </w:r>
            <w:r w:rsidR="0072342D">
              <w:rPr>
                <w:webHidden/>
              </w:rPr>
              <w:instrText xml:space="preserve"> PAGEREF _Toc326892942 \h </w:instrText>
            </w:r>
            <w:r>
              <w:rPr>
                <w:webHidden/>
              </w:rPr>
            </w:r>
            <w:r>
              <w:rPr>
                <w:webHidden/>
              </w:rPr>
              <w:fldChar w:fldCharType="separate"/>
            </w:r>
            <w:r w:rsidR="00E65CBA">
              <w:rPr>
                <w:webHidden/>
              </w:rPr>
              <w:t>56</w:t>
            </w:r>
            <w:r>
              <w:rPr>
                <w:webHidden/>
              </w:rPr>
              <w:fldChar w:fldCharType="end"/>
            </w:r>
          </w:hyperlink>
        </w:p>
        <w:p w:rsidR="0072342D" w:rsidRDefault="001A7AF8">
          <w:pPr>
            <w:pStyle w:val="TOC2"/>
            <w:tabs>
              <w:tab w:val="left" w:pos="660"/>
              <w:tab w:val="right" w:leader="dot" w:pos="9350"/>
            </w:tabs>
            <w:rPr>
              <w:rFonts w:asciiTheme="minorHAnsi" w:hAnsiTheme="minorHAnsi" w:cstheme="minorBidi"/>
              <w:noProof/>
              <w:lang w:eastAsia="ko-KR" w:bidi="ar-SA"/>
            </w:rPr>
          </w:pPr>
          <w:hyperlink w:anchor="_Toc326892943" w:history="1">
            <w:r w:rsidR="0072342D" w:rsidRPr="004F3E29">
              <w:rPr>
                <w:rStyle w:val="Hyperlink"/>
                <w:noProof/>
              </w:rPr>
              <w:t>A.</w:t>
            </w:r>
            <w:r w:rsidR="0072342D">
              <w:rPr>
                <w:rFonts w:asciiTheme="minorHAnsi" w:hAnsiTheme="minorHAnsi" w:cstheme="minorBidi"/>
                <w:noProof/>
                <w:lang w:eastAsia="ko-KR" w:bidi="ar-SA"/>
              </w:rPr>
              <w:tab/>
            </w:r>
            <w:r w:rsidR="0072342D" w:rsidRPr="004F3E29">
              <w:rPr>
                <w:rStyle w:val="Hyperlink"/>
                <w:noProof/>
              </w:rPr>
              <w:t>EFFECT: Energy Forecasting Framework and Emissions Consensus Tool</w:t>
            </w:r>
            <w:r w:rsidR="0072342D">
              <w:rPr>
                <w:noProof/>
                <w:webHidden/>
              </w:rPr>
              <w:tab/>
            </w:r>
            <w:r>
              <w:rPr>
                <w:noProof/>
                <w:webHidden/>
              </w:rPr>
              <w:fldChar w:fldCharType="begin"/>
            </w:r>
            <w:r w:rsidR="0072342D">
              <w:rPr>
                <w:noProof/>
                <w:webHidden/>
              </w:rPr>
              <w:instrText xml:space="preserve"> PAGEREF _Toc326892943 \h </w:instrText>
            </w:r>
            <w:r>
              <w:rPr>
                <w:noProof/>
                <w:webHidden/>
              </w:rPr>
            </w:r>
            <w:r>
              <w:rPr>
                <w:noProof/>
                <w:webHidden/>
              </w:rPr>
              <w:fldChar w:fldCharType="separate"/>
            </w:r>
            <w:r w:rsidR="00E65CBA">
              <w:rPr>
                <w:noProof/>
                <w:webHidden/>
              </w:rPr>
              <w:t>56</w:t>
            </w:r>
            <w:r>
              <w:rPr>
                <w:noProof/>
                <w:webHidden/>
              </w:rPr>
              <w:fldChar w:fldCharType="end"/>
            </w:r>
          </w:hyperlink>
        </w:p>
        <w:p w:rsidR="0072342D" w:rsidRDefault="001A7AF8">
          <w:pPr>
            <w:pStyle w:val="TOC2"/>
            <w:tabs>
              <w:tab w:val="left" w:pos="660"/>
              <w:tab w:val="right" w:leader="dot" w:pos="9350"/>
            </w:tabs>
            <w:rPr>
              <w:rFonts w:asciiTheme="minorHAnsi" w:hAnsiTheme="minorHAnsi" w:cstheme="minorBidi"/>
              <w:noProof/>
              <w:lang w:eastAsia="ko-KR" w:bidi="ar-SA"/>
            </w:rPr>
          </w:pPr>
          <w:hyperlink w:anchor="_Toc326892944" w:history="1">
            <w:r w:rsidR="0072342D" w:rsidRPr="004F3E29">
              <w:rPr>
                <w:rStyle w:val="Hyperlink"/>
                <w:noProof/>
              </w:rPr>
              <w:t>B.</w:t>
            </w:r>
            <w:r w:rsidR="0072342D">
              <w:rPr>
                <w:rFonts w:asciiTheme="minorHAnsi" w:hAnsiTheme="minorHAnsi" w:cstheme="minorBidi"/>
                <w:noProof/>
                <w:lang w:eastAsia="ko-KR" w:bidi="ar-SA"/>
              </w:rPr>
              <w:tab/>
            </w:r>
            <w:r w:rsidR="0072342D" w:rsidRPr="004F3E29">
              <w:rPr>
                <w:rStyle w:val="Hyperlink"/>
                <w:noProof/>
              </w:rPr>
              <w:t>Data used in the analysis</w:t>
            </w:r>
            <w:r w:rsidR="0072342D">
              <w:rPr>
                <w:noProof/>
                <w:webHidden/>
              </w:rPr>
              <w:tab/>
            </w:r>
            <w:r>
              <w:rPr>
                <w:noProof/>
                <w:webHidden/>
              </w:rPr>
              <w:fldChar w:fldCharType="begin"/>
            </w:r>
            <w:r w:rsidR="0072342D">
              <w:rPr>
                <w:noProof/>
                <w:webHidden/>
              </w:rPr>
              <w:instrText xml:space="preserve"> PAGEREF _Toc326892944 \h </w:instrText>
            </w:r>
            <w:r>
              <w:rPr>
                <w:noProof/>
                <w:webHidden/>
              </w:rPr>
            </w:r>
            <w:r>
              <w:rPr>
                <w:noProof/>
                <w:webHidden/>
              </w:rPr>
              <w:fldChar w:fldCharType="separate"/>
            </w:r>
            <w:r w:rsidR="00E65CBA">
              <w:rPr>
                <w:noProof/>
                <w:webHidden/>
              </w:rPr>
              <w:t>58</w:t>
            </w:r>
            <w:r>
              <w:rPr>
                <w:noProof/>
                <w:webHidden/>
              </w:rPr>
              <w:fldChar w:fldCharType="end"/>
            </w:r>
          </w:hyperlink>
        </w:p>
        <w:p w:rsidR="0072342D" w:rsidRDefault="001A7AF8">
          <w:pPr>
            <w:pStyle w:val="TOC2"/>
            <w:tabs>
              <w:tab w:val="left" w:pos="660"/>
              <w:tab w:val="right" w:leader="dot" w:pos="9350"/>
            </w:tabs>
            <w:rPr>
              <w:rFonts w:asciiTheme="minorHAnsi" w:hAnsiTheme="minorHAnsi" w:cstheme="minorBidi"/>
              <w:noProof/>
              <w:lang w:eastAsia="ko-KR" w:bidi="ar-SA"/>
            </w:rPr>
          </w:pPr>
          <w:hyperlink w:anchor="_Toc326892945" w:history="1">
            <w:r w:rsidR="0072342D" w:rsidRPr="004F3E29">
              <w:rPr>
                <w:rStyle w:val="Hyperlink"/>
                <w:noProof/>
              </w:rPr>
              <w:t>C.</w:t>
            </w:r>
            <w:r w:rsidR="0072342D">
              <w:rPr>
                <w:rFonts w:asciiTheme="minorHAnsi" w:hAnsiTheme="minorHAnsi" w:cstheme="minorBidi"/>
                <w:noProof/>
                <w:lang w:eastAsia="ko-KR" w:bidi="ar-SA"/>
              </w:rPr>
              <w:tab/>
            </w:r>
            <w:r w:rsidR="0072342D" w:rsidRPr="004F3E29">
              <w:rPr>
                <w:rStyle w:val="Hyperlink"/>
                <w:noProof/>
              </w:rPr>
              <w:t>Assumptions used in the analysis</w:t>
            </w:r>
            <w:r w:rsidR="0072342D">
              <w:rPr>
                <w:noProof/>
                <w:webHidden/>
              </w:rPr>
              <w:tab/>
            </w:r>
            <w:r>
              <w:rPr>
                <w:noProof/>
                <w:webHidden/>
              </w:rPr>
              <w:fldChar w:fldCharType="begin"/>
            </w:r>
            <w:r w:rsidR="0072342D">
              <w:rPr>
                <w:noProof/>
                <w:webHidden/>
              </w:rPr>
              <w:instrText xml:space="preserve"> PAGEREF _Toc326892945 \h </w:instrText>
            </w:r>
            <w:r>
              <w:rPr>
                <w:noProof/>
                <w:webHidden/>
              </w:rPr>
            </w:r>
            <w:r>
              <w:rPr>
                <w:noProof/>
                <w:webHidden/>
              </w:rPr>
              <w:fldChar w:fldCharType="separate"/>
            </w:r>
            <w:r w:rsidR="00E65CBA">
              <w:rPr>
                <w:noProof/>
                <w:webHidden/>
              </w:rPr>
              <w:t>67</w:t>
            </w:r>
            <w:r>
              <w:rPr>
                <w:noProof/>
                <w:webHidden/>
              </w:rPr>
              <w:fldChar w:fldCharType="end"/>
            </w:r>
          </w:hyperlink>
        </w:p>
        <w:p w:rsidR="0072342D" w:rsidRDefault="001A7AF8">
          <w:pPr>
            <w:pStyle w:val="TOC1"/>
            <w:rPr>
              <w:rFonts w:asciiTheme="minorHAnsi" w:hAnsiTheme="minorHAnsi" w:cstheme="minorBidi"/>
              <w:b w:val="0"/>
              <w:lang w:eastAsia="ko-KR" w:bidi="ar-SA"/>
            </w:rPr>
          </w:pPr>
          <w:hyperlink w:anchor="_Toc326892946" w:history="1">
            <w:r w:rsidR="0072342D" w:rsidRPr="004F3E29">
              <w:rPr>
                <w:rStyle w:val="Hyperlink"/>
              </w:rPr>
              <w:t>ANNEX 2: London’s Electric Vehicle Deployment Program</w:t>
            </w:r>
            <w:r w:rsidR="0072342D">
              <w:rPr>
                <w:webHidden/>
              </w:rPr>
              <w:tab/>
            </w:r>
            <w:r>
              <w:rPr>
                <w:webHidden/>
              </w:rPr>
              <w:fldChar w:fldCharType="begin"/>
            </w:r>
            <w:r w:rsidR="0072342D">
              <w:rPr>
                <w:webHidden/>
              </w:rPr>
              <w:instrText xml:space="preserve"> PAGEREF _Toc326892946 \h </w:instrText>
            </w:r>
            <w:r>
              <w:rPr>
                <w:webHidden/>
              </w:rPr>
            </w:r>
            <w:r>
              <w:rPr>
                <w:webHidden/>
              </w:rPr>
              <w:fldChar w:fldCharType="separate"/>
            </w:r>
            <w:r w:rsidR="00E65CBA">
              <w:rPr>
                <w:webHidden/>
              </w:rPr>
              <w:t>69</w:t>
            </w:r>
            <w:r>
              <w:rPr>
                <w:webHidden/>
              </w:rPr>
              <w:fldChar w:fldCharType="end"/>
            </w:r>
          </w:hyperlink>
        </w:p>
        <w:p w:rsidR="0072342D" w:rsidRDefault="001A7AF8">
          <w:pPr>
            <w:pStyle w:val="TOC2"/>
            <w:tabs>
              <w:tab w:val="left" w:pos="660"/>
              <w:tab w:val="right" w:leader="dot" w:pos="9350"/>
            </w:tabs>
            <w:rPr>
              <w:rFonts w:asciiTheme="minorHAnsi" w:hAnsiTheme="minorHAnsi" w:cstheme="minorBidi"/>
              <w:noProof/>
              <w:lang w:eastAsia="ko-KR" w:bidi="ar-SA"/>
            </w:rPr>
          </w:pPr>
          <w:hyperlink w:anchor="_Toc326892947" w:history="1">
            <w:r w:rsidR="0072342D" w:rsidRPr="004F3E29">
              <w:rPr>
                <w:rStyle w:val="Hyperlink"/>
                <w:noProof/>
              </w:rPr>
              <w:t>A.</w:t>
            </w:r>
            <w:r w:rsidR="0072342D">
              <w:rPr>
                <w:rFonts w:asciiTheme="minorHAnsi" w:hAnsiTheme="minorHAnsi" w:cstheme="minorBidi"/>
                <w:noProof/>
                <w:lang w:eastAsia="ko-KR" w:bidi="ar-SA"/>
              </w:rPr>
              <w:tab/>
            </w:r>
            <w:r w:rsidR="0072342D" w:rsidRPr="004F3E29">
              <w:rPr>
                <w:rStyle w:val="Hyperlink"/>
                <w:noProof/>
              </w:rPr>
              <w:t>Policy Drivers</w:t>
            </w:r>
            <w:r w:rsidR="0072342D">
              <w:rPr>
                <w:noProof/>
                <w:webHidden/>
              </w:rPr>
              <w:tab/>
            </w:r>
            <w:r>
              <w:rPr>
                <w:noProof/>
                <w:webHidden/>
              </w:rPr>
              <w:fldChar w:fldCharType="begin"/>
            </w:r>
            <w:r w:rsidR="0072342D">
              <w:rPr>
                <w:noProof/>
                <w:webHidden/>
              </w:rPr>
              <w:instrText xml:space="preserve"> PAGEREF _Toc326892947 \h </w:instrText>
            </w:r>
            <w:r>
              <w:rPr>
                <w:noProof/>
                <w:webHidden/>
              </w:rPr>
            </w:r>
            <w:r>
              <w:rPr>
                <w:noProof/>
                <w:webHidden/>
              </w:rPr>
              <w:fldChar w:fldCharType="separate"/>
            </w:r>
            <w:r w:rsidR="00E65CBA">
              <w:rPr>
                <w:noProof/>
                <w:webHidden/>
              </w:rPr>
              <w:t>69</w:t>
            </w:r>
            <w:r>
              <w:rPr>
                <w:noProof/>
                <w:webHidden/>
              </w:rPr>
              <w:fldChar w:fldCharType="end"/>
            </w:r>
          </w:hyperlink>
        </w:p>
        <w:p w:rsidR="0072342D" w:rsidRDefault="001A7AF8">
          <w:pPr>
            <w:pStyle w:val="TOC2"/>
            <w:tabs>
              <w:tab w:val="left" w:pos="660"/>
              <w:tab w:val="right" w:leader="dot" w:pos="9350"/>
            </w:tabs>
            <w:rPr>
              <w:rFonts w:asciiTheme="minorHAnsi" w:hAnsiTheme="minorHAnsi" w:cstheme="minorBidi"/>
              <w:noProof/>
              <w:lang w:eastAsia="ko-KR" w:bidi="ar-SA"/>
            </w:rPr>
          </w:pPr>
          <w:hyperlink w:anchor="_Toc326892948" w:history="1">
            <w:r w:rsidR="0072342D" w:rsidRPr="004F3E29">
              <w:rPr>
                <w:rStyle w:val="Hyperlink"/>
                <w:noProof/>
              </w:rPr>
              <w:t>B.</w:t>
            </w:r>
            <w:r w:rsidR="0072342D">
              <w:rPr>
                <w:rFonts w:asciiTheme="minorHAnsi" w:hAnsiTheme="minorHAnsi" w:cstheme="minorBidi"/>
                <w:noProof/>
                <w:lang w:eastAsia="ko-KR" w:bidi="ar-SA"/>
              </w:rPr>
              <w:tab/>
            </w:r>
            <w:r w:rsidR="0072342D" w:rsidRPr="004F3E29">
              <w:rPr>
                <w:rStyle w:val="Hyperlink"/>
                <w:noProof/>
              </w:rPr>
              <w:t>Charging Infrastructure</w:t>
            </w:r>
            <w:r w:rsidR="0072342D">
              <w:rPr>
                <w:noProof/>
                <w:webHidden/>
              </w:rPr>
              <w:tab/>
            </w:r>
            <w:r>
              <w:rPr>
                <w:noProof/>
                <w:webHidden/>
              </w:rPr>
              <w:fldChar w:fldCharType="begin"/>
            </w:r>
            <w:r w:rsidR="0072342D">
              <w:rPr>
                <w:noProof/>
                <w:webHidden/>
              </w:rPr>
              <w:instrText xml:space="preserve"> PAGEREF _Toc326892948 \h </w:instrText>
            </w:r>
            <w:r>
              <w:rPr>
                <w:noProof/>
                <w:webHidden/>
              </w:rPr>
            </w:r>
            <w:r>
              <w:rPr>
                <w:noProof/>
                <w:webHidden/>
              </w:rPr>
              <w:fldChar w:fldCharType="separate"/>
            </w:r>
            <w:r w:rsidR="00E65CBA">
              <w:rPr>
                <w:noProof/>
                <w:webHidden/>
              </w:rPr>
              <w:t>69</w:t>
            </w:r>
            <w:r>
              <w:rPr>
                <w:noProof/>
                <w:webHidden/>
              </w:rPr>
              <w:fldChar w:fldCharType="end"/>
            </w:r>
          </w:hyperlink>
        </w:p>
        <w:p w:rsidR="0072342D" w:rsidRDefault="001A7AF8">
          <w:pPr>
            <w:pStyle w:val="TOC2"/>
            <w:tabs>
              <w:tab w:val="left" w:pos="660"/>
              <w:tab w:val="right" w:leader="dot" w:pos="9350"/>
            </w:tabs>
            <w:rPr>
              <w:rFonts w:asciiTheme="minorHAnsi" w:hAnsiTheme="minorHAnsi" w:cstheme="minorBidi"/>
              <w:noProof/>
              <w:lang w:eastAsia="ko-KR" w:bidi="ar-SA"/>
            </w:rPr>
          </w:pPr>
          <w:hyperlink w:anchor="_Toc326892949" w:history="1">
            <w:r w:rsidR="0072342D" w:rsidRPr="004F3E29">
              <w:rPr>
                <w:rStyle w:val="Hyperlink"/>
                <w:noProof/>
              </w:rPr>
              <w:t>C.</w:t>
            </w:r>
            <w:r w:rsidR="0072342D">
              <w:rPr>
                <w:rFonts w:asciiTheme="minorHAnsi" w:hAnsiTheme="minorHAnsi" w:cstheme="minorBidi"/>
                <w:noProof/>
                <w:lang w:eastAsia="ko-KR" w:bidi="ar-SA"/>
              </w:rPr>
              <w:tab/>
            </w:r>
            <w:r w:rsidR="0072342D" w:rsidRPr="004F3E29">
              <w:rPr>
                <w:rStyle w:val="Hyperlink"/>
                <w:noProof/>
              </w:rPr>
              <w:t>Vehicle Technology</w:t>
            </w:r>
            <w:r w:rsidR="0072342D">
              <w:rPr>
                <w:noProof/>
                <w:webHidden/>
              </w:rPr>
              <w:tab/>
            </w:r>
            <w:r>
              <w:rPr>
                <w:noProof/>
                <w:webHidden/>
              </w:rPr>
              <w:fldChar w:fldCharType="begin"/>
            </w:r>
            <w:r w:rsidR="0072342D">
              <w:rPr>
                <w:noProof/>
                <w:webHidden/>
              </w:rPr>
              <w:instrText xml:space="preserve"> PAGEREF _Toc326892949 \h </w:instrText>
            </w:r>
            <w:r>
              <w:rPr>
                <w:noProof/>
                <w:webHidden/>
              </w:rPr>
            </w:r>
            <w:r>
              <w:rPr>
                <w:noProof/>
                <w:webHidden/>
              </w:rPr>
              <w:fldChar w:fldCharType="separate"/>
            </w:r>
            <w:r w:rsidR="00E65CBA">
              <w:rPr>
                <w:noProof/>
                <w:webHidden/>
              </w:rPr>
              <w:t>70</w:t>
            </w:r>
            <w:r>
              <w:rPr>
                <w:noProof/>
                <w:webHidden/>
              </w:rPr>
              <w:fldChar w:fldCharType="end"/>
            </w:r>
          </w:hyperlink>
        </w:p>
        <w:p w:rsidR="0072342D" w:rsidRDefault="001A7AF8">
          <w:pPr>
            <w:pStyle w:val="TOC2"/>
            <w:tabs>
              <w:tab w:val="left" w:pos="660"/>
              <w:tab w:val="right" w:leader="dot" w:pos="9350"/>
            </w:tabs>
            <w:rPr>
              <w:rFonts w:asciiTheme="minorHAnsi" w:hAnsiTheme="minorHAnsi" w:cstheme="minorBidi"/>
              <w:noProof/>
              <w:lang w:eastAsia="ko-KR" w:bidi="ar-SA"/>
            </w:rPr>
          </w:pPr>
          <w:hyperlink w:anchor="_Toc326892950" w:history="1">
            <w:r w:rsidR="0072342D" w:rsidRPr="004F3E29">
              <w:rPr>
                <w:rStyle w:val="Hyperlink"/>
                <w:noProof/>
              </w:rPr>
              <w:t>D.</w:t>
            </w:r>
            <w:r w:rsidR="0072342D">
              <w:rPr>
                <w:rFonts w:asciiTheme="minorHAnsi" w:hAnsiTheme="minorHAnsi" w:cstheme="minorBidi"/>
                <w:noProof/>
                <w:lang w:eastAsia="ko-KR" w:bidi="ar-SA"/>
              </w:rPr>
              <w:tab/>
            </w:r>
            <w:r w:rsidR="0072342D" w:rsidRPr="004F3E29">
              <w:rPr>
                <w:rStyle w:val="Hyperlink"/>
                <w:noProof/>
              </w:rPr>
              <w:t>Implementation</w:t>
            </w:r>
            <w:r w:rsidR="0072342D">
              <w:rPr>
                <w:noProof/>
                <w:webHidden/>
              </w:rPr>
              <w:tab/>
            </w:r>
            <w:r>
              <w:rPr>
                <w:noProof/>
                <w:webHidden/>
              </w:rPr>
              <w:fldChar w:fldCharType="begin"/>
            </w:r>
            <w:r w:rsidR="0072342D">
              <w:rPr>
                <w:noProof/>
                <w:webHidden/>
              </w:rPr>
              <w:instrText xml:space="preserve"> PAGEREF _Toc326892950 \h </w:instrText>
            </w:r>
            <w:r>
              <w:rPr>
                <w:noProof/>
                <w:webHidden/>
              </w:rPr>
            </w:r>
            <w:r>
              <w:rPr>
                <w:noProof/>
                <w:webHidden/>
              </w:rPr>
              <w:fldChar w:fldCharType="separate"/>
            </w:r>
            <w:r w:rsidR="00E65CBA">
              <w:rPr>
                <w:noProof/>
                <w:webHidden/>
              </w:rPr>
              <w:t>70</w:t>
            </w:r>
            <w:r>
              <w:rPr>
                <w:noProof/>
                <w:webHidden/>
              </w:rPr>
              <w:fldChar w:fldCharType="end"/>
            </w:r>
          </w:hyperlink>
        </w:p>
        <w:p w:rsidR="0072342D" w:rsidRDefault="001A7AF8">
          <w:pPr>
            <w:pStyle w:val="TOC1"/>
            <w:rPr>
              <w:rFonts w:asciiTheme="minorHAnsi" w:hAnsiTheme="minorHAnsi" w:cstheme="minorBidi"/>
              <w:b w:val="0"/>
              <w:lang w:eastAsia="ko-KR" w:bidi="ar-SA"/>
            </w:rPr>
          </w:pPr>
          <w:hyperlink w:anchor="_Toc326892951" w:history="1">
            <w:r w:rsidR="0072342D" w:rsidRPr="004F3E29">
              <w:rPr>
                <w:rStyle w:val="Hyperlink"/>
              </w:rPr>
              <w:t>ANNEX 3: Review of Vehicle Replacement and Retrofit Programs</w:t>
            </w:r>
            <w:r w:rsidR="0072342D">
              <w:rPr>
                <w:webHidden/>
              </w:rPr>
              <w:tab/>
            </w:r>
            <w:r>
              <w:rPr>
                <w:webHidden/>
              </w:rPr>
              <w:fldChar w:fldCharType="begin"/>
            </w:r>
            <w:r w:rsidR="0072342D">
              <w:rPr>
                <w:webHidden/>
              </w:rPr>
              <w:instrText xml:space="preserve"> PAGEREF _Toc326892951 \h </w:instrText>
            </w:r>
            <w:r>
              <w:rPr>
                <w:webHidden/>
              </w:rPr>
            </w:r>
            <w:r>
              <w:rPr>
                <w:webHidden/>
              </w:rPr>
              <w:fldChar w:fldCharType="separate"/>
            </w:r>
            <w:r w:rsidR="00E65CBA">
              <w:rPr>
                <w:webHidden/>
              </w:rPr>
              <w:t>72</w:t>
            </w:r>
            <w:r>
              <w:rPr>
                <w:webHidden/>
              </w:rPr>
              <w:fldChar w:fldCharType="end"/>
            </w:r>
          </w:hyperlink>
        </w:p>
        <w:p w:rsidR="0072342D" w:rsidRDefault="001A7AF8">
          <w:pPr>
            <w:pStyle w:val="TOC2"/>
            <w:tabs>
              <w:tab w:val="left" w:pos="660"/>
              <w:tab w:val="right" w:leader="dot" w:pos="9350"/>
            </w:tabs>
            <w:rPr>
              <w:rFonts w:asciiTheme="minorHAnsi" w:hAnsiTheme="minorHAnsi" w:cstheme="minorBidi"/>
              <w:noProof/>
              <w:lang w:eastAsia="ko-KR" w:bidi="ar-SA"/>
            </w:rPr>
          </w:pPr>
          <w:hyperlink w:anchor="_Toc326892952" w:history="1">
            <w:r w:rsidR="0072342D" w:rsidRPr="004F3E29">
              <w:rPr>
                <w:rStyle w:val="Hyperlink"/>
                <w:noProof/>
              </w:rPr>
              <w:t>A.</w:t>
            </w:r>
            <w:r w:rsidR="0072342D">
              <w:rPr>
                <w:rFonts w:asciiTheme="minorHAnsi" w:hAnsiTheme="minorHAnsi" w:cstheme="minorBidi"/>
                <w:noProof/>
                <w:lang w:eastAsia="ko-KR" w:bidi="ar-SA"/>
              </w:rPr>
              <w:tab/>
            </w:r>
            <w:r w:rsidR="0072342D" w:rsidRPr="004F3E29">
              <w:rPr>
                <w:rStyle w:val="Hyperlink"/>
                <w:noProof/>
              </w:rPr>
              <w:t>Scrapping and Relocation Programs</w:t>
            </w:r>
            <w:r w:rsidR="0072342D">
              <w:rPr>
                <w:noProof/>
                <w:webHidden/>
              </w:rPr>
              <w:tab/>
            </w:r>
            <w:r>
              <w:rPr>
                <w:noProof/>
                <w:webHidden/>
              </w:rPr>
              <w:fldChar w:fldCharType="begin"/>
            </w:r>
            <w:r w:rsidR="0072342D">
              <w:rPr>
                <w:noProof/>
                <w:webHidden/>
              </w:rPr>
              <w:instrText xml:space="preserve"> PAGEREF _Toc326892952 \h </w:instrText>
            </w:r>
            <w:r>
              <w:rPr>
                <w:noProof/>
                <w:webHidden/>
              </w:rPr>
            </w:r>
            <w:r>
              <w:rPr>
                <w:noProof/>
                <w:webHidden/>
              </w:rPr>
              <w:fldChar w:fldCharType="separate"/>
            </w:r>
            <w:r w:rsidR="00E65CBA">
              <w:rPr>
                <w:noProof/>
                <w:webHidden/>
              </w:rPr>
              <w:t>72</w:t>
            </w:r>
            <w:r>
              <w:rPr>
                <w:noProof/>
                <w:webHidden/>
              </w:rPr>
              <w:fldChar w:fldCharType="end"/>
            </w:r>
          </w:hyperlink>
        </w:p>
        <w:p w:rsidR="0072342D" w:rsidRDefault="001A7AF8">
          <w:pPr>
            <w:pStyle w:val="TOC2"/>
            <w:tabs>
              <w:tab w:val="left" w:pos="660"/>
              <w:tab w:val="right" w:leader="dot" w:pos="9350"/>
            </w:tabs>
            <w:rPr>
              <w:rFonts w:asciiTheme="minorHAnsi" w:hAnsiTheme="minorHAnsi" w:cstheme="minorBidi"/>
              <w:noProof/>
              <w:lang w:eastAsia="ko-KR" w:bidi="ar-SA"/>
            </w:rPr>
          </w:pPr>
          <w:hyperlink w:anchor="_Toc326892953" w:history="1">
            <w:r w:rsidR="0072342D" w:rsidRPr="004F3E29">
              <w:rPr>
                <w:rStyle w:val="Hyperlink"/>
                <w:noProof/>
              </w:rPr>
              <w:t>B.</w:t>
            </w:r>
            <w:r w:rsidR="0072342D">
              <w:rPr>
                <w:rFonts w:asciiTheme="minorHAnsi" w:hAnsiTheme="minorHAnsi" w:cstheme="minorBidi"/>
                <w:noProof/>
                <w:lang w:eastAsia="ko-KR" w:bidi="ar-SA"/>
              </w:rPr>
              <w:tab/>
            </w:r>
            <w:r w:rsidR="0072342D" w:rsidRPr="004F3E29">
              <w:rPr>
                <w:rStyle w:val="Hyperlink"/>
                <w:noProof/>
              </w:rPr>
              <w:t>Vehicle Replacement</w:t>
            </w:r>
            <w:r w:rsidR="0072342D">
              <w:rPr>
                <w:noProof/>
                <w:webHidden/>
              </w:rPr>
              <w:tab/>
            </w:r>
            <w:r>
              <w:rPr>
                <w:noProof/>
                <w:webHidden/>
              </w:rPr>
              <w:fldChar w:fldCharType="begin"/>
            </w:r>
            <w:r w:rsidR="0072342D">
              <w:rPr>
                <w:noProof/>
                <w:webHidden/>
              </w:rPr>
              <w:instrText xml:space="preserve"> PAGEREF _Toc326892953 \h </w:instrText>
            </w:r>
            <w:r>
              <w:rPr>
                <w:noProof/>
                <w:webHidden/>
              </w:rPr>
            </w:r>
            <w:r>
              <w:rPr>
                <w:noProof/>
                <w:webHidden/>
              </w:rPr>
              <w:fldChar w:fldCharType="separate"/>
            </w:r>
            <w:r w:rsidR="00E65CBA">
              <w:rPr>
                <w:noProof/>
                <w:webHidden/>
              </w:rPr>
              <w:t>73</w:t>
            </w:r>
            <w:r>
              <w:rPr>
                <w:noProof/>
                <w:webHidden/>
              </w:rPr>
              <w:fldChar w:fldCharType="end"/>
            </w:r>
          </w:hyperlink>
        </w:p>
        <w:p w:rsidR="0072342D" w:rsidRDefault="001A7AF8">
          <w:pPr>
            <w:pStyle w:val="TOC2"/>
            <w:tabs>
              <w:tab w:val="left" w:pos="660"/>
              <w:tab w:val="right" w:leader="dot" w:pos="9350"/>
            </w:tabs>
            <w:rPr>
              <w:rFonts w:asciiTheme="minorHAnsi" w:hAnsiTheme="minorHAnsi" w:cstheme="minorBidi"/>
              <w:noProof/>
              <w:lang w:eastAsia="ko-KR" w:bidi="ar-SA"/>
            </w:rPr>
          </w:pPr>
          <w:hyperlink w:anchor="_Toc326892954" w:history="1">
            <w:r w:rsidR="0072342D" w:rsidRPr="004F3E29">
              <w:rPr>
                <w:rStyle w:val="Hyperlink"/>
                <w:noProof/>
              </w:rPr>
              <w:t>C.</w:t>
            </w:r>
            <w:r w:rsidR="0072342D">
              <w:rPr>
                <w:rFonts w:asciiTheme="minorHAnsi" w:hAnsiTheme="minorHAnsi" w:cstheme="minorBidi"/>
                <w:noProof/>
                <w:lang w:eastAsia="ko-KR" w:bidi="ar-SA"/>
              </w:rPr>
              <w:tab/>
            </w:r>
            <w:r w:rsidR="0072342D" w:rsidRPr="004F3E29">
              <w:rPr>
                <w:rStyle w:val="Hyperlink"/>
                <w:noProof/>
              </w:rPr>
              <w:t>Retrofit Programs</w:t>
            </w:r>
            <w:r w:rsidR="0072342D">
              <w:rPr>
                <w:noProof/>
                <w:webHidden/>
              </w:rPr>
              <w:tab/>
            </w:r>
            <w:r>
              <w:rPr>
                <w:noProof/>
                <w:webHidden/>
              </w:rPr>
              <w:fldChar w:fldCharType="begin"/>
            </w:r>
            <w:r w:rsidR="0072342D">
              <w:rPr>
                <w:noProof/>
                <w:webHidden/>
              </w:rPr>
              <w:instrText xml:space="preserve"> PAGEREF _Toc326892954 \h </w:instrText>
            </w:r>
            <w:r>
              <w:rPr>
                <w:noProof/>
                <w:webHidden/>
              </w:rPr>
            </w:r>
            <w:r>
              <w:rPr>
                <w:noProof/>
                <w:webHidden/>
              </w:rPr>
              <w:fldChar w:fldCharType="separate"/>
            </w:r>
            <w:r w:rsidR="00E65CBA">
              <w:rPr>
                <w:noProof/>
                <w:webHidden/>
              </w:rPr>
              <w:t>74</w:t>
            </w:r>
            <w:r>
              <w:rPr>
                <w:noProof/>
                <w:webHidden/>
              </w:rPr>
              <w:fldChar w:fldCharType="end"/>
            </w:r>
          </w:hyperlink>
        </w:p>
        <w:p w:rsidR="0072342D" w:rsidRDefault="001A7AF8">
          <w:pPr>
            <w:pStyle w:val="TOC1"/>
            <w:rPr>
              <w:rFonts w:asciiTheme="minorHAnsi" w:hAnsiTheme="minorHAnsi" w:cstheme="minorBidi"/>
              <w:b w:val="0"/>
              <w:lang w:eastAsia="ko-KR" w:bidi="ar-SA"/>
            </w:rPr>
          </w:pPr>
          <w:hyperlink w:anchor="_Toc326892955" w:history="1">
            <w:r w:rsidR="0072342D" w:rsidRPr="004F3E29">
              <w:rPr>
                <w:rStyle w:val="Hyperlink"/>
              </w:rPr>
              <w:t>References</w:t>
            </w:r>
            <w:r w:rsidR="0072342D">
              <w:rPr>
                <w:webHidden/>
              </w:rPr>
              <w:tab/>
            </w:r>
            <w:r>
              <w:rPr>
                <w:webHidden/>
              </w:rPr>
              <w:fldChar w:fldCharType="begin"/>
            </w:r>
            <w:r w:rsidR="0072342D">
              <w:rPr>
                <w:webHidden/>
              </w:rPr>
              <w:instrText xml:space="preserve"> PAGEREF _Toc326892955 \h </w:instrText>
            </w:r>
            <w:r>
              <w:rPr>
                <w:webHidden/>
              </w:rPr>
            </w:r>
            <w:r>
              <w:rPr>
                <w:webHidden/>
              </w:rPr>
              <w:fldChar w:fldCharType="separate"/>
            </w:r>
            <w:r w:rsidR="00E65CBA">
              <w:rPr>
                <w:webHidden/>
              </w:rPr>
              <w:t>76</w:t>
            </w:r>
            <w:r>
              <w:rPr>
                <w:webHidden/>
              </w:rPr>
              <w:fldChar w:fldCharType="end"/>
            </w:r>
          </w:hyperlink>
        </w:p>
        <w:p w:rsidR="004F41D4" w:rsidRDefault="001A7AF8" w:rsidP="004F41D4">
          <w:pPr>
            <w:rPr>
              <w:i/>
              <w:iCs/>
              <w:spacing w:val="10"/>
            </w:rPr>
          </w:pPr>
          <w:r>
            <w:fldChar w:fldCharType="end"/>
          </w:r>
        </w:p>
      </w:sdtContent>
    </w:sdt>
    <w:p w:rsidR="004F41D4" w:rsidRDefault="004F41D4">
      <w:pPr>
        <w:spacing w:after="200"/>
        <w:jc w:val="left"/>
      </w:pPr>
      <w:r>
        <w:br w:type="page"/>
      </w:r>
    </w:p>
    <w:p w:rsidR="004F41D4" w:rsidRPr="00477DD6" w:rsidRDefault="004F41D4" w:rsidP="00BA2792">
      <w:pPr>
        <w:pStyle w:val="TOCHeading"/>
        <w:numPr>
          <w:ilvl w:val="0"/>
          <w:numId w:val="0"/>
        </w:numPr>
        <w:jc w:val="center"/>
        <w:outlineLvl w:val="0"/>
        <w:rPr>
          <w:sz w:val="26"/>
          <w:szCs w:val="26"/>
        </w:rPr>
      </w:pPr>
      <w:bookmarkStart w:id="3" w:name="_Toc326892919"/>
      <w:r>
        <w:rPr>
          <w:sz w:val="26"/>
          <w:szCs w:val="26"/>
        </w:rPr>
        <w:lastRenderedPageBreak/>
        <w:t>List of Figures and Tables</w:t>
      </w:r>
      <w:bookmarkEnd w:id="3"/>
    </w:p>
    <w:p w:rsidR="0072342D" w:rsidRDefault="001A7AF8">
      <w:pPr>
        <w:pStyle w:val="TableofFigures"/>
        <w:tabs>
          <w:tab w:val="right" w:leader="dot" w:pos="9350"/>
        </w:tabs>
        <w:rPr>
          <w:rFonts w:asciiTheme="minorHAnsi" w:hAnsiTheme="minorHAnsi" w:cstheme="minorBidi"/>
          <w:noProof/>
          <w:lang w:eastAsia="ko-KR" w:bidi="ar-SA"/>
        </w:rPr>
      </w:pPr>
      <w:r w:rsidRPr="00172B70">
        <w:rPr>
          <w:sz w:val="20"/>
          <w:szCs w:val="20"/>
        </w:rPr>
        <w:fldChar w:fldCharType="begin"/>
      </w:r>
      <w:r w:rsidR="004F41D4" w:rsidRPr="00172B70">
        <w:rPr>
          <w:sz w:val="20"/>
          <w:szCs w:val="20"/>
        </w:rPr>
        <w:instrText xml:space="preserve"> TOC \h \z \c "Figure" </w:instrText>
      </w:r>
      <w:r w:rsidRPr="00172B70">
        <w:rPr>
          <w:sz w:val="20"/>
          <w:szCs w:val="20"/>
        </w:rPr>
        <w:fldChar w:fldCharType="separate"/>
      </w:r>
      <w:hyperlink w:anchor="_Toc326892822" w:history="1">
        <w:r w:rsidR="0072342D" w:rsidRPr="00505ED6">
          <w:rPr>
            <w:rStyle w:val="Hyperlink"/>
            <w:b/>
            <w:noProof/>
          </w:rPr>
          <w:t>Figure 1</w:t>
        </w:r>
        <w:r w:rsidR="0072342D" w:rsidRPr="00505ED6">
          <w:rPr>
            <w:rStyle w:val="Hyperlink"/>
            <w:noProof/>
          </w:rPr>
          <w:t>: Oil imports as a substantial share in overall merchandise imports</w:t>
        </w:r>
        <w:r w:rsidR="0072342D">
          <w:rPr>
            <w:noProof/>
            <w:webHidden/>
          </w:rPr>
          <w:tab/>
        </w:r>
        <w:r>
          <w:rPr>
            <w:noProof/>
            <w:webHidden/>
          </w:rPr>
          <w:fldChar w:fldCharType="begin"/>
        </w:r>
        <w:r w:rsidR="0072342D">
          <w:rPr>
            <w:noProof/>
            <w:webHidden/>
          </w:rPr>
          <w:instrText xml:space="preserve"> PAGEREF _Toc326892822 \h </w:instrText>
        </w:r>
        <w:r>
          <w:rPr>
            <w:noProof/>
            <w:webHidden/>
          </w:rPr>
        </w:r>
        <w:r>
          <w:rPr>
            <w:noProof/>
            <w:webHidden/>
          </w:rPr>
          <w:fldChar w:fldCharType="separate"/>
        </w:r>
        <w:r w:rsidR="00E65CBA">
          <w:rPr>
            <w:noProof/>
            <w:webHidden/>
          </w:rPr>
          <w:t>2</w:t>
        </w:r>
        <w:r>
          <w:rPr>
            <w:noProof/>
            <w:webHidden/>
          </w:rPr>
          <w:fldChar w:fldCharType="end"/>
        </w:r>
      </w:hyperlink>
    </w:p>
    <w:p w:rsidR="0072342D" w:rsidRDefault="001A7AF8">
      <w:pPr>
        <w:pStyle w:val="TableofFigures"/>
        <w:tabs>
          <w:tab w:val="right" w:leader="dot" w:pos="9350"/>
        </w:tabs>
        <w:rPr>
          <w:rFonts w:asciiTheme="minorHAnsi" w:hAnsiTheme="minorHAnsi" w:cstheme="minorBidi"/>
          <w:noProof/>
          <w:lang w:eastAsia="ko-KR" w:bidi="ar-SA"/>
        </w:rPr>
      </w:pPr>
      <w:hyperlink w:anchor="_Toc326892823" w:history="1">
        <w:r w:rsidR="0072342D" w:rsidRPr="00505ED6">
          <w:rPr>
            <w:rStyle w:val="Hyperlink"/>
            <w:b/>
            <w:noProof/>
          </w:rPr>
          <w:t>Figure 2</w:t>
        </w:r>
        <w:r w:rsidR="0072342D" w:rsidRPr="00505ED6">
          <w:rPr>
            <w:rStyle w:val="Hyperlink"/>
            <w:noProof/>
          </w:rPr>
          <w:t>: Georgia’s hydropower share in overall energy production is high</w:t>
        </w:r>
        <w:r w:rsidR="0072342D">
          <w:rPr>
            <w:noProof/>
            <w:webHidden/>
          </w:rPr>
          <w:tab/>
        </w:r>
        <w:r>
          <w:rPr>
            <w:noProof/>
            <w:webHidden/>
          </w:rPr>
          <w:fldChar w:fldCharType="begin"/>
        </w:r>
        <w:r w:rsidR="0072342D">
          <w:rPr>
            <w:noProof/>
            <w:webHidden/>
          </w:rPr>
          <w:instrText xml:space="preserve"> PAGEREF _Toc326892823 \h </w:instrText>
        </w:r>
        <w:r>
          <w:rPr>
            <w:noProof/>
            <w:webHidden/>
          </w:rPr>
        </w:r>
        <w:r>
          <w:rPr>
            <w:noProof/>
            <w:webHidden/>
          </w:rPr>
          <w:fldChar w:fldCharType="separate"/>
        </w:r>
        <w:r w:rsidR="00E65CBA">
          <w:rPr>
            <w:noProof/>
            <w:webHidden/>
          </w:rPr>
          <w:t>3</w:t>
        </w:r>
        <w:r>
          <w:rPr>
            <w:noProof/>
            <w:webHidden/>
          </w:rPr>
          <w:fldChar w:fldCharType="end"/>
        </w:r>
      </w:hyperlink>
    </w:p>
    <w:p w:rsidR="0072342D" w:rsidRDefault="001A7AF8">
      <w:pPr>
        <w:pStyle w:val="TableofFigures"/>
        <w:tabs>
          <w:tab w:val="right" w:leader="dot" w:pos="9350"/>
        </w:tabs>
        <w:rPr>
          <w:rFonts w:asciiTheme="minorHAnsi" w:hAnsiTheme="minorHAnsi" w:cstheme="minorBidi"/>
          <w:noProof/>
          <w:lang w:eastAsia="ko-KR" w:bidi="ar-SA"/>
        </w:rPr>
      </w:pPr>
      <w:hyperlink w:anchor="_Toc326892824" w:history="1">
        <w:r w:rsidR="0072342D" w:rsidRPr="00505ED6">
          <w:rPr>
            <w:rStyle w:val="Hyperlink"/>
            <w:b/>
            <w:noProof/>
          </w:rPr>
          <w:t>Figure 3</w:t>
        </w:r>
        <w:r w:rsidR="0072342D" w:rsidRPr="00505ED6">
          <w:rPr>
            <w:rStyle w:val="Hyperlink"/>
            <w:noProof/>
          </w:rPr>
          <w:t>: Road Transport is Responsible for a Major and Growing Share of Emissions</w:t>
        </w:r>
        <w:r w:rsidR="0072342D">
          <w:rPr>
            <w:noProof/>
            <w:webHidden/>
          </w:rPr>
          <w:tab/>
        </w:r>
        <w:r>
          <w:rPr>
            <w:noProof/>
            <w:webHidden/>
          </w:rPr>
          <w:fldChar w:fldCharType="begin"/>
        </w:r>
        <w:r w:rsidR="0072342D">
          <w:rPr>
            <w:noProof/>
            <w:webHidden/>
          </w:rPr>
          <w:instrText xml:space="preserve"> PAGEREF _Toc326892824 \h </w:instrText>
        </w:r>
        <w:r>
          <w:rPr>
            <w:noProof/>
            <w:webHidden/>
          </w:rPr>
        </w:r>
        <w:r>
          <w:rPr>
            <w:noProof/>
            <w:webHidden/>
          </w:rPr>
          <w:fldChar w:fldCharType="separate"/>
        </w:r>
        <w:r w:rsidR="00E65CBA">
          <w:rPr>
            <w:noProof/>
            <w:webHidden/>
          </w:rPr>
          <w:t>4</w:t>
        </w:r>
        <w:r>
          <w:rPr>
            <w:noProof/>
            <w:webHidden/>
          </w:rPr>
          <w:fldChar w:fldCharType="end"/>
        </w:r>
      </w:hyperlink>
    </w:p>
    <w:p w:rsidR="0072342D" w:rsidRDefault="001A7AF8">
      <w:pPr>
        <w:pStyle w:val="TableofFigures"/>
        <w:tabs>
          <w:tab w:val="right" w:leader="dot" w:pos="9350"/>
        </w:tabs>
        <w:rPr>
          <w:rFonts w:asciiTheme="minorHAnsi" w:hAnsiTheme="minorHAnsi" w:cstheme="minorBidi"/>
          <w:noProof/>
          <w:lang w:eastAsia="ko-KR" w:bidi="ar-SA"/>
        </w:rPr>
      </w:pPr>
      <w:hyperlink w:anchor="_Toc326892825" w:history="1">
        <w:r w:rsidR="0072342D" w:rsidRPr="00505ED6">
          <w:rPr>
            <w:rStyle w:val="Hyperlink"/>
            <w:b/>
            <w:noProof/>
          </w:rPr>
          <w:t>Figure 4</w:t>
        </w:r>
        <w:r w:rsidR="0072342D" w:rsidRPr="00505ED6">
          <w:rPr>
            <w:rStyle w:val="Hyperlink"/>
            <w:noProof/>
          </w:rPr>
          <w:t xml:space="preserve">: </w:t>
        </w:r>
        <w:r w:rsidR="0072342D" w:rsidRPr="00505ED6">
          <w:rPr>
            <w:rStyle w:val="Hyperlink"/>
            <w:noProof/>
            <w:lang w:eastAsia="ko-KR"/>
          </w:rPr>
          <w:t>Vehicle ownership growth trajectories vary greatly by country even at same income level</w:t>
        </w:r>
        <w:r w:rsidR="0072342D">
          <w:rPr>
            <w:noProof/>
            <w:webHidden/>
          </w:rPr>
          <w:tab/>
        </w:r>
        <w:r>
          <w:rPr>
            <w:noProof/>
            <w:webHidden/>
          </w:rPr>
          <w:fldChar w:fldCharType="begin"/>
        </w:r>
        <w:r w:rsidR="0072342D">
          <w:rPr>
            <w:noProof/>
            <w:webHidden/>
          </w:rPr>
          <w:instrText xml:space="preserve"> PAGEREF _Toc326892825 \h </w:instrText>
        </w:r>
        <w:r>
          <w:rPr>
            <w:noProof/>
            <w:webHidden/>
          </w:rPr>
        </w:r>
        <w:r>
          <w:rPr>
            <w:noProof/>
            <w:webHidden/>
          </w:rPr>
          <w:fldChar w:fldCharType="separate"/>
        </w:r>
        <w:r w:rsidR="00E65CBA">
          <w:rPr>
            <w:noProof/>
            <w:webHidden/>
          </w:rPr>
          <w:t>5</w:t>
        </w:r>
        <w:r>
          <w:rPr>
            <w:noProof/>
            <w:webHidden/>
          </w:rPr>
          <w:fldChar w:fldCharType="end"/>
        </w:r>
      </w:hyperlink>
    </w:p>
    <w:p w:rsidR="0072342D" w:rsidRDefault="001A7AF8">
      <w:pPr>
        <w:pStyle w:val="TableofFigures"/>
        <w:tabs>
          <w:tab w:val="right" w:leader="dot" w:pos="9350"/>
        </w:tabs>
        <w:rPr>
          <w:rFonts w:asciiTheme="minorHAnsi" w:hAnsiTheme="minorHAnsi" w:cstheme="minorBidi"/>
          <w:noProof/>
          <w:lang w:eastAsia="ko-KR" w:bidi="ar-SA"/>
        </w:rPr>
      </w:pPr>
      <w:hyperlink w:anchor="_Toc326892826" w:history="1">
        <w:r w:rsidR="0072342D" w:rsidRPr="00505ED6">
          <w:rPr>
            <w:rStyle w:val="Hyperlink"/>
            <w:b/>
            <w:noProof/>
          </w:rPr>
          <w:t>Figure 5</w:t>
        </w:r>
        <w:r w:rsidR="0072342D" w:rsidRPr="00505ED6">
          <w:rPr>
            <w:rStyle w:val="Hyperlink"/>
            <w:noProof/>
          </w:rPr>
          <w:t xml:space="preserve">: Possible trajectories of </w:t>
        </w:r>
        <w:r w:rsidR="0072342D" w:rsidRPr="00505ED6">
          <w:rPr>
            <w:rStyle w:val="Hyperlink"/>
            <w:noProof/>
            <w:lang w:eastAsia="ko-KR"/>
          </w:rPr>
          <w:t>motorization rate growth in Georgia</w:t>
        </w:r>
        <w:r w:rsidR="0072342D">
          <w:rPr>
            <w:noProof/>
            <w:webHidden/>
          </w:rPr>
          <w:tab/>
        </w:r>
        <w:r>
          <w:rPr>
            <w:noProof/>
            <w:webHidden/>
          </w:rPr>
          <w:fldChar w:fldCharType="begin"/>
        </w:r>
        <w:r w:rsidR="0072342D">
          <w:rPr>
            <w:noProof/>
            <w:webHidden/>
          </w:rPr>
          <w:instrText xml:space="preserve"> PAGEREF _Toc326892826 \h </w:instrText>
        </w:r>
        <w:r>
          <w:rPr>
            <w:noProof/>
            <w:webHidden/>
          </w:rPr>
        </w:r>
        <w:r>
          <w:rPr>
            <w:noProof/>
            <w:webHidden/>
          </w:rPr>
          <w:fldChar w:fldCharType="separate"/>
        </w:r>
        <w:r w:rsidR="00E65CBA">
          <w:rPr>
            <w:noProof/>
            <w:webHidden/>
          </w:rPr>
          <w:t>6</w:t>
        </w:r>
        <w:r>
          <w:rPr>
            <w:noProof/>
            <w:webHidden/>
          </w:rPr>
          <w:fldChar w:fldCharType="end"/>
        </w:r>
      </w:hyperlink>
    </w:p>
    <w:p w:rsidR="0072342D" w:rsidRDefault="001A7AF8">
      <w:pPr>
        <w:pStyle w:val="TableofFigures"/>
        <w:tabs>
          <w:tab w:val="right" w:leader="dot" w:pos="9350"/>
        </w:tabs>
        <w:rPr>
          <w:rFonts w:asciiTheme="minorHAnsi" w:hAnsiTheme="minorHAnsi" w:cstheme="minorBidi"/>
          <w:noProof/>
          <w:lang w:eastAsia="ko-KR" w:bidi="ar-SA"/>
        </w:rPr>
      </w:pPr>
      <w:hyperlink w:anchor="_Toc326892827" w:history="1">
        <w:r w:rsidR="0072342D" w:rsidRPr="00505ED6">
          <w:rPr>
            <w:rStyle w:val="Hyperlink"/>
            <w:b/>
            <w:noProof/>
          </w:rPr>
          <w:t>Figure 6</w:t>
        </w:r>
        <w:r w:rsidR="0072342D" w:rsidRPr="00505ED6">
          <w:rPr>
            <w:rStyle w:val="Hyperlink"/>
            <w:noProof/>
          </w:rPr>
          <w:t>: International Transport Corridors and Major Intermodal Junctions in Georgia</w:t>
        </w:r>
        <w:r w:rsidR="0072342D">
          <w:rPr>
            <w:noProof/>
            <w:webHidden/>
          </w:rPr>
          <w:tab/>
        </w:r>
        <w:r>
          <w:rPr>
            <w:noProof/>
            <w:webHidden/>
          </w:rPr>
          <w:fldChar w:fldCharType="begin"/>
        </w:r>
        <w:r w:rsidR="0072342D">
          <w:rPr>
            <w:noProof/>
            <w:webHidden/>
          </w:rPr>
          <w:instrText xml:space="preserve"> PAGEREF _Toc326892827 \h </w:instrText>
        </w:r>
        <w:r>
          <w:rPr>
            <w:noProof/>
            <w:webHidden/>
          </w:rPr>
        </w:r>
        <w:r>
          <w:rPr>
            <w:noProof/>
            <w:webHidden/>
          </w:rPr>
          <w:fldChar w:fldCharType="separate"/>
        </w:r>
        <w:r w:rsidR="00E65CBA">
          <w:rPr>
            <w:noProof/>
            <w:webHidden/>
          </w:rPr>
          <w:t>13</w:t>
        </w:r>
        <w:r>
          <w:rPr>
            <w:noProof/>
            <w:webHidden/>
          </w:rPr>
          <w:fldChar w:fldCharType="end"/>
        </w:r>
      </w:hyperlink>
    </w:p>
    <w:p w:rsidR="0072342D" w:rsidRDefault="001A7AF8">
      <w:pPr>
        <w:pStyle w:val="TableofFigures"/>
        <w:tabs>
          <w:tab w:val="right" w:leader="dot" w:pos="9350"/>
        </w:tabs>
        <w:rPr>
          <w:rFonts w:asciiTheme="minorHAnsi" w:hAnsiTheme="minorHAnsi" w:cstheme="minorBidi"/>
          <w:noProof/>
          <w:lang w:eastAsia="ko-KR" w:bidi="ar-SA"/>
        </w:rPr>
      </w:pPr>
      <w:hyperlink w:anchor="_Toc326892828" w:history="1">
        <w:r w:rsidR="0072342D" w:rsidRPr="00505ED6">
          <w:rPr>
            <w:rStyle w:val="Hyperlink"/>
            <w:b/>
            <w:noProof/>
          </w:rPr>
          <w:t>Figure 7</w:t>
        </w:r>
        <w:r w:rsidR="0072342D" w:rsidRPr="00505ED6">
          <w:rPr>
            <w:rStyle w:val="Hyperlink"/>
            <w:noProof/>
          </w:rPr>
          <w:t>: European Union Vehicle Emission Standards for HC and NOx</w:t>
        </w:r>
        <w:r w:rsidR="0072342D">
          <w:rPr>
            <w:noProof/>
            <w:webHidden/>
          </w:rPr>
          <w:tab/>
        </w:r>
        <w:r>
          <w:rPr>
            <w:noProof/>
            <w:webHidden/>
          </w:rPr>
          <w:fldChar w:fldCharType="begin"/>
        </w:r>
        <w:r w:rsidR="0072342D">
          <w:rPr>
            <w:noProof/>
            <w:webHidden/>
          </w:rPr>
          <w:instrText xml:space="preserve"> PAGEREF _Toc326892828 \h </w:instrText>
        </w:r>
        <w:r>
          <w:rPr>
            <w:noProof/>
            <w:webHidden/>
          </w:rPr>
        </w:r>
        <w:r>
          <w:rPr>
            <w:noProof/>
            <w:webHidden/>
          </w:rPr>
          <w:fldChar w:fldCharType="separate"/>
        </w:r>
        <w:r w:rsidR="00E65CBA">
          <w:rPr>
            <w:noProof/>
            <w:webHidden/>
          </w:rPr>
          <w:t>15</w:t>
        </w:r>
        <w:r>
          <w:rPr>
            <w:noProof/>
            <w:webHidden/>
          </w:rPr>
          <w:fldChar w:fldCharType="end"/>
        </w:r>
      </w:hyperlink>
    </w:p>
    <w:p w:rsidR="0072342D" w:rsidRDefault="001A7AF8">
      <w:pPr>
        <w:pStyle w:val="TableofFigures"/>
        <w:tabs>
          <w:tab w:val="right" w:leader="dot" w:pos="9350"/>
        </w:tabs>
        <w:rPr>
          <w:rFonts w:asciiTheme="minorHAnsi" w:hAnsiTheme="minorHAnsi" w:cstheme="minorBidi"/>
          <w:noProof/>
          <w:lang w:eastAsia="ko-KR" w:bidi="ar-SA"/>
        </w:rPr>
      </w:pPr>
      <w:hyperlink w:anchor="_Toc326892829" w:history="1">
        <w:r w:rsidR="0072342D" w:rsidRPr="00505ED6">
          <w:rPr>
            <w:rStyle w:val="Hyperlink"/>
            <w:b/>
            <w:noProof/>
          </w:rPr>
          <w:t>Figure 8</w:t>
        </w:r>
        <w:r w:rsidR="0072342D" w:rsidRPr="00505ED6">
          <w:rPr>
            <w:rStyle w:val="Hyperlink"/>
            <w:noProof/>
          </w:rPr>
          <w:t>: Correlation between fuel prices and transport fuel consumption in OECD countries</w:t>
        </w:r>
        <w:r w:rsidR="0072342D">
          <w:rPr>
            <w:noProof/>
            <w:webHidden/>
          </w:rPr>
          <w:tab/>
        </w:r>
        <w:r>
          <w:rPr>
            <w:noProof/>
            <w:webHidden/>
          </w:rPr>
          <w:fldChar w:fldCharType="begin"/>
        </w:r>
        <w:r w:rsidR="0072342D">
          <w:rPr>
            <w:noProof/>
            <w:webHidden/>
          </w:rPr>
          <w:instrText xml:space="preserve"> PAGEREF _Toc326892829 \h </w:instrText>
        </w:r>
        <w:r>
          <w:rPr>
            <w:noProof/>
            <w:webHidden/>
          </w:rPr>
        </w:r>
        <w:r>
          <w:rPr>
            <w:noProof/>
            <w:webHidden/>
          </w:rPr>
          <w:fldChar w:fldCharType="separate"/>
        </w:r>
        <w:r w:rsidR="00E65CBA">
          <w:rPr>
            <w:noProof/>
            <w:webHidden/>
          </w:rPr>
          <w:t>17</w:t>
        </w:r>
        <w:r>
          <w:rPr>
            <w:noProof/>
            <w:webHidden/>
          </w:rPr>
          <w:fldChar w:fldCharType="end"/>
        </w:r>
      </w:hyperlink>
    </w:p>
    <w:p w:rsidR="0072342D" w:rsidRDefault="001A7AF8">
      <w:pPr>
        <w:pStyle w:val="TableofFigures"/>
        <w:tabs>
          <w:tab w:val="right" w:leader="dot" w:pos="9350"/>
        </w:tabs>
        <w:rPr>
          <w:rFonts w:asciiTheme="minorHAnsi" w:hAnsiTheme="minorHAnsi" w:cstheme="minorBidi"/>
          <w:noProof/>
          <w:lang w:eastAsia="ko-KR" w:bidi="ar-SA"/>
        </w:rPr>
      </w:pPr>
      <w:hyperlink w:anchor="_Toc326892830" w:history="1">
        <w:r w:rsidR="0072342D" w:rsidRPr="00505ED6">
          <w:rPr>
            <w:rStyle w:val="Hyperlink"/>
            <w:b/>
            <w:noProof/>
          </w:rPr>
          <w:t>Figure 9</w:t>
        </w:r>
        <w:r w:rsidR="0072342D" w:rsidRPr="00505ED6">
          <w:rPr>
            <w:rStyle w:val="Hyperlink"/>
            <w:noProof/>
          </w:rPr>
          <w:t>: Gasoline prices in Georgia lower than the Region’s median</w:t>
        </w:r>
        <w:r w:rsidR="0072342D">
          <w:rPr>
            <w:noProof/>
            <w:webHidden/>
          </w:rPr>
          <w:tab/>
        </w:r>
        <w:r>
          <w:rPr>
            <w:noProof/>
            <w:webHidden/>
          </w:rPr>
          <w:fldChar w:fldCharType="begin"/>
        </w:r>
        <w:r w:rsidR="0072342D">
          <w:rPr>
            <w:noProof/>
            <w:webHidden/>
          </w:rPr>
          <w:instrText xml:space="preserve"> PAGEREF _Toc326892830 \h </w:instrText>
        </w:r>
        <w:r>
          <w:rPr>
            <w:noProof/>
            <w:webHidden/>
          </w:rPr>
        </w:r>
        <w:r>
          <w:rPr>
            <w:noProof/>
            <w:webHidden/>
          </w:rPr>
          <w:fldChar w:fldCharType="separate"/>
        </w:r>
        <w:r w:rsidR="00E65CBA">
          <w:rPr>
            <w:noProof/>
            <w:webHidden/>
          </w:rPr>
          <w:t>17</w:t>
        </w:r>
        <w:r>
          <w:rPr>
            <w:noProof/>
            <w:webHidden/>
          </w:rPr>
          <w:fldChar w:fldCharType="end"/>
        </w:r>
      </w:hyperlink>
    </w:p>
    <w:p w:rsidR="0072342D" w:rsidRDefault="001A7AF8">
      <w:pPr>
        <w:pStyle w:val="TableofFigures"/>
        <w:tabs>
          <w:tab w:val="right" w:leader="dot" w:pos="9350"/>
        </w:tabs>
        <w:rPr>
          <w:rFonts w:asciiTheme="minorHAnsi" w:hAnsiTheme="minorHAnsi" w:cstheme="minorBidi"/>
          <w:noProof/>
          <w:lang w:eastAsia="ko-KR" w:bidi="ar-SA"/>
        </w:rPr>
      </w:pPr>
      <w:hyperlink w:anchor="_Toc326892831" w:history="1">
        <w:r w:rsidR="0072342D" w:rsidRPr="00505ED6">
          <w:rPr>
            <w:rStyle w:val="Hyperlink"/>
            <w:b/>
            <w:noProof/>
          </w:rPr>
          <w:t>Figure 10</w:t>
        </w:r>
        <w:r w:rsidR="0072342D" w:rsidRPr="00505ED6">
          <w:rPr>
            <w:rStyle w:val="Hyperlink"/>
            <w:noProof/>
          </w:rPr>
          <w:t>: Relatively high gasoline prices in Georgia as a share of monthly income per capita</w:t>
        </w:r>
        <w:r w:rsidR="0072342D">
          <w:rPr>
            <w:noProof/>
            <w:webHidden/>
          </w:rPr>
          <w:tab/>
        </w:r>
        <w:r>
          <w:rPr>
            <w:noProof/>
            <w:webHidden/>
          </w:rPr>
          <w:fldChar w:fldCharType="begin"/>
        </w:r>
        <w:r w:rsidR="0072342D">
          <w:rPr>
            <w:noProof/>
            <w:webHidden/>
          </w:rPr>
          <w:instrText xml:space="preserve"> PAGEREF _Toc326892831 \h </w:instrText>
        </w:r>
        <w:r>
          <w:rPr>
            <w:noProof/>
            <w:webHidden/>
          </w:rPr>
        </w:r>
        <w:r>
          <w:rPr>
            <w:noProof/>
            <w:webHidden/>
          </w:rPr>
          <w:fldChar w:fldCharType="separate"/>
        </w:r>
        <w:r w:rsidR="00E65CBA">
          <w:rPr>
            <w:noProof/>
            <w:webHidden/>
          </w:rPr>
          <w:t>17</w:t>
        </w:r>
        <w:r>
          <w:rPr>
            <w:noProof/>
            <w:webHidden/>
          </w:rPr>
          <w:fldChar w:fldCharType="end"/>
        </w:r>
      </w:hyperlink>
    </w:p>
    <w:p w:rsidR="0072342D" w:rsidRDefault="001A7AF8">
      <w:pPr>
        <w:pStyle w:val="TableofFigures"/>
        <w:tabs>
          <w:tab w:val="right" w:leader="dot" w:pos="9350"/>
        </w:tabs>
        <w:rPr>
          <w:rFonts w:asciiTheme="minorHAnsi" w:hAnsiTheme="minorHAnsi" w:cstheme="minorBidi"/>
          <w:noProof/>
          <w:lang w:eastAsia="ko-KR" w:bidi="ar-SA"/>
        </w:rPr>
      </w:pPr>
      <w:hyperlink w:anchor="_Toc326892832" w:history="1">
        <w:r w:rsidR="0072342D" w:rsidRPr="00505ED6">
          <w:rPr>
            <w:rStyle w:val="Hyperlink"/>
            <w:b/>
            <w:noProof/>
          </w:rPr>
          <w:t>Figure 11</w:t>
        </w:r>
        <w:r w:rsidR="0072342D" w:rsidRPr="00505ED6">
          <w:rPr>
            <w:rStyle w:val="Hyperlink"/>
            <w:noProof/>
          </w:rPr>
          <w:t>: Significantly higher average age of vehicle fleet in Georgia comparing to EU-27 countries</w:t>
        </w:r>
        <w:r w:rsidR="0072342D">
          <w:rPr>
            <w:noProof/>
            <w:webHidden/>
          </w:rPr>
          <w:tab/>
        </w:r>
        <w:r>
          <w:rPr>
            <w:noProof/>
            <w:webHidden/>
          </w:rPr>
          <w:fldChar w:fldCharType="begin"/>
        </w:r>
        <w:r w:rsidR="0072342D">
          <w:rPr>
            <w:noProof/>
            <w:webHidden/>
          </w:rPr>
          <w:instrText xml:space="preserve"> PAGEREF _Toc326892832 \h </w:instrText>
        </w:r>
        <w:r>
          <w:rPr>
            <w:noProof/>
            <w:webHidden/>
          </w:rPr>
        </w:r>
        <w:r>
          <w:rPr>
            <w:noProof/>
            <w:webHidden/>
          </w:rPr>
          <w:fldChar w:fldCharType="separate"/>
        </w:r>
        <w:r w:rsidR="00E65CBA">
          <w:rPr>
            <w:noProof/>
            <w:webHidden/>
          </w:rPr>
          <w:t>18</w:t>
        </w:r>
        <w:r>
          <w:rPr>
            <w:noProof/>
            <w:webHidden/>
          </w:rPr>
          <w:fldChar w:fldCharType="end"/>
        </w:r>
      </w:hyperlink>
    </w:p>
    <w:p w:rsidR="0072342D" w:rsidRDefault="001A7AF8">
      <w:pPr>
        <w:pStyle w:val="TableofFigures"/>
        <w:tabs>
          <w:tab w:val="right" w:leader="dot" w:pos="9350"/>
        </w:tabs>
        <w:rPr>
          <w:rFonts w:asciiTheme="minorHAnsi" w:hAnsiTheme="minorHAnsi" w:cstheme="minorBidi"/>
          <w:noProof/>
          <w:lang w:eastAsia="ko-KR" w:bidi="ar-SA"/>
        </w:rPr>
      </w:pPr>
      <w:hyperlink w:anchor="_Toc326892833" w:history="1">
        <w:r w:rsidR="0072342D" w:rsidRPr="00505ED6">
          <w:rPr>
            <w:rStyle w:val="Hyperlink"/>
            <w:b/>
            <w:noProof/>
          </w:rPr>
          <w:t>Figure 12</w:t>
        </w:r>
        <w:r w:rsidR="0072342D" w:rsidRPr="00505ED6">
          <w:rPr>
            <w:rStyle w:val="Hyperlink"/>
            <w:noProof/>
          </w:rPr>
          <w:t>: Vehicle Fleet Age Distribution by Vehicle Type</w:t>
        </w:r>
        <w:r w:rsidR="0072342D">
          <w:rPr>
            <w:noProof/>
            <w:webHidden/>
          </w:rPr>
          <w:tab/>
        </w:r>
        <w:r>
          <w:rPr>
            <w:noProof/>
            <w:webHidden/>
          </w:rPr>
          <w:fldChar w:fldCharType="begin"/>
        </w:r>
        <w:r w:rsidR="0072342D">
          <w:rPr>
            <w:noProof/>
            <w:webHidden/>
          </w:rPr>
          <w:instrText xml:space="preserve"> PAGEREF _Toc326892833 \h </w:instrText>
        </w:r>
        <w:r>
          <w:rPr>
            <w:noProof/>
            <w:webHidden/>
          </w:rPr>
        </w:r>
        <w:r>
          <w:rPr>
            <w:noProof/>
            <w:webHidden/>
          </w:rPr>
          <w:fldChar w:fldCharType="separate"/>
        </w:r>
        <w:r w:rsidR="00E65CBA">
          <w:rPr>
            <w:noProof/>
            <w:webHidden/>
          </w:rPr>
          <w:t>18</w:t>
        </w:r>
        <w:r>
          <w:rPr>
            <w:noProof/>
            <w:webHidden/>
          </w:rPr>
          <w:fldChar w:fldCharType="end"/>
        </w:r>
      </w:hyperlink>
    </w:p>
    <w:p w:rsidR="0072342D" w:rsidRDefault="001A7AF8">
      <w:pPr>
        <w:pStyle w:val="TableofFigures"/>
        <w:tabs>
          <w:tab w:val="right" w:leader="dot" w:pos="9350"/>
        </w:tabs>
        <w:rPr>
          <w:rFonts w:asciiTheme="minorHAnsi" w:hAnsiTheme="minorHAnsi" w:cstheme="minorBidi"/>
          <w:noProof/>
          <w:lang w:eastAsia="ko-KR" w:bidi="ar-SA"/>
        </w:rPr>
      </w:pPr>
      <w:hyperlink w:anchor="_Toc326892834" w:history="1">
        <w:r w:rsidR="0072342D" w:rsidRPr="00505ED6">
          <w:rPr>
            <w:rStyle w:val="Hyperlink"/>
            <w:b/>
            <w:noProof/>
          </w:rPr>
          <w:t>Figure 13</w:t>
        </w:r>
        <w:r w:rsidR="0072342D" w:rsidRPr="00505ED6">
          <w:rPr>
            <w:rStyle w:val="Hyperlink"/>
            <w:noProof/>
          </w:rPr>
          <w:t>: Strong positive correlation between GDP and motor vehicle ownership</w:t>
        </w:r>
        <w:r w:rsidR="0072342D">
          <w:rPr>
            <w:noProof/>
            <w:webHidden/>
          </w:rPr>
          <w:tab/>
        </w:r>
        <w:r>
          <w:rPr>
            <w:noProof/>
            <w:webHidden/>
          </w:rPr>
          <w:fldChar w:fldCharType="begin"/>
        </w:r>
        <w:r w:rsidR="0072342D">
          <w:rPr>
            <w:noProof/>
            <w:webHidden/>
          </w:rPr>
          <w:instrText xml:space="preserve"> PAGEREF _Toc326892834 \h </w:instrText>
        </w:r>
        <w:r>
          <w:rPr>
            <w:noProof/>
            <w:webHidden/>
          </w:rPr>
        </w:r>
        <w:r>
          <w:rPr>
            <w:noProof/>
            <w:webHidden/>
          </w:rPr>
          <w:fldChar w:fldCharType="separate"/>
        </w:r>
        <w:r w:rsidR="00E65CBA">
          <w:rPr>
            <w:noProof/>
            <w:webHidden/>
          </w:rPr>
          <w:t>19</w:t>
        </w:r>
        <w:r>
          <w:rPr>
            <w:noProof/>
            <w:webHidden/>
          </w:rPr>
          <w:fldChar w:fldCharType="end"/>
        </w:r>
      </w:hyperlink>
    </w:p>
    <w:p w:rsidR="0072342D" w:rsidRDefault="001A7AF8">
      <w:pPr>
        <w:pStyle w:val="TableofFigures"/>
        <w:tabs>
          <w:tab w:val="right" w:leader="dot" w:pos="9350"/>
        </w:tabs>
        <w:rPr>
          <w:rFonts w:asciiTheme="minorHAnsi" w:hAnsiTheme="minorHAnsi" w:cstheme="minorBidi"/>
          <w:noProof/>
          <w:lang w:eastAsia="ko-KR" w:bidi="ar-SA"/>
        </w:rPr>
      </w:pPr>
      <w:hyperlink w:anchor="_Toc326892835" w:history="1">
        <w:r w:rsidR="0072342D" w:rsidRPr="00505ED6">
          <w:rPr>
            <w:rStyle w:val="Hyperlink"/>
            <w:b/>
            <w:noProof/>
          </w:rPr>
          <w:t>Figure 14</w:t>
        </w:r>
        <w:r w:rsidR="0072342D" w:rsidRPr="00505ED6">
          <w:rPr>
            <w:rStyle w:val="Hyperlink"/>
            <w:noProof/>
          </w:rPr>
          <w:t>: Vehicle ownership growth much faster than GDP growth between $4,000-8,000 per capita</w:t>
        </w:r>
        <w:r w:rsidR="0072342D">
          <w:rPr>
            <w:noProof/>
            <w:webHidden/>
          </w:rPr>
          <w:tab/>
        </w:r>
        <w:r>
          <w:rPr>
            <w:noProof/>
            <w:webHidden/>
          </w:rPr>
          <w:fldChar w:fldCharType="begin"/>
        </w:r>
        <w:r w:rsidR="0072342D">
          <w:rPr>
            <w:noProof/>
            <w:webHidden/>
          </w:rPr>
          <w:instrText xml:space="preserve"> PAGEREF _Toc326892835 \h </w:instrText>
        </w:r>
        <w:r>
          <w:rPr>
            <w:noProof/>
            <w:webHidden/>
          </w:rPr>
        </w:r>
        <w:r>
          <w:rPr>
            <w:noProof/>
            <w:webHidden/>
          </w:rPr>
          <w:fldChar w:fldCharType="separate"/>
        </w:r>
        <w:r w:rsidR="00E65CBA">
          <w:rPr>
            <w:noProof/>
            <w:webHidden/>
          </w:rPr>
          <w:t>19</w:t>
        </w:r>
        <w:r>
          <w:rPr>
            <w:noProof/>
            <w:webHidden/>
          </w:rPr>
          <w:fldChar w:fldCharType="end"/>
        </w:r>
      </w:hyperlink>
    </w:p>
    <w:p w:rsidR="0072342D" w:rsidRDefault="001A7AF8">
      <w:pPr>
        <w:pStyle w:val="TableofFigures"/>
        <w:tabs>
          <w:tab w:val="right" w:leader="dot" w:pos="9350"/>
        </w:tabs>
        <w:rPr>
          <w:rFonts w:asciiTheme="minorHAnsi" w:hAnsiTheme="minorHAnsi" w:cstheme="minorBidi"/>
          <w:noProof/>
          <w:lang w:eastAsia="ko-KR" w:bidi="ar-SA"/>
        </w:rPr>
      </w:pPr>
      <w:hyperlink w:anchor="_Toc326892836" w:history="1">
        <w:r w:rsidR="0072342D" w:rsidRPr="00505ED6">
          <w:rPr>
            <w:rStyle w:val="Hyperlink"/>
            <w:b/>
            <w:noProof/>
          </w:rPr>
          <w:t>Figure 15</w:t>
        </w:r>
        <w:r w:rsidR="0072342D" w:rsidRPr="00505ED6">
          <w:rPr>
            <w:rStyle w:val="Hyperlink"/>
            <w:noProof/>
          </w:rPr>
          <w:t>: The growing share of transit cargo of total international road transport</w:t>
        </w:r>
        <w:r w:rsidR="0072342D">
          <w:rPr>
            <w:noProof/>
            <w:webHidden/>
          </w:rPr>
          <w:tab/>
        </w:r>
        <w:r>
          <w:rPr>
            <w:noProof/>
            <w:webHidden/>
          </w:rPr>
          <w:fldChar w:fldCharType="begin"/>
        </w:r>
        <w:r w:rsidR="0072342D">
          <w:rPr>
            <w:noProof/>
            <w:webHidden/>
          </w:rPr>
          <w:instrText xml:space="preserve"> PAGEREF _Toc326892836 \h </w:instrText>
        </w:r>
        <w:r>
          <w:rPr>
            <w:noProof/>
            <w:webHidden/>
          </w:rPr>
        </w:r>
        <w:r>
          <w:rPr>
            <w:noProof/>
            <w:webHidden/>
          </w:rPr>
          <w:fldChar w:fldCharType="separate"/>
        </w:r>
        <w:r w:rsidR="00E65CBA">
          <w:rPr>
            <w:noProof/>
            <w:webHidden/>
          </w:rPr>
          <w:t>25</w:t>
        </w:r>
        <w:r>
          <w:rPr>
            <w:noProof/>
            <w:webHidden/>
          </w:rPr>
          <w:fldChar w:fldCharType="end"/>
        </w:r>
      </w:hyperlink>
    </w:p>
    <w:p w:rsidR="0072342D" w:rsidRDefault="001A7AF8">
      <w:pPr>
        <w:pStyle w:val="TableofFigures"/>
        <w:tabs>
          <w:tab w:val="right" w:leader="dot" w:pos="9350"/>
        </w:tabs>
        <w:rPr>
          <w:rFonts w:asciiTheme="minorHAnsi" w:hAnsiTheme="minorHAnsi" w:cstheme="minorBidi"/>
          <w:noProof/>
          <w:lang w:eastAsia="ko-KR" w:bidi="ar-SA"/>
        </w:rPr>
      </w:pPr>
      <w:hyperlink w:anchor="_Toc326892837" w:history="1">
        <w:r w:rsidR="0072342D" w:rsidRPr="00505ED6">
          <w:rPr>
            <w:rStyle w:val="Hyperlink"/>
            <w:b/>
            <w:noProof/>
          </w:rPr>
          <w:t>Figure 16</w:t>
        </w:r>
        <w:r w:rsidR="0072342D" w:rsidRPr="00505ED6">
          <w:rPr>
            <w:rStyle w:val="Hyperlink"/>
            <w:noProof/>
          </w:rPr>
          <w:t>: The decreasing share of railway transport</w:t>
        </w:r>
        <w:r w:rsidR="0072342D" w:rsidRPr="00505ED6">
          <w:rPr>
            <w:rStyle w:val="Hyperlink"/>
            <w:noProof/>
            <w:vertAlign w:val="superscript"/>
          </w:rPr>
          <w:t>†</w:t>
        </w:r>
        <w:r w:rsidR="0072342D" w:rsidRPr="00505ED6">
          <w:rPr>
            <w:rStyle w:val="Hyperlink"/>
            <w:noProof/>
          </w:rPr>
          <w:t xml:space="preserve"> of total transit cargo</w:t>
        </w:r>
        <w:r w:rsidR="0072342D">
          <w:rPr>
            <w:noProof/>
            <w:webHidden/>
          </w:rPr>
          <w:tab/>
        </w:r>
        <w:r>
          <w:rPr>
            <w:noProof/>
            <w:webHidden/>
          </w:rPr>
          <w:fldChar w:fldCharType="begin"/>
        </w:r>
        <w:r w:rsidR="0072342D">
          <w:rPr>
            <w:noProof/>
            <w:webHidden/>
          </w:rPr>
          <w:instrText xml:space="preserve"> PAGEREF _Toc326892837 \h </w:instrText>
        </w:r>
        <w:r>
          <w:rPr>
            <w:noProof/>
            <w:webHidden/>
          </w:rPr>
        </w:r>
        <w:r>
          <w:rPr>
            <w:noProof/>
            <w:webHidden/>
          </w:rPr>
          <w:fldChar w:fldCharType="separate"/>
        </w:r>
        <w:r w:rsidR="00E65CBA">
          <w:rPr>
            <w:noProof/>
            <w:webHidden/>
          </w:rPr>
          <w:t>25</w:t>
        </w:r>
        <w:r>
          <w:rPr>
            <w:noProof/>
            <w:webHidden/>
          </w:rPr>
          <w:fldChar w:fldCharType="end"/>
        </w:r>
      </w:hyperlink>
    </w:p>
    <w:p w:rsidR="0072342D" w:rsidRDefault="001A7AF8">
      <w:pPr>
        <w:pStyle w:val="TableofFigures"/>
        <w:tabs>
          <w:tab w:val="right" w:leader="dot" w:pos="9350"/>
        </w:tabs>
        <w:rPr>
          <w:rFonts w:asciiTheme="minorHAnsi" w:hAnsiTheme="minorHAnsi" w:cstheme="minorBidi"/>
          <w:noProof/>
          <w:lang w:eastAsia="ko-KR" w:bidi="ar-SA"/>
        </w:rPr>
      </w:pPr>
      <w:hyperlink w:anchor="_Toc326892838" w:history="1">
        <w:r w:rsidR="0072342D" w:rsidRPr="00505ED6">
          <w:rPr>
            <w:rStyle w:val="Hyperlink"/>
            <w:b/>
            <w:noProof/>
          </w:rPr>
          <w:t>Figure 17</w:t>
        </w:r>
        <w:r w:rsidR="0072342D" w:rsidRPr="00505ED6">
          <w:rPr>
            <w:rStyle w:val="Hyperlink"/>
            <w:noProof/>
          </w:rPr>
          <w:t>: Containerized cargo volume handled in Georgian seaports has increased rapidly</w:t>
        </w:r>
        <w:r w:rsidR="0072342D">
          <w:rPr>
            <w:noProof/>
            <w:webHidden/>
          </w:rPr>
          <w:tab/>
        </w:r>
        <w:r>
          <w:rPr>
            <w:noProof/>
            <w:webHidden/>
          </w:rPr>
          <w:fldChar w:fldCharType="begin"/>
        </w:r>
        <w:r w:rsidR="0072342D">
          <w:rPr>
            <w:noProof/>
            <w:webHidden/>
          </w:rPr>
          <w:instrText xml:space="preserve"> PAGEREF _Toc326892838 \h </w:instrText>
        </w:r>
        <w:r>
          <w:rPr>
            <w:noProof/>
            <w:webHidden/>
          </w:rPr>
        </w:r>
        <w:r>
          <w:rPr>
            <w:noProof/>
            <w:webHidden/>
          </w:rPr>
          <w:fldChar w:fldCharType="separate"/>
        </w:r>
        <w:r w:rsidR="00E65CBA">
          <w:rPr>
            <w:noProof/>
            <w:webHidden/>
          </w:rPr>
          <w:t>26</w:t>
        </w:r>
        <w:r>
          <w:rPr>
            <w:noProof/>
            <w:webHidden/>
          </w:rPr>
          <w:fldChar w:fldCharType="end"/>
        </w:r>
      </w:hyperlink>
    </w:p>
    <w:p w:rsidR="0072342D" w:rsidRDefault="001A7AF8">
      <w:pPr>
        <w:pStyle w:val="TableofFigures"/>
        <w:tabs>
          <w:tab w:val="right" w:leader="dot" w:pos="9350"/>
        </w:tabs>
        <w:rPr>
          <w:rFonts w:asciiTheme="minorHAnsi" w:hAnsiTheme="minorHAnsi" w:cstheme="minorBidi"/>
          <w:noProof/>
          <w:lang w:eastAsia="ko-KR" w:bidi="ar-SA"/>
        </w:rPr>
      </w:pPr>
      <w:hyperlink w:anchor="_Toc326892839" w:history="1">
        <w:r w:rsidR="0072342D" w:rsidRPr="00505ED6">
          <w:rPr>
            <w:rStyle w:val="Hyperlink"/>
            <w:b/>
            <w:noProof/>
          </w:rPr>
          <w:t>Figure 18</w:t>
        </w:r>
        <w:r w:rsidR="0072342D" w:rsidRPr="00505ED6">
          <w:rPr>
            <w:rStyle w:val="Hyperlink"/>
            <w:noProof/>
          </w:rPr>
          <w:t>:  Minibuses fleet in Georgia is old and getting older over time</w:t>
        </w:r>
        <w:r w:rsidR="0072342D">
          <w:rPr>
            <w:noProof/>
            <w:webHidden/>
          </w:rPr>
          <w:tab/>
        </w:r>
        <w:r>
          <w:rPr>
            <w:noProof/>
            <w:webHidden/>
          </w:rPr>
          <w:fldChar w:fldCharType="begin"/>
        </w:r>
        <w:r w:rsidR="0072342D">
          <w:rPr>
            <w:noProof/>
            <w:webHidden/>
          </w:rPr>
          <w:instrText xml:space="preserve"> PAGEREF _Toc326892839 \h </w:instrText>
        </w:r>
        <w:r>
          <w:rPr>
            <w:noProof/>
            <w:webHidden/>
          </w:rPr>
        </w:r>
        <w:r>
          <w:rPr>
            <w:noProof/>
            <w:webHidden/>
          </w:rPr>
          <w:fldChar w:fldCharType="separate"/>
        </w:r>
        <w:r w:rsidR="00E65CBA">
          <w:rPr>
            <w:noProof/>
            <w:webHidden/>
          </w:rPr>
          <w:t>37</w:t>
        </w:r>
        <w:r>
          <w:rPr>
            <w:noProof/>
            <w:webHidden/>
          </w:rPr>
          <w:fldChar w:fldCharType="end"/>
        </w:r>
      </w:hyperlink>
    </w:p>
    <w:p w:rsidR="0072342D" w:rsidRDefault="001A7AF8">
      <w:pPr>
        <w:pStyle w:val="TableofFigures"/>
        <w:tabs>
          <w:tab w:val="right" w:leader="dot" w:pos="9350"/>
        </w:tabs>
        <w:rPr>
          <w:rFonts w:asciiTheme="minorHAnsi" w:hAnsiTheme="minorHAnsi" w:cstheme="minorBidi"/>
          <w:noProof/>
          <w:lang w:eastAsia="ko-KR" w:bidi="ar-SA"/>
        </w:rPr>
      </w:pPr>
      <w:hyperlink w:anchor="_Toc326892840" w:history="1">
        <w:r w:rsidR="0072342D" w:rsidRPr="00505ED6">
          <w:rPr>
            <w:rStyle w:val="Hyperlink"/>
            <w:b/>
            <w:noProof/>
          </w:rPr>
          <w:t>Figure 19</w:t>
        </w:r>
        <w:r w:rsidR="0072342D" w:rsidRPr="00505ED6">
          <w:rPr>
            <w:rStyle w:val="Hyperlink"/>
            <w:noProof/>
          </w:rPr>
          <w:t>:  Total Transportation Energy Use per Capita (MJ/person)</w:t>
        </w:r>
        <w:r w:rsidR="0072342D">
          <w:rPr>
            <w:noProof/>
            <w:webHidden/>
          </w:rPr>
          <w:tab/>
        </w:r>
        <w:r>
          <w:rPr>
            <w:noProof/>
            <w:webHidden/>
          </w:rPr>
          <w:fldChar w:fldCharType="begin"/>
        </w:r>
        <w:r w:rsidR="0072342D">
          <w:rPr>
            <w:noProof/>
            <w:webHidden/>
          </w:rPr>
          <w:instrText xml:space="preserve"> PAGEREF _Toc326892840 \h </w:instrText>
        </w:r>
        <w:r>
          <w:rPr>
            <w:noProof/>
            <w:webHidden/>
          </w:rPr>
        </w:r>
        <w:r>
          <w:rPr>
            <w:noProof/>
            <w:webHidden/>
          </w:rPr>
          <w:fldChar w:fldCharType="separate"/>
        </w:r>
        <w:r w:rsidR="00E65CBA">
          <w:rPr>
            <w:noProof/>
            <w:webHidden/>
          </w:rPr>
          <w:t>42</w:t>
        </w:r>
        <w:r>
          <w:rPr>
            <w:noProof/>
            <w:webHidden/>
          </w:rPr>
          <w:fldChar w:fldCharType="end"/>
        </w:r>
      </w:hyperlink>
    </w:p>
    <w:p w:rsidR="0072342D" w:rsidRDefault="001A7AF8">
      <w:pPr>
        <w:pStyle w:val="TableofFigures"/>
        <w:tabs>
          <w:tab w:val="right" w:leader="dot" w:pos="9350"/>
        </w:tabs>
        <w:rPr>
          <w:rFonts w:asciiTheme="minorHAnsi" w:hAnsiTheme="minorHAnsi" w:cstheme="minorBidi"/>
          <w:noProof/>
          <w:lang w:eastAsia="ko-KR" w:bidi="ar-SA"/>
        </w:rPr>
      </w:pPr>
      <w:hyperlink w:anchor="_Toc326892841" w:history="1">
        <w:r w:rsidR="0072342D" w:rsidRPr="00505ED6">
          <w:rPr>
            <w:rStyle w:val="Hyperlink"/>
            <w:b/>
            <w:noProof/>
          </w:rPr>
          <w:t>Figure 20</w:t>
        </w:r>
        <w:r w:rsidR="0072342D" w:rsidRPr="00505ED6">
          <w:rPr>
            <w:rStyle w:val="Hyperlink"/>
            <w:noProof/>
          </w:rPr>
          <w:t>:  Comparison of first hour on-street parking charges in Tbilisi and Western European cities</w:t>
        </w:r>
        <w:r w:rsidR="0072342D">
          <w:rPr>
            <w:noProof/>
            <w:webHidden/>
          </w:rPr>
          <w:tab/>
        </w:r>
        <w:r>
          <w:rPr>
            <w:noProof/>
            <w:webHidden/>
          </w:rPr>
          <w:fldChar w:fldCharType="begin"/>
        </w:r>
        <w:r w:rsidR="0072342D">
          <w:rPr>
            <w:noProof/>
            <w:webHidden/>
          </w:rPr>
          <w:instrText xml:space="preserve"> PAGEREF _Toc326892841 \h </w:instrText>
        </w:r>
        <w:r>
          <w:rPr>
            <w:noProof/>
            <w:webHidden/>
          </w:rPr>
        </w:r>
        <w:r>
          <w:rPr>
            <w:noProof/>
            <w:webHidden/>
          </w:rPr>
          <w:fldChar w:fldCharType="separate"/>
        </w:r>
        <w:r w:rsidR="00E65CBA">
          <w:rPr>
            <w:noProof/>
            <w:webHidden/>
          </w:rPr>
          <w:t>42</w:t>
        </w:r>
        <w:r>
          <w:rPr>
            <w:noProof/>
            <w:webHidden/>
          </w:rPr>
          <w:fldChar w:fldCharType="end"/>
        </w:r>
      </w:hyperlink>
    </w:p>
    <w:p w:rsidR="0072342D" w:rsidRDefault="001A7AF8">
      <w:pPr>
        <w:pStyle w:val="TableofFigures"/>
        <w:tabs>
          <w:tab w:val="right" w:leader="dot" w:pos="9350"/>
        </w:tabs>
        <w:rPr>
          <w:rFonts w:asciiTheme="minorHAnsi" w:hAnsiTheme="minorHAnsi" w:cstheme="minorBidi"/>
          <w:noProof/>
          <w:lang w:eastAsia="ko-KR" w:bidi="ar-SA"/>
        </w:rPr>
      </w:pPr>
      <w:hyperlink w:anchor="_Toc326892842" w:history="1">
        <w:r w:rsidR="0072342D" w:rsidRPr="00505ED6">
          <w:rPr>
            <w:rStyle w:val="Hyperlink"/>
            <w:b/>
            <w:noProof/>
          </w:rPr>
          <w:t>Figure 21</w:t>
        </w:r>
        <w:r w:rsidR="0072342D" w:rsidRPr="00505ED6">
          <w:rPr>
            <w:rStyle w:val="Hyperlink"/>
            <w:noProof/>
          </w:rPr>
          <w:t>:  Strong inverse correlation between population density and energy consumption per capita</w:t>
        </w:r>
        <w:r w:rsidR="0072342D">
          <w:rPr>
            <w:noProof/>
            <w:webHidden/>
          </w:rPr>
          <w:tab/>
        </w:r>
        <w:r>
          <w:rPr>
            <w:noProof/>
            <w:webHidden/>
          </w:rPr>
          <w:fldChar w:fldCharType="begin"/>
        </w:r>
        <w:r w:rsidR="0072342D">
          <w:rPr>
            <w:noProof/>
            <w:webHidden/>
          </w:rPr>
          <w:instrText xml:space="preserve"> PAGEREF _Toc326892842 \h </w:instrText>
        </w:r>
        <w:r>
          <w:rPr>
            <w:noProof/>
            <w:webHidden/>
          </w:rPr>
        </w:r>
        <w:r>
          <w:rPr>
            <w:noProof/>
            <w:webHidden/>
          </w:rPr>
          <w:fldChar w:fldCharType="separate"/>
        </w:r>
        <w:r w:rsidR="00E65CBA">
          <w:rPr>
            <w:noProof/>
            <w:webHidden/>
          </w:rPr>
          <w:t>43</w:t>
        </w:r>
        <w:r>
          <w:rPr>
            <w:noProof/>
            <w:webHidden/>
          </w:rPr>
          <w:fldChar w:fldCharType="end"/>
        </w:r>
      </w:hyperlink>
    </w:p>
    <w:p w:rsidR="0072342D" w:rsidRDefault="001A7AF8">
      <w:pPr>
        <w:pStyle w:val="TableofFigures"/>
        <w:tabs>
          <w:tab w:val="right" w:leader="dot" w:pos="9350"/>
        </w:tabs>
        <w:rPr>
          <w:rFonts w:asciiTheme="minorHAnsi" w:hAnsiTheme="minorHAnsi" w:cstheme="minorBidi"/>
          <w:noProof/>
          <w:lang w:eastAsia="ko-KR" w:bidi="ar-SA"/>
        </w:rPr>
      </w:pPr>
      <w:hyperlink w:anchor="_Toc326892843" w:history="1">
        <w:r w:rsidR="0072342D" w:rsidRPr="00505ED6">
          <w:rPr>
            <w:rStyle w:val="Hyperlink"/>
            <w:b/>
            <w:noProof/>
          </w:rPr>
          <w:t>Figure 22</w:t>
        </w:r>
        <w:r w:rsidR="0072342D" w:rsidRPr="00505ED6">
          <w:rPr>
            <w:rStyle w:val="Hyperlink"/>
            <w:noProof/>
          </w:rPr>
          <w:t>: International comparison of public transport mode: Capacity vs. Capital Costs</w:t>
        </w:r>
        <w:r w:rsidR="0072342D">
          <w:rPr>
            <w:noProof/>
            <w:webHidden/>
          </w:rPr>
          <w:tab/>
        </w:r>
        <w:r>
          <w:rPr>
            <w:noProof/>
            <w:webHidden/>
          </w:rPr>
          <w:fldChar w:fldCharType="begin"/>
        </w:r>
        <w:r w:rsidR="0072342D">
          <w:rPr>
            <w:noProof/>
            <w:webHidden/>
          </w:rPr>
          <w:instrText xml:space="preserve"> PAGEREF _Toc326892843 \h </w:instrText>
        </w:r>
        <w:r>
          <w:rPr>
            <w:noProof/>
            <w:webHidden/>
          </w:rPr>
        </w:r>
        <w:r>
          <w:rPr>
            <w:noProof/>
            <w:webHidden/>
          </w:rPr>
          <w:fldChar w:fldCharType="separate"/>
        </w:r>
        <w:r w:rsidR="00E65CBA">
          <w:rPr>
            <w:noProof/>
            <w:webHidden/>
          </w:rPr>
          <w:t>45</w:t>
        </w:r>
        <w:r>
          <w:rPr>
            <w:noProof/>
            <w:webHidden/>
          </w:rPr>
          <w:fldChar w:fldCharType="end"/>
        </w:r>
      </w:hyperlink>
    </w:p>
    <w:p w:rsidR="0072342D" w:rsidRDefault="001A7AF8">
      <w:pPr>
        <w:pStyle w:val="TableofFigures"/>
        <w:tabs>
          <w:tab w:val="right" w:leader="dot" w:pos="9350"/>
        </w:tabs>
        <w:rPr>
          <w:rFonts w:asciiTheme="minorHAnsi" w:hAnsiTheme="minorHAnsi" w:cstheme="minorBidi"/>
          <w:noProof/>
          <w:lang w:eastAsia="ko-KR" w:bidi="ar-SA"/>
        </w:rPr>
      </w:pPr>
      <w:hyperlink w:anchor="_Toc326892844" w:history="1">
        <w:r w:rsidR="0072342D" w:rsidRPr="00505ED6">
          <w:rPr>
            <w:rStyle w:val="Hyperlink"/>
            <w:b/>
            <w:noProof/>
          </w:rPr>
          <w:t>Figure 23</w:t>
        </w:r>
        <w:r w:rsidR="0072342D" w:rsidRPr="00505ED6">
          <w:rPr>
            <w:rStyle w:val="Hyperlink"/>
            <w:noProof/>
          </w:rPr>
          <w:t>: Vehicle-kilometers-traveled under the business-as-usual scenario</w:t>
        </w:r>
        <w:r w:rsidR="0072342D">
          <w:rPr>
            <w:noProof/>
            <w:webHidden/>
          </w:rPr>
          <w:tab/>
        </w:r>
        <w:r>
          <w:rPr>
            <w:noProof/>
            <w:webHidden/>
          </w:rPr>
          <w:fldChar w:fldCharType="begin"/>
        </w:r>
        <w:r w:rsidR="0072342D">
          <w:rPr>
            <w:noProof/>
            <w:webHidden/>
          </w:rPr>
          <w:instrText xml:space="preserve"> PAGEREF _Toc326892844 \h </w:instrText>
        </w:r>
        <w:r>
          <w:rPr>
            <w:noProof/>
            <w:webHidden/>
          </w:rPr>
        </w:r>
        <w:r>
          <w:rPr>
            <w:noProof/>
            <w:webHidden/>
          </w:rPr>
          <w:fldChar w:fldCharType="separate"/>
        </w:r>
        <w:r w:rsidR="00E65CBA">
          <w:rPr>
            <w:noProof/>
            <w:webHidden/>
          </w:rPr>
          <w:t>49</w:t>
        </w:r>
        <w:r>
          <w:rPr>
            <w:noProof/>
            <w:webHidden/>
          </w:rPr>
          <w:fldChar w:fldCharType="end"/>
        </w:r>
      </w:hyperlink>
    </w:p>
    <w:p w:rsidR="0072342D" w:rsidRDefault="001A7AF8">
      <w:pPr>
        <w:pStyle w:val="TableofFigures"/>
        <w:tabs>
          <w:tab w:val="right" w:leader="dot" w:pos="9350"/>
        </w:tabs>
        <w:rPr>
          <w:rFonts w:asciiTheme="minorHAnsi" w:hAnsiTheme="minorHAnsi" w:cstheme="minorBidi"/>
          <w:noProof/>
          <w:lang w:eastAsia="ko-KR" w:bidi="ar-SA"/>
        </w:rPr>
      </w:pPr>
      <w:hyperlink w:anchor="_Toc326892845" w:history="1">
        <w:r w:rsidR="0072342D" w:rsidRPr="00505ED6">
          <w:rPr>
            <w:rStyle w:val="Hyperlink"/>
            <w:b/>
            <w:noProof/>
          </w:rPr>
          <w:t>Figure 24</w:t>
        </w:r>
        <w:r w:rsidR="0072342D" w:rsidRPr="00505ED6">
          <w:rPr>
            <w:rStyle w:val="Hyperlink"/>
            <w:noProof/>
          </w:rPr>
          <w:t>: Vehicle-kilometers-traveled under the green transportation scenario</w:t>
        </w:r>
        <w:r w:rsidR="0072342D">
          <w:rPr>
            <w:noProof/>
            <w:webHidden/>
          </w:rPr>
          <w:tab/>
        </w:r>
        <w:r>
          <w:rPr>
            <w:noProof/>
            <w:webHidden/>
          </w:rPr>
          <w:fldChar w:fldCharType="begin"/>
        </w:r>
        <w:r w:rsidR="0072342D">
          <w:rPr>
            <w:noProof/>
            <w:webHidden/>
          </w:rPr>
          <w:instrText xml:space="preserve"> PAGEREF _Toc326892845 \h </w:instrText>
        </w:r>
        <w:r>
          <w:rPr>
            <w:noProof/>
            <w:webHidden/>
          </w:rPr>
        </w:r>
        <w:r>
          <w:rPr>
            <w:noProof/>
            <w:webHidden/>
          </w:rPr>
          <w:fldChar w:fldCharType="separate"/>
        </w:r>
        <w:r w:rsidR="00E65CBA">
          <w:rPr>
            <w:noProof/>
            <w:webHidden/>
          </w:rPr>
          <w:t>49</w:t>
        </w:r>
        <w:r>
          <w:rPr>
            <w:noProof/>
            <w:webHidden/>
          </w:rPr>
          <w:fldChar w:fldCharType="end"/>
        </w:r>
      </w:hyperlink>
    </w:p>
    <w:p w:rsidR="0072342D" w:rsidRDefault="001A7AF8">
      <w:pPr>
        <w:pStyle w:val="TableofFigures"/>
        <w:tabs>
          <w:tab w:val="right" w:leader="dot" w:pos="9350"/>
        </w:tabs>
        <w:rPr>
          <w:rFonts w:asciiTheme="minorHAnsi" w:hAnsiTheme="minorHAnsi" w:cstheme="minorBidi"/>
          <w:noProof/>
          <w:lang w:eastAsia="ko-KR" w:bidi="ar-SA"/>
        </w:rPr>
      </w:pPr>
      <w:hyperlink w:anchor="_Toc326892846" w:history="1">
        <w:r w:rsidR="0072342D" w:rsidRPr="00505ED6">
          <w:rPr>
            <w:rStyle w:val="Hyperlink"/>
            <w:b/>
            <w:noProof/>
          </w:rPr>
          <w:t>Figure 25</w:t>
        </w:r>
        <w:r w:rsidR="0072342D" w:rsidRPr="00505ED6">
          <w:rPr>
            <w:rStyle w:val="Hyperlink"/>
            <w:noProof/>
          </w:rPr>
          <w:t>: Motor fuel consumption under the business-as-usual scenario</w:t>
        </w:r>
        <w:r w:rsidR="0072342D">
          <w:rPr>
            <w:noProof/>
            <w:webHidden/>
          </w:rPr>
          <w:tab/>
        </w:r>
        <w:r>
          <w:rPr>
            <w:noProof/>
            <w:webHidden/>
          </w:rPr>
          <w:fldChar w:fldCharType="begin"/>
        </w:r>
        <w:r w:rsidR="0072342D">
          <w:rPr>
            <w:noProof/>
            <w:webHidden/>
          </w:rPr>
          <w:instrText xml:space="preserve"> PAGEREF _Toc326892846 \h </w:instrText>
        </w:r>
        <w:r>
          <w:rPr>
            <w:noProof/>
            <w:webHidden/>
          </w:rPr>
        </w:r>
        <w:r>
          <w:rPr>
            <w:noProof/>
            <w:webHidden/>
          </w:rPr>
          <w:fldChar w:fldCharType="separate"/>
        </w:r>
        <w:r w:rsidR="00E65CBA">
          <w:rPr>
            <w:noProof/>
            <w:webHidden/>
          </w:rPr>
          <w:t>50</w:t>
        </w:r>
        <w:r>
          <w:rPr>
            <w:noProof/>
            <w:webHidden/>
          </w:rPr>
          <w:fldChar w:fldCharType="end"/>
        </w:r>
      </w:hyperlink>
    </w:p>
    <w:p w:rsidR="0072342D" w:rsidRDefault="001A7AF8">
      <w:pPr>
        <w:pStyle w:val="TableofFigures"/>
        <w:tabs>
          <w:tab w:val="right" w:leader="dot" w:pos="9350"/>
        </w:tabs>
        <w:rPr>
          <w:rFonts w:asciiTheme="minorHAnsi" w:hAnsiTheme="minorHAnsi" w:cstheme="minorBidi"/>
          <w:noProof/>
          <w:lang w:eastAsia="ko-KR" w:bidi="ar-SA"/>
        </w:rPr>
      </w:pPr>
      <w:hyperlink w:anchor="_Toc326892847" w:history="1">
        <w:r w:rsidR="0072342D" w:rsidRPr="00505ED6">
          <w:rPr>
            <w:rStyle w:val="Hyperlink"/>
            <w:b/>
            <w:noProof/>
          </w:rPr>
          <w:t>Figure 26</w:t>
        </w:r>
        <w:r w:rsidR="0072342D" w:rsidRPr="00505ED6">
          <w:rPr>
            <w:rStyle w:val="Hyperlink"/>
            <w:noProof/>
          </w:rPr>
          <w:t>: Motor fuel consumption under the green transportation scenario</w:t>
        </w:r>
        <w:r w:rsidR="0072342D">
          <w:rPr>
            <w:noProof/>
            <w:webHidden/>
          </w:rPr>
          <w:tab/>
        </w:r>
        <w:r>
          <w:rPr>
            <w:noProof/>
            <w:webHidden/>
          </w:rPr>
          <w:fldChar w:fldCharType="begin"/>
        </w:r>
        <w:r w:rsidR="0072342D">
          <w:rPr>
            <w:noProof/>
            <w:webHidden/>
          </w:rPr>
          <w:instrText xml:space="preserve"> PAGEREF _Toc326892847 \h </w:instrText>
        </w:r>
        <w:r>
          <w:rPr>
            <w:noProof/>
            <w:webHidden/>
          </w:rPr>
        </w:r>
        <w:r>
          <w:rPr>
            <w:noProof/>
            <w:webHidden/>
          </w:rPr>
          <w:fldChar w:fldCharType="separate"/>
        </w:r>
        <w:r w:rsidR="00E65CBA">
          <w:rPr>
            <w:noProof/>
            <w:webHidden/>
          </w:rPr>
          <w:t>50</w:t>
        </w:r>
        <w:r>
          <w:rPr>
            <w:noProof/>
            <w:webHidden/>
          </w:rPr>
          <w:fldChar w:fldCharType="end"/>
        </w:r>
      </w:hyperlink>
    </w:p>
    <w:p w:rsidR="0072342D" w:rsidRDefault="001A7AF8">
      <w:pPr>
        <w:pStyle w:val="TableofFigures"/>
        <w:tabs>
          <w:tab w:val="right" w:leader="dot" w:pos="9350"/>
        </w:tabs>
        <w:rPr>
          <w:rFonts w:asciiTheme="minorHAnsi" w:hAnsiTheme="minorHAnsi" w:cstheme="minorBidi"/>
          <w:noProof/>
          <w:lang w:eastAsia="ko-KR" w:bidi="ar-SA"/>
        </w:rPr>
      </w:pPr>
      <w:hyperlink w:anchor="_Toc326892848" w:history="1">
        <w:r w:rsidR="0072342D" w:rsidRPr="00505ED6">
          <w:rPr>
            <w:rStyle w:val="Hyperlink"/>
            <w:b/>
            <w:noProof/>
          </w:rPr>
          <w:t>Figure 27</w:t>
        </w:r>
        <w:r w:rsidR="0072342D" w:rsidRPr="00505ED6">
          <w:rPr>
            <w:rStyle w:val="Hyperlink"/>
            <w:noProof/>
          </w:rPr>
          <w:t>: CO</w:t>
        </w:r>
        <w:r w:rsidR="0072342D" w:rsidRPr="00505ED6">
          <w:rPr>
            <w:rStyle w:val="Hyperlink"/>
            <w:noProof/>
            <w:vertAlign w:val="subscript"/>
          </w:rPr>
          <w:t>2</w:t>
        </w:r>
        <w:r w:rsidR="0072342D" w:rsidRPr="00505ED6">
          <w:rPr>
            <w:rStyle w:val="Hyperlink"/>
            <w:noProof/>
          </w:rPr>
          <w:t xml:space="preserve"> emissions from road transport under the business-as-usual scenario</w:t>
        </w:r>
        <w:r w:rsidR="0072342D">
          <w:rPr>
            <w:noProof/>
            <w:webHidden/>
          </w:rPr>
          <w:tab/>
        </w:r>
        <w:r>
          <w:rPr>
            <w:noProof/>
            <w:webHidden/>
          </w:rPr>
          <w:fldChar w:fldCharType="begin"/>
        </w:r>
        <w:r w:rsidR="0072342D">
          <w:rPr>
            <w:noProof/>
            <w:webHidden/>
          </w:rPr>
          <w:instrText xml:space="preserve"> PAGEREF _Toc326892848 \h </w:instrText>
        </w:r>
        <w:r>
          <w:rPr>
            <w:noProof/>
            <w:webHidden/>
          </w:rPr>
        </w:r>
        <w:r>
          <w:rPr>
            <w:noProof/>
            <w:webHidden/>
          </w:rPr>
          <w:fldChar w:fldCharType="separate"/>
        </w:r>
        <w:r w:rsidR="00E65CBA">
          <w:rPr>
            <w:noProof/>
            <w:webHidden/>
          </w:rPr>
          <w:t>50</w:t>
        </w:r>
        <w:r>
          <w:rPr>
            <w:noProof/>
            <w:webHidden/>
          </w:rPr>
          <w:fldChar w:fldCharType="end"/>
        </w:r>
      </w:hyperlink>
    </w:p>
    <w:p w:rsidR="0072342D" w:rsidRDefault="001A7AF8">
      <w:pPr>
        <w:pStyle w:val="TableofFigures"/>
        <w:tabs>
          <w:tab w:val="right" w:leader="dot" w:pos="9350"/>
        </w:tabs>
        <w:rPr>
          <w:rFonts w:asciiTheme="minorHAnsi" w:hAnsiTheme="minorHAnsi" w:cstheme="minorBidi"/>
          <w:noProof/>
          <w:lang w:eastAsia="ko-KR" w:bidi="ar-SA"/>
        </w:rPr>
      </w:pPr>
      <w:hyperlink w:anchor="_Toc326892849" w:history="1">
        <w:r w:rsidR="0072342D" w:rsidRPr="00505ED6">
          <w:rPr>
            <w:rStyle w:val="Hyperlink"/>
            <w:b/>
            <w:noProof/>
          </w:rPr>
          <w:t>Figure 28</w:t>
        </w:r>
        <w:r w:rsidR="0072342D" w:rsidRPr="00505ED6">
          <w:rPr>
            <w:rStyle w:val="Hyperlink"/>
            <w:noProof/>
          </w:rPr>
          <w:t>: CO</w:t>
        </w:r>
        <w:r w:rsidR="0072342D" w:rsidRPr="00505ED6">
          <w:rPr>
            <w:rStyle w:val="Hyperlink"/>
            <w:noProof/>
            <w:vertAlign w:val="subscript"/>
          </w:rPr>
          <w:t>2</w:t>
        </w:r>
        <w:r w:rsidR="0072342D" w:rsidRPr="00505ED6">
          <w:rPr>
            <w:rStyle w:val="Hyperlink"/>
            <w:noProof/>
          </w:rPr>
          <w:t xml:space="preserve"> emissions from road transport under the green transportation scenario</w:t>
        </w:r>
        <w:r w:rsidR="0072342D">
          <w:rPr>
            <w:noProof/>
            <w:webHidden/>
          </w:rPr>
          <w:tab/>
        </w:r>
        <w:r>
          <w:rPr>
            <w:noProof/>
            <w:webHidden/>
          </w:rPr>
          <w:fldChar w:fldCharType="begin"/>
        </w:r>
        <w:r w:rsidR="0072342D">
          <w:rPr>
            <w:noProof/>
            <w:webHidden/>
          </w:rPr>
          <w:instrText xml:space="preserve"> PAGEREF _Toc326892849 \h </w:instrText>
        </w:r>
        <w:r>
          <w:rPr>
            <w:noProof/>
            <w:webHidden/>
          </w:rPr>
        </w:r>
        <w:r>
          <w:rPr>
            <w:noProof/>
            <w:webHidden/>
          </w:rPr>
          <w:fldChar w:fldCharType="separate"/>
        </w:r>
        <w:r w:rsidR="00E65CBA">
          <w:rPr>
            <w:noProof/>
            <w:webHidden/>
          </w:rPr>
          <w:t>50</w:t>
        </w:r>
        <w:r>
          <w:rPr>
            <w:noProof/>
            <w:webHidden/>
          </w:rPr>
          <w:fldChar w:fldCharType="end"/>
        </w:r>
      </w:hyperlink>
    </w:p>
    <w:p w:rsidR="0072342D" w:rsidRDefault="001A7AF8">
      <w:pPr>
        <w:pStyle w:val="TableofFigures"/>
        <w:tabs>
          <w:tab w:val="right" w:leader="dot" w:pos="9350"/>
        </w:tabs>
        <w:rPr>
          <w:rFonts w:asciiTheme="minorHAnsi" w:hAnsiTheme="minorHAnsi" w:cstheme="minorBidi"/>
          <w:noProof/>
          <w:lang w:eastAsia="ko-KR" w:bidi="ar-SA"/>
        </w:rPr>
      </w:pPr>
      <w:hyperlink w:anchor="_Toc326892850" w:history="1">
        <w:r w:rsidR="0072342D" w:rsidRPr="00505ED6">
          <w:rPr>
            <w:rStyle w:val="Hyperlink"/>
            <w:b/>
            <w:noProof/>
          </w:rPr>
          <w:t>Figure 29</w:t>
        </w:r>
        <w:r w:rsidR="0072342D" w:rsidRPr="00505ED6">
          <w:rPr>
            <w:rStyle w:val="Hyperlink"/>
            <w:noProof/>
          </w:rPr>
          <w:t>: Modular Structure of EFFECT</w:t>
        </w:r>
        <w:r w:rsidR="0072342D">
          <w:rPr>
            <w:noProof/>
            <w:webHidden/>
          </w:rPr>
          <w:tab/>
        </w:r>
        <w:r>
          <w:rPr>
            <w:noProof/>
            <w:webHidden/>
          </w:rPr>
          <w:fldChar w:fldCharType="begin"/>
        </w:r>
        <w:r w:rsidR="0072342D">
          <w:rPr>
            <w:noProof/>
            <w:webHidden/>
          </w:rPr>
          <w:instrText xml:space="preserve"> PAGEREF _Toc326892850 \h </w:instrText>
        </w:r>
        <w:r>
          <w:rPr>
            <w:noProof/>
            <w:webHidden/>
          </w:rPr>
        </w:r>
        <w:r>
          <w:rPr>
            <w:noProof/>
            <w:webHidden/>
          </w:rPr>
          <w:fldChar w:fldCharType="separate"/>
        </w:r>
        <w:r w:rsidR="00E65CBA">
          <w:rPr>
            <w:noProof/>
            <w:webHidden/>
          </w:rPr>
          <w:t>56</w:t>
        </w:r>
        <w:r>
          <w:rPr>
            <w:noProof/>
            <w:webHidden/>
          </w:rPr>
          <w:fldChar w:fldCharType="end"/>
        </w:r>
      </w:hyperlink>
    </w:p>
    <w:p w:rsidR="0072342D" w:rsidRDefault="001A7AF8">
      <w:pPr>
        <w:pStyle w:val="TableofFigures"/>
        <w:tabs>
          <w:tab w:val="right" w:leader="dot" w:pos="9350"/>
        </w:tabs>
        <w:rPr>
          <w:rFonts w:asciiTheme="minorHAnsi" w:hAnsiTheme="minorHAnsi" w:cstheme="minorBidi"/>
          <w:noProof/>
          <w:lang w:eastAsia="ko-KR" w:bidi="ar-SA"/>
        </w:rPr>
      </w:pPr>
      <w:hyperlink w:anchor="_Toc326892851" w:history="1">
        <w:r w:rsidR="0072342D" w:rsidRPr="00505ED6">
          <w:rPr>
            <w:rStyle w:val="Hyperlink"/>
            <w:b/>
            <w:noProof/>
          </w:rPr>
          <w:t>Figure 30</w:t>
        </w:r>
        <w:r w:rsidR="0072342D" w:rsidRPr="00505ED6">
          <w:rPr>
            <w:rStyle w:val="Hyperlink"/>
            <w:noProof/>
          </w:rPr>
          <w:t>: EFFECT  Modeling Framework</w:t>
        </w:r>
        <w:r w:rsidR="0072342D">
          <w:rPr>
            <w:noProof/>
            <w:webHidden/>
          </w:rPr>
          <w:tab/>
        </w:r>
        <w:r>
          <w:rPr>
            <w:noProof/>
            <w:webHidden/>
          </w:rPr>
          <w:fldChar w:fldCharType="begin"/>
        </w:r>
        <w:r w:rsidR="0072342D">
          <w:rPr>
            <w:noProof/>
            <w:webHidden/>
          </w:rPr>
          <w:instrText xml:space="preserve"> PAGEREF _Toc326892851 \h </w:instrText>
        </w:r>
        <w:r>
          <w:rPr>
            <w:noProof/>
            <w:webHidden/>
          </w:rPr>
        </w:r>
        <w:r>
          <w:rPr>
            <w:noProof/>
            <w:webHidden/>
          </w:rPr>
          <w:fldChar w:fldCharType="separate"/>
        </w:r>
        <w:r w:rsidR="00E65CBA">
          <w:rPr>
            <w:noProof/>
            <w:webHidden/>
          </w:rPr>
          <w:t>58</w:t>
        </w:r>
        <w:r>
          <w:rPr>
            <w:noProof/>
            <w:webHidden/>
          </w:rPr>
          <w:fldChar w:fldCharType="end"/>
        </w:r>
      </w:hyperlink>
    </w:p>
    <w:p w:rsidR="0072342D" w:rsidRDefault="001A7AF8">
      <w:pPr>
        <w:pStyle w:val="TableofFigures"/>
        <w:tabs>
          <w:tab w:val="right" w:leader="dot" w:pos="9350"/>
        </w:tabs>
        <w:rPr>
          <w:rFonts w:asciiTheme="minorHAnsi" w:hAnsiTheme="minorHAnsi" w:cstheme="minorBidi"/>
          <w:noProof/>
          <w:lang w:eastAsia="ko-KR" w:bidi="ar-SA"/>
        </w:rPr>
      </w:pPr>
      <w:hyperlink w:anchor="_Toc326892852" w:history="1">
        <w:r w:rsidR="0072342D" w:rsidRPr="00505ED6">
          <w:rPr>
            <w:rStyle w:val="Hyperlink"/>
            <w:b/>
            <w:noProof/>
          </w:rPr>
          <w:t>Figure 31</w:t>
        </w:r>
        <w:r w:rsidR="0072342D" w:rsidRPr="00505ED6">
          <w:rPr>
            <w:rStyle w:val="Hyperlink"/>
            <w:noProof/>
          </w:rPr>
          <w:t>: Winfrey S3 Survival Curves</w:t>
        </w:r>
        <w:r w:rsidR="0072342D">
          <w:rPr>
            <w:noProof/>
            <w:webHidden/>
          </w:rPr>
          <w:tab/>
        </w:r>
        <w:r>
          <w:rPr>
            <w:noProof/>
            <w:webHidden/>
          </w:rPr>
          <w:fldChar w:fldCharType="begin"/>
        </w:r>
        <w:r w:rsidR="0072342D">
          <w:rPr>
            <w:noProof/>
            <w:webHidden/>
          </w:rPr>
          <w:instrText xml:space="preserve"> PAGEREF _Toc326892852 \h </w:instrText>
        </w:r>
        <w:r>
          <w:rPr>
            <w:noProof/>
            <w:webHidden/>
          </w:rPr>
        </w:r>
        <w:r>
          <w:rPr>
            <w:noProof/>
            <w:webHidden/>
          </w:rPr>
          <w:fldChar w:fldCharType="separate"/>
        </w:r>
        <w:r w:rsidR="00E65CBA">
          <w:rPr>
            <w:noProof/>
            <w:webHidden/>
          </w:rPr>
          <w:t>62</w:t>
        </w:r>
        <w:r>
          <w:rPr>
            <w:noProof/>
            <w:webHidden/>
          </w:rPr>
          <w:fldChar w:fldCharType="end"/>
        </w:r>
      </w:hyperlink>
    </w:p>
    <w:p w:rsidR="0072342D" w:rsidRDefault="001A7AF8">
      <w:pPr>
        <w:pStyle w:val="TableofFigures"/>
        <w:tabs>
          <w:tab w:val="right" w:leader="dot" w:pos="9350"/>
        </w:tabs>
        <w:rPr>
          <w:rFonts w:asciiTheme="minorHAnsi" w:hAnsiTheme="minorHAnsi" w:cstheme="minorBidi"/>
          <w:noProof/>
          <w:lang w:eastAsia="ko-KR" w:bidi="ar-SA"/>
        </w:rPr>
      </w:pPr>
      <w:hyperlink w:anchor="_Toc326892853" w:history="1">
        <w:r w:rsidR="0072342D" w:rsidRPr="00505ED6">
          <w:rPr>
            <w:rStyle w:val="Hyperlink"/>
            <w:b/>
            <w:noProof/>
          </w:rPr>
          <w:t>Figure 32</w:t>
        </w:r>
        <w:r w:rsidR="0072342D" w:rsidRPr="00505ED6">
          <w:rPr>
            <w:rStyle w:val="Hyperlink"/>
            <w:noProof/>
          </w:rPr>
          <w:t>: Projection of on-road vehicle fleet</w:t>
        </w:r>
        <w:r w:rsidR="0072342D">
          <w:rPr>
            <w:noProof/>
            <w:webHidden/>
          </w:rPr>
          <w:tab/>
        </w:r>
        <w:r>
          <w:rPr>
            <w:noProof/>
            <w:webHidden/>
          </w:rPr>
          <w:fldChar w:fldCharType="begin"/>
        </w:r>
        <w:r w:rsidR="0072342D">
          <w:rPr>
            <w:noProof/>
            <w:webHidden/>
          </w:rPr>
          <w:instrText xml:space="preserve"> PAGEREF _Toc326892853 \h </w:instrText>
        </w:r>
        <w:r>
          <w:rPr>
            <w:noProof/>
            <w:webHidden/>
          </w:rPr>
        </w:r>
        <w:r>
          <w:rPr>
            <w:noProof/>
            <w:webHidden/>
          </w:rPr>
          <w:fldChar w:fldCharType="separate"/>
        </w:r>
        <w:r w:rsidR="00E65CBA">
          <w:rPr>
            <w:noProof/>
            <w:webHidden/>
          </w:rPr>
          <w:t>64</w:t>
        </w:r>
        <w:r>
          <w:rPr>
            <w:noProof/>
            <w:webHidden/>
          </w:rPr>
          <w:fldChar w:fldCharType="end"/>
        </w:r>
      </w:hyperlink>
    </w:p>
    <w:p w:rsidR="004F41D4" w:rsidRPr="00172B70" w:rsidRDefault="001A7AF8" w:rsidP="002019E6">
      <w:pPr>
        <w:tabs>
          <w:tab w:val="right" w:leader="dot" w:pos="9360"/>
        </w:tabs>
        <w:ind w:left="990" w:right="360" w:hanging="990"/>
        <w:rPr>
          <w:sz w:val="20"/>
          <w:szCs w:val="20"/>
        </w:rPr>
      </w:pPr>
      <w:r w:rsidRPr="00172B70">
        <w:rPr>
          <w:sz w:val="20"/>
          <w:szCs w:val="20"/>
        </w:rPr>
        <w:fldChar w:fldCharType="end"/>
      </w:r>
    </w:p>
    <w:p w:rsidR="0072342D" w:rsidRDefault="001A7AF8">
      <w:pPr>
        <w:pStyle w:val="TableofFigures"/>
        <w:tabs>
          <w:tab w:val="right" w:leader="dot" w:pos="9350"/>
        </w:tabs>
        <w:rPr>
          <w:rFonts w:asciiTheme="minorHAnsi" w:hAnsiTheme="minorHAnsi" w:cstheme="minorBidi"/>
          <w:noProof/>
          <w:lang w:eastAsia="ko-KR" w:bidi="ar-SA"/>
        </w:rPr>
      </w:pPr>
      <w:r w:rsidRPr="00172B70">
        <w:rPr>
          <w:sz w:val="20"/>
          <w:szCs w:val="20"/>
        </w:rPr>
        <w:fldChar w:fldCharType="begin"/>
      </w:r>
      <w:r w:rsidR="004F41D4" w:rsidRPr="00172B70">
        <w:rPr>
          <w:sz w:val="20"/>
          <w:szCs w:val="20"/>
        </w:rPr>
        <w:instrText xml:space="preserve"> TOC \h \z \c "Table" </w:instrText>
      </w:r>
      <w:r w:rsidRPr="00172B70">
        <w:rPr>
          <w:sz w:val="20"/>
          <w:szCs w:val="20"/>
        </w:rPr>
        <w:fldChar w:fldCharType="separate"/>
      </w:r>
      <w:hyperlink w:anchor="_Toc326892892" w:history="1">
        <w:r w:rsidR="0072342D" w:rsidRPr="0072342D">
          <w:rPr>
            <w:rStyle w:val="Hyperlink"/>
            <w:b/>
            <w:noProof/>
          </w:rPr>
          <w:t>Table 1</w:t>
        </w:r>
        <w:r w:rsidR="0072342D" w:rsidRPr="00FC4343">
          <w:rPr>
            <w:rStyle w:val="Hyperlink"/>
            <w:noProof/>
          </w:rPr>
          <w:t>: Transport modal share in Georgia</w:t>
        </w:r>
        <w:r w:rsidR="0072342D">
          <w:rPr>
            <w:noProof/>
            <w:webHidden/>
          </w:rPr>
          <w:tab/>
        </w:r>
        <w:r>
          <w:rPr>
            <w:noProof/>
            <w:webHidden/>
          </w:rPr>
          <w:fldChar w:fldCharType="begin"/>
        </w:r>
        <w:r w:rsidR="0072342D">
          <w:rPr>
            <w:noProof/>
            <w:webHidden/>
          </w:rPr>
          <w:instrText xml:space="preserve"> PAGEREF _Toc326892892 \h </w:instrText>
        </w:r>
        <w:r>
          <w:rPr>
            <w:noProof/>
            <w:webHidden/>
          </w:rPr>
        </w:r>
        <w:r>
          <w:rPr>
            <w:noProof/>
            <w:webHidden/>
          </w:rPr>
          <w:fldChar w:fldCharType="separate"/>
        </w:r>
        <w:r w:rsidR="00E65CBA">
          <w:rPr>
            <w:noProof/>
            <w:webHidden/>
          </w:rPr>
          <w:t>12</w:t>
        </w:r>
        <w:r>
          <w:rPr>
            <w:noProof/>
            <w:webHidden/>
          </w:rPr>
          <w:fldChar w:fldCharType="end"/>
        </w:r>
      </w:hyperlink>
    </w:p>
    <w:p w:rsidR="0072342D" w:rsidRDefault="001A7AF8">
      <w:pPr>
        <w:pStyle w:val="TableofFigures"/>
        <w:tabs>
          <w:tab w:val="right" w:leader="dot" w:pos="9350"/>
        </w:tabs>
        <w:rPr>
          <w:rFonts w:asciiTheme="minorHAnsi" w:hAnsiTheme="minorHAnsi" w:cstheme="minorBidi"/>
          <w:noProof/>
          <w:lang w:eastAsia="ko-KR" w:bidi="ar-SA"/>
        </w:rPr>
      </w:pPr>
      <w:hyperlink w:anchor="_Toc326892893" w:history="1">
        <w:r w:rsidR="0072342D" w:rsidRPr="0072342D">
          <w:rPr>
            <w:rStyle w:val="Hyperlink"/>
            <w:b/>
            <w:noProof/>
          </w:rPr>
          <w:t>Table 2</w:t>
        </w:r>
        <w:r w:rsidR="0072342D" w:rsidRPr="00FC4343">
          <w:rPr>
            <w:rStyle w:val="Hyperlink"/>
            <w:noProof/>
          </w:rPr>
          <w:t>: Measures that promote cleaner fuels in Eastern Europe, South Caucasus and Central Asia</w:t>
        </w:r>
        <w:r w:rsidR="0072342D">
          <w:rPr>
            <w:noProof/>
            <w:webHidden/>
          </w:rPr>
          <w:tab/>
        </w:r>
        <w:r>
          <w:rPr>
            <w:noProof/>
            <w:webHidden/>
          </w:rPr>
          <w:fldChar w:fldCharType="begin"/>
        </w:r>
        <w:r w:rsidR="0072342D">
          <w:rPr>
            <w:noProof/>
            <w:webHidden/>
          </w:rPr>
          <w:instrText xml:space="preserve"> PAGEREF _Toc326892893 \h </w:instrText>
        </w:r>
        <w:r>
          <w:rPr>
            <w:noProof/>
            <w:webHidden/>
          </w:rPr>
        </w:r>
        <w:r>
          <w:rPr>
            <w:noProof/>
            <w:webHidden/>
          </w:rPr>
          <w:fldChar w:fldCharType="separate"/>
        </w:r>
        <w:r w:rsidR="00E65CBA">
          <w:rPr>
            <w:noProof/>
            <w:webHidden/>
          </w:rPr>
          <w:t>16</w:t>
        </w:r>
        <w:r>
          <w:rPr>
            <w:noProof/>
            <w:webHidden/>
          </w:rPr>
          <w:fldChar w:fldCharType="end"/>
        </w:r>
      </w:hyperlink>
    </w:p>
    <w:p w:rsidR="0072342D" w:rsidRDefault="001A7AF8">
      <w:pPr>
        <w:pStyle w:val="TableofFigures"/>
        <w:tabs>
          <w:tab w:val="right" w:leader="dot" w:pos="9350"/>
        </w:tabs>
        <w:rPr>
          <w:rFonts w:asciiTheme="minorHAnsi" w:hAnsiTheme="minorHAnsi" w:cstheme="minorBidi"/>
          <w:noProof/>
          <w:lang w:eastAsia="ko-KR" w:bidi="ar-SA"/>
        </w:rPr>
      </w:pPr>
      <w:hyperlink w:anchor="_Toc326892894" w:history="1">
        <w:r w:rsidR="0072342D" w:rsidRPr="0072342D">
          <w:rPr>
            <w:rStyle w:val="Hyperlink"/>
            <w:b/>
            <w:noProof/>
          </w:rPr>
          <w:t>Table 3</w:t>
        </w:r>
        <w:r w:rsidR="0072342D" w:rsidRPr="00FC4343">
          <w:rPr>
            <w:rStyle w:val="Hyperlink"/>
            <w:noProof/>
          </w:rPr>
          <w:t>: Comparing Vehicle Scrapping Programs</w:t>
        </w:r>
        <w:r w:rsidR="0072342D">
          <w:rPr>
            <w:noProof/>
            <w:webHidden/>
          </w:rPr>
          <w:tab/>
        </w:r>
        <w:r>
          <w:rPr>
            <w:noProof/>
            <w:webHidden/>
          </w:rPr>
          <w:fldChar w:fldCharType="begin"/>
        </w:r>
        <w:r w:rsidR="0072342D">
          <w:rPr>
            <w:noProof/>
            <w:webHidden/>
          </w:rPr>
          <w:instrText xml:space="preserve"> PAGEREF _Toc326892894 \h </w:instrText>
        </w:r>
        <w:r>
          <w:rPr>
            <w:noProof/>
            <w:webHidden/>
          </w:rPr>
        </w:r>
        <w:r>
          <w:rPr>
            <w:noProof/>
            <w:webHidden/>
          </w:rPr>
          <w:fldChar w:fldCharType="separate"/>
        </w:r>
        <w:r w:rsidR="00E65CBA">
          <w:rPr>
            <w:noProof/>
            <w:webHidden/>
          </w:rPr>
          <w:t>20</w:t>
        </w:r>
        <w:r>
          <w:rPr>
            <w:noProof/>
            <w:webHidden/>
          </w:rPr>
          <w:fldChar w:fldCharType="end"/>
        </w:r>
      </w:hyperlink>
    </w:p>
    <w:p w:rsidR="0072342D" w:rsidRDefault="001A7AF8">
      <w:pPr>
        <w:pStyle w:val="TableofFigures"/>
        <w:tabs>
          <w:tab w:val="right" w:leader="dot" w:pos="9350"/>
        </w:tabs>
        <w:rPr>
          <w:rFonts w:asciiTheme="minorHAnsi" w:hAnsiTheme="minorHAnsi" w:cstheme="minorBidi"/>
          <w:noProof/>
          <w:lang w:eastAsia="ko-KR" w:bidi="ar-SA"/>
        </w:rPr>
      </w:pPr>
      <w:hyperlink w:anchor="_Toc326892895" w:history="1">
        <w:r w:rsidR="0072342D" w:rsidRPr="0072342D">
          <w:rPr>
            <w:rStyle w:val="Hyperlink"/>
            <w:b/>
            <w:noProof/>
          </w:rPr>
          <w:t>Table 4</w:t>
        </w:r>
        <w:r w:rsidR="0072342D" w:rsidRPr="00FC4343">
          <w:rPr>
            <w:rStyle w:val="Hyperlink"/>
            <w:noProof/>
          </w:rPr>
          <w:t>: Schedule of Compulsory Motor Vehicle Inspection in Singapore by Vehicle Age</w:t>
        </w:r>
        <w:r w:rsidR="0072342D">
          <w:rPr>
            <w:noProof/>
            <w:webHidden/>
          </w:rPr>
          <w:tab/>
        </w:r>
        <w:r>
          <w:rPr>
            <w:noProof/>
            <w:webHidden/>
          </w:rPr>
          <w:fldChar w:fldCharType="begin"/>
        </w:r>
        <w:r w:rsidR="0072342D">
          <w:rPr>
            <w:noProof/>
            <w:webHidden/>
          </w:rPr>
          <w:instrText xml:space="preserve"> PAGEREF _Toc326892895 \h </w:instrText>
        </w:r>
        <w:r>
          <w:rPr>
            <w:noProof/>
            <w:webHidden/>
          </w:rPr>
        </w:r>
        <w:r>
          <w:rPr>
            <w:noProof/>
            <w:webHidden/>
          </w:rPr>
          <w:fldChar w:fldCharType="separate"/>
        </w:r>
        <w:r w:rsidR="00E65CBA">
          <w:rPr>
            <w:noProof/>
            <w:webHidden/>
          </w:rPr>
          <w:t>24</w:t>
        </w:r>
        <w:r>
          <w:rPr>
            <w:noProof/>
            <w:webHidden/>
          </w:rPr>
          <w:fldChar w:fldCharType="end"/>
        </w:r>
      </w:hyperlink>
    </w:p>
    <w:p w:rsidR="0072342D" w:rsidRDefault="001A7AF8">
      <w:pPr>
        <w:pStyle w:val="TableofFigures"/>
        <w:tabs>
          <w:tab w:val="right" w:leader="dot" w:pos="9350"/>
        </w:tabs>
        <w:rPr>
          <w:rFonts w:asciiTheme="minorHAnsi" w:hAnsiTheme="minorHAnsi" w:cstheme="minorBidi"/>
          <w:noProof/>
          <w:lang w:eastAsia="ko-KR" w:bidi="ar-SA"/>
        </w:rPr>
      </w:pPr>
      <w:hyperlink w:anchor="_Toc326892896" w:history="1">
        <w:r w:rsidR="0072342D" w:rsidRPr="0072342D">
          <w:rPr>
            <w:rStyle w:val="Hyperlink"/>
            <w:b/>
            <w:noProof/>
          </w:rPr>
          <w:t>Table 5</w:t>
        </w:r>
        <w:r w:rsidR="0072342D" w:rsidRPr="00FC4343">
          <w:rPr>
            <w:rStyle w:val="Hyperlink"/>
            <w:noProof/>
          </w:rPr>
          <w:t>: Comparing transit charges for heavy vehicles</w:t>
        </w:r>
        <w:r w:rsidR="0072342D">
          <w:rPr>
            <w:noProof/>
            <w:webHidden/>
          </w:rPr>
          <w:tab/>
        </w:r>
        <w:r>
          <w:rPr>
            <w:noProof/>
            <w:webHidden/>
          </w:rPr>
          <w:fldChar w:fldCharType="begin"/>
        </w:r>
        <w:r w:rsidR="0072342D">
          <w:rPr>
            <w:noProof/>
            <w:webHidden/>
          </w:rPr>
          <w:instrText xml:space="preserve"> PAGEREF _Toc326892896 \h </w:instrText>
        </w:r>
        <w:r>
          <w:rPr>
            <w:noProof/>
            <w:webHidden/>
          </w:rPr>
        </w:r>
        <w:r>
          <w:rPr>
            <w:noProof/>
            <w:webHidden/>
          </w:rPr>
          <w:fldChar w:fldCharType="separate"/>
        </w:r>
        <w:r w:rsidR="00E65CBA">
          <w:rPr>
            <w:noProof/>
            <w:webHidden/>
          </w:rPr>
          <w:t>26</w:t>
        </w:r>
        <w:r>
          <w:rPr>
            <w:noProof/>
            <w:webHidden/>
          </w:rPr>
          <w:fldChar w:fldCharType="end"/>
        </w:r>
      </w:hyperlink>
    </w:p>
    <w:p w:rsidR="0072342D" w:rsidRDefault="001A7AF8">
      <w:pPr>
        <w:pStyle w:val="TableofFigures"/>
        <w:tabs>
          <w:tab w:val="right" w:leader="dot" w:pos="9350"/>
        </w:tabs>
        <w:rPr>
          <w:rFonts w:asciiTheme="minorHAnsi" w:hAnsiTheme="minorHAnsi" w:cstheme="minorBidi"/>
          <w:noProof/>
          <w:lang w:eastAsia="ko-KR" w:bidi="ar-SA"/>
        </w:rPr>
      </w:pPr>
      <w:hyperlink w:anchor="_Toc326892897" w:history="1">
        <w:r w:rsidR="0072342D" w:rsidRPr="0072342D">
          <w:rPr>
            <w:rStyle w:val="Hyperlink"/>
            <w:b/>
            <w:noProof/>
          </w:rPr>
          <w:t>Table 6</w:t>
        </w:r>
        <w:r w:rsidR="0072342D" w:rsidRPr="00FC4343">
          <w:rPr>
            <w:rStyle w:val="Hyperlink"/>
            <w:noProof/>
          </w:rPr>
          <w:t>: Comparing passenger transport modes between major destinations</w:t>
        </w:r>
        <w:r w:rsidR="0072342D">
          <w:rPr>
            <w:noProof/>
            <w:webHidden/>
          </w:rPr>
          <w:tab/>
        </w:r>
        <w:r>
          <w:rPr>
            <w:noProof/>
            <w:webHidden/>
          </w:rPr>
          <w:fldChar w:fldCharType="begin"/>
        </w:r>
        <w:r w:rsidR="0072342D">
          <w:rPr>
            <w:noProof/>
            <w:webHidden/>
          </w:rPr>
          <w:instrText xml:space="preserve"> PAGEREF _Toc326892897 \h </w:instrText>
        </w:r>
        <w:r>
          <w:rPr>
            <w:noProof/>
            <w:webHidden/>
          </w:rPr>
        </w:r>
        <w:r>
          <w:rPr>
            <w:noProof/>
            <w:webHidden/>
          </w:rPr>
          <w:fldChar w:fldCharType="separate"/>
        </w:r>
        <w:r w:rsidR="00E65CBA">
          <w:rPr>
            <w:noProof/>
            <w:webHidden/>
          </w:rPr>
          <w:t>32</w:t>
        </w:r>
        <w:r>
          <w:rPr>
            <w:noProof/>
            <w:webHidden/>
          </w:rPr>
          <w:fldChar w:fldCharType="end"/>
        </w:r>
      </w:hyperlink>
    </w:p>
    <w:p w:rsidR="0072342D" w:rsidRDefault="001A7AF8">
      <w:pPr>
        <w:pStyle w:val="TableofFigures"/>
        <w:tabs>
          <w:tab w:val="right" w:leader="dot" w:pos="9350"/>
        </w:tabs>
        <w:rPr>
          <w:rFonts w:asciiTheme="minorHAnsi" w:hAnsiTheme="minorHAnsi" w:cstheme="minorBidi"/>
          <w:noProof/>
          <w:lang w:eastAsia="ko-KR" w:bidi="ar-SA"/>
        </w:rPr>
      </w:pPr>
      <w:hyperlink w:anchor="_Toc326892898" w:history="1">
        <w:r w:rsidR="0072342D" w:rsidRPr="00FC4343">
          <w:rPr>
            <w:rStyle w:val="Hyperlink"/>
            <w:b/>
            <w:noProof/>
          </w:rPr>
          <w:t>Table 7</w:t>
        </w:r>
        <w:r w:rsidR="0072342D" w:rsidRPr="00FC4343">
          <w:rPr>
            <w:rStyle w:val="Hyperlink"/>
            <w:noProof/>
          </w:rPr>
          <w:t>: Taxi regulations in high-income countries</w:t>
        </w:r>
        <w:r w:rsidR="0072342D">
          <w:rPr>
            <w:noProof/>
            <w:webHidden/>
          </w:rPr>
          <w:tab/>
        </w:r>
        <w:r>
          <w:rPr>
            <w:noProof/>
            <w:webHidden/>
          </w:rPr>
          <w:fldChar w:fldCharType="begin"/>
        </w:r>
        <w:r w:rsidR="0072342D">
          <w:rPr>
            <w:noProof/>
            <w:webHidden/>
          </w:rPr>
          <w:instrText xml:space="preserve"> PAGEREF _Toc326892898 \h </w:instrText>
        </w:r>
        <w:r>
          <w:rPr>
            <w:noProof/>
            <w:webHidden/>
          </w:rPr>
        </w:r>
        <w:r>
          <w:rPr>
            <w:noProof/>
            <w:webHidden/>
          </w:rPr>
          <w:fldChar w:fldCharType="separate"/>
        </w:r>
        <w:r w:rsidR="00E65CBA">
          <w:rPr>
            <w:noProof/>
            <w:webHidden/>
          </w:rPr>
          <w:t>38</w:t>
        </w:r>
        <w:r>
          <w:rPr>
            <w:noProof/>
            <w:webHidden/>
          </w:rPr>
          <w:fldChar w:fldCharType="end"/>
        </w:r>
      </w:hyperlink>
    </w:p>
    <w:p w:rsidR="0072342D" w:rsidRDefault="001A7AF8">
      <w:pPr>
        <w:pStyle w:val="TableofFigures"/>
        <w:tabs>
          <w:tab w:val="right" w:leader="dot" w:pos="9350"/>
        </w:tabs>
        <w:rPr>
          <w:rFonts w:asciiTheme="minorHAnsi" w:hAnsiTheme="minorHAnsi" w:cstheme="minorBidi"/>
          <w:noProof/>
          <w:lang w:eastAsia="ko-KR" w:bidi="ar-SA"/>
        </w:rPr>
      </w:pPr>
      <w:hyperlink w:anchor="_Toc326892899" w:history="1">
        <w:r w:rsidR="0072342D" w:rsidRPr="0072342D">
          <w:rPr>
            <w:rStyle w:val="Hyperlink"/>
            <w:b/>
            <w:noProof/>
          </w:rPr>
          <w:t>Table 8</w:t>
        </w:r>
        <w:r w:rsidR="0072342D" w:rsidRPr="00FC4343">
          <w:rPr>
            <w:rStyle w:val="Hyperlink"/>
            <w:noProof/>
          </w:rPr>
          <w:t>: Summary of the Proposed Green Transportation Policy Framework</w:t>
        </w:r>
        <w:r w:rsidR="0072342D">
          <w:rPr>
            <w:noProof/>
            <w:webHidden/>
          </w:rPr>
          <w:tab/>
        </w:r>
        <w:r>
          <w:rPr>
            <w:noProof/>
            <w:webHidden/>
          </w:rPr>
          <w:fldChar w:fldCharType="begin"/>
        </w:r>
        <w:r w:rsidR="0072342D">
          <w:rPr>
            <w:noProof/>
            <w:webHidden/>
          </w:rPr>
          <w:instrText xml:space="preserve"> PAGEREF _Toc326892899 \h </w:instrText>
        </w:r>
        <w:r>
          <w:rPr>
            <w:noProof/>
            <w:webHidden/>
          </w:rPr>
        </w:r>
        <w:r>
          <w:rPr>
            <w:noProof/>
            <w:webHidden/>
          </w:rPr>
          <w:fldChar w:fldCharType="separate"/>
        </w:r>
        <w:r w:rsidR="00E65CBA">
          <w:rPr>
            <w:noProof/>
            <w:webHidden/>
          </w:rPr>
          <w:t>47</w:t>
        </w:r>
        <w:r>
          <w:rPr>
            <w:noProof/>
            <w:webHidden/>
          </w:rPr>
          <w:fldChar w:fldCharType="end"/>
        </w:r>
      </w:hyperlink>
    </w:p>
    <w:p w:rsidR="0072342D" w:rsidRDefault="001A7AF8">
      <w:pPr>
        <w:pStyle w:val="TableofFigures"/>
        <w:tabs>
          <w:tab w:val="right" w:leader="dot" w:pos="9350"/>
        </w:tabs>
        <w:rPr>
          <w:rFonts w:asciiTheme="minorHAnsi" w:hAnsiTheme="minorHAnsi" w:cstheme="minorBidi"/>
          <w:noProof/>
          <w:lang w:eastAsia="ko-KR" w:bidi="ar-SA"/>
        </w:rPr>
      </w:pPr>
      <w:hyperlink w:anchor="_Toc326892900" w:history="1">
        <w:r w:rsidR="0072342D" w:rsidRPr="0072342D">
          <w:rPr>
            <w:rStyle w:val="Hyperlink"/>
            <w:b/>
            <w:noProof/>
          </w:rPr>
          <w:t>Table 9</w:t>
        </w:r>
        <w:r w:rsidR="0072342D" w:rsidRPr="00FC4343">
          <w:rPr>
            <w:rStyle w:val="Hyperlink"/>
            <w:noProof/>
          </w:rPr>
          <w:t>: Comparison of business-as-usual and green transportation scenario for 2012-2027</w:t>
        </w:r>
        <w:r w:rsidR="0072342D">
          <w:rPr>
            <w:noProof/>
            <w:webHidden/>
          </w:rPr>
          <w:tab/>
        </w:r>
        <w:r>
          <w:rPr>
            <w:noProof/>
            <w:webHidden/>
          </w:rPr>
          <w:fldChar w:fldCharType="begin"/>
        </w:r>
        <w:r w:rsidR="0072342D">
          <w:rPr>
            <w:noProof/>
            <w:webHidden/>
          </w:rPr>
          <w:instrText xml:space="preserve"> PAGEREF _Toc326892900 \h </w:instrText>
        </w:r>
        <w:r>
          <w:rPr>
            <w:noProof/>
            <w:webHidden/>
          </w:rPr>
        </w:r>
        <w:r>
          <w:rPr>
            <w:noProof/>
            <w:webHidden/>
          </w:rPr>
          <w:fldChar w:fldCharType="separate"/>
        </w:r>
        <w:r w:rsidR="00E65CBA">
          <w:rPr>
            <w:noProof/>
            <w:webHidden/>
          </w:rPr>
          <w:t>51</w:t>
        </w:r>
        <w:r>
          <w:rPr>
            <w:noProof/>
            <w:webHidden/>
          </w:rPr>
          <w:fldChar w:fldCharType="end"/>
        </w:r>
      </w:hyperlink>
    </w:p>
    <w:p w:rsidR="0072342D" w:rsidRDefault="001A7AF8">
      <w:pPr>
        <w:pStyle w:val="TableofFigures"/>
        <w:tabs>
          <w:tab w:val="right" w:leader="dot" w:pos="9350"/>
        </w:tabs>
        <w:rPr>
          <w:rFonts w:asciiTheme="minorHAnsi" w:hAnsiTheme="minorHAnsi" w:cstheme="minorBidi"/>
          <w:noProof/>
          <w:lang w:eastAsia="ko-KR" w:bidi="ar-SA"/>
        </w:rPr>
      </w:pPr>
      <w:hyperlink w:anchor="_Toc326892901" w:history="1">
        <w:r w:rsidR="0072342D" w:rsidRPr="0072342D">
          <w:rPr>
            <w:rStyle w:val="Hyperlink"/>
            <w:b/>
            <w:noProof/>
          </w:rPr>
          <w:t>Table 10</w:t>
        </w:r>
        <w:r w:rsidR="0072342D" w:rsidRPr="00FC4343">
          <w:rPr>
            <w:rStyle w:val="Hyperlink"/>
            <w:noProof/>
          </w:rPr>
          <w:t>: Green transportation scenario: fuel consumption and emissions reductions by contributing factors</w:t>
        </w:r>
        <w:r w:rsidR="0072342D">
          <w:rPr>
            <w:noProof/>
            <w:webHidden/>
          </w:rPr>
          <w:tab/>
        </w:r>
        <w:r>
          <w:rPr>
            <w:noProof/>
            <w:webHidden/>
          </w:rPr>
          <w:fldChar w:fldCharType="begin"/>
        </w:r>
        <w:r w:rsidR="0072342D">
          <w:rPr>
            <w:noProof/>
            <w:webHidden/>
          </w:rPr>
          <w:instrText xml:space="preserve"> PAGEREF _Toc326892901 \h </w:instrText>
        </w:r>
        <w:r>
          <w:rPr>
            <w:noProof/>
            <w:webHidden/>
          </w:rPr>
        </w:r>
        <w:r>
          <w:rPr>
            <w:noProof/>
            <w:webHidden/>
          </w:rPr>
          <w:fldChar w:fldCharType="separate"/>
        </w:r>
        <w:r w:rsidR="00E65CBA">
          <w:rPr>
            <w:noProof/>
            <w:webHidden/>
          </w:rPr>
          <w:t>52</w:t>
        </w:r>
        <w:r>
          <w:rPr>
            <w:noProof/>
            <w:webHidden/>
          </w:rPr>
          <w:fldChar w:fldCharType="end"/>
        </w:r>
      </w:hyperlink>
    </w:p>
    <w:p w:rsidR="0072342D" w:rsidRDefault="001A7AF8">
      <w:pPr>
        <w:pStyle w:val="TableofFigures"/>
        <w:tabs>
          <w:tab w:val="right" w:leader="dot" w:pos="9350"/>
        </w:tabs>
        <w:rPr>
          <w:rFonts w:asciiTheme="minorHAnsi" w:hAnsiTheme="minorHAnsi" w:cstheme="minorBidi"/>
          <w:noProof/>
          <w:lang w:eastAsia="ko-KR" w:bidi="ar-SA"/>
        </w:rPr>
      </w:pPr>
      <w:hyperlink w:anchor="_Toc326892902" w:history="1">
        <w:r w:rsidR="0072342D" w:rsidRPr="0072342D">
          <w:rPr>
            <w:rStyle w:val="Hyperlink"/>
            <w:b/>
            <w:noProof/>
          </w:rPr>
          <w:t>Table 11</w:t>
        </w:r>
        <w:r w:rsidR="0072342D" w:rsidRPr="00FC4343">
          <w:rPr>
            <w:rStyle w:val="Hyperlink"/>
            <w:noProof/>
          </w:rPr>
          <w:t>: EFFECT input data and sources</w:t>
        </w:r>
        <w:r w:rsidR="0072342D">
          <w:rPr>
            <w:noProof/>
            <w:webHidden/>
          </w:rPr>
          <w:tab/>
        </w:r>
        <w:r>
          <w:rPr>
            <w:noProof/>
            <w:webHidden/>
          </w:rPr>
          <w:fldChar w:fldCharType="begin"/>
        </w:r>
        <w:r w:rsidR="0072342D">
          <w:rPr>
            <w:noProof/>
            <w:webHidden/>
          </w:rPr>
          <w:instrText xml:space="preserve"> PAGEREF _Toc326892902 \h </w:instrText>
        </w:r>
        <w:r>
          <w:rPr>
            <w:noProof/>
            <w:webHidden/>
          </w:rPr>
        </w:r>
        <w:r>
          <w:rPr>
            <w:noProof/>
            <w:webHidden/>
          </w:rPr>
          <w:fldChar w:fldCharType="separate"/>
        </w:r>
        <w:r w:rsidR="00E65CBA">
          <w:rPr>
            <w:noProof/>
            <w:webHidden/>
          </w:rPr>
          <w:t>58</w:t>
        </w:r>
        <w:r>
          <w:rPr>
            <w:noProof/>
            <w:webHidden/>
          </w:rPr>
          <w:fldChar w:fldCharType="end"/>
        </w:r>
      </w:hyperlink>
    </w:p>
    <w:p w:rsidR="0072342D" w:rsidRDefault="001A7AF8">
      <w:pPr>
        <w:pStyle w:val="TableofFigures"/>
        <w:tabs>
          <w:tab w:val="right" w:leader="dot" w:pos="9350"/>
        </w:tabs>
        <w:rPr>
          <w:rFonts w:asciiTheme="minorHAnsi" w:hAnsiTheme="minorHAnsi" w:cstheme="minorBidi"/>
          <w:noProof/>
          <w:lang w:eastAsia="ko-KR" w:bidi="ar-SA"/>
        </w:rPr>
      </w:pPr>
      <w:hyperlink w:anchor="_Toc326892903" w:history="1">
        <w:r w:rsidR="0072342D" w:rsidRPr="0072342D">
          <w:rPr>
            <w:rStyle w:val="Hyperlink"/>
            <w:b/>
            <w:noProof/>
          </w:rPr>
          <w:t>Table 12</w:t>
        </w:r>
        <w:r w:rsidR="0072342D" w:rsidRPr="00FC4343">
          <w:rPr>
            <w:rStyle w:val="Hyperlink"/>
            <w:noProof/>
          </w:rPr>
          <w:t>: Vehicle classification used in EFFECT</w:t>
        </w:r>
        <w:r w:rsidR="0072342D">
          <w:rPr>
            <w:noProof/>
            <w:webHidden/>
          </w:rPr>
          <w:tab/>
        </w:r>
        <w:r>
          <w:rPr>
            <w:noProof/>
            <w:webHidden/>
          </w:rPr>
          <w:fldChar w:fldCharType="begin"/>
        </w:r>
        <w:r w:rsidR="0072342D">
          <w:rPr>
            <w:noProof/>
            <w:webHidden/>
          </w:rPr>
          <w:instrText xml:space="preserve"> PAGEREF _Toc326892903 \h </w:instrText>
        </w:r>
        <w:r>
          <w:rPr>
            <w:noProof/>
            <w:webHidden/>
          </w:rPr>
        </w:r>
        <w:r>
          <w:rPr>
            <w:noProof/>
            <w:webHidden/>
          </w:rPr>
          <w:fldChar w:fldCharType="separate"/>
        </w:r>
        <w:r w:rsidR="00E65CBA">
          <w:rPr>
            <w:noProof/>
            <w:webHidden/>
          </w:rPr>
          <w:t>59</w:t>
        </w:r>
        <w:r>
          <w:rPr>
            <w:noProof/>
            <w:webHidden/>
          </w:rPr>
          <w:fldChar w:fldCharType="end"/>
        </w:r>
      </w:hyperlink>
    </w:p>
    <w:p w:rsidR="0072342D" w:rsidRDefault="001A7AF8">
      <w:pPr>
        <w:pStyle w:val="TableofFigures"/>
        <w:tabs>
          <w:tab w:val="right" w:leader="dot" w:pos="9350"/>
        </w:tabs>
        <w:rPr>
          <w:rFonts w:asciiTheme="minorHAnsi" w:hAnsiTheme="minorHAnsi" w:cstheme="minorBidi"/>
          <w:noProof/>
          <w:lang w:eastAsia="ko-KR" w:bidi="ar-SA"/>
        </w:rPr>
      </w:pPr>
      <w:hyperlink w:anchor="_Toc326892904" w:history="1">
        <w:r w:rsidR="0072342D" w:rsidRPr="00FC4343">
          <w:rPr>
            <w:rStyle w:val="Hyperlink"/>
            <w:b/>
            <w:noProof/>
          </w:rPr>
          <w:t>Table 13</w:t>
        </w:r>
        <w:r w:rsidR="0072342D" w:rsidRPr="00FC4343">
          <w:rPr>
            <w:rStyle w:val="Hyperlink"/>
            <w:noProof/>
          </w:rPr>
          <w:t>: Assumptions on vehicle standards</w:t>
        </w:r>
        <w:r w:rsidR="0072342D">
          <w:rPr>
            <w:noProof/>
            <w:webHidden/>
          </w:rPr>
          <w:tab/>
        </w:r>
        <w:r>
          <w:rPr>
            <w:noProof/>
            <w:webHidden/>
          </w:rPr>
          <w:fldChar w:fldCharType="begin"/>
        </w:r>
        <w:r w:rsidR="0072342D">
          <w:rPr>
            <w:noProof/>
            <w:webHidden/>
          </w:rPr>
          <w:instrText xml:space="preserve"> PAGEREF _Toc326892904 \h </w:instrText>
        </w:r>
        <w:r>
          <w:rPr>
            <w:noProof/>
            <w:webHidden/>
          </w:rPr>
        </w:r>
        <w:r>
          <w:rPr>
            <w:noProof/>
            <w:webHidden/>
          </w:rPr>
          <w:fldChar w:fldCharType="separate"/>
        </w:r>
        <w:r w:rsidR="00E65CBA">
          <w:rPr>
            <w:noProof/>
            <w:webHidden/>
          </w:rPr>
          <w:t>60</w:t>
        </w:r>
        <w:r>
          <w:rPr>
            <w:noProof/>
            <w:webHidden/>
          </w:rPr>
          <w:fldChar w:fldCharType="end"/>
        </w:r>
      </w:hyperlink>
    </w:p>
    <w:p w:rsidR="0072342D" w:rsidRDefault="001A7AF8">
      <w:pPr>
        <w:pStyle w:val="TableofFigures"/>
        <w:tabs>
          <w:tab w:val="right" w:leader="dot" w:pos="9350"/>
        </w:tabs>
        <w:rPr>
          <w:rFonts w:asciiTheme="minorHAnsi" w:hAnsiTheme="minorHAnsi" w:cstheme="minorBidi"/>
          <w:noProof/>
          <w:lang w:eastAsia="ko-KR" w:bidi="ar-SA"/>
        </w:rPr>
      </w:pPr>
      <w:hyperlink w:anchor="_Toc326892905" w:history="1">
        <w:r w:rsidR="0072342D" w:rsidRPr="0072342D">
          <w:rPr>
            <w:rStyle w:val="Hyperlink"/>
            <w:b/>
            <w:noProof/>
          </w:rPr>
          <w:t>Table 14</w:t>
        </w:r>
        <w:r w:rsidR="0072342D" w:rsidRPr="00FC4343">
          <w:rPr>
            <w:rStyle w:val="Hyperlink"/>
            <w:noProof/>
          </w:rPr>
          <w:t>: Technological advancements considered in EFFECT</w:t>
        </w:r>
        <w:r w:rsidR="0072342D">
          <w:rPr>
            <w:noProof/>
            <w:webHidden/>
          </w:rPr>
          <w:tab/>
        </w:r>
        <w:r>
          <w:rPr>
            <w:noProof/>
            <w:webHidden/>
          </w:rPr>
          <w:fldChar w:fldCharType="begin"/>
        </w:r>
        <w:r w:rsidR="0072342D">
          <w:rPr>
            <w:noProof/>
            <w:webHidden/>
          </w:rPr>
          <w:instrText xml:space="preserve"> PAGEREF _Toc326892905 \h </w:instrText>
        </w:r>
        <w:r>
          <w:rPr>
            <w:noProof/>
            <w:webHidden/>
          </w:rPr>
        </w:r>
        <w:r>
          <w:rPr>
            <w:noProof/>
            <w:webHidden/>
          </w:rPr>
          <w:fldChar w:fldCharType="separate"/>
        </w:r>
        <w:r w:rsidR="00E65CBA">
          <w:rPr>
            <w:noProof/>
            <w:webHidden/>
          </w:rPr>
          <w:t>65</w:t>
        </w:r>
        <w:r>
          <w:rPr>
            <w:noProof/>
            <w:webHidden/>
          </w:rPr>
          <w:fldChar w:fldCharType="end"/>
        </w:r>
      </w:hyperlink>
    </w:p>
    <w:p w:rsidR="004F41D4" w:rsidRDefault="001A7AF8" w:rsidP="002019E6">
      <w:pPr>
        <w:tabs>
          <w:tab w:val="right" w:leader="dot" w:pos="9360"/>
        </w:tabs>
        <w:spacing w:after="200"/>
        <w:ind w:left="990" w:right="360" w:hanging="990"/>
        <w:jc w:val="left"/>
        <w:rPr>
          <w:sz w:val="20"/>
          <w:szCs w:val="20"/>
        </w:rPr>
      </w:pPr>
      <w:r w:rsidRPr="00172B70">
        <w:rPr>
          <w:sz w:val="20"/>
          <w:szCs w:val="20"/>
        </w:rPr>
        <w:fldChar w:fldCharType="end"/>
      </w:r>
    </w:p>
    <w:p w:rsidR="004F41D4" w:rsidRDefault="004F41D4" w:rsidP="00243E2A"/>
    <w:p w:rsidR="00F83E99" w:rsidRDefault="00F83E99">
      <w:pPr>
        <w:spacing w:after="200"/>
        <w:jc w:val="left"/>
        <w:rPr>
          <w:rFonts w:eastAsiaTheme="majorEastAsia"/>
          <w:b/>
          <w:bCs/>
          <w:sz w:val="26"/>
          <w:szCs w:val="26"/>
        </w:rPr>
      </w:pPr>
      <w:r>
        <w:rPr>
          <w:sz w:val="26"/>
          <w:szCs w:val="26"/>
        </w:rPr>
        <w:br w:type="page"/>
      </w:r>
    </w:p>
    <w:p w:rsidR="00245204" w:rsidRPr="00477DD6" w:rsidRDefault="00245204" w:rsidP="00245204">
      <w:pPr>
        <w:pStyle w:val="Heading1"/>
        <w:numPr>
          <w:ilvl w:val="0"/>
          <w:numId w:val="0"/>
        </w:numPr>
        <w:spacing w:before="0"/>
        <w:jc w:val="center"/>
        <w:rPr>
          <w:sz w:val="26"/>
          <w:szCs w:val="26"/>
        </w:rPr>
      </w:pPr>
      <w:bookmarkStart w:id="4" w:name="_Toc326892921"/>
      <w:bookmarkStart w:id="5" w:name="_Toc326892920"/>
      <w:r>
        <w:rPr>
          <w:sz w:val="26"/>
          <w:szCs w:val="26"/>
        </w:rPr>
        <w:lastRenderedPageBreak/>
        <w:t>Acknowledgement</w:t>
      </w:r>
      <w:bookmarkEnd w:id="4"/>
    </w:p>
    <w:p w:rsidR="00245204" w:rsidRDefault="00245204" w:rsidP="00245204">
      <w:pPr>
        <w:spacing w:after="200"/>
      </w:pPr>
    </w:p>
    <w:p w:rsidR="00245204" w:rsidRDefault="00245204" w:rsidP="00245204">
      <w:pPr>
        <w:spacing w:after="200"/>
      </w:pPr>
      <w:r>
        <w:t>This report was prepared by the World Bank team led by JungEun Oh (Task Team Leader, Transport Economist, ECSS5) and including Andreas Kopp (Lead Transport Economist, TWITR) and Irina Trukhan (Junior Professional Associate, ECSS5). Pedzi Makumbe (Infrastructure Specialist, SEGES) provided support on data processing and input parameters for the EFFECT analysis</w:t>
      </w:r>
      <w:r w:rsidR="00E65CBA">
        <w:t>, and wrote Annex 2</w:t>
      </w:r>
      <w:r>
        <w:t>. Michael Butler (Junior Professional Associate, ECSS5) assisted on literature review and data collection. The management support and oversight was provided by Asad Alam (Country Director, ECCU3), Henry Kerali (Sector Manager, ECSS5), and Ahmed Eiweida (Count</w:t>
      </w:r>
      <w:r w:rsidR="004F2B44">
        <w:t xml:space="preserve">ry Sector Coordinator, ECSSD). </w:t>
      </w:r>
      <w:r>
        <w:t>The paper</w:t>
      </w:r>
      <w:r w:rsidR="004F2B44">
        <w:t xml:space="preserve"> wa</w:t>
      </w:r>
      <w:r>
        <w:t xml:space="preserve">s peer-reviewed by </w:t>
      </w:r>
      <w:r w:rsidRPr="00C06860">
        <w:t>Uwe Deichmann (Senior Environmental Specialist, ECACE), Roger Gorham (Transport Economist, AFTTR), and Jordan Z. Schwartz (Lead Economist, LCSSD</w:t>
      </w:r>
      <w:r>
        <w:t>).</w:t>
      </w:r>
    </w:p>
    <w:p w:rsidR="00245204" w:rsidRDefault="00245204" w:rsidP="00245204">
      <w:pPr>
        <w:spacing w:after="200"/>
      </w:pPr>
    </w:p>
    <w:p w:rsidR="00245204" w:rsidRDefault="00245204" w:rsidP="00245204">
      <w:pPr>
        <w:spacing w:after="200"/>
      </w:pPr>
      <w:r>
        <w:t>The World Bank team is grateful for the support provided by the Ministry of Economy and Sustainable Development of Georgia throughout this study. The analysis in this report greatly benefited from the discussions with the senior officials of the various ministries and other government agencies of Georgia, including the Ministry of Economy and Sustainable Development, Ministry of Finance, Ministry of Interior Petrol Police, Ministry of Environment Protection, Ministry of Energy and Natural Resources, Ministry of Regional Development and Infrastructure, National Tourism Agency, Land Transport Agency, Georgian Railway, Tbilisi City Hall, Batumi City Hall, Kutaisi City Hall, Rustavi City Hall, Georgian International Road Carrier Association, and Union of Oil Products Importers and consumers.</w:t>
      </w:r>
    </w:p>
    <w:p w:rsidR="00245204" w:rsidRDefault="00245204" w:rsidP="00245204">
      <w:pPr>
        <w:spacing w:after="200"/>
        <w:jc w:val="left"/>
      </w:pPr>
    </w:p>
    <w:p w:rsidR="00245204" w:rsidRDefault="00245204">
      <w:pPr>
        <w:spacing w:after="200"/>
        <w:jc w:val="left"/>
        <w:rPr>
          <w:rFonts w:eastAsiaTheme="majorEastAsia"/>
          <w:b/>
          <w:bCs/>
          <w:sz w:val="26"/>
          <w:szCs w:val="26"/>
        </w:rPr>
      </w:pPr>
      <w:r>
        <w:rPr>
          <w:sz w:val="26"/>
          <w:szCs w:val="26"/>
        </w:rPr>
        <w:br w:type="page"/>
      </w:r>
    </w:p>
    <w:p w:rsidR="00FB0F9F" w:rsidRPr="00477DD6" w:rsidRDefault="00FB0F9F" w:rsidP="00BA2792">
      <w:pPr>
        <w:pStyle w:val="Heading1"/>
        <w:numPr>
          <w:ilvl w:val="0"/>
          <w:numId w:val="0"/>
        </w:numPr>
        <w:spacing w:before="0"/>
        <w:jc w:val="center"/>
        <w:rPr>
          <w:sz w:val="26"/>
          <w:szCs w:val="26"/>
        </w:rPr>
      </w:pPr>
      <w:r>
        <w:rPr>
          <w:sz w:val="26"/>
          <w:szCs w:val="26"/>
        </w:rPr>
        <w:lastRenderedPageBreak/>
        <w:t>Executive Summary</w:t>
      </w:r>
      <w:bookmarkEnd w:id="5"/>
    </w:p>
    <w:p w:rsidR="0006568D" w:rsidRPr="0006568D" w:rsidRDefault="0006568D" w:rsidP="00A85E9D">
      <w:pPr>
        <w:spacing w:before="360" w:after="180"/>
        <w:jc w:val="center"/>
        <w:rPr>
          <w:rFonts w:eastAsia="MS Mincho"/>
          <w:sz w:val="24"/>
          <w:szCs w:val="24"/>
          <w:lang w:bidi="ar-SA"/>
        </w:rPr>
      </w:pPr>
      <w:r w:rsidRPr="0006568D">
        <w:rPr>
          <w:rFonts w:eastAsia="MS Mincho"/>
          <w:b/>
          <w:sz w:val="24"/>
          <w:szCs w:val="24"/>
          <w:lang w:bidi="ar-SA"/>
        </w:rPr>
        <w:t>What is green transportation and why is it important for Georgia?</w:t>
      </w:r>
    </w:p>
    <w:p w:rsidR="0006568D" w:rsidRPr="0006568D" w:rsidRDefault="0006568D" w:rsidP="000A117E">
      <w:pPr>
        <w:rPr>
          <w:rFonts w:eastAsia="MS Mincho"/>
          <w:lang w:bidi="ar-SA"/>
        </w:rPr>
      </w:pPr>
      <w:r w:rsidRPr="0006568D">
        <w:rPr>
          <w:rFonts w:eastAsia="MS Mincho"/>
          <w:lang w:bidi="ar-SA"/>
        </w:rPr>
        <w:t xml:space="preserve">The Government of Georgia has long recognized that </w:t>
      </w:r>
      <w:r w:rsidR="001326D4">
        <w:rPr>
          <w:rFonts w:eastAsia="MS Mincho"/>
          <w:lang w:bidi="ar-SA"/>
        </w:rPr>
        <w:t xml:space="preserve">improving </w:t>
      </w:r>
      <w:r w:rsidRPr="0006568D">
        <w:rPr>
          <w:rFonts w:eastAsia="MS Mincho"/>
          <w:lang w:bidi="ar-SA"/>
        </w:rPr>
        <w:t xml:space="preserve">transport infrastructure and services </w:t>
      </w:r>
      <w:r w:rsidR="001326D4">
        <w:rPr>
          <w:rFonts w:eastAsia="MS Mincho"/>
          <w:lang w:bidi="ar-SA"/>
        </w:rPr>
        <w:t xml:space="preserve">is </w:t>
      </w:r>
      <w:r w:rsidRPr="0006568D">
        <w:rPr>
          <w:rFonts w:eastAsia="MS Mincho"/>
          <w:lang w:bidi="ar-SA"/>
        </w:rPr>
        <w:t xml:space="preserve">a critical prerequisite </w:t>
      </w:r>
      <w:r w:rsidR="001326D4">
        <w:rPr>
          <w:rFonts w:eastAsia="MS Mincho"/>
          <w:lang w:bidi="ar-SA"/>
        </w:rPr>
        <w:t>to enhance competitiveness and achieve</w:t>
      </w:r>
      <w:r w:rsidRPr="0006568D">
        <w:rPr>
          <w:rFonts w:eastAsia="MS Mincho"/>
          <w:lang w:bidi="ar-SA"/>
        </w:rPr>
        <w:t xml:space="preserve"> long-term sustainable economic growth. In addition to investing in </w:t>
      </w:r>
      <w:r w:rsidR="001326D4">
        <w:rPr>
          <w:rFonts w:eastAsia="MS Mincho"/>
          <w:lang w:bidi="ar-SA"/>
        </w:rPr>
        <w:t xml:space="preserve">developing </w:t>
      </w:r>
      <w:r w:rsidRPr="0006568D">
        <w:rPr>
          <w:rFonts w:eastAsia="MS Mincho"/>
          <w:lang w:bidi="ar-SA"/>
        </w:rPr>
        <w:t xml:space="preserve">transport </w:t>
      </w:r>
      <w:r w:rsidRPr="0006568D">
        <w:rPr>
          <w:rFonts w:eastAsia="MS Mincho"/>
          <w:i/>
          <w:lang w:bidi="ar-SA"/>
        </w:rPr>
        <w:t>infrastructure</w:t>
      </w:r>
      <w:r w:rsidRPr="0006568D">
        <w:rPr>
          <w:rFonts w:eastAsia="MS Mincho"/>
          <w:lang w:bidi="ar-SA"/>
        </w:rPr>
        <w:t xml:space="preserve">, Government is also considering improving </w:t>
      </w:r>
      <w:r w:rsidR="001326D4">
        <w:rPr>
          <w:rFonts w:eastAsia="MS Mincho"/>
          <w:lang w:bidi="ar-SA"/>
        </w:rPr>
        <w:t xml:space="preserve">the </w:t>
      </w:r>
      <w:r w:rsidRPr="0006568D">
        <w:rPr>
          <w:rFonts w:eastAsia="MS Mincho"/>
          <w:lang w:bidi="ar-SA"/>
        </w:rPr>
        <w:t xml:space="preserve">efficiency and quality </w:t>
      </w:r>
      <w:r w:rsidR="000A117E">
        <w:rPr>
          <w:rFonts w:eastAsia="MS Mincho"/>
          <w:lang w:bidi="ar-SA"/>
        </w:rPr>
        <w:t xml:space="preserve">of </w:t>
      </w:r>
      <w:r w:rsidRPr="0006568D">
        <w:rPr>
          <w:rFonts w:eastAsia="MS Mincho"/>
          <w:lang w:bidi="ar-SA"/>
        </w:rPr>
        <w:t xml:space="preserve">transport </w:t>
      </w:r>
      <w:r w:rsidRPr="0006568D">
        <w:rPr>
          <w:rFonts w:eastAsia="MS Mincho"/>
          <w:i/>
          <w:lang w:bidi="ar-SA"/>
        </w:rPr>
        <w:t>services</w:t>
      </w:r>
      <w:r w:rsidRPr="0006568D">
        <w:rPr>
          <w:rFonts w:eastAsia="MS Mincho"/>
          <w:lang w:bidi="ar-SA"/>
        </w:rPr>
        <w:t xml:space="preserve">, and mitigating </w:t>
      </w:r>
      <w:r w:rsidR="001326D4">
        <w:rPr>
          <w:rFonts w:eastAsia="MS Mincho"/>
          <w:lang w:bidi="ar-SA"/>
        </w:rPr>
        <w:t xml:space="preserve">the </w:t>
      </w:r>
      <w:r w:rsidRPr="0006568D">
        <w:rPr>
          <w:rFonts w:eastAsia="MS Mincho"/>
          <w:lang w:bidi="ar-SA"/>
        </w:rPr>
        <w:t xml:space="preserve">negative environmental and health impacts of transportation by </w:t>
      </w:r>
      <w:r w:rsidR="000317D4">
        <w:rPr>
          <w:rFonts w:eastAsia="MS Mincho"/>
          <w:lang w:bidi="ar-SA"/>
        </w:rPr>
        <w:t>greening transportation.</w:t>
      </w:r>
    </w:p>
    <w:p w:rsidR="0006568D" w:rsidRPr="0006568D" w:rsidRDefault="001326D4" w:rsidP="000A117E">
      <w:pPr>
        <w:rPr>
          <w:rFonts w:eastAsia="MS Mincho"/>
          <w:lang w:bidi="ar-SA"/>
        </w:rPr>
      </w:pPr>
      <w:r>
        <w:rPr>
          <w:rFonts w:eastAsia="MS Mincho"/>
          <w:lang w:bidi="ar-SA"/>
        </w:rPr>
        <w:t>The r</w:t>
      </w:r>
      <w:r w:rsidR="0006568D" w:rsidRPr="0006568D">
        <w:rPr>
          <w:rFonts w:eastAsia="MS Mincho"/>
          <w:lang w:bidi="ar-SA"/>
        </w:rPr>
        <w:t xml:space="preserve">ationale for greening transportation in Georgia goes beyond the need to reduce greenhouse gas emissions, which is typically the primary objective of the emerging framework of green and low-carbon development. In fact, </w:t>
      </w:r>
      <w:r>
        <w:rPr>
          <w:rFonts w:eastAsia="MS Mincho"/>
          <w:lang w:bidi="ar-SA"/>
        </w:rPr>
        <w:t xml:space="preserve">in Georgia </w:t>
      </w:r>
      <w:r w:rsidR="00E82BE9">
        <w:rPr>
          <w:rFonts w:eastAsia="MS Mincho"/>
          <w:lang w:bidi="ar-SA"/>
        </w:rPr>
        <w:t xml:space="preserve">the additional </w:t>
      </w:r>
      <w:r w:rsidR="0006568D" w:rsidRPr="0006568D">
        <w:rPr>
          <w:rFonts w:eastAsia="MS Mincho"/>
          <w:lang w:bidi="ar-SA"/>
        </w:rPr>
        <w:t>economic and dev</w:t>
      </w:r>
      <w:r>
        <w:rPr>
          <w:rFonts w:eastAsia="MS Mincho"/>
          <w:lang w:bidi="ar-SA"/>
        </w:rPr>
        <w:t>elopment challenge</w:t>
      </w:r>
      <w:r w:rsidR="00004D4F">
        <w:rPr>
          <w:rFonts w:eastAsia="MS Mincho"/>
          <w:lang w:bidi="ar-SA"/>
        </w:rPr>
        <w:t>s</w:t>
      </w:r>
      <w:r>
        <w:rPr>
          <w:rFonts w:eastAsia="MS Mincho"/>
          <w:lang w:bidi="ar-SA"/>
        </w:rPr>
        <w:t xml:space="preserve"> </w:t>
      </w:r>
      <w:r w:rsidR="00004D4F">
        <w:rPr>
          <w:rFonts w:eastAsia="MS Mincho"/>
          <w:lang w:bidi="ar-SA"/>
        </w:rPr>
        <w:t xml:space="preserve">are </w:t>
      </w:r>
      <w:r>
        <w:rPr>
          <w:rFonts w:eastAsia="MS Mincho"/>
          <w:lang w:bidi="ar-SA"/>
        </w:rPr>
        <w:t xml:space="preserve">the </w:t>
      </w:r>
      <w:r w:rsidR="0006568D" w:rsidRPr="0006568D">
        <w:rPr>
          <w:rFonts w:eastAsia="MS Mincho"/>
          <w:lang w:bidi="ar-SA"/>
        </w:rPr>
        <w:t>growing foss</w:t>
      </w:r>
      <w:r w:rsidR="000A117E">
        <w:rPr>
          <w:rFonts w:eastAsia="MS Mincho"/>
          <w:lang w:bidi="ar-SA"/>
        </w:rPr>
        <w:t>il fuel imports</w:t>
      </w:r>
      <w:r w:rsidR="00004D4F">
        <w:rPr>
          <w:rFonts w:eastAsia="MS Mincho"/>
          <w:lang w:bidi="ar-SA"/>
        </w:rPr>
        <w:t xml:space="preserve"> that </w:t>
      </w:r>
      <w:r w:rsidR="000A117E">
        <w:rPr>
          <w:rFonts w:eastAsia="MS Mincho"/>
          <w:lang w:bidi="ar-SA"/>
        </w:rPr>
        <w:t>contribute</w:t>
      </w:r>
      <w:r w:rsidR="0006568D" w:rsidRPr="0006568D">
        <w:rPr>
          <w:rFonts w:eastAsia="MS Mincho"/>
          <w:lang w:bidi="ar-SA"/>
        </w:rPr>
        <w:t xml:space="preserve"> to a </w:t>
      </w:r>
      <w:r w:rsidR="00FB4D90">
        <w:rPr>
          <w:rFonts w:eastAsia="MS Mincho"/>
          <w:lang w:bidi="ar-SA"/>
        </w:rPr>
        <w:t xml:space="preserve">large </w:t>
      </w:r>
      <w:r w:rsidR="0006568D" w:rsidRPr="0006568D">
        <w:rPr>
          <w:rFonts w:eastAsia="MS Mincho"/>
          <w:lang w:bidi="ar-SA"/>
        </w:rPr>
        <w:t xml:space="preserve">current account deficit and </w:t>
      </w:r>
      <w:r w:rsidR="00E82BE9">
        <w:rPr>
          <w:rFonts w:eastAsia="MS Mincho"/>
          <w:lang w:bidi="ar-SA"/>
        </w:rPr>
        <w:t xml:space="preserve">the </w:t>
      </w:r>
      <w:r w:rsidR="00004D4F">
        <w:rPr>
          <w:rFonts w:eastAsia="MS Mincho"/>
          <w:lang w:bidi="ar-SA"/>
        </w:rPr>
        <w:t xml:space="preserve">increasing </w:t>
      </w:r>
      <w:r w:rsidR="0006568D" w:rsidRPr="0006568D">
        <w:rPr>
          <w:rFonts w:eastAsia="MS Mincho"/>
          <w:lang w:bidi="ar-SA"/>
        </w:rPr>
        <w:t xml:space="preserve">air pollution </w:t>
      </w:r>
      <w:r w:rsidR="00004D4F">
        <w:rPr>
          <w:rFonts w:eastAsia="MS Mincho"/>
          <w:lang w:bidi="ar-SA"/>
        </w:rPr>
        <w:t xml:space="preserve">caused by road transport </w:t>
      </w:r>
      <w:r w:rsidR="0006568D" w:rsidRPr="0006568D">
        <w:rPr>
          <w:rFonts w:eastAsia="MS Mincho"/>
          <w:lang w:bidi="ar-SA"/>
        </w:rPr>
        <w:t xml:space="preserve">that </w:t>
      </w:r>
      <w:r w:rsidR="00E82BE9">
        <w:rPr>
          <w:rFonts w:eastAsia="MS Mincho"/>
          <w:lang w:bidi="ar-SA"/>
        </w:rPr>
        <w:t xml:space="preserve">add to </w:t>
      </w:r>
      <w:r w:rsidR="0006568D" w:rsidRPr="0006568D">
        <w:rPr>
          <w:rFonts w:eastAsia="MS Mincho"/>
          <w:lang w:bidi="ar-SA"/>
        </w:rPr>
        <w:t>health</w:t>
      </w:r>
      <w:r w:rsidR="00004D4F">
        <w:rPr>
          <w:rFonts w:eastAsia="MS Mincho"/>
          <w:lang w:bidi="ar-SA"/>
        </w:rPr>
        <w:t>care costs</w:t>
      </w:r>
      <w:r w:rsidR="0006568D" w:rsidRPr="0006568D">
        <w:rPr>
          <w:rFonts w:eastAsia="MS Mincho"/>
          <w:lang w:bidi="ar-SA"/>
        </w:rPr>
        <w:t>.</w:t>
      </w:r>
      <w:r w:rsidR="00853E4D">
        <w:rPr>
          <w:rFonts w:eastAsia="MS Mincho"/>
          <w:lang w:bidi="ar-SA"/>
        </w:rPr>
        <w:t xml:space="preserve"> </w:t>
      </w:r>
      <w:r w:rsidR="00004D4F">
        <w:rPr>
          <w:rFonts w:eastAsia="MS Mincho"/>
          <w:lang w:bidi="ar-SA"/>
        </w:rPr>
        <w:t>Despite these challenges</w:t>
      </w:r>
      <w:r w:rsidR="0006568D" w:rsidRPr="0006568D">
        <w:rPr>
          <w:rFonts w:eastAsia="MS Mincho"/>
          <w:lang w:bidi="ar-SA"/>
        </w:rPr>
        <w:t xml:space="preserve">, Georgia </w:t>
      </w:r>
      <w:r w:rsidR="00E82BE9">
        <w:rPr>
          <w:rFonts w:eastAsia="MS Mincho"/>
          <w:lang w:bidi="ar-SA"/>
        </w:rPr>
        <w:t xml:space="preserve">has </w:t>
      </w:r>
      <w:r w:rsidR="00853E4D">
        <w:rPr>
          <w:rFonts w:eastAsia="MS Mincho"/>
          <w:lang w:bidi="ar-SA"/>
        </w:rPr>
        <w:t>opportunit</w:t>
      </w:r>
      <w:r w:rsidR="00853E4D" w:rsidRPr="0006568D">
        <w:rPr>
          <w:rFonts w:eastAsia="MS Mincho"/>
          <w:lang w:bidi="ar-SA"/>
        </w:rPr>
        <w:t>ies</w:t>
      </w:r>
      <w:r w:rsidR="0006568D" w:rsidRPr="0006568D">
        <w:rPr>
          <w:rFonts w:eastAsia="MS Mincho"/>
          <w:lang w:bidi="ar-SA"/>
        </w:rPr>
        <w:t xml:space="preserve"> to achieve the greening objective</w:t>
      </w:r>
      <w:r w:rsidR="00E82BE9">
        <w:rPr>
          <w:rFonts w:eastAsia="MS Mincho"/>
          <w:lang w:bidi="ar-SA"/>
        </w:rPr>
        <w:t xml:space="preserve"> while at the same time reducing the economic impact of fossil fuel imports</w:t>
      </w:r>
      <w:r w:rsidR="0006568D" w:rsidRPr="0006568D">
        <w:rPr>
          <w:rFonts w:eastAsia="MS Mincho"/>
          <w:lang w:bidi="ar-SA"/>
        </w:rPr>
        <w:t xml:space="preserve">: </w:t>
      </w:r>
      <w:r w:rsidR="00004D4F">
        <w:rPr>
          <w:rFonts w:eastAsia="MS Mincho"/>
          <w:lang w:bidi="ar-SA"/>
        </w:rPr>
        <w:t xml:space="preserve">the country </w:t>
      </w:r>
      <w:r w:rsidR="0006568D" w:rsidRPr="0006568D">
        <w:rPr>
          <w:rFonts w:eastAsia="MS Mincho"/>
          <w:lang w:bidi="ar-SA"/>
        </w:rPr>
        <w:t>has abundant indigenous energy sources</w:t>
      </w:r>
      <w:r w:rsidR="00044400">
        <w:rPr>
          <w:rFonts w:eastAsia="MS Mincho"/>
          <w:lang w:bidi="ar-SA"/>
        </w:rPr>
        <w:t xml:space="preserve">, mainly </w:t>
      </w:r>
      <w:r w:rsidR="0006568D" w:rsidRPr="0006568D">
        <w:rPr>
          <w:rFonts w:eastAsia="MS Mincho"/>
          <w:lang w:bidi="ar-SA"/>
        </w:rPr>
        <w:t xml:space="preserve">hydropower, and </w:t>
      </w:r>
      <w:r w:rsidR="00004D4F">
        <w:rPr>
          <w:rFonts w:eastAsia="MS Mincho"/>
          <w:lang w:bidi="ar-SA"/>
        </w:rPr>
        <w:t xml:space="preserve">although </w:t>
      </w:r>
      <w:r w:rsidR="0006568D" w:rsidRPr="0006568D">
        <w:rPr>
          <w:rFonts w:eastAsia="MS Mincho"/>
          <w:lang w:bidi="ar-SA"/>
        </w:rPr>
        <w:t>motorization rate</w:t>
      </w:r>
      <w:r w:rsidR="00004D4F">
        <w:rPr>
          <w:rFonts w:eastAsia="MS Mincho"/>
          <w:lang w:bidi="ar-SA"/>
        </w:rPr>
        <w:t xml:space="preserve">s are rising, it is still </w:t>
      </w:r>
      <w:r w:rsidR="0006568D" w:rsidRPr="0006568D">
        <w:rPr>
          <w:rFonts w:eastAsia="MS Mincho"/>
          <w:lang w:bidi="ar-SA"/>
        </w:rPr>
        <w:t xml:space="preserve">early </w:t>
      </w:r>
      <w:r w:rsidR="00004D4F">
        <w:rPr>
          <w:rFonts w:eastAsia="MS Mincho"/>
          <w:lang w:bidi="ar-SA"/>
        </w:rPr>
        <w:t>enough to take actions</w:t>
      </w:r>
      <w:r w:rsidR="0006568D" w:rsidRPr="0006568D">
        <w:rPr>
          <w:rFonts w:eastAsia="MS Mincho"/>
          <w:lang w:bidi="ar-SA"/>
        </w:rPr>
        <w:t>—</w:t>
      </w:r>
      <w:r w:rsidR="00004D4F">
        <w:rPr>
          <w:rFonts w:eastAsia="MS Mincho"/>
          <w:lang w:bidi="ar-SA"/>
        </w:rPr>
        <w:t xml:space="preserve">through </w:t>
      </w:r>
      <w:r w:rsidR="0006568D" w:rsidRPr="0006568D">
        <w:rPr>
          <w:rFonts w:eastAsia="MS Mincho"/>
          <w:lang w:bidi="ar-SA"/>
        </w:rPr>
        <w:t>policies and investments—</w:t>
      </w:r>
      <w:r w:rsidR="00004D4F">
        <w:rPr>
          <w:rFonts w:eastAsia="MS Mincho"/>
          <w:lang w:bidi="ar-SA"/>
        </w:rPr>
        <w:t>to re</w:t>
      </w:r>
      <w:r w:rsidR="0006568D" w:rsidRPr="0006568D">
        <w:rPr>
          <w:rFonts w:eastAsia="MS Mincho"/>
          <w:lang w:bidi="ar-SA"/>
        </w:rPr>
        <w:t>shape long</w:t>
      </w:r>
      <w:r w:rsidR="00004D4F">
        <w:rPr>
          <w:rFonts w:eastAsia="MS Mincho"/>
          <w:lang w:bidi="ar-SA"/>
        </w:rPr>
        <w:t>er</w:t>
      </w:r>
      <w:r w:rsidR="0006568D" w:rsidRPr="0006568D">
        <w:rPr>
          <w:rFonts w:eastAsia="MS Mincho"/>
          <w:lang w:bidi="ar-SA"/>
        </w:rPr>
        <w:t>-term pattern</w:t>
      </w:r>
      <w:r w:rsidR="000A117E">
        <w:rPr>
          <w:rFonts w:eastAsia="MS Mincho"/>
          <w:lang w:bidi="ar-SA"/>
        </w:rPr>
        <w:t>s</w:t>
      </w:r>
      <w:r w:rsidR="0006568D" w:rsidRPr="0006568D">
        <w:rPr>
          <w:rFonts w:eastAsia="MS Mincho"/>
          <w:lang w:bidi="ar-SA"/>
        </w:rPr>
        <w:t xml:space="preserve"> </w:t>
      </w:r>
      <w:r w:rsidR="00004D4F">
        <w:rPr>
          <w:rFonts w:eastAsia="MS Mincho"/>
          <w:lang w:bidi="ar-SA"/>
        </w:rPr>
        <w:t xml:space="preserve">in the </w:t>
      </w:r>
      <w:r w:rsidR="0006568D" w:rsidRPr="0006568D">
        <w:rPr>
          <w:rFonts w:eastAsia="MS Mincho"/>
          <w:lang w:bidi="ar-SA"/>
        </w:rPr>
        <w:t xml:space="preserve">transport </w:t>
      </w:r>
      <w:r w:rsidR="00004D4F">
        <w:rPr>
          <w:rFonts w:eastAsia="MS Mincho"/>
          <w:lang w:bidi="ar-SA"/>
        </w:rPr>
        <w:t xml:space="preserve">sector </w:t>
      </w:r>
      <w:r w:rsidR="0006568D" w:rsidRPr="0006568D">
        <w:rPr>
          <w:rFonts w:eastAsia="MS Mincho"/>
          <w:lang w:bidi="ar-SA"/>
        </w:rPr>
        <w:t xml:space="preserve">and </w:t>
      </w:r>
      <w:r w:rsidR="00E82BE9">
        <w:rPr>
          <w:rFonts w:eastAsia="MS Mincho"/>
          <w:lang w:bidi="ar-SA"/>
        </w:rPr>
        <w:t xml:space="preserve">in </w:t>
      </w:r>
      <w:r w:rsidR="0006568D" w:rsidRPr="0006568D">
        <w:rPr>
          <w:rFonts w:eastAsia="MS Mincho"/>
          <w:lang w:bidi="ar-SA"/>
        </w:rPr>
        <w:t>consumer choices.</w:t>
      </w:r>
    </w:p>
    <w:p w:rsidR="0006568D" w:rsidRPr="0006568D" w:rsidRDefault="0006568D" w:rsidP="000A117E">
      <w:pPr>
        <w:rPr>
          <w:rFonts w:eastAsia="MS Mincho"/>
          <w:lang w:bidi="ar-SA"/>
        </w:rPr>
      </w:pPr>
      <w:r w:rsidRPr="0006568D">
        <w:rPr>
          <w:rFonts w:eastAsia="MS Mincho"/>
          <w:lang w:bidi="ar-SA"/>
        </w:rPr>
        <w:t xml:space="preserve">Therefore, for the purpose of this study, </w:t>
      </w:r>
      <w:r w:rsidRPr="0006568D">
        <w:rPr>
          <w:rFonts w:eastAsia="MS Mincho"/>
          <w:i/>
          <w:lang w:bidi="ar-SA"/>
        </w:rPr>
        <w:t xml:space="preserve">“green transportation” refers to </w:t>
      </w:r>
      <w:r w:rsidR="00A57097" w:rsidRPr="00A57097">
        <w:rPr>
          <w:rFonts w:eastAsia="MS Mincho"/>
          <w:i/>
          <w:lang w:bidi="ar-SA"/>
        </w:rPr>
        <w:t>reduced intensity of fossil fuel use</w:t>
      </w:r>
      <w:r w:rsidR="00A57097">
        <w:rPr>
          <w:rFonts w:eastAsia="MS Mincho"/>
          <w:i/>
          <w:lang w:bidi="ar-SA"/>
        </w:rPr>
        <w:t xml:space="preserve"> and</w:t>
      </w:r>
      <w:r w:rsidR="00A57097" w:rsidRPr="00A57097">
        <w:rPr>
          <w:rFonts w:eastAsia="MS Mincho"/>
          <w:i/>
          <w:lang w:bidi="ar-SA"/>
        </w:rPr>
        <w:t xml:space="preserve"> increased reliance on the country’s indigenous energy sources (mainly hydropower), </w:t>
      </w:r>
      <w:r w:rsidR="00A57097">
        <w:rPr>
          <w:rFonts w:eastAsia="MS Mincho"/>
          <w:i/>
          <w:lang w:bidi="ar-SA"/>
        </w:rPr>
        <w:t>as well as</w:t>
      </w:r>
      <w:r w:rsidR="00A57097" w:rsidRPr="00A57097">
        <w:rPr>
          <w:rFonts w:eastAsia="MS Mincho"/>
          <w:i/>
          <w:lang w:bidi="ar-SA"/>
        </w:rPr>
        <w:t xml:space="preserve"> minimized adverse impacts on the global and local environment through reduced emissions of greenhouse gases and local pollutants</w:t>
      </w:r>
      <w:r w:rsidR="00A57097">
        <w:rPr>
          <w:rFonts w:eastAsia="MS Mincho"/>
          <w:lang w:bidi="ar-SA"/>
        </w:rPr>
        <w:t xml:space="preserve">. </w:t>
      </w:r>
      <w:r w:rsidR="000A117E">
        <w:rPr>
          <w:rFonts w:eastAsia="MS Mincho"/>
          <w:lang w:bidi="ar-SA"/>
        </w:rPr>
        <w:t xml:space="preserve">This paper argues that Government interventions are essential for green transportation because the </w:t>
      </w:r>
      <w:r w:rsidR="00044400">
        <w:rPr>
          <w:rFonts w:eastAsia="MS Mincho"/>
          <w:lang w:bidi="ar-SA"/>
        </w:rPr>
        <w:t xml:space="preserve">current </w:t>
      </w:r>
      <w:r w:rsidR="000A117E">
        <w:rPr>
          <w:rFonts w:eastAsia="MS Mincho"/>
          <w:lang w:bidi="ar-SA"/>
        </w:rPr>
        <w:t xml:space="preserve">transport market </w:t>
      </w:r>
      <w:r w:rsidR="00044400">
        <w:rPr>
          <w:rFonts w:eastAsia="MS Mincho"/>
          <w:lang w:bidi="ar-SA"/>
        </w:rPr>
        <w:t xml:space="preserve">lacks a </w:t>
      </w:r>
      <w:r w:rsidR="000A117E">
        <w:rPr>
          <w:rFonts w:eastAsia="MS Mincho"/>
          <w:lang w:bidi="ar-SA"/>
        </w:rPr>
        <w:t xml:space="preserve">mechanism to </w:t>
      </w:r>
      <w:r w:rsidR="00E82BE9">
        <w:rPr>
          <w:rFonts w:eastAsia="MS Mincho"/>
          <w:lang w:bidi="ar-SA"/>
        </w:rPr>
        <w:t xml:space="preserve">reduce </w:t>
      </w:r>
      <w:r w:rsidR="000A117E">
        <w:rPr>
          <w:rFonts w:eastAsia="MS Mincho"/>
          <w:lang w:bidi="ar-SA"/>
        </w:rPr>
        <w:t xml:space="preserve">the large </w:t>
      </w:r>
      <w:r w:rsidR="00A57097">
        <w:rPr>
          <w:rFonts w:eastAsia="MS Mincho"/>
          <w:lang w:bidi="ar-SA"/>
        </w:rPr>
        <w:t xml:space="preserve">negative </w:t>
      </w:r>
      <w:r w:rsidR="000A117E">
        <w:rPr>
          <w:rFonts w:eastAsia="MS Mincho"/>
          <w:lang w:bidi="ar-SA"/>
        </w:rPr>
        <w:t xml:space="preserve">externalities (emissions and congestion), and infrastructure and consumer patterns established now would </w:t>
      </w:r>
      <w:r w:rsidR="00E82BE9">
        <w:rPr>
          <w:rFonts w:eastAsia="MS Mincho"/>
          <w:lang w:bidi="ar-SA"/>
        </w:rPr>
        <w:t xml:space="preserve">take </w:t>
      </w:r>
      <w:r w:rsidR="000A117E">
        <w:rPr>
          <w:rFonts w:eastAsia="MS Mincho"/>
          <w:lang w:bidi="ar-SA"/>
        </w:rPr>
        <w:t>long</w:t>
      </w:r>
      <w:r w:rsidR="00E82BE9">
        <w:rPr>
          <w:rFonts w:eastAsia="MS Mincho"/>
          <w:lang w:bidi="ar-SA"/>
        </w:rPr>
        <w:t xml:space="preserve"> to change</w:t>
      </w:r>
      <w:r w:rsidR="000A117E">
        <w:rPr>
          <w:rFonts w:eastAsia="MS Mincho"/>
          <w:lang w:bidi="ar-SA"/>
        </w:rPr>
        <w:t xml:space="preserve">. </w:t>
      </w:r>
      <w:r w:rsidRPr="0006568D">
        <w:rPr>
          <w:rFonts w:eastAsia="MS Mincho"/>
          <w:lang w:bidi="ar-SA"/>
        </w:rPr>
        <w:t xml:space="preserve">By pursuing a green transportation strategy, the Government of Georgia aims to achieve the following </w:t>
      </w:r>
      <w:r w:rsidR="000A117E">
        <w:rPr>
          <w:rFonts w:eastAsia="MS Mincho"/>
          <w:lang w:bidi="ar-SA"/>
        </w:rPr>
        <w:t>development</w:t>
      </w:r>
      <w:r w:rsidRPr="0006568D">
        <w:rPr>
          <w:rFonts w:eastAsia="MS Mincho"/>
          <w:lang w:bidi="ar-SA"/>
        </w:rPr>
        <w:t xml:space="preserve"> objectives:</w:t>
      </w:r>
    </w:p>
    <w:p w:rsidR="0006568D" w:rsidRPr="0006568D" w:rsidRDefault="0006568D" w:rsidP="000A117E">
      <w:pPr>
        <w:rPr>
          <w:rFonts w:eastAsia="MS Mincho"/>
          <w:lang w:bidi="ar-SA"/>
        </w:rPr>
      </w:pPr>
      <w:r w:rsidRPr="0006568D">
        <w:rPr>
          <w:rFonts w:eastAsia="MS Mincho"/>
          <w:b/>
          <w:i/>
          <w:lang w:bidi="ar-SA"/>
        </w:rPr>
        <w:t>Reducing reliance on energy imports</w:t>
      </w:r>
      <w:r w:rsidRPr="0006568D">
        <w:rPr>
          <w:rFonts w:eastAsia="MS Mincho"/>
          <w:lang w:bidi="ar-SA"/>
        </w:rPr>
        <w:t xml:space="preserve">. Georgia relies entirely on imported energy to meet its transportation needs; the import bill for petroleum fuels comprises a significant share of the overall import bill, has substantial impacts on balance of trade, contributes to a </w:t>
      </w:r>
      <w:r w:rsidR="00FB4D90">
        <w:rPr>
          <w:rFonts w:eastAsia="MS Mincho"/>
          <w:lang w:bidi="ar-SA"/>
        </w:rPr>
        <w:t>large</w:t>
      </w:r>
      <w:r w:rsidR="00FB4D90" w:rsidRPr="0006568D">
        <w:rPr>
          <w:rFonts w:eastAsia="MS Mincho"/>
          <w:lang w:bidi="ar-SA"/>
        </w:rPr>
        <w:t xml:space="preserve"> </w:t>
      </w:r>
      <w:r w:rsidRPr="0006568D">
        <w:rPr>
          <w:rFonts w:eastAsia="MS Mincho"/>
          <w:lang w:bidi="ar-SA"/>
        </w:rPr>
        <w:t xml:space="preserve">current account deficit and results in foreign currency shortages for other imports </w:t>
      </w:r>
      <w:r w:rsidR="00FB4D90">
        <w:rPr>
          <w:rFonts w:eastAsia="MS Mincho"/>
          <w:lang w:bidi="ar-SA"/>
        </w:rPr>
        <w:t xml:space="preserve">that </w:t>
      </w:r>
      <w:r w:rsidRPr="0006568D">
        <w:rPr>
          <w:rFonts w:eastAsia="MS Mincho"/>
          <w:lang w:bidi="ar-SA"/>
        </w:rPr>
        <w:t xml:space="preserve">Georgia </w:t>
      </w:r>
      <w:r w:rsidR="00044400">
        <w:rPr>
          <w:rFonts w:eastAsia="MS Mincho"/>
          <w:lang w:bidi="ar-SA"/>
        </w:rPr>
        <w:t xml:space="preserve">requires </w:t>
      </w:r>
      <w:r w:rsidRPr="0006568D">
        <w:rPr>
          <w:rFonts w:eastAsia="MS Mincho"/>
          <w:lang w:bidi="ar-SA"/>
        </w:rPr>
        <w:t>for national development. Petroleum fuel imports, used almost entirely for transportation, increased about ten-fold during 1999-2008. During 2010, the total import bill for petroleum and hydrocarbon fuels was about US$832 million, or 16 percent of total imports and more than 7.0 percent of gross domestic product (GDP). During January-May 2011, the import bill for gasoline alone grew by 27 percent compared to the same period in 2010, primarily due to global price increases. Green transportation measures will help reduc</w:t>
      </w:r>
      <w:r w:rsidR="00004D4F">
        <w:rPr>
          <w:rFonts w:eastAsia="MS Mincho"/>
          <w:lang w:bidi="ar-SA"/>
        </w:rPr>
        <w:t>e</w:t>
      </w:r>
      <w:r w:rsidRPr="0006568D">
        <w:rPr>
          <w:rFonts w:eastAsia="MS Mincho"/>
          <w:lang w:bidi="ar-SA"/>
        </w:rPr>
        <w:t xml:space="preserve"> fossil</w:t>
      </w:r>
      <w:r w:rsidR="00004D4F">
        <w:rPr>
          <w:rFonts w:eastAsia="MS Mincho"/>
          <w:lang w:bidi="ar-SA"/>
        </w:rPr>
        <w:t xml:space="preserve"> fuel consumption and increase</w:t>
      </w:r>
      <w:r w:rsidRPr="0006568D">
        <w:rPr>
          <w:rFonts w:eastAsia="MS Mincho"/>
          <w:lang w:bidi="ar-SA"/>
        </w:rPr>
        <w:t xml:space="preserve"> the share of hydropower use for transportation, which supplies about 90 percent of total national electricity needs. Georgia has potential to expand current capacity: it is estimated that only 23 percent of the economically feasible potential of 32 TWh is </w:t>
      </w:r>
      <w:r w:rsidR="00004D4F">
        <w:rPr>
          <w:rFonts w:eastAsia="MS Mincho"/>
          <w:lang w:bidi="ar-SA"/>
        </w:rPr>
        <w:t xml:space="preserve">now </w:t>
      </w:r>
      <w:r w:rsidRPr="0006568D">
        <w:rPr>
          <w:rFonts w:eastAsia="MS Mincho"/>
          <w:lang w:bidi="ar-SA"/>
        </w:rPr>
        <w:t>being used.</w:t>
      </w:r>
    </w:p>
    <w:p w:rsidR="0006568D" w:rsidRPr="0006568D" w:rsidRDefault="0006568D" w:rsidP="000A117E">
      <w:pPr>
        <w:rPr>
          <w:rFonts w:eastAsia="MS Mincho"/>
          <w:lang w:bidi="ar-SA"/>
        </w:rPr>
      </w:pPr>
      <w:r w:rsidRPr="0006568D">
        <w:rPr>
          <w:rFonts w:eastAsia="MS Mincho"/>
          <w:b/>
          <w:i/>
          <w:lang w:bidi="ar-SA"/>
        </w:rPr>
        <w:t>Reversing the growing menace of air pollution</w:t>
      </w:r>
      <w:r w:rsidRPr="0006568D">
        <w:rPr>
          <w:rFonts w:eastAsia="MS Mincho"/>
          <w:lang w:bidi="ar-SA"/>
        </w:rPr>
        <w:t>. In Georgia</w:t>
      </w:r>
      <w:r w:rsidRPr="0006568D" w:rsidDel="00AE79B6">
        <w:rPr>
          <w:rFonts w:eastAsia="MS Mincho"/>
          <w:b/>
          <w:lang w:bidi="ar-SA"/>
        </w:rPr>
        <w:t xml:space="preserve"> </w:t>
      </w:r>
      <w:r w:rsidRPr="0006568D">
        <w:rPr>
          <w:rFonts w:eastAsia="MS Mincho"/>
          <w:lang w:bidi="ar-SA"/>
        </w:rPr>
        <w:t>the main source of air pollution</w:t>
      </w:r>
      <w:r w:rsidRPr="0006568D" w:rsidDel="00AE79B6">
        <w:rPr>
          <w:rFonts w:eastAsia="MS Mincho"/>
          <w:b/>
          <w:lang w:bidi="ar-SA"/>
        </w:rPr>
        <w:t xml:space="preserve"> </w:t>
      </w:r>
      <w:r w:rsidRPr="0006568D">
        <w:rPr>
          <w:rFonts w:eastAsia="MS Mincho"/>
          <w:lang w:bidi="ar-SA"/>
        </w:rPr>
        <w:t>is</w:t>
      </w:r>
      <w:r w:rsidRPr="0006568D">
        <w:rPr>
          <w:rFonts w:eastAsia="MS Mincho"/>
          <w:b/>
          <w:lang w:bidi="ar-SA"/>
        </w:rPr>
        <w:t xml:space="preserve"> </w:t>
      </w:r>
      <w:r w:rsidRPr="0006568D">
        <w:rPr>
          <w:rFonts w:eastAsia="MS Mincho"/>
          <w:lang w:bidi="ar-SA"/>
        </w:rPr>
        <w:t>road transport, which emits a major and growing share of pollutants, including carbon monoxide (CO), hydrocarbons</w:t>
      </w:r>
      <w:r w:rsidR="00A57097">
        <w:rPr>
          <w:rFonts w:eastAsia="MS Mincho"/>
          <w:lang w:bidi="ar-SA"/>
        </w:rPr>
        <w:t>—</w:t>
      </w:r>
      <w:r w:rsidR="00C95B46">
        <w:rPr>
          <w:rFonts w:eastAsia="MS Mincho"/>
          <w:lang w:bidi="ar-SA"/>
        </w:rPr>
        <w:t>mostly</w:t>
      </w:r>
      <w:r w:rsidR="00A57097">
        <w:rPr>
          <w:rFonts w:eastAsia="MS Mincho"/>
          <w:lang w:bidi="ar-SA"/>
        </w:rPr>
        <w:t xml:space="preserve"> </w:t>
      </w:r>
      <w:r w:rsidRPr="0006568D">
        <w:rPr>
          <w:rFonts w:eastAsia="MS Mincho"/>
          <w:lang w:bidi="ar-SA"/>
        </w:rPr>
        <w:t xml:space="preserve">volatile organic compounds </w:t>
      </w:r>
      <w:r w:rsidR="00C95B46">
        <w:rPr>
          <w:rFonts w:eastAsia="MS Mincho"/>
          <w:lang w:bidi="ar-SA"/>
        </w:rPr>
        <w:t xml:space="preserve">(VOC) </w:t>
      </w:r>
      <w:r w:rsidRPr="0006568D">
        <w:rPr>
          <w:rFonts w:eastAsia="MS Mincho"/>
          <w:lang w:bidi="ar-SA"/>
        </w:rPr>
        <w:t>and methane, nitrogen oxides (NO</w:t>
      </w:r>
      <w:r w:rsidRPr="0006568D">
        <w:rPr>
          <w:rFonts w:eastAsia="MS Mincho"/>
          <w:vertAlign w:val="subscript"/>
          <w:lang w:bidi="ar-SA"/>
        </w:rPr>
        <w:t>x</w:t>
      </w:r>
      <w:r w:rsidRPr="0006568D">
        <w:rPr>
          <w:rFonts w:eastAsia="MS Mincho"/>
          <w:lang w:bidi="ar-SA"/>
        </w:rPr>
        <w:t>), sulfur dioxide (SO</w:t>
      </w:r>
      <w:r w:rsidRPr="0006568D">
        <w:rPr>
          <w:rFonts w:eastAsia="MS Mincho"/>
          <w:vertAlign w:val="subscript"/>
          <w:lang w:bidi="ar-SA"/>
        </w:rPr>
        <w:t>2</w:t>
      </w:r>
      <w:r w:rsidRPr="0006568D">
        <w:rPr>
          <w:rFonts w:eastAsia="MS Mincho"/>
          <w:lang w:bidi="ar-SA"/>
        </w:rPr>
        <w:t>), soot, benzopyrene and carbon dioxide (CO</w:t>
      </w:r>
      <w:r w:rsidRPr="0006568D">
        <w:rPr>
          <w:rFonts w:eastAsia="MS Mincho"/>
          <w:vertAlign w:val="subscript"/>
          <w:lang w:bidi="ar-SA"/>
        </w:rPr>
        <w:t>2</w:t>
      </w:r>
      <w:r w:rsidRPr="0006568D">
        <w:rPr>
          <w:rFonts w:eastAsia="MS Mincho"/>
          <w:lang w:bidi="ar-SA"/>
        </w:rPr>
        <w:t xml:space="preserve">) These pollutants are present in areas with </w:t>
      </w:r>
      <w:r w:rsidRPr="0006568D">
        <w:rPr>
          <w:rFonts w:eastAsia="MS Mincho"/>
          <w:lang w:bidi="ar-SA"/>
        </w:rPr>
        <w:lastRenderedPageBreak/>
        <w:t>intensive traffic</w:t>
      </w:r>
      <w:r w:rsidRPr="0006568D">
        <w:rPr>
          <w:rFonts w:eastAsia="MS Mincho"/>
          <w:lang w:bidi="ar-SA"/>
        </w:rPr>
        <w:sym w:font="Symbol" w:char="F0BE"/>
      </w:r>
      <w:r w:rsidRPr="0006568D">
        <w:rPr>
          <w:rFonts w:eastAsia="MS Mincho"/>
          <w:lang w:bidi="ar-SA"/>
        </w:rPr>
        <w:t>large urban areas and along main road corridors</w:t>
      </w:r>
      <w:r w:rsidRPr="0006568D">
        <w:rPr>
          <w:rFonts w:eastAsia="MS Mincho"/>
          <w:lang w:bidi="ar-SA"/>
        </w:rPr>
        <w:sym w:font="Symbol" w:char="F0BE"/>
      </w:r>
      <w:r w:rsidRPr="0006568D">
        <w:rPr>
          <w:rFonts w:eastAsia="MS Mincho"/>
          <w:lang w:bidi="ar-SA"/>
        </w:rPr>
        <w:t>mos</w:t>
      </w:r>
      <w:r w:rsidR="004F2B44">
        <w:rPr>
          <w:rFonts w:eastAsia="MS Mincho"/>
          <w:lang w:bidi="ar-SA"/>
        </w:rPr>
        <w:t xml:space="preserve">t acutely observed in Tbilisi. </w:t>
      </w:r>
      <w:r w:rsidRPr="0006568D">
        <w:rPr>
          <w:rFonts w:eastAsia="MS Mincho"/>
          <w:lang w:bidi="ar-SA"/>
        </w:rPr>
        <w:t xml:space="preserve">Georgia’s cities have lower levels of individual vehicle use, but minibus fleets have high emission intensity, contribute to congestion and disrupt traffic; emissions </w:t>
      </w:r>
      <w:r w:rsidR="00044400">
        <w:rPr>
          <w:rFonts w:eastAsia="MS Mincho"/>
          <w:lang w:bidi="ar-SA"/>
        </w:rPr>
        <w:t xml:space="preserve">are also rising </w:t>
      </w:r>
      <w:r w:rsidRPr="0006568D">
        <w:rPr>
          <w:rFonts w:eastAsia="MS Mincho"/>
          <w:lang w:bidi="ar-SA"/>
        </w:rPr>
        <w:t>from other vehicles.</w:t>
      </w:r>
    </w:p>
    <w:p w:rsidR="0006568D" w:rsidRPr="0006568D" w:rsidRDefault="0006568D" w:rsidP="000A117E">
      <w:pPr>
        <w:rPr>
          <w:rFonts w:eastAsia="MS Mincho"/>
          <w:lang w:bidi="ar-SA"/>
        </w:rPr>
      </w:pPr>
      <w:r w:rsidRPr="001407BD">
        <w:rPr>
          <w:rFonts w:eastAsia="MS Mincho"/>
          <w:b/>
          <w:i/>
          <w:lang w:bidi="ar-SA"/>
        </w:rPr>
        <w:t xml:space="preserve">Strengthening </w:t>
      </w:r>
      <w:r w:rsidR="00004D4F">
        <w:rPr>
          <w:rFonts w:eastAsia="MS Mincho"/>
          <w:b/>
          <w:i/>
          <w:lang w:bidi="ar-SA"/>
        </w:rPr>
        <w:t xml:space="preserve">Georgia’s </w:t>
      </w:r>
      <w:r w:rsidRPr="001407BD">
        <w:rPr>
          <w:rFonts w:eastAsia="MS Mincho"/>
          <w:b/>
          <w:i/>
          <w:lang w:bidi="ar-SA"/>
        </w:rPr>
        <w:t>position as a</w:t>
      </w:r>
      <w:r w:rsidR="00004D4F">
        <w:rPr>
          <w:rFonts w:eastAsia="MS Mincho"/>
          <w:b/>
          <w:i/>
          <w:lang w:bidi="ar-SA"/>
        </w:rPr>
        <w:t xml:space="preserve"> regional</w:t>
      </w:r>
      <w:r w:rsidRPr="001407BD">
        <w:rPr>
          <w:rFonts w:eastAsia="MS Mincho"/>
          <w:b/>
          <w:i/>
          <w:lang w:bidi="ar-SA"/>
        </w:rPr>
        <w:t xml:space="preserve"> trade hub and tourism destination by developing efficient and clean transport services</w:t>
      </w:r>
      <w:r w:rsidRPr="0006568D">
        <w:rPr>
          <w:rFonts w:eastAsia="MS Mincho"/>
          <w:lang w:bidi="ar-SA"/>
        </w:rPr>
        <w:t xml:space="preserve">. </w:t>
      </w:r>
      <w:r w:rsidR="00004D4F">
        <w:rPr>
          <w:rFonts w:eastAsia="MS Mincho"/>
          <w:lang w:bidi="ar-SA"/>
        </w:rPr>
        <w:t xml:space="preserve">Georgia’s position </w:t>
      </w:r>
      <w:r w:rsidRPr="0006568D">
        <w:rPr>
          <w:rFonts w:eastAsia="MS Mincho"/>
          <w:lang w:bidi="ar-SA"/>
        </w:rPr>
        <w:t xml:space="preserve">along an important international transit corridor </w:t>
      </w:r>
      <w:r w:rsidR="00004D4F">
        <w:rPr>
          <w:rFonts w:eastAsia="MS Mincho"/>
          <w:lang w:bidi="ar-SA"/>
        </w:rPr>
        <w:t xml:space="preserve">gives it an </w:t>
      </w:r>
      <w:r w:rsidRPr="0006568D">
        <w:rPr>
          <w:rFonts w:eastAsia="MS Mincho"/>
          <w:lang w:bidi="ar-SA"/>
        </w:rPr>
        <w:t xml:space="preserve">important role in international trade and transportation. </w:t>
      </w:r>
      <w:r w:rsidR="00004D4F">
        <w:rPr>
          <w:rFonts w:eastAsia="MS Mincho"/>
          <w:lang w:bidi="ar-SA"/>
        </w:rPr>
        <w:t xml:space="preserve">Georgia’s </w:t>
      </w:r>
      <w:r w:rsidRPr="0006568D">
        <w:rPr>
          <w:rFonts w:eastAsia="MS Mincho"/>
          <w:lang w:bidi="ar-SA"/>
        </w:rPr>
        <w:t>tourism sector has grown rapidly</w:t>
      </w:r>
      <w:r w:rsidR="00FB4D90">
        <w:rPr>
          <w:rFonts w:eastAsia="MS Mincho"/>
          <w:lang w:bidi="ar-SA"/>
        </w:rPr>
        <w:t xml:space="preserve"> in recent years</w:t>
      </w:r>
      <w:r w:rsidR="00004D4F">
        <w:rPr>
          <w:rFonts w:eastAsia="MS Mincho"/>
          <w:lang w:bidi="ar-SA"/>
        </w:rPr>
        <w:t>;</w:t>
      </w:r>
      <w:r w:rsidRPr="0006568D">
        <w:rPr>
          <w:rFonts w:eastAsia="MS Mincho"/>
          <w:lang w:bidi="ar-SA"/>
        </w:rPr>
        <w:t xml:space="preserve"> </w:t>
      </w:r>
      <w:r w:rsidR="00004D4F">
        <w:rPr>
          <w:rFonts w:eastAsia="MS Mincho"/>
          <w:lang w:bidi="ar-SA"/>
        </w:rPr>
        <w:t xml:space="preserve">its </w:t>
      </w:r>
      <w:r w:rsidRPr="0006568D">
        <w:rPr>
          <w:rFonts w:eastAsia="MS Mincho"/>
          <w:lang w:bidi="ar-SA"/>
        </w:rPr>
        <w:t xml:space="preserve">natural endowment and </w:t>
      </w:r>
      <w:r w:rsidR="00004D4F">
        <w:rPr>
          <w:rFonts w:eastAsia="MS Mincho"/>
          <w:lang w:bidi="ar-SA"/>
        </w:rPr>
        <w:t>rich cultural heritage is expected to fuel further growth</w:t>
      </w:r>
      <w:r w:rsidR="004F2B44">
        <w:rPr>
          <w:rFonts w:eastAsia="MS Mincho"/>
          <w:lang w:bidi="ar-SA"/>
        </w:rPr>
        <w:t xml:space="preserve">. </w:t>
      </w:r>
      <w:r w:rsidR="00004D4F">
        <w:rPr>
          <w:rFonts w:eastAsia="MS Mincho"/>
          <w:lang w:bidi="ar-SA"/>
        </w:rPr>
        <w:t>I</w:t>
      </w:r>
      <w:r w:rsidRPr="0006568D">
        <w:rPr>
          <w:rFonts w:eastAsia="MS Mincho"/>
          <w:lang w:bidi="ar-SA"/>
        </w:rPr>
        <w:t xml:space="preserve">mproved transport services </w:t>
      </w:r>
      <w:r w:rsidR="00004D4F">
        <w:rPr>
          <w:rFonts w:eastAsia="MS Mincho"/>
          <w:lang w:bidi="ar-SA"/>
        </w:rPr>
        <w:t xml:space="preserve">are </w:t>
      </w:r>
      <w:r w:rsidRPr="0006568D">
        <w:rPr>
          <w:rFonts w:eastAsia="MS Mincho"/>
          <w:lang w:bidi="ar-SA"/>
        </w:rPr>
        <w:t xml:space="preserve">critical </w:t>
      </w:r>
      <w:r w:rsidR="00004D4F">
        <w:rPr>
          <w:rFonts w:eastAsia="MS Mincho"/>
          <w:lang w:bidi="ar-SA"/>
        </w:rPr>
        <w:t xml:space="preserve">to </w:t>
      </w:r>
      <w:r w:rsidRPr="0006568D">
        <w:rPr>
          <w:rFonts w:eastAsia="MS Mincho"/>
          <w:lang w:bidi="ar-SA"/>
        </w:rPr>
        <w:t xml:space="preserve">these sectors. </w:t>
      </w:r>
      <w:r w:rsidR="00004D4F">
        <w:rPr>
          <w:rFonts w:eastAsia="MS Mincho"/>
          <w:lang w:bidi="ar-SA"/>
        </w:rPr>
        <w:t xml:space="preserve">Better </w:t>
      </w:r>
      <w:r w:rsidRPr="0006568D">
        <w:rPr>
          <w:rFonts w:eastAsia="MS Mincho"/>
          <w:lang w:bidi="ar-SA"/>
        </w:rPr>
        <w:t xml:space="preserve">transport infrastructure and services would: (i) </w:t>
      </w:r>
      <w:r w:rsidR="00004D4F">
        <w:rPr>
          <w:rFonts w:eastAsia="MS Mincho"/>
          <w:lang w:bidi="ar-SA"/>
        </w:rPr>
        <w:t>strengthen</w:t>
      </w:r>
      <w:r w:rsidRPr="0006568D">
        <w:rPr>
          <w:rFonts w:eastAsia="MS Mincho"/>
          <w:lang w:bidi="ar-SA"/>
        </w:rPr>
        <w:t xml:space="preserve"> the competitiveness of Georgian goods; (ii) lower prices for Georgian consumers; (iii) strengthen Georgia’s position as an international transshipment country for the region; (iv) improve access to tourism destinations; (v) improve regional integration; and (vi) enhance rural communities’ access to markets and social services.</w:t>
      </w:r>
    </w:p>
    <w:p w:rsidR="0006568D" w:rsidRPr="0006568D" w:rsidRDefault="0006568D" w:rsidP="00A85E9D">
      <w:pPr>
        <w:spacing w:before="360" w:after="180"/>
        <w:jc w:val="center"/>
        <w:rPr>
          <w:rFonts w:eastAsia="MS Mincho"/>
          <w:sz w:val="24"/>
          <w:szCs w:val="24"/>
          <w:lang w:bidi="ar-SA"/>
        </w:rPr>
      </w:pPr>
      <w:r w:rsidRPr="0006568D">
        <w:rPr>
          <w:rFonts w:eastAsia="MS Mincho"/>
          <w:b/>
          <w:sz w:val="24"/>
          <w:szCs w:val="24"/>
          <w:lang w:bidi="ar-SA"/>
        </w:rPr>
        <w:t xml:space="preserve">Proposed </w:t>
      </w:r>
      <w:r w:rsidR="004F2B44">
        <w:rPr>
          <w:rFonts w:eastAsia="MS Mincho"/>
          <w:b/>
          <w:sz w:val="24"/>
          <w:szCs w:val="24"/>
          <w:lang w:bidi="ar-SA"/>
        </w:rPr>
        <w:t xml:space="preserve">Policy </w:t>
      </w:r>
      <w:r w:rsidRPr="0006568D">
        <w:rPr>
          <w:rFonts w:eastAsia="MS Mincho"/>
          <w:b/>
          <w:sz w:val="24"/>
          <w:szCs w:val="24"/>
          <w:lang w:bidi="ar-SA"/>
        </w:rPr>
        <w:t>Framework for Greening Transportation</w:t>
      </w:r>
    </w:p>
    <w:p w:rsidR="0006568D" w:rsidRPr="0006568D" w:rsidRDefault="0006568D" w:rsidP="000A117E">
      <w:pPr>
        <w:rPr>
          <w:rFonts w:eastAsia="MS Mincho"/>
          <w:bCs/>
          <w:lang w:bidi="ar-SA"/>
        </w:rPr>
      </w:pPr>
      <w:r w:rsidRPr="0006568D">
        <w:rPr>
          <w:rFonts w:eastAsia="MS Mincho"/>
          <w:b/>
          <w:i/>
          <w:lang w:bidi="ar-SA"/>
        </w:rPr>
        <w:t>Goal: Reduce transportation costs</w:t>
      </w:r>
      <w:r w:rsidRPr="004F2B44">
        <w:rPr>
          <w:rFonts w:eastAsia="MS Mincho"/>
          <w:lang w:bidi="ar-SA"/>
        </w:rPr>
        <w:t xml:space="preserve">. </w:t>
      </w:r>
      <w:r w:rsidRPr="0006568D">
        <w:rPr>
          <w:rFonts w:eastAsia="MS Mincho"/>
          <w:bCs/>
          <w:lang w:bidi="ar-SA"/>
        </w:rPr>
        <w:t xml:space="preserve">The primary goal of a green transport policy framework </w:t>
      </w:r>
      <w:r w:rsidR="008D51E5">
        <w:rPr>
          <w:rFonts w:eastAsia="MS Mincho"/>
          <w:bCs/>
          <w:lang w:bidi="ar-SA"/>
        </w:rPr>
        <w:t>would be</w:t>
      </w:r>
      <w:r w:rsidR="008D51E5" w:rsidRPr="0006568D">
        <w:rPr>
          <w:rFonts w:eastAsia="MS Mincho"/>
          <w:bCs/>
          <w:lang w:bidi="ar-SA"/>
        </w:rPr>
        <w:t xml:space="preserve"> </w:t>
      </w:r>
      <w:r w:rsidRPr="0006568D">
        <w:rPr>
          <w:rFonts w:eastAsia="MS Mincho"/>
          <w:bCs/>
          <w:lang w:bidi="ar-SA"/>
        </w:rPr>
        <w:t>to reduce the total cost of transportation including all direct and indirect costs, while maintaining total social welfare benefits.</w:t>
      </w:r>
      <w:r w:rsidRPr="0006568D">
        <w:rPr>
          <w:rFonts w:eastAsia="MS Mincho"/>
          <w:b/>
          <w:bCs/>
          <w:lang w:bidi="ar-SA"/>
        </w:rPr>
        <w:t xml:space="preserve"> </w:t>
      </w:r>
      <w:r w:rsidRPr="0006568D">
        <w:rPr>
          <w:rFonts w:eastAsia="MS Mincho"/>
          <w:bCs/>
          <w:lang w:bidi="ar-SA"/>
        </w:rPr>
        <w:t xml:space="preserve">Direct and indirect costs borne by private parties would be lowered through </w:t>
      </w:r>
      <w:r w:rsidR="008D51E5">
        <w:rPr>
          <w:rFonts w:eastAsia="MS Mincho"/>
          <w:bCs/>
          <w:lang w:bidi="ar-SA"/>
        </w:rPr>
        <w:t xml:space="preserve">improved infrastructure, and </w:t>
      </w:r>
      <w:r w:rsidRPr="0006568D">
        <w:rPr>
          <w:rFonts w:eastAsia="MS Mincho"/>
          <w:bCs/>
          <w:lang w:bidi="ar-SA"/>
        </w:rPr>
        <w:t>fair competition among modes and operators. Indirect costs, borne by society, would be reduced by mechanisms that internalize quantifiable external costs.</w:t>
      </w:r>
    </w:p>
    <w:p w:rsidR="0006568D" w:rsidRPr="0006568D" w:rsidRDefault="0006568D" w:rsidP="000A117E">
      <w:pPr>
        <w:rPr>
          <w:rFonts w:eastAsia="MS Mincho"/>
          <w:bCs/>
          <w:lang w:bidi="ar-SA"/>
        </w:rPr>
      </w:pPr>
      <w:r w:rsidRPr="0006568D">
        <w:rPr>
          <w:rFonts w:eastAsia="MS Mincho"/>
          <w:b/>
          <w:bCs/>
          <w:i/>
          <w:lang w:bidi="ar-SA"/>
        </w:rPr>
        <w:t xml:space="preserve">Principle: </w:t>
      </w:r>
      <w:r w:rsidR="004F2B44">
        <w:rPr>
          <w:rFonts w:eastAsia="MS Mincho"/>
          <w:b/>
          <w:bCs/>
          <w:i/>
          <w:lang w:bidi="ar-SA"/>
        </w:rPr>
        <w:t xml:space="preserve">Influence and Improve </w:t>
      </w:r>
      <w:r w:rsidRPr="0006568D">
        <w:rPr>
          <w:rFonts w:eastAsia="MS Mincho"/>
          <w:b/>
          <w:bCs/>
          <w:i/>
          <w:lang w:bidi="ar-SA"/>
        </w:rPr>
        <w:t>consumer choices</w:t>
      </w:r>
      <w:r w:rsidRPr="004F2B44">
        <w:rPr>
          <w:rFonts w:eastAsia="MS Mincho"/>
          <w:bCs/>
          <w:lang w:bidi="ar-SA"/>
        </w:rPr>
        <w:t xml:space="preserve">. </w:t>
      </w:r>
      <w:r w:rsidRPr="0006568D">
        <w:rPr>
          <w:rFonts w:eastAsia="MS Mincho"/>
          <w:bCs/>
          <w:lang w:bidi="ar-SA"/>
        </w:rPr>
        <w:t>At the heart of green transportation is consumer choice about whether to move, when to move, which route to take, which mode and vehicle to use and so forth. In the aggregate, transport user decisions establish the degree of green transportation</w:t>
      </w:r>
      <w:r w:rsidR="00004D4F">
        <w:rPr>
          <w:rFonts w:eastAsia="MS Mincho"/>
          <w:bCs/>
          <w:lang w:bidi="ar-SA"/>
        </w:rPr>
        <w:t xml:space="preserve">, which </w:t>
      </w:r>
      <w:r w:rsidRPr="0006568D">
        <w:rPr>
          <w:rFonts w:eastAsia="MS Mincho"/>
          <w:bCs/>
          <w:lang w:bidi="ar-SA"/>
        </w:rPr>
        <w:t xml:space="preserve">in turn affects </w:t>
      </w:r>
      <w:r w:rsidR="004C5EA5">
        <w:rPr>
          <w:rFonts w:eastAsia="MS Mincho"/>
          <w:bCs/>
          <w:lang w:bidi="ar-SA"/>
        </w:rPr>
        <w:t xml:space="preserve">levels of </w:t>
      </w:r>
      <w:r w:rsidRPr="0006568D">
        <w:rPr>
          <w:rFonts w:eastAsia="MS Mincho"/>
          <w:bCs/>
          <w:lang w:bidi="ar-SA"/>
        </w:rPr>
        <w:t xml:space="preserve">environmental </w:t>
      </w:r>
      <w:r w:rsidR="008D51E5">
        <w:rPr>
          <w:rFonts w:eastAsia="MS Mincho"/>
          <w:bCs/>
          <w:lang w:bidi="ar-SA"/>
        </w:rPr>
        <w:t>impact</w:t>
      </w:r>
      <w:r w:rsidR="008D51E5" w:rsidRPr="0006568D">
        <w:rPr>
          <w:rFonts w:eastAsia="MS Mincho"/>
          <w:bCs/>
          <w:lang w:bidi="ar-SA"/>
        </w:rPr>
        <w:t xml:space="preserve"> </w:t>
      </w:r>
      <w:r w:rsidRPr="0006568D">
        <w:rPr>
          <w:rFonts w:eastAsia="MS Mincho"/>
          <w:bCs/>
          <w:lang w:bidi="ar-SA"/>
        </w:rPr>
        <w:t xml:space="preserve">and economic development, national dependence on petroleum products, air pollution, transport costs, and labor productivity. </w:t>
      </w:r>
      <w:r w:rsidR="004C5EA5">
        <w:rPr>
          <w:rFonts w:eastAsia="MS Mincho"/>
          <w:bCs/>
          <w:lang w:bidi="ar-SA"/>
        </w:rPr>
        <w:t xml:space="preserve">Therefore Government needs to adopt policies that </w:t>
      </w:r>
      <w:r w:rsidRPr="0006568D">
        <w:rPr>
          <w:rFonts w:eastAsia="MS Mincho"/>
          <w:bCs/>
          <w:lang w:bidi="ar-SA"/>
        </w:rPr>
        <w:t xml:space="preserve">provide incentives </w:t>
      </w:r>
      <w:r w:rsidR="004C5EA5">
        <w:rPr>
          <w:rFonts w:eastAsia="MS Mincho"/>
          <w:bCs/>
          <w:lang w:bidi="ar-SA"/>
        </w:rPr>
        <w:t xml:space="preserve">for </w:t>
      </w:r>
      <w:r w:rsidRPr="0006568D">
        <w:rPr>
          <w:rFonts w:eastAsia="MS Mincho"/>
          <w:bCs/>
          <w:lang w:bidi="ar-SA"/>
        </w:rPr>
        <w:t>greener transportation</w:t>
      </w:r>
      <w:r w:rsidR="004F2B44">
        <w:rPr>
          <w:rFonts w:eastAsia="MS Mincho"/>
          <w:bCs/>
          <w:lang w:bidi="ar-SA"/>
        </w:rPr>
        <w:t xml:space="preserve"> and improve options available to consumers</w:t>
      </w:r>
      <w:r w:rsidRPr="0006568D">
        <w:rPr>
          <w:rFonts w:eastAsia="MS Mincho"/>
          <w:bCs/>
          <w:lang w:bidi="ar-SA"/>
        </w:rPr>
        <w:t xml:space="preserve">. Georgia has made significant progress toward a market economy, and greening policy measures should </w:t>
      </w:r>
      <w:r w:rsidRPr="004F2B44">
        <w:rPr>
          <w:rFonts w:eastAsia="MS Mincho"/>
          <w:bCs/>
          <w:lang w:bidi="ar-SA"/>
        </w:rPr>
        <w:t>not undermine the market economy.</w:t>
      </w:r>
    </w:p>
    <w:p w:rsidR="0006568D" w:rsidRPr="0006568D" w:rsidRDefault="0006568D" w:rsidP="000A117E">
      <w:pPr>
        <w:rPr>
          <w:rFonts w:eastAsia="MS Mincho"/>
          <w:lang w:bidi="ar-SA"/>
        </w:rPr>
      </w:pPr>
      <w:bookmarkStart w:id="6" w:name="_Toc324806271"/>
      <w:r w:rsidRPr="0006568D">
        <w:rPr>
          <w:rFonts w:eastAsia="MS Mincho"/>
          <w:b/>
          <w:i/>
          <w:lang w:bidi="ar-SA"/>
        </w:rPr>
        <w:t>Instruments</w:t>
      </w:r>
      <w:r w:rsidRPr="0006568D">
        <w:rPr>
          <w:rFonts w:eastAsia="MS Mincho"/>
          <w:lang w:bidi="ar-SA"/>
        </w:rPr>
        <w:t xml:space="preserve">.  </w:t>
      </w:r>
      <w:r w:rsidR="000A117E">
        <w:rPr>
          <w:rFonts w:eastAsia="MS Mincho"/>
          <w:lang w:bidi="ar-SA"/>
        </w:rPr>
        <w:t>Various instruments, i</w:t>
      </w:r>
      <w:r w:rsidRPr="0006568D">
        <w:rPr>
          <w:rFonts w:eastAsia="MS Mincho"/>
          <w:lang w:bidi="ar-SA"/>
        </w:rPr>
        <w:t>nstitutions and planning, regulations and enforcement, fiscal policy and pricing, and investments need to be balanced to achieve the following six policy objectives:</w:t>
      </w:r>
      <w:bookmarkEnd w:id="6"/>
    </w:p>
    <w:p w:rsidR="00604963" w:rsidRDefault="0006568D" w:rsidP="00197EC3">
      <w:pPr>
        <w:numPr>
          <w:ilvl w:val="0"/>
          <w:numId w:val="17"/>
        </w:numPr>
        <w:tabs>
          <w:tab w:val="left" w:pos="360"/>
        </w:tabs>
        <w:ind w:left="0" w:firstLine="0"/>
        <w:rPr>
          <w:rFonts w:eastAsia="MS Mincho"/>
          <w:lang w:bidi="ar-SA"/>
        </w:rPr>
      </w:pPr>
      <w:bookmarkStart w:id="7" w:name="_Toc324806273"/>
      <w:r w:rsidRPr="00604963">
        <w:rPr>
          <w:rFonts w:eastAsia="MS Mincho"/>
          <w:b/>
          <w:i/>
          <w:lang w:bidi="ar-SA"/>
        </w:rPr>
        <w:t xml:space="preserve">Integrate </w:t>
      </w:r>
      <w:r w:rsidR="004C5EA5" w:rsidRPr="00604963">
        <w:rPr>
          <w:rFonts w:eastAsia="MS Mincho"/>
          <w:b/>
          <w:i/>
          <w:lang w:bidi="ar-SA"/>
        </w:rPr>
        <w:t>environmental concerns into transport policy</w:t>
      </w:r>
      <w:bookmarkEnd w:id="7"/>
      <w:r w:rsidRPr="00604963">
        <w:rPr>
          <w:rFonts w:eastAsia="MS Mincho"/>
          <w:lang w:bidi="ar-SA"/>
        </w:rPr>
        <w:t xml:space="preserve">. Although road transport is the major contributor to air pollution, Georgia’s environmental objectives are not yet reflected in transport policies and the existing regulatory framework is not enforced. Government aspires to </w:t>
      </w:r>
      <w:r w:rsidR="00BD3CD4" w:rsidRPr="00604963">
        <w:rPr>
          <w:rFonts w:eastAsia="MS Mincho"/>
          <w:lang w:bidi="ar-SA"/>
        </w:rPr>
        <w:t xml:space="preserve">achieve </w:t>
      </w:r>
      <w:r w:rsidRPr="00604963">
        <w:rPr>
          <w:rFonts w:eastAsia="MS Mincho"/>
          <w:lang w:bidi="ar-SA"/>
        </w:rPr>
        <w:t xml:space="preserve">green transportation but </w:t>
      </w:r>
      <w:r w:rsidR="004C5EA5" w:rsidRPr="00604963">
        <w:rPr>
          <w:rFonts w:eastAsia="MS Mincho"/>
          <w:lang w:bidi="ar-SA"/>
        </w:rPr>
        <w:t xml:space="preserve">Georgia’s </w:t>
      </w:r>
      <w:r w:rsidRPr="00604963">
        <w:rPr>
          <w:rFonts w:eastAsia="MS Mincho"/>
          <w:lang w:bidi="ar-SA"/>
        </w:rPr>
        <w:t xml:space="preserve">existing transport policy </w:t>
      </w:r>
      <w:r w:rsidR="004C5EA5" w:rsidRPr="00604963">
        <w:rPr>
          <w:rFonts w:eastAsia="MS Mincho"/>
          <w:lang w:bidi="ar-SA"/>
        </w:rPr>
        <w:t xml:space="preserve">fails to acknowledge </w:t>
      </w:r>
      <w:r w:rsidRPr="00604963">
        <w:rPr>
          <w:rFonts w:eastAsia="MS Mincho"/>
          <w:lang w:bidi="ar-SA"/>
        </w:rPr>
        <w:t xml:space="preserve">the growing </w:t>
      </w:r>
      <w:r w:rsidR="004C5EA5" w:rsidRPr="00604963">
        <w:rPr>
          <w:rFonts w:eastAsia="MS Mincho"/>
          <w:lang w:bidi="ar-SA"/>
        </w:rPr>
        <w:t xml:space="preserve">environmental damage inflicted by the </w:t>
      </w:r>
      <w:r w:rsidRPr="00604963">
        <w:rPr>
          <w:rFonts w:eastAsia="MS Mincho"/>
          <w:lang w:bidi="ar-SA"/>
        </w:rPr>
        <w:t>transport sector</w:t>
      </w:r>
      <w:r w:rsidR="004C5EA5" w:rsidRPr="00604963">
        <w:rPr>
          <w:rFonts w:eastAsia="MS Mincho"/>
          <w:lang w:bidi="ar-SA"/>
        </w:rPr>
        <w:t>.</w:t>
      </w:r>
      <w:r w:rsidRPr="00604963">
        <w:rPr>
          <w:rFonts w:eastAsia="MS Mincho"/>
          <w:lang w:bidi="ar-SA"/>
        </w:rPr>
        <w:t xml:space="preserve"> An integrated transport policy should specify air pollution reduction as an objective and set achievable target emission levels. Inter-ministerial collaboration is critical to share data, </w:t>
      </w:r>
      <w:r w:rsidR="00044400" w:rsidRPr="00604963">
        <w:rPr>
          <w:rFonts w:eastAsia="MS Mincho"/>
          <w:lang w:bidi="ar-SA"/>
        </w:rPr>
        <w:t xml:space="preserve">exchange </w:t>
      </w:r>
      <w:r w:rsidRPr="00604963">
        <w:rPr>
          <w:rFonts w:eastAsia="MS Mincho"/>
          <w:lang w:bidi="ar-SA"/>
        </w:rPr>
        <w:t xml:space="preserve">knowledge, </w:t>
      </w:r>
      <w:r w:rsidR="00044400" w:rsidRPr="00604963">
        <w:rPr>
          <w:rFonts w:eastAsia="MS Mincho"/>
          <w:lang w:bidi="ar-SA"/>
        </w:rPr>
        <w:t>make and implement policies.</w:t>
      </w:r>
      <w:bookmarkStart w:id="8" w:name="_Toc324806274"/>
    </w:p>
    <w:p w:rsidR="0006568D" w:rsidRPr="0006568D" w:rsidRDefault="00604963" w:rsidP="00197EC3">
      <w:pPr>
        <w:numPr>
          <w:ilvl w:val="0"/>
          <w:numId w:val="17"/>
        </w:numPr>
        <w:tabs>
          <w:tab w:val="left" w:pos="360"/>
        </w:tabs>
        <w:ind w:left="0" w:firstLine="0"/>
        <w:rPr>
          <w:rFonts w:eastAsia="MS Mincho"/>
          <w:lang w:bidi="ar-SA"/>
        </w:rPr>
      </w:pPr>
      <w:r w:rsidRPr="00604963">
        <w:rPr>
          <w:rFonts w:eastAsia="MS Mincho"/>
          <w:b/>
          <w:i/>
          <w:lang w:bidi="ar-SA"/>
        </w:rPr>
        <w:t xml:space="preserve"> </w:t>
      </w:r>
      <w:r w:rsidR="0006568D" w:rsidRPr="00604963">
        <w:rPr>
          <w:rFonts w:eastAsia="MS Mincho"/>
          <w:b/>
          <w:i/>
          <w:lang w:bidi="ar-SA"/>
        </w:rPr>
        <w:t xml:space="preserve">Achieve and maintain a </w:t>
      </w:r>
      <w:bookmarkEnd w:id="8"/>
      <w:r w:rsidR="0006568D" w:rsidRPr="00604963">
        <w:rPr>
          <w:rFonts w:eastAsia="MS Mincho"/>
          <w:b/>
          <w:i/>
          <w:lang w:bidi="ar-SA"/>
        </w:rPr>
        <w:t>greener vehicle fleet</w:t>
      </w:r>
      <w:r w:rsidR="0006568D" w:rsidRPr="00604963">
        <w:rPr>
          <w:rFonts w:eastAsia="MS Mincho"/>
          <w:lang w:bidi="ar-SA"/>
        </w:rPr>
        <w:t xml:space="preserve">. A growing influx of older vehicles coupled with rising demand for private cars is </w:t>
      </w:r>
      <w:r w:rsidR="004C5EA5" w:rsidRPr="00604963">
        <w:rPr>
          <w:rFonts w:eastAsia="MS Mincho"/>
          <w:lang w:bidi="ar-SA"/>
        </w:rPr>
        <w:t>causing</w:t>
      </w:r>
      <w:r w:rsidR="0006568D" w:rsidRPr="00604963">
        <w:rPr>
          <w:rFonts w:eastAsia="MS Mincho"/>
          <w:lang w:bidi="ar-SA"/>
        </w:rPr>
        <w:t xml:space="preserve"> rapid deterioration</w:t>
      </w:r>
      <w:r w:rsidR="004C5EA5" w:rsidRPr="00604963">
        <w:rPr>
          <w:rFonts w:eastAsia="MS Mincho"/>
          <w:lang w:bidi="ar-SA"/>
        </w:rPr>
        <w:t xml:space="preserve"> of air quality</w:t>
      </w:r>
      <w:r w:rsidR="0006568D" w:rsidRPr="00604963">
        <w:rPr>
          <w:rFonts w:eastAsia="MS Mincho"/>
          <w:lang w:bidi="ar-SA"/>
        </w:rPr>
        <w:t>.</w:t>
      </w:r>
      <w:bookmarkStart w:id="9" w:name="_Toc324806275"/>
      <w:r w:rsidR="0006568D" w:rsidRPr="00604963">
        <w:rPr>
          <w:rFonts w:eastAsia="MS Mincho"/>
          <w:lang w:bidi="ar-SA"/>
        </w:rPr>
        <w:t xml:space="preserve"> As a time-bound policy, Government can </w:t>
      </w:r>
      <w:r>
        <w:rPr>
          <w:rFonts w:eastAsia="MS Mincho"/>
          <w:lang w:bidi="ar-SA"/>
        </w:rPr>
        <w:t xml:space="preserve">consider various fiscal measures, including </w:t>
      </w:r>
      <w:r w:rsidR="0006568D" w:rsidRPr="00604963">
        <w:rPr>
          <w:rFonts w:eastAsia="MS Mincho"/>
          <w:lang w:bidi="ar-SA"/>
        </w:rPr>
        <w:t>a vehicle scrapping</w:t>
      </w:r>
      <w:r>
        <w:rPr>
          <w:rFonts w:eastAsia="MS Mincho"/>
          <w:lang w:bidi="ar-SA"/>
        </w:rPr>
        <w:t>-</w:t>
      </w:r>
      <w:r w:rsidR="0006568D" w:rsidRPr="00604963">
        <w:rPr>
          <w:rFonts w:eastAsia="MS Mincho"/>
          <w:lang w:bidi="ar-SA"/>
        </w:rPr>
        <w:t>and</w:t>
      </w:r>
      <w:r>
        <w:rPr>
          <w:rFonts w:eastAsia="MS Mincho"/>
          <w:lang w:bidi="ar-SA"/>
        </w:rPr>
        <w:t>-</w:t>
      </w:r>
      <w:r w:rsidR="0006568D" w:rsidRPr="00604963">
        <w:rPr>
          <w:rFonts w:eastAsia="MS Mincho"/>
          <w:lang w:bidi="ar-SA"/>
        </w:rPr>
        <w:t xml:space="preserve">recycling program, </w:t>
      </w:r>
      <w:r>
        <w:rPr>
          <w:rFonts w:eastAsia="MS Mincho"/>
          <w:lang w:bidi="ar-SA"/>
        </w:rPr>
        <w:t xml:space="preserve">vehicle retrofitting program, and other financial incentives for use of cleaner vehicles. Also importantly, </w:t>
      </w:r>
      <w:r>
        <w:rPr>
          <w:rFonts w:eastAsia="MS Mincho"/>
          <w:lang w:bidi="ar-SA"/>
        </w:rPr>
        <w:lastRenderedPageBreak/>
        <w:t>current v</w:t>
      </w:r>
      <w:r w:rsidR="0006568D" w:rsidRPr="00604963">
        <w:rPr>
          <w:rFonts w:eastAsia="MS Mincho"/>
          <w:lang w:bidi="ar-SA"/>
        </w:rPr>
        <w:t xml:space="preserve">ehicle inspection </w:t>
      </w:r>
      <w:r>
        <w:rPr>
          <w:rFonts w:eastAsia="MS Mincho"/>
          <w:lang w:bidi="ar-SA"/>
        </w:rPr>
        <w:t>that is limited to operators that provide international transport services needs to be expanded to other commercial operators</w:t>
      </w:r>
      <w:r w:rsidR="0006568D" w:rsidRPr="00604963">
        <w:rPr>
          <w:rFonts w:eastAsia="MS Mincho"/>
          <w:lang w:bidi="ar-SA"/>
        </w:rPr>
        <w:t>.</w:t>
      </w:r>
      <w:r>
        <w:rPr>
          <w:rFonts w:eastAsia="MS Mincho"/>
          <w:lang w:bidi="ar-SA"/>
        </w:rPr>
        <w:t xml:space="preserve">  Enforcement capacity needs to be strengthened.</w:t>
      </w:r>
    </w:p>
    <w:p w:rsidR="0006568D" w:rsidRPr="00604963" w:rsidRDefault="00071B36" w:rsidP="00071B36">
      <w:pPr>
        <w:numPr>
          <w:ilvl w:val="0"/>
          <w:numId w:val="17"/>
        </w:numPr>
        <w:tabs>
          <w:tab w:val="left" w:pos="360"/>
        </w:tabs>
        <w:ind w:left="0" w:firstLine="0"/>
        <w:rPr>
          <w:rFonts w:eastAsia="MS Mincho"/>
          <w:lang w:bidi="ar-SA"/>
        </w:rPr>
      </w:pPr>
      <w:r w:rsidRPr="00604963">
        <w:rPr>
          <w:rFonts w:eastAsia="MS Mincho"/>
          <w:b/>
          <w:i/>
          <w:lang w:bidi="ar-SA"/>
        </w:rPr>
        <w:t>Promote Low Emission Freight Transport Modes</w:t>
      </w:r>
      <w:bookmarkEnd w:id="9"/>
      <w:r w:rsidR="0006568D" w:rsidRPr="00604963">
        <w:rPr>
          <w:rFonts w:eastAsia="MS Mincho"/>
          <w:lang w:bidi="ar-SA"/>
        </w:rPr>
        <w:t xml:space="preserve">. Georgia needs to develop a comprehensive transport policy </w:t>
      </w:r>
      <w:r w:rsidR="00604963" w:rsidRPr="00604963">
        <w:rPr>
          <w:rFonts w:eastAsia="MS Mincho"/>
          <w:lang w:bidi="ar-SA"/>
        </w:rPr>
        <w:t xml:space="preserve">to promote low emission freight transport modes, </w:t>
      </w:r>
      <w:r w:rsidR="00604963">
        <w:rPr>
          <w:rFonts w:eastAsia="MS Mincho"/>
          <w:lang w:bidi="ar-SA"/>
        </w:rPr>
        <w:t xml:space="preserve">particularly </w:t>
      </w:r>
      <w:r w:rsidR="00604963" w:rsidRPr="00604963">
        <w:rPr>
          <w:rFonts w:eastAsia="MS Mincho"/>
          <w:lang w:bidi="ar-SA"/>
        </w:rPr>
        <w:t xml:space="preserve">rail transport, through </w:t>
      </w:r>
      <w:r w:rsidR="0006568D" w:rsidRPr="00604963">
        <w:rPr>
          <w:rFonts w:eastAsia="MS Mincho"/>
          <w:lang w:bidi="ar-SA"/>
        </w:rPr>
        <w:t>improved inter</w:t>
      </w:r>
      <w:r w:rsidR="00604963">
        <w:rPr>
          <w:rFonts w:eastAsia="MS Mincho"/>
          <w:lang w:bidi="ar-SA"/>
        </w:rPr>
        <w:t>modal connectivity</w:t>
      </w:r>
      <w:r w:rsidR="0006568D" w:rsidRPr="00604963">
        <w:rPr>
          <w:rFonts w:eastAsia="MS Mincho"/>
          <w:lang w:bidi="ar-SA"/>
        </w:rPr>
        <w:t xml:space="preserve"> and international collaboration with key trading partners and neighboring countries. This requires a national transport strategy</w:t>
      </w:r>
      <w:r w:rsidR="00044400" w:rsidRPr="00604963">
        <w:rPr>
          <w:rFonts w:eastAsia="MS Mincho"/>
          <w:lang w:bidi="ar-SA"/>
        </w:rPr>
        <w:t xml:space="preserve">, </w:t>
      </w:r>
      <w:r w:rsidR="0006568D" w:rsidRPr="00604963">
        <w:rPr>
          <w:rFonts w:eastAsia="MS Mincho"/>
          <w:lang w:bidi="ar-SA"/>
        </w:rPr>
        <w:t>investment programs that coordinate all modes, and a strategic vision to improve intermodal connectivity and lower overall transportation costs and harm</w:t>
      </w:r>
      <w:bookmarkStart w:id="10" w:name="_Toc324806276"/>
      <w:r w:rsidR="00604963">
        <w:rPr>
          <w:rFonts w:eastAsia="MS Mincho"/>
          <w:lang w:bidi="ar-SA"/>
        </w:rPr>
        <w:t>ful effects on the environment. High priority investments include rail-road transshipment facilities, port development, and container handling facilities.</w:t>
      </w:r>
    </w:p>
    <w:p w:rsidR="0006568D" w:rsidRPr="0006568D" w:rsidRDefault="0006568D" w:rsidP="00197EC3">
      <w:pPr>
        <w:numPr>
          <w:ilvl w:val="0"/>
          <w:numId w:val="17"/>
        </w:numPr>
        <w:tabs>
          <w:tab w:val="left" w:pos="360"/>
        </w:tabs>
        <w:ind w:left="0" w:firstLine="0"/>
        <w:rPr>
          <w:rFonts w:eastAsia="MS Mincho"/>
          <w:lang w:bidi="ar-SA"/>
        </w:rPr>
      </w:pPr>
      <w:r w:rsidRPr="0006568D">
        <w:rPr>
          <w:rFonts w:eastAsia="MS Mincho"/>
          <w:b/>
          <w:i/>
          <w:lang w:bidi="ar-SA"/>
        </w:rPr>
        <w:t>Support commercial development of intercity passenger transport services</w:t>
      </w:r>
      <w:bookmarkEnd w:id="10"/>
      <w:r w:rsidRPr="004F2B44">
        <w:rPr>
          <w:rFonts w:eastAsia="MS Mincho"/>
          <w:i/>
          <w:lang w:bidi="ar-SA"/>
        </w:rPr>
        <w:t xml:space="preserve">. </w:t>
      </w:r>
      <w:r w:rsidRPr="0006568D">
        <w:rPr>
          <w:rFonts w:eastAsia="MS Mincho"/>
          <w:lang w:bidi="ar-SA"/>
        </w:rPr>
        <w:t>The</w:t>
      </w:r>
      <w:r w:rsidRPr="0006568D">
        <w:rPr>
          <w:rFonts w:eastAsia="MS Mincho"/>
          <w:i/>
          <w:lang w:bidi="ar-SA"/>
        </w:rPr>
        <w:t xml:space="preserve"> </w:t>
      </w:r>
      <w:r w:rsidRPr="0006568D">
        <w:rPr>
          <w:rFonts w:eastAsia="MS Mincho"/>
          <w:lang w:bidi="ar-SA"/>
        </w:rPr>
        <w:t>under-regulated and under-developed intercity passenger transport market is fragmented</w:t>
      </w:r>
      <w:r w:rsidR="004C5EA5">
        <w:rPr>
          <w:rFonts w:eastAsia="MS Mincho"/>
          <w:lang w:bidi="ar-SA"/>
        </w:rPr>
        <w:t>;</w:t>
      </w:r>
      <w:r w:rsidRPr="0006568D">
        <w:rPr>
          <w:rFonts w:eastAsia="MS Mincho"/>
          <w:lang w:bidi="ar-SA"/>
        </w:rPr>
        <w:t xml:space="preserve"> transport services are irregular and unattractive </w:t>
      </w:r>
      <w:r w:rsidR="004C5EA5">
        <w:rPr>
          <w:rFonts w:eastAsia="MS Mincho"/>
          <w:lang w:bidi="ar-SA"/>
        </w:rPr>
        <w:t>to</w:t>
      </w:r>
      <w:r w:rsidRPr="0006568D">
        <w:rPr>
          <w:rFonts w:eastAsia="MS Mincho"/>
          <w:lang w:bidi="ar-SA"/>
        </w:rPr>
        <w:t xml:space="preserve"> consumers, and </w:t>
      </w:r>
      <w:r w:rsidR="004C5EA5">
        <w:rPr>
          <w:rFonts w:eastAsia="MS Mincho"/>
          <w:lang w:bidi="ar-SA"/>
        </w:rPr>
        <w:t xml:space="preserve">because </w:t>
      </w:r>
      <w:r w:rsidRPr="0006568D">
        <w:rPr>
          <w:rFonts w:eastAsia="MS Mincho"/>
          <w:lang w:bidi="ar-SA"/>
        </w:rPr>
        <w:t>technical inspections are rare</w:t>
      </w:r>
      <w:r w:rsidR="004C5EA5">
        <w:rPr>
          <w:rFonts w:eastAsia="MS Mincho"/>
          <w:lang w:bidi="ar-SA"/>
        </w:rPr>
        <w:t>,</w:t>
      </w:r>
      <w:r w:rsidRPr="0006568D">
        <w:rPr>
          <w:rFonts w:eastAsia="MS Mincho"/>
          <w:lang w:bidi="ar-SA"/>
        </w:rPr>
        <w:t xml:space="preserve"> vehicle </w:t>
      </w:r>
      <w:r w:rsidR="00604963">
        <w:rPr>
          <w:rFonts w:eastAsia="MS Mincho"/>
          <w:lang w:bidi="ar-SA"/>
        </w:rPr>
        <w:t>condition</w:t>
      </w:r>
      <w:r w:rsidR="00E20285">
        <w:rPr>
          <w:rFonts w:eastAsia="MS Mincho"/>
          <w:lang w:bidi="ar-SA"/>
        </w:rPr>
        <w:t xml:space="preserve"> is poor</w:t>
      </w:r>
      <w:r w:rsidRPr="0006568D">
        <w:rPr>
          <w:rFonts w:eastAsia="MS Mincho"/>
          <w:lang w:bidi="ar-SA"/>
        </w:rPr>
        <w:t xml:space="preserve">. Georgia </w:t>
      </w:r>
      <w:r w:rsidR="00D01E75">
        <w:rPr>
          <w:rFonts w:eastAsia="MS Mincho"/>
          <w:lang w:bidi="ar-SA"/>
        </w:rPr>
        <w:t xml:space="preserve">should introduce measures to </w:t>
      </w:r>
      <w:r w:rsidR="00234139">
        <w:rPr>
          <w:rFonts w:eastAsia="MS Mincho"/>
          <w:lang w:bidi="ar-SA"/>
        </w:rPr>
        <w:t xml:space="preserve">require operators of intercity bus services to </w:t>
      </w:r>
      <w:r w:rsidR="00D01E75">
        <w:rPr>
          <w:rFonts w:eastAsia="MS Mincho"/>
          <w:lang w:bidi="ar-SA"/>
        </w:rPr>
        <w:t xml:space="preserve">renew </w:t>
      </w:r>
      <w:r w:rsidR="00234139">
        <w:rPr>
          <w:rFonts w:eastAsia="MS Mincho"/>
          <w:lang w:bidi="ar-SA"/>
        </w:rPr>
        <w:t xml:space="preserve">and upgrade their </w:t>
      </w:r>
      <w:r w:rsidR="00D01E75">
        <w:rPr>
          <w:rFonts w:eastAsia="MS Mincho"/>
          <w:lang w:bidi="ar-SA"/>
        </w:rPr>
        <w:t xml:space="preserve">vehicle fleet and </w:t>
      </w:r>
      <w:r w:rsidRPr="0006568D">
        <w:rPr>
          <w:rFonts w:eastAsia="MS Mincho"/>
          <w:lang w:bidi="ar-SA"/>
        </w:rPr>
        <w:t xml:space="preserve">consolidate all intercity bus services </w:t>
      </w:r>
      <w:r w:rsidR="004C5EA5">
        <w:rPr>
          <w:rFonts w:eastAsia="MS Mincho"/>
          <w:lang w:bidi="ar-SA"/>
        </w:rPr>
        <w:t xml:space="preserve">in </w:t>
      </w:r>
      <w:r w:rsidRPr="0006568D">
        <w:rPr>
          <w:rFonts w:eastAsia="MS Mincho"/>
          <w:lang w:bidi="ar-SA"/>
        </w:rPr>
        <w:t>a</w:t>
      </w:r>
      <w:r w:rsidR="004C5EA5">
        <w:rPr>
          <w:rFonts w:eastAsia="MS Mincho"/>
          <w:lang w:bidi="ar-SA"/>
        </w:rPr>
        <w:t>n</w:t>
      </w:r>
      <w:r w:rsidRPr="0006568D">
        <w:rPr>
          <w:rFonts w:eastAsia="MS Mincho"/>
          <w:lang w:bidi="ar-SA"/>
        </w:rPr>
        <w:t xml:space="preserve"> </w:t>
      </w:r>
      <w:r w:rsidR="004C5EA5">
        <w:rPr>
          <w:rFonts w:eastAsia="MS Mincho"/>
          <w:lang w:bidi="ar-SA"/>
        </w:rPr>
        <w:t xml:space="preserve">integrated passenger information service, participation in which can be made a tool </w:t>
      </w:r>
      <w:r w:rsidR="00234139">
        <w:rPr>
          <w:rFonts w:eastAsia="MS Mincho"/>
          <w:lang w:bidi="ar-SA"/>
        </w:rPr>
        <w:t xml:space="preserve">to control </w:t>
      </w:r>
      <w:r w:rsidR="004C5EA5">
        <w:rPr>
          <w:rFonts w:eastAsia="MS Mincho"/>
          <w:lang w:bidi="ar-SA"/>
        </w:rPr>
        <w:t xml:space="preserve">market entry. </w:t>
      </w:r>
      <w:r w:rsidR="00234139">
        <w:rPr>
          <w:rFonts w:eastAsia="MS Mincho"/>
          <w:lang w:bidi="ar-SA"/>
        </w:rPr>
        <w:t xml:space="preserve">Government through the National </w:t>
      </w:r>
      <w:r w:rsidR="00234139" w:rsidRPr="0006568D">
        <w:rPr>
          <w:rFonts w:eastAsia="MS Mincho"/>
          <w:lang w:bidi="ar-SA"/>
        </w:rPr>
        <w:t>Tourism Agency</w:t>
      </w:r>
      <w:r w:rsidR="00234139">
        <w:rPr>
          <w:rFonts w:eastAsia="MS Mincho"/>
          <w:lang w:bidi="ar-SA"/>
        </w:rPr>
        <w:t xml:space="preserve"> and the Land Transport Agency could s</w:t>
      </w:r>
      <w:r w:rsidR="004C5EA5">
        <w:rPr>
          <w:rFonts w:eastAsia="MS Mincho"/>
          <w:lang w:bidi="ar-SA"/>
        </w:rPr>
        <w:t>elect strategic</w:t>
      </w:r>
      <w:r w:rsidRPr="0006568D">
        <w:rPr>
          <w:rFonts w:eastAsia="MS Mincho"/>
          <w:lang w:bidi="ar-SA"/>
        </w:rPr>
        <w:t xml:space="preserve"> </w:t>
      </w:r>
      <w:r w:rsidR="004C5EA5">
        <w:rPr>
          <w:rFonts w:eastAsia="MS Mincho"/>
          <w:lang w:bidi="ar-SA"/>
        </w:rPr>
        <w:t>r</w:t>
      </w:r>
      <w:r w:rsidR="00234139">
        <w:rPr>
          <w:rFonts w:eastAsia="MS Mincho"/>
          <w:lang w:bidi="ar-SA"/>
        </w:rPr>
        <w:t>outes and control and monitor</w:t>
      </w:r>
      <w:r w:rsidR="004C5EA5">
        <w:rPr>
          <w:rFonts w:eastAsia="MS Mincho"/>
          <w:lang w:bidi="ar-SA"/>
        </w:rPr>
        <w:t xml:space="preserve"> service quality</w:t>
      </w:r>
      <w:bookmarkStart w:id="11" w:name="_Toc324806277"/>
      <w:r w:rsidR="00234139">
        <w:rPr>
          <w:rFonts w:eastAsia="MS Mincho"/>
          <w:lang w:bidi="ar-SA"/>
        </w:rPr>
        <w:t xml:space="preserve"> on those routes</w:t>
      </w:r>
      <w:r w:rsidR="004C5EA5">
        <w:rPr>
          <w:rFonts w:eastAsia="MS Mincho"/>
          <w:lang w:bidi="ar-SA"/>
        </w:rPr>
        <w:t>.</w:t>
      </w:r>
    </w:p>
    <w:p w:rsidR="0006568D" w:rsidRPr="0006568D" w:rsidRDefault="0006568D" w:rsidP="00197EC3">
      <w:pPr>
        <w:numPr>
          <w:ilvl w:val="0"/>
          <w:numId w:val="17"/>
        </w:numPr>
        <w:tabs>
          <w:tab w:val="left" w:pos="360"/>
        </w:tabs>
        <w:ind w:left="0" w:firstLine="0"/>
        <w:rPr>
          <w:rFonts w:eastAsia="MS Mincho"/>
          <w:lang w:bidi="ar-SA"/>
        </w:rPr>
      </w:pPr>
      <w:r w:rsidRPr="0006568D">
        <w:rPr>
          <w:rFonts w:eastAsia="MS Mincho"/>
          <w:b/>
          <w:bCs/>
          <w:i/>
          <w:lang w:bidi="ar-SA"/>
        </w:rPr>
        <w:t>Transform minibuses and taxis into modern urban transport modes</w:t>
      </w:r>
      <w:bookmarkEnd w:id="11"/>
      <w:r w:rsidRPr="0006568D">
        <w:rPr>
          <w:rFonts w:eastAsia="MS Mincho"/>
          <w:bCs/>
          <w:lang w:bidi="ar-SA"/>
        </w:rPr>
        <w:t>.</w:t>
      </w:r>
      <w:r w:rsidRPr="0006568D">
        <w:rPr>
          <w:rFonts w:eastAsia="MS Mincho"/>
          <w:lang w:bidi="ar-SA"/>
        </w:rPr>
        <w:t xml:space="preserve"> Minibuses</w:t>
      </w:r>
      <w:r w:rsidRPr="0006568D">
        <w:rPr>
          <w:rFonts w:eastAsia="MS Mincho"/>
          <w:i/>
          <w:lang w:bidi="ar-SA"/>
        </w:rPr>
        <w:t xml:space="preserve"> </w:t>
      </w:r>
      <w:r w:rsidRPr="0006568D">
        <w:rPr>
          <w:rFonts w:eastAsia="MS Mincho"/>
          <w:lang w:bidi="ar-SA"/>
        </w:rPr>
        <w:t>are essential to the daily life of average Georgians but existing services are an inferior mode of transport lacking comfort, privacy and safety</w:t>
      </w:r>
      <w:r w:rsidR="00A466CA">
        <w:rPr>
          <w:rFonts w:eastAsia="MS Mincho"/>
          <w:lang w:bidi="ar-SA"/>
        </w:rPr>
        <w:t>,</w:t>
      </w:r>
      <w:r w:rsidRPr="0006568D">
        <w:rPr>
          <w:rFonts w:eastAsia="MS Mincho"/>
          <w:lang w:bidi="ar-SA"/>
        </w:rPr>
        <w:t xml:space="preserve"> </w:t>
      </w:r>
      <w:r w:rsidR="00234139">
        <w:rPr>
          <w:rFonts w:eastAsia="MS Mincho"/>
          <w:lang w:bidi="ar-SA"/>
        </w:rPr>
        <w:t xml:space="preserve">hence </w:t>
      </w:r>
      <w:r w:rsidR="00A466CA">
        <w:rPr>
          <w:rFonts w:eastAsia="MS Mincho"/>
          <w:lang w:bidi="ar-SA"/>
        </w:rPr>
        <w:t xml:space="preserve">are </w:t>
      </w:r>
      <w:r w:rsidRPr="0006568D">
        <w:rPr>
          <w:rFonts w:eastAsia="MS Mincho"/>
          <w:lang w:bidi="ar-SA"/>
        </w:rPr>
        <w:t xml:space="preserve">used by a captive clientele without other options. The taxi market is unregulated with respect to market entry, vehicle </w:t>
      </w:r>
      <w:r w:rsidR="006049B9">
        <w:rPr>
          <w:rFonts w:eastAsia="MS Mincho"/>
          <w:lang w:bidi="ar-SA"/>
        </w:rPr>
        <w:t xml:space="preserve">condition, </w:t>
      </w:r>
      <w:r w:rsidRPr="0006568D">
        <w:rPr>
          <w:rFonts w:eastAsia="MS Mincho"/>
          <w:lang w:bidi="ar-SA"/>
        </w:rPr>
        <w:t xml:space="preserve">service quality, and fares. Improving urban transport choices requires strategic planning toward a coherent multimodal public transport system, including </w:t>
      </w:r>
      <w:r w:rsidRPr="0006568D">
        <w:rPr>
          <w:rFonts w:eastAsia="MS Mincho"/>
          <w:lang w:eastAsia="ko-KR" w:bidi="ar-SA"/>
        </w:rPr>
        <w:t xml:space="preserve">legal </w:t>
      </w:r>
      <w:r w:rsidRPr="0006568D">
        <w:rPr>
          <w:rFonts w:eastAsia="MS Mincho"/>
          <w:lang w:bidi="ar-SA"/>
        </w:rPr>
        <w:t>and regulatory frameworks, competitive tendering</w:t>
      </w:r>
      <w:r w:rsidR="00E20285">
        <w:rPr>
          <w:rFonts w:eastAsia="MS Mincho"/>
          <w:lang w:bidi="ar-SA"/>
        </w:rPr>
        <w:t>,</w:t>
      </w:r>
      <w:r w:rsidRPr="0006568D">
        <w:rPr>
          <w:rFonts w:eastAsia="MS Mincho"/>
          <w:lang w:bidi="ar-SA"/>
        </w:rPr>
        <w:t xml:space="preserve"> and gross-cost based contracting. To lower </w:t>
      </w:r>
      <w:r w:rsidR="00A466CA">
        <w:rPr>
          <w:rFonts w:eastAsia="MS Mincho"/>
          <w:lang w:bidi="ar-SA"/>
        </w:rPr>
        <w:t xml:space="preserve">the costs of </w:t>
      </w:r>
      <w:r w:rsidRPr="0006568D">
        <w:rPr>
          <w:rFonts w:eastAsia="MS Mincho"/>
          <w:lang w:bidi="ar-SA"/>
        </w:rPr>
        <w:t>public transport services—including operating costs and externalities—while ensuring service quality, a legal framework should establish conditions for competition among service providers, including municipal companies and private sector participants.</w:t>
      </w:r>
      <w:bookmarkStart w:id="12" w:name="_Toc324806278"/>
    </w:p>
    <w:p w:rsidR="0006568D" w:rsidRPr="0006568D" w:rsidRDefault="0006568D" w:rsidP="00197EC3">
      <w:pPr>
        <w:numPr>
          <w:ilvl w:val="0"/>
          <w:numId w:val="17"/>
        </w:numPr>
        <w:tabs>
          <w:tab w:val="left" w:pos="360"/>
        </w:tabs>
        <w:ind w:left="0" w:firstLine="0"/>
        <w:rPr>
          <w:rFonts w:eastAsia="MS Mincho"/>
          <w:lang w:bidi="ar-SA"/>
        </w:rPr>
      </w:pPr>
      <w:r w:rsidRPr="0006568D">
        <w:rPr>
          <w:rFonts w:eastAsia="MS Mincho"/>
          <w:b/>
          <w:bCs/>
          <w:i/>
          <w:lang w:bidi="ar-SA"/>
        </w:rPr>
        <w:t>Support sustainable development of urban transport</w:t>
      </w:r>
      <w:bookmarkEnd w:id="12"/>
      <w:r w:rsidRPr="004F2B44">
        <w:rPr>
          <w:rFonts w:eastAsia="MS Mincho"/>
          <w:bCs/>
          <w:lang w:bidi="ar-SA"/>
        </w:rPr>
        <w:t>.</w:t>
      </w:r>
      <w:r w:rsidRPr="004F2B44">
        <w:rPr>
          <w:rFonts w:eastAsia="MS Mincho"/>
          <w:lang w:bidi="ar-SA"/>
        </w:rPr>
        <w:t xml:space="preserve"> </w:t>
      </w:r>
      <w:r w:rsidRPr="0006568D">
        <w:rPr>
          <w:rFonts w:eastAsia="MS Mincho"/>
          <w:lang w:bidi="ar-SA"/>
        </w:rPr>
        <w:t xml:space="preserve">The Georgian urban transport sector, particularly </w:t>
      </w:r>
      <w:r w:rsidR="00A466CA">
        <w:rPr>
          <w:rFonts w:eastAsia="MS Mincho"/>
          <w:lang w:bidi="ar-SA"/>
        </w:rPr>
        <w:t xml:space="preserve">in </w:t>
      </w:r>
      <w:r w:rsidRPr="0006568D">
        <w:rPr>
          <w:rFonts w:eastAsia="MS Mincho"/>
          <w:lang w:bidi="ar-SA"/>
        </w:rPr>
        <w:t xml:space="preserve">Tbilisi, consumes more energy per capita than many other cities in developed and developing countries. Building a sustainable urban transport system requires comprehensive planning </w:t>
      </w:r>
      <w:r w:rsidR="00A466CA">
        <w:rPr>
          <w:rFonts w:eastAsia="MS Mincho"/>
          <w:lang w:bidi="ar-SA"/>
        </w:rPr>
        <w:t>in addition to</w:t>
      </w:r>
      <w:r w:rsidR="00A466CA" w:rsidRPr="0006568D">
        <w:rPr>
          <w:rFonts w:eastAsia="MS Mincho"/>
          <w:lang w:bidi="ar-SA"/>
        </w:rPr>
        <w:t xml:space="preserve"> </w:t>
      </w:r>
      <w:r w:rsidRPr="0006568D">
        <w:rPr>
          <w:rFonts w:eastAsia="MS Mincho"/>
          <w:lang w:bidi="ar-SA"/>
        </w:rPr>
        <w:t>balanced and multi-modal transport infrastructure development driven by a long-term vision with a mix of fiscal incentives, regulatory policies and investment in multi-modal urban transport systems. Although municipal authorities are responsible for urban transport, Government can establish a national policy framework, legal and regulatory framework, and national technical standards. Government can facilitate knowledge-sharing and technical capacity building, and allocate budgetary resources to promote technological innovations and gener</w:t>
      </w:r>
      <w:r w:rsidR="004C5EA5">
        <w:rPr>
          <w:rFonts w:eastAsia="MS Mincho"/>
          <w:lang w:bidi="ar-SA"/>
        </w:rPr>
        <w:t>ation of national public goods.</w:t>
      </w:r>
    </w:p>
    <w:p w:rsidR="004C5EA5" w:rsidRDefault="004C5EA5">
      <w:pPr>
        <w:spacing w:after="200"/>
        <w:jc w:val="left"/>
        <w:rPr>
          <w:rFonts w:eastAsia="MS Mincho"/>
          <w:b/>
          <w:lang w:bidi="ar-SA"/>
        </w:rPr>
      </w:pPr>
      <w:bookmarkStart w:id="13" w:name="_Toc324902203"/>
      <w:r>
        <w:rPr>
          <w:rFonts w:eastAsia="MS Mincho"/>
          <w:b/>
          <w:lang w:bidi="ar-SA"/>
        </w:rPr>
        <w:br w:type="page"/>
      </w:r>
    </w:p>
    <w:p w:rsidR="0006568D" w:rsidRPr="0006568D" w:rsidRDefault="0006568D" w:rsidP="00D94AD6">
      <w:pPr>
        <w:spacing w:before="360" w:after="180"/>
        <w:jc w:val="center"/>
        <w:rPr>
          <w:rFonts w:eastAsia="MS Mincho"/>
          <w:b/>
          <w:lang w:bidi="ar-SA"/>
        </w:rPr>
      </w:pPr>
      <w:r w:rsidRPr="0006568D">
        <w:rPr>
          <w:rFonts w:eastAsia="MS Mincho"/>
          <w:b/>
          <w:lang w:bidi="ar-SA"/>
        </w:rPr>
        <w:lastRenderedPageBreak/>
        <w:t>Summary of the Proposed Green Transportation Policy Framework</w:t>
      </w:r>
      <w:bookmarkEnd w:id="13"/>
    </w:p>
    <w:tbl>
      <w:tblPr>
        <w:tblStyle w:val="MediumShading1-Accent31"/>
        <w:tblW w:w="10246" w:type="dxa"/>
        <w:jc w:val="center"/>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tblBorders>
        <w:tblCellMar>
          <w:top w:w="29" w:type="dxa"/>
          <w:left w:w="72" w:type="dxa"/>
          <w:bottom w:w="29" w:type="dxa"/>
          <w:right w:w="72" w:type="dxa"/>
        </w:tblCellMar>
        <w:tblLook w:val="04A0"/>
      </w:tblPr>
      <w:tblGrid>
        <w:gridCol w:w="2437"/>
        <w:gridCol w:w="2834"/>
        <w:gridCol w:w="2494"/>
        <w:gridCol w:w="2481"/>
      </w:tblGrid>
      <w:tr w:rsidR="00DA10D2" w:rsidRPr="00254B4B" w:rsidTr="00DA10D2">
        <w:trPr>
          <w:cnfStyle w:val="100000000000"/>
          <w:jc w:val="center"/>
        </w:trPr>
        <w:tc>
          <w:tcPr>
            <w:cnfStyle w:val="001000000000"/>
            <w:tcW w:w="2437" w:type="dxa"/>
            <w:tcBorders>
              <w:top w:val="none" w:sz="0" w:space="0" w:color="auto"/>
              <w:left w:val="none" w:sz="0" w:space="0" w:color="auto"/>
              <w:bottom w:val="none" w:sz="0" w:space="0" w:color="auto"/>
              <w:right w:val="none" w:sz="0" w:space="0" w:color="auto"/>
            </w:tcBorders>
            <w:shd w:val="clear" w:color="auto" w:fill="76923C" w:themeFill="accent3" w:themeFillShade="BF"/>
          </w:tcPr>
          <w:p w:rsidR="00DA10D2" w:rsidRPr="00761436" w:rsidRDefault="00DA10D2" w:rsidP="002513E7">
            <w:pPr>
              <w:spacing w:after="0"/>
              <w:jc w:val="center"/>
              <w:rPr>
                <w:b w:val="0"/>
                <w:sz w:val="20"/>
                <w:szCs w:val="20"/>
              </w:rPr>
            </w:pPr>
            <w:r w:rsidRPr="00761436">
              <w:rPr>
                <w:b w:val="0"/>
                <w:sz w:val="20"/>
                <w:szCs w:val="20"/>
              </w:rPr>
              <w:t>Institutions and Planning</w:t>
            </w:r>
          </w:p>
        </w:tc>
        <w:tc>
          <w:tcPr>
            <w:tcW w:w="2834" w:type="dxa"/>
            <w:tcBorders>
              <w:top w:val="none" w:sz="0" w:space="0" w:color="auto"/>
              <w:left w:val="none" w:sz="0" w:space="0" w:color="auto"/>
              <w:bottom w:val="none" w:sz="0" w:space="0" w:color="auto"/>
              <w:right w:val="none" w:sz="0" w:space="0" w:color="auto"/>
            </w:tcBorders>
            <w:shd w:val="clear" w:color="auto" w:fill="76923C" w:themeFill="accent3" w:themeFillShade="BF"/>
          </w:tcPr>
          <w:p w:rsidR="00DA10D2" w:rsidRPr="00761436" w:rsidRDefault="00DA10D2" w:rsidP="002513E7">
            <w:pPr>
              <w:spacing w:after="0"/>
              <w:jc w:val="center"/>
              <w:cnfStyle w:val="100000000000"/>
              <w:rPr>
                <w:b w:val="0"/>
                <w:sz w:val="20"/>
                <w:szCs w:val="20"/>
              </w:rPr>
            </w:pPr>
            <w:r w:rsidRPr="00761436">
              <w:rPr>
                <w:b w:val="0"/>
                <w:sz w:val="20"/>
                <w:szCs w:val="20"/>
              </w:rPr>
              <w:t>Regulations and Enforcement</w:t>
            </w:r>
          </w:p>
        </w:tc>
        <w:tc>
          <w:tcPr>
            <w:tcW w:w="2494" w:type="dxa"/>
            <w:tcBorders>
              <w:top w:val="none" w:sz="0" w:space="0" w:color="auto"/>
              <w:left w:val="none" w:sz="0" w:space="0" w:color="auto"/>
              <w:bottom w:val="none" w:sz="0" w:space="0" w:color="auto"/>
              <w:right w:val="none" w:sz="0" w:space="0" w:color="auto"/>
            </w:tcBorders>
            <w:shd w:val="clear" w:color="auto" w:fill="76923C" w:themeFill="accent3" w:themeFillShade="BF"/>
          </w:tcPr>
          <w:p w:rsidR="00DA10D2" w:rsidRPr="00761436" w:rsidRDefault="00DA10D2" w:rsidP="002513E7">
            <w:pPr>
              <w:spacing w:after="0"/>
              <w:jc w:val="center"/>
              <w:cnfStyle w:val="100000000000"/>
              <w:rPr>
                <w:b w:val="0"/>
                <w:sz w:val="20"/>
                <w:szCs w:val="20"/>
              </w:rPr>
            </w:pPr>
            <w:r w:rsidRPr="00761436">
              <w:rPr>
                <w:b w:val="0"/>
                <w:sz w:val="20"/>
                <w:szCs w:val="20"/>
              </w:rPr>
              <w:t>Fiscal Policy and Pricing</w:t>
            </w:r>
          </w:p>
        </w:tc>
        <w:tc>
          <w:tcPr>
            <w:tcW w:w="2481" w:type="dxa"/>
            <w:tcBorders>
              <w:top w:val="none" w:sz="0" w:space="0" w:color="auto"/>
              <w:left w:val="none" w:sz="0" w:space="0" w:color="auto"/>
              <w:bottom w:val="none" w:sz="0" w:space="0" w:color="auto"/>
              <w:right w:val="none" w:sz="0" w:space="0" w:color="auto"/>
            </w:tcBorders>
            <w:shd w:val="clear" w:color="auto" w:fill="76923C" w:themeFill="accent3" w:themeFillShade="BF"/>
          </w:tcPr>
          <w:p w:rsidR="00DA10D2" w:rsidRPr="00761436" w:rsidRDefault="00DA10D2" w:rsidP="002513E7">
            <w:pPr>
              <w:spacing w:after="0"/>
              <w:jc w:val="center"/>
              <w:cnfStyle w:val="100000000000"/>
              <w:rPr>
                <w:b w:val="0"/>
                <w:sz w:val="20"/>
                <w:szCs w:val="20"/>
              </w:rPr>
            </w:pPr>
            <w:r w:rsidRPr="00761436">
              <w:rPr>
                <w:b w:val="0"/>
                <w:sz w:val="20"/>
                <w:szCs w:val="20"/>
              </w:rPr>
              <w:t>Investments</w:t>
            </w:r>
          </w:p>
        </w:tc>
      </w:tr>
      <w:tr w:rsidR="00DA10D2" w:rsidRPr="00254B4B" w:rsidTr="00DA10D2">
        <w:trPr>
          <w:cnfStyle w:val="000000100000"/>
          <w:jc w:val="center"/>
        </w:trPr>
        <w:tc>
          <w:tcPr>
            <w:cnfStyle w:val="001000000000"/>
            <w:tcW w:w="10246" w:type="dxa"/>
            <w:gridSpan w:val="4"/>
          </w:tcPr>
          <w:p w:rsidR="00DA10D2" w:rsidRPr="00586244" w:rsidRDefault="00DA10D2" w:rsidP="002513E7">
            <w:pPr>
              <w:spacing w:after="0"/>
              <w:jc w:val="center"/>
              <w:rPr>
                <w:color w:val="000000"/>
                <w:sz w:val="20"/>
                <w:szCs w:val="20"/>
              </w:rPr>
            </w:pPr>
            <w:r>
              <w:rPr>
                <w:i/>
                <w:sz w:val="20"/>
                <w:szCs w:val="20"/>
              </w:rPr>
              <w:t xml:space="preserve">A. </w:t>
            </w:r>
            <w:r w:rsidR="00A85E9D">
              <w:rPr>
                <w:i/>
                <w:sz w:val="20"/>
                <w:szCs w:val="20"/>
              </w:rPr>
              <w:t xml:space="preserve"> </w:t>
            </w:r>
            <w:r w:rsidRPr="00586244">
              <w:rPr>
                <w:i/>
                <w:sz w:val="20"/>
                <w:szCs w:val="20"/>
              </w:rPr>
              <w:t>Integrate Environmental Concerns into Transport Policy</w:t>
            </w:r>
          </w:p>
        </w:tc>
      </w:tr>
      <w:tr w:rsidR="00DA10D2" w:rsidRPr="00DA10D2" w:rsidTr="00DA10D2">
        <w:trPr>
          <w:cnfStyle w:val="000000010000"/>
          <w:jc w:val="center"/>
        </w:trPr>
        <w:tc>
          <w:tcPr>
            <w:cnfStyle w:val="001000000000"/>
            <w:tcW w:w="2437" w:type="dxa"/>
            <w:tcBorders>
              <w:right w:val="none" w:sz="0" w:space="0" w:color="auto"/>
            </w:tcBorders>
          </w:tcPr>
          <w:p w:rsidR="00DA10D2" w:rsidRPr="00DA10D2" w:rsidRDefault="00DA10D2" w:rsidP="002513E7">
            <w:pPr>
              <w:numPr>
                <w:ilvl w:val="0"/>
                <w:numId w:val="2"/>
              </w:numPr>
              <w:spacing w:after="0"/>
              <w:ind w:left="230" w:hanging="180"/>
              <w:jc w:val="left"/>
              <w:rPr>
                <w:rFonts w:eastAsia="MS Mincho"/>
                <w:b w:val="0"/>
                <w:color w:val="000000"/>
                <w:sz w:val="19"/>
                <w:szCs w:val="19"/>
                <w:lang w:bidi="ar-SA"/>
              </w:rPr>
            </w:pPr>
            <w:r w:rsidRPr="00DA10D2">
              <w:rPr>
                <w:rFonts w:eastAsia="MS Mincho"/>
                <w:b w:val="0"/>
                <w:color w:val="000000"/>
                <w:sz w:val="19"/>
                <w:szCs w:val="19"/>
                <w:lang w:bidi="ar-SA"/>
              </w:rPr>
              <w:t>Integrate transport policy and environmental monitoring</w:t>
            </w:r>
          </w:p>
        </w:tc>
        <w:tc>
          <w:tcPr>
            <w:tcW w:w="2834" w:type="dxa"/>
            <w:tcBorders>
              <w:left w:val="none" w:sz="0" w:space="0" w:color="auto"/>
              <w:right w:val="none" w:sz="0" w:space="0" w:color="auto"/>
            </w:tcBorders>
          </w:tcPr>
          <w:p w:rsidR="00DA10D2" w:rsidRPr="00DA10D2" w:rsidRDefault="00DA10D2" w:rsidP="002513E7">
            <w:pPr>
              <w:numPr>
                <w:ilvl w:val="0"/>
                <w:numId w:val="2"/>
              </w:numPr>
              <w:spacing w:after="0"/>
              <w:ind w:left="230" w:hanging="180"/>
              <w:jc w:val="left"/>
              <w:cnfStyle w:val="000000010000"/>
              <w:rPr>
                <w:rFonts w:eastAsia="MS Mincho"/>
                <w:color w:val="000000"/>
                <w:sz w:val="19"/>
                <w:szCs w:val="19"/>
                <w:lang w:bidi="ar-SA"/>
              </w:rPr>
            </w:pPr>
            <w:r w:rsidRPr="00DA10D2">
              <w:rPr>
                <w:rFonts w:eastAsia="MS Mincho"/>
                <w:color w:val="000000"/>
                <w:sz w:val="19"/>
                <w:szCs w:val="19"/>
                <w:lang w:bidi="ar-SA"/>
              </w:rPr>
              <w:t>Reinstate fuel quality inspection</w:t>
            </w:r>
          </w:p>
        </w:tc>
        <w:tc>
          <w:tcPr>
            <w:tcW w:w="2494" w:type="dxa"/>
            <w:tcBorders>
              <w:left w:val="none" w:sz="0" w:space="0" w:color="auto"/>
              <w:right w:val="none" w:sz="0" w:space="0" w:color="auto"/>
            </w:tcBorders>
          </w:tcPr>
          <w:p w:rsidR="00DA10D2" w:rsidRPr="00DA10D2" w:rsidRDefault="00DA10D2" w:rsidP="002513E7">
            <w:pPr>
              <w:numPr>
                <w:ilvl w:val="0"/>
                <w:numId w:val="2"/>
              </w:numPr>
              <w:spacing w:after="0"/>
              <w:ind w:left="230" w:hanging="180"/>
              <w:jc w:val="left"/>
              <w:cnfStyle w:val="000000010000"/>
              <w:rPr>
                <w:rFonts w:eastAsia="MS Mincho"/>
                <w:color w:val="000000"/>
                <w:sz w:val="19"/>
                <w:szCs w:val="19"/>
                <w:lang w:bidi="ar-SA"/>
              </w:rPr>
            </w:pPr>
            <w:r w:rsidRPr="00DA10D2">
              <w:rPr>
                <w:rFonts w:eastAsia="MS Mincho"/>
                <w:color w:val="000000"/>
                <w:sz w:val="19"/>
                <w:szCs w:val="19"/>
                <w:lang w:bidi="ar-SA"/>
              </w:rPr>
              <w:t xml:space="preserve">Revise taxes on motor fuels to be differentiated by quality as incentives </w:t>
            </w:r>
            <w:r w:rsidR="006049B9">
              <w:rPr>
                <w:rFonts w:eastAsia="MS Mincho"/>
                <w:color w:val="000000"/>
                <w:sz w:val="19"/>
                <w:szCs w:val="19"/>
                <w:lang w:bidi="ar-SA"/>
              </w:rPr>
              <w:t xml:space="preserve">for </w:t>
            </w:r>
            <w:r w:rsidRPr="00DA10D2">
              <w:rPr>
                <w:rFonts w:eastAsia="MS Mincho"/>
                <w:color w:val="000000"/>
                <w:sz w:val="19"/>
                <w:szCs w:val="19"/>
                <w:lang w:bidi="ar-SA"/>
              </w:rPr>
              <w:t>cleaner fuel</w:t>
            </w:r>
            <w:r w:rsidR="006049B9">
              <w:rPr>
                <w:rFonts w:eastAsia="MS Mincho"/>
                <w:color w:val="000000"/>
                <w:sz w:val="19"/>
                <w:szCs w:val="19"/>
                <w:lang w:bidi="ar-SA"/>
              </w:rPr>
              <w:t xml:space="preserve"> choice</w:t>
            </w:r>
            <w:r w:rsidRPr="00DA10D2">
              <w:rPr>
                <w:rFonts w:eastAsia="MS Mincho"/>
                <w:color w:val="000000"/>
                <w:sz w:val="19"/>
                <w:szCs w:val="19"/>
                <w:lang w:bidi="ar-SA"/>
              </w:rPr>
              <w:t>s</w:t>
            </w:r>
          </w:p>
          <w:p w:rsidR="00DA10D2" w:rsidRPr="00DA10D2" w:rsidRDefault="00DA10D2" w:rsidP="006049B9">
            <w:pPr>
              <w:numPr>
                <w:ilvl w:val="0"/>
                <w:numId w:val="2"/>
              </w:numPr>
              <w:spacing w:after="0"/>
              <w:ind w:left="230" w:hanging="180"/>
              <w:jc w:val="left"/>
              <w:cnfStyle w:val="000000010000"/>
              <w:rPr>
                <w:rFonts w:eastAsia="MS Mincho"/>
                <w:color w:val="000000"/>
                <w:sz w:val="19"/>
                <w:szCs w:val="19"/>
                <w:lang w:bidi="ar-SA"/>
              </w:rPr>
            </w:pPr>
            <w:r w:rsidRPr="00DA10D2">
              <w:rPr>
                <w:rFonts w:eastAsia="MS Mincho"/>
                <w:color w:val="000000"/>
                <w:sz w:val="19"/>
                <w:szCs w:val="19"/>
                <w:lang w:bidi="ar-SA"/>
              </w:rPr>
              <w:t>Maintain high fuel prices relative to income levels as a long-term policy</w:t>
            </w:r>
          </w:p>
        </w:tc>
        <w:tc>
          <w:tcPr>
            <w:tcW w:w="2481" w:type="dxa"/>
            <w:tcBorders>
              <w:left w:val="none" w:sz="0" w:space="0" w:color="auto"/>
            </w:tcBorders>
          </w:tcPr>
          <w:p w:rsidR="00DA10D2" w:rsidRPr="00DA10D2" w:rsidRDefault="00DA10D2" w:rsidP="002513E7">
            <w:pPr>
              <w:spacing w:after="0"/>
              <w:ind w:left="230"/>
              <w:jc w:val="left"/>
              <w:cnfStyle w:val="000000010000"/>
              <w:rPr>
                <w:color w:val="000000"/>
                <w:sz w:val="20"/>
                <w:szCs w:val="20"/>
              </w:rPr>
            </w:pPr>
          </w:p>
        </w:tc>
      </w:tr>
      <w:tr w:rsidR="00DA10D2" w:rsidRPr="00254B4B" w:rsidTr="00DA10D2">
        <w:trPr>
          <w:cnfStyle w:val="000000100000"/>
          <w:jc w:val="center"/>
        </w:trPr>
        <w:tc>
          <w:tcPr>
            <w:cnfStyle w:val="001000000000"/>
            <w:tcW w:w="10246" w:type="dxa"/>
            <w:gridSpan w:val="4"/>
          </w:tcPr>
          <w:p w:rsidR="00DA10D2" w:rsidRPr="00586244" w:rsidRDefault="00DA10D2" w:rsidP="002513E7">
            <w:pPr>
              <w:spacing w:after="0"/>
              <w:jc w:val="center"/>
              <w:rPr>
                <w:color w:val="000000"/>
                <w:sz w:val="20"/>
                <w:szCs w:val="20"/>
              </w:rPr>
            </w:pPr>
            <w:r>
              <w:rPr>
                <w:i/>
                <w:sz w:val="20"/>
                <w:szCs w:val="20"/>
              </w:rPr>
              <w:t xml:space="preserve">B. </w:t>
            </w:r>
            <w:r w:rsidR="00A85E9D">
              <w:rPr>
                <w:i/>
                <w:sz w:val="20"/>
                <w:szCs w:val="20"/>
              </w:rPr>
              <w:t xml:space="preserve"> </w:t>
            </w:r>
            <w:r w:rsidRPr="00586244">
              <w:rPr>
                <w:i/>
                <w:sz w:val="20"/>
                <w:szCs w:val="20"/>
              </w:rPr>
              <w:t>Achieve and Maintain a Greener Vehicle Fleet</w:t>
            </w:r>
          </w:p>
        </w:tc>
      </w:tr>
      <w:tr w:rsidR="00DA10D2" w:rsidRPr="00DA10D2" w:rsidTr="00DA10D2">
        <w:trPr>
          <w:cnfStyle w:val="000000010000"/>
          <w:jc w:val="center"/>
        </w:trPr>
        <w:tc>
          <w:tcPr>
            <w:cnfStyle w:val="001000000000"/>
            <w:tcW w:w="2437" w:type="dxa"/>
            <w:tcBorders>
              <w:right w:val="none" w:sz="0" w:space="0" w:color="auto"/>
            </w:tcBorders>
          </w:tcPr>
          <w:p w:rsidR="00DA10D2" w:rsidRPr="00DA10D2" w:rsidRDefault="00DA10D2" w:rsidP="002513E7">
            <w:pPr>
              <w:numPr>
                <w:ilvl w:val="0"/>
                <w:numId w:val="2"/>
              </w:numPr>
              <w:spacing w:after="0"/>
              <w:ind w:left="230" w:hanging="180"/>
              <w:jc w:val="left"/>
              <w:rPr>
                <w:rFonts w:eastAsia="MS Mincho"/>
                <w:b w:val="0"/>
                <w:color w:val="000000"/>
                <w:sz w:val="19"/>
                <w:szCs w:val="19"/>
                <w:lang w:bidi="ar-SA"/>
              </w:rPr>
            </w:pPr>
            <w:r w:rsidRPr="00DA10D2">
              <w:rPr>
                <w:rFonts w:eastAsia="MS Mincho"/>
                <w:b w:val="0"/>
                <w:color w:val="000000"/>
                <w:sz w:val="19"/>
                <w:szCs w:val="19"/>
                <w:lang w:bidi="ar-SA"/>
              </w:rPr>
              <w:t>Strengthen institutions for effective enforcement</w:t>
            </w:r>
          </w:p>
        </w:tc>
        <w:tc>
          <w:tcPr>
            <w:tcW w:w="2834" w:type="dxa"/>
            <w:tcBorders>
              <w:left w:val="none" w:sz="0" w:space="0" w:color="auto"/>
              <w:right w:val="none" w:sz="0" w:space="0" w:color="auto"/>
            </w:tcBorders>
          </w:tcPr>
          <w:p w:rsidR="00DA10D2" w:rsidRPr="00DA10D2" w:rsidRDefault="00DA10D2" w:rsidP="002513E7">
            <w:pPr>
              <w:numPr>
                <w:ilvl w:val="0"/>
                <w:numId w:val="2"/>
              </w:numPr>
              <w:spacing w:after="0"/>
              <w:ind w:left="230" w:hanging="180"/>
              <w:jc w:val="left"/>
              <w:cnfStyle w:val="000000010000"/>
              <w:rPr>
                <w:rFonts w:eastAsia="MS Mincho"/>
                <w:color w:val="000000"/>
                <w:sz w:val="19"/>
                <w:szCs w:val="19"/>
                <w:lang w:bidi="ar-SA"/>
              </w:rPr>
            </w:pPr>
            <w:r w:rsidRPr="00DA10D2">
              <w:rPr>
                <w:rFonts w:eastAsia="MS Mincho"/>
                <w:color w:val="000000"/>
                <w:sz w:val="19"/>
                <w:szCs w:val="19"/>
                <w:lang w:bidi="ar-SA"/>
              </w:rPr>
              <w:t xml:space="preserve">Expand vehicle inspection requirements to include all commercial and non-commercial vehicles </w:t>
            </w:r>
          </w:p>
        </w:tc>
        <w:tc>
          <w:tcPr>
            <w:tcW w:w="2494" w:type="dxa"/>
            <w:tcBorders>
              <w:left w:val="none" w:sz="0" w:space="0" w:color="auto"/>
              <w:right w:val="none" w:sz="0" w:space="0" w:color="auto"/>
            </w:tcBorders>
          </w:tcPr>
          <w:p w:rsidR="00DA10D2" w:rsidRPr="00DA10D2" w:rsidRDefault="00DA10D2" w:rsidP="002513E7">
            <w:pPr>
              <w:numPr>
                <w:ilvl w:val="0"/>
                <w:numId w:val="2"/>
              </w:numPr>
              <w:spacing w:after="0"/>
              <w:ind w:left="230" w:hanging="180"/>
              <w:jc w:val="left"/>
              <w:cnfStyle w:val="000000010000"/>
              <w:rPr>
                <w:rFonts w:eastAsia="MS Mincho"/>
                <w:color w:val="000000"/>
                <w:sz w:val="19"/>
                <w:szCs w:val="19"/>
                <w:lang w:bidi="ar-SA"/>
              </w:rPr>
            </w:pPr>
            <w:r w:rsidRPr="00DA10D2">
              <w:rPr>
                <w:rFonts w:eastAsia="MS Mincho"/>
                <w:color w:val="000000"/>
                <w:sz w:val="19"/>
                <w:szCs w:val="19"/>
                <w:lang w:bidi="ar-SA"/>
              </w:rPr>
              <w:t>Scrap and recycle the old and polluting vehicle fleet</w:t>
            </w:r>
          </w:p>
          <w:p w:rsidR="00DA10D2" w:rsidRPr="00DA10D2" w:rsidRDefault="00DA10D2" w:rsidP="002513E7">
            <w:pPr>
              <w:numPr>
                <w:ilvl w:val="0"/>
                <w:numId w:val="2"/>
              </w:numPr>
              <w:spacing w:after="0"/>
              <w:ind w:left="230" w:hanging="180"/>
              <w:jc w:val="left"/>
              <w:cnfStyle w:val="000000010000"/>
              <w:rPr>
                <w:rFonts w:eastAsia="MS Mincho"/>
                <w:color w:val="000000"/>
                <w:sz w:val="19"/>
                <w:szCs w:val="19"/>
                <w:lang w:bidi="ar-SA"/>
              </w:rPr>
            </w:pPr>
            <w:r w:rsidRPr="00DA10D2">
              <w:rPr>
                <w:rFonts w:eastAsia="MS Mincho"/>
                <w:color w:val="000000"/>
                <w:sz w:val="19"/>
                <w:szCs w:val="19"/>
                <w:lang w:bidi="ar-SA"/>
              </w:rPr>
              <w:t>Tax credits and other financial incentives for higher fuel-efficiency and technological improvements of vehicles</w:t>
            </w:r>
          </w:p>
        </w:tc>
        <w:tc>
          <w:tcPr>
            <w:tcW w:w="2481" w:type="dxa"/>
            <w:tcBorders>
              <w:left w:val="none" w:sz="0" w:space="0" w:color="auto"/>
            </w:tcBorders>
          </w:tcPr>
          <w:p w:rsidR="00DA10D2" w:rsidRPr="00DA10D2" w:rsidRDefault="00DA10D2" w:rsidP="002513E7">
            <w:pPr>
              <w:numPr>
                <w:ilvl w:val="0"/>
                <w:numId w:val="2"/>
              </w:numPr>
              <w:spacing w:after="0"/>
              <w:ind w:left="230" w:hanging="180"/>
              <w:jc w:val="left"/>
              <w:cnfStyle w:val="000000010000"/>
              <w:rPr>
                <w:rFonts w:eastAsia="MS Mincho"/>
                <w:color w:val="000000"/>
                <w:sz w:val="19"/>
                <w:szCs w:val="19"/>
                <w:lang w:bidi="ar-SA"/>
              </w:rPr>
            </w:pPr>
            <w:r w:rsidRPr="00DA10D2">
              <w:rPr>
                <w:rFonts w:eastAsia="MS Mincho"/>
                <w:color w:val="000000"/>
                <w:sz w:val="19"/>
                <w:szCs w:val="19"/>
                <w:lang w:bidi="ar-SA"/>
              </w:rPr>
              <w:t xml:space="preserve">Subsidize the scrapping and recycling of old and polluting vehicles </w:t>
            </w:r>
          </w:p>
        </w:tc>
      </w:tr>
      <w:tr w:rsidR="00DA10D2" w:rsidRPr="00254B4B" w:rsidTr="00DA10D2">
        <w:trPr>
          <w:cnfStyle w:val="000000100000"/>
          <w:jc w:val="center"/>
        </w:trPr>
        <w:tc>
          <w:tcPr>
            <w:cnfStyle w:val="001000000000"/>
            <w:tcW w:w="10246" w:type="dxa"/>
            <w:gridSpan w:val="4"/>
          </w:tcPr>
          <w:p w:rsidR="00DA10D2" w:rsidRPr="00586244" w:rsidRDefault="00DA10D2" w:rsidP="00A85E9D">
            <w:pPr>
              <w:spacing w:after="0"/>
              <w:jc w:val="center"/>
              <w:rPr>
                <w:color w:val="000000"/>
                <w:sz w:val="20"/>
                <w:szCs w:val="20"/>
              </w:rPr>
            </w:pPr>
            <w:r>
              <w:rPr>
                <w:i/>
                <w:sz w:val="20"/>
                <w:szCs w:val="20"/>
              </w:rPr>
              <w:t xml:space="preserve">C. </w:t>
            </w:r>
            <w:r w:rsidR="00A85E9D">
              <w:rPr>
                <w:i/>
                <w:sz w:val="20"/>
                <w:szCs w:val="20"/>
              </w:rPr>
              <w:t xml:space="preserve"> </w:t>
            </w:r>
            <w:r>
              <w:rPr>
                <w:i/>
                <w:sz w:val="20"/>
                <w:szCs w:val="20"/>
              </w:rPr>
              <w:t>Promote Low Emission Freight Transport Modes</w:t>
            </w:r>
          </w:p>
        </w:tc>
      </w:tr>
      <w:tr w:rsidR="00DA10D2" w:rsidRPr="00DA10D2" w:rsidTr="00DA10D2">
        <w:trPr>
          <w:cnfStyle w:val="000000010000"/>
          <w:jc w:val="center"/>
        </w:trPr>
        <w:tc>
          <w:tcPr>
            <w:cnfStyle w:val="001000000000"/>
            <w:tcW w:w="2437" w:type="dxa"/>
            <w:tcBorders>
              <w:right w:val="none" w:sz="0" w:space="0" w:color="auto"/>
            </w:tcBorders>
          </w:tcPr>
          <w:p w:rsidR="00DA10D2" w:rsidRPr="00DA10D2" w:rsidRDefault="00DA10D2" w:rsidP="002513E7">
            <w:pPr>
              <w:numPr>
                <w:ilvl w:val="0"/>
                <w:numId w:val="2"/>
              </w:numPr>
              <w:spacing w:after="0"/>
              <w:ind w:left="230" w:hanging="180"/>
              <w:jc w:val="left"/>
              <w:rPr>
                <w:rFonts w:eastAsia="MS Mincho"/>
                <w:b w:val="0"/>
                <w:color w:val="000000"/>
                <w:sz w:val="19"/>
                <w:szCs w:val="19"/>
                <w:lang w:bidi="ar-SA"/>
              </w:rPr>
            </w:pPr>
            <w:r w:rsidRPr="00DA10D2">
              <w:rPr>
                <w:rFonts w:eastAsia="MS Mincho"/>
                <w:b w:val="0"/>
                <w:color w:val="000000"/>
                <w:sz w:val="19"/>
                <w:szCs w:val="19"/>
                <w:lang w:bidi="ar-SA"/>
              </w:rPr>
              <w:t>Develop a coherent transport policy that focuses on intermodality and international collaboration with key trading partners and neighboring countries</w:t>
            </w:r>
          </w:p>
        </w:tc>
        <w:tc>
          <w:tcPr>
            <w:tcW w:w="2834" w:type="dxa"/>
            <w:tcBorders>
              <w:left w:val="none" w:sz="0" w:space="0" w:color="auto"/>
              <w:right w:val="none" w:sz="0" w:space="0" w:color="auto"/>
            </w:tcBorders>
          </w:tcPr>
          <w:p w:rsidR="00DA10D2" w:rsidRPr="00DA10D2" w:rsidRDefault="00DA10D2" w:rsidP="002513E7">
            <w:pPr>
              <w:numPr>
                <w:ilvl w:val="0"/>
                <w:numId w:val="2"/>
              </w:numPr>
              <w:spacing w:after="0"/>
              <w:ind w:left="230" w:hanging="180"/>
              <w:jc w:val="left"/>
              <w:cnfStyle w:val="000000010000"/>
              <w:rPr>
                <w:rFonts w:eastAsia="MS Mincho"/>
                <w:color w:val="000000"/>
                <w:sz w:val="19"/>
                <w:szCs w:val="19"/>
                <w:lang w:bidi="ar-SA"/>
              </w:rPr>
            </w:pPr>
            <w:r w:rsidRPr="00DA10D2">
              <w:rPr>
                <w:rFonts w:eastAsia="MS Mincho"/>
                <w:color w:val="000000"/>
                <w:sz w:val="19"/>
                <w:szCs w:val="19"/>
                <w:lang w:bidi="ar-SA"/>
              </w:rPr>
              <w:t>Apply vehicle inspection regime to domestically registered trucks and to Georgian transport companies</w:t>
            </w:r>
          </w:p>
          <w:p w:rsidR="00DA10D2" w:rsidRPr="00DA10D2" w:rsidRDefault="00DA10D2" w:rsidP="002513E7">
            <w:pPr>
              <w:numPr>
                <w:ilvl w:val="0"/>
                <w:numId w:val="2"/>
              </w:numPr>
              <w:spacing w:after="0"/>
              <w:ind w:left="230" w:hanging="180"/>
              <w:jc w:val="left"/>
              <w:cnfStyle w:val="000000010000"/>
              <w:rPr>
                <w:rFonts w:eastAsia="MS Mincho"/>
                <w:color w:val="000000"/>
                <w:sz w:val="19"/>
                <w:szCs w:val="19"/>
                <w:lang w:bidi="ar-SA"/>
              </w:rPr>
            </w:pPr>
            <w:r w:rsidRPr="00DA10D2">
              <w:rPr>
                <w:rFonts w:eastAsia="MS Mincho"/>
                <w:color w:val="000000"/>
                <w:sz w:val="19"/>
                <w:szCs w:val="19"/>
                <w:lang w:bidi="ar-SA"/>
              </w:rPr>
              <w:t>Introduce and enforce regulations on vehicle emissions and axle loads for foreign registered transit vehicles</w:t>
            </w:r>
          </w:p>
        </w:tc>
        <w:tc>
          <w:tcPr>
            <w:tcW w:w="2494" w:type="dxa"/>
            <w:tcBorders>
              <w:left w:val="none" w:sz="0" w:space="0" w:color="auto"/>
              <w:right w:val="none" w:sz="0" w:space="0" w:color="auto"/>
            </w:tcBorders>
          </w:tcPr>
          <w:p w:rsidR="00DA10D2" w:rsidRPr="00DA10D2" w:rsidRDefault="00DA10D2" w:rsidP="002513E7">
            <w:pPr>
              <w:numPr>
                <w:ilvl w:val="0"/>
                <w:numId w:val="2"/>
              </w:numPr>
              <w:spacing w:after="0"/>
              <w:ind w:left="230" w:hanging="180"/>
              <w:jc w:val="left"/>
              <w:cnfStyle w:val="000000010000"/>
              <w:rPr>
                <w:rFonts w:eastAsia="MS Mincho"/>
                <w:color w:val="000000"/>
                <w:sz w:val="19"/>
                <w:szCs w:val="19"/>
                <w:lang w:bidi="ar-SA"/>
              </w:rPr>
            </w:pPr>
            <w:r w:rsidRPr="00DA10D2">
              <w:rPr>
                <w:rFonts w:eastAsia="MS Mincho"/>
                <w:color w:val="000000"/>
                <w:sz w:val="19"/>
                <w:szCs w:val="19"/>
                <w:lang w:bidi="ar-SA"/>
              </w:rPr>
              <w:t>Differentiate charges on transit trucks according to vehicle emission class and axle loads</w:t>
            </w:r>
          </w:p>
          <w:p w:rsidR="00DA10D2" w:rsidRPr="00DA10D2" w:rsidRDefault="00DA10D2" w:rsidP="006049B9">
            <w:pPr>
              <w:numPr>
                <w:ilvl w:val="0"/>
                <w:numId w:val="2"/>
              </w:numPr>
              <w:spacing w:after="0"/>
              <w:ind w:left="230" w:hanging="180"/>
              <w:jc w:val="left"/>
              <w:cnfStyle w:val="000000010000"/>
              <w:rPr>
                <w:rFonts w:eastAsia="MS Mincho"/>
                <w:color w:val="000000"/>
                <w:sz w:val="19"/>
                <w:szCs w:val="19"/>
                <w:lang w:bidi="ar-SA"/>
              </w:rPr>
            </w:pPr>
            <w:r w:rsidRPr="00DA10D2">
              <w:rPr>
                <w:rFonts w:eastAsia="MS Mincho"/>
                <w:color w:val="000000"/>
                <w:sz w:val="19"/>
                <w:szCs w:val="19"/>
                <w:lang w:bidi="ar-SA"/>
              </w:rPr>
              <w:t>Allocate revenues to the  maintenance of road network assets and green transport investments</w:t>
            </w:r>
          </w:p>
        </w:tc>
        <w:tc>
          <w:tcPr>
            <w:tcW w:w="2481" w:type="dxa"/>
            <w:tcBorders>
              <w:left w:val="none" w:sz="0" w:space="0" w:color="auto"/>
            </w:tcBorders>
          </w:tcPr>
          <w:p w:rsidR="00DA10D2" w:rsidRPr="00DA10D2" w:rsidRDefault="00DA10D2" w:rsidP="002513E7">
            <w:pPr>
              <w:numPr>
                <w:ilvl w:val="0"/>
                <w:numId w:val="2"/>
              </w:numPr>
              <w:spacing w:after="0"/>
              <w:ind w:left="230" w:hanging="180"/>
              <w:jc w:val="left"/>
              <w:cnfStyle w:val="000000010000"/>
              <w:rPr>
                <w:rFonts w:eastAsia="MS Mincho"/>
                <w:color w:val="000000"/>
                <w:sz w:val="19"/>
                <w:szCs w:val="19"/>
                <w:lang w:bidi="ar-SA"/>
              </w:rPr>
            </w:pPr>
            <w:r w:rsidRPr="00DA10D2">
              <w:rPr>
                <w:rFonts w:eastAsia="MS Mincho"/>
                <w:color w:val="000000"/>
                <w:sz w:val="19"/>
                <w:szCs w:val="19"/>
                <w:lang w:bidi="ar-SA"/>
              </w:rPr>
              <w:t>Develop multimodal, green transit corridors by improving intermodal connectivity, eliminating bottlenecks and supporting containerization</w:t>
            </w:r>
          </w:p>
        </w:tc>
      </w:tr>
      <w:tr w:rsidR="00DA10D2" w:rsidRPr="00254B4B" w:rsidTr="00DA10D2">
        <w:trPr>
          <w:cnfStyle w:val="000000100000"/>
          <w:jc w:val="center"/>
        </w:trPr>
        <w:tc>
          <w:tcPr>
            <w:cnfStyle w:val="001000000000"/>
            <w:tcW w:w="10246" w:type="dxa"/>
            <w:gridSpan w:val="4"/>
          </w:tcPr>
          <w:p w:rsidR="00DA10D2" w:rsidRPr="00586244" w:rsidRDefault="00DA10D2" w:rsidP="002513E7">
            <w:pPr>
              <w:spacing w:after="0"/>
              <w:jc w:val="center"/>
              <w:rPr>
                <w:color w:val="000000"/>
                <w:sz w:val="20"/>
                <w:szCs w:val="20"/>
              </w:rPr>
            </w:pPr>
            <w:r>
              <w:rPr>
                <w:i/>
                <w:sz w:val="20"/>
                <w:szCs w:val="20"/>
              </w:rPr>
              <w:t xml:space="preserve">D. </w:t>
            </w:r>
            <w:r w:rsidR="00A85E9D">
              <w:rPr>
                <w:i/>
                <w:sz w:val="20"/>
                <w:szCs w:val="20"/>
              </w:rPr>
              <w:t xml:space="preserve"> </w:t>
            </w:r>
            <w:r w:rsidRPr="00586244">
              <w:rPr>
                <w:i/>
                <w:sz w:val="20"/>
                <w:szCs w:val="20"/>
              </w:rPr>
              <w:t>Support Commercial Development of Intercity Passenger Transport Services</w:t>
            </w:r>
          </w:p>
        </w:tc>
      </w:tr>
      <w:tr w:rsidR="00DA10D2" w:rsidRPr="00DA10D2" w:rsidTr="00DA10D2">
        <w:trPr>
          <w:cnfStyle w:val="000000010000"/>
          <w:jc w:val="center"/>
        </w:trPr>
        <w:tc>
          <w:tcPr>
            <w:cnfStyle w:val="001000000000"/>
            <w:tcW w:w="2437" w:type="dxa"/>
            <w:tcBorders>
              <w:right w:val="none" w:sz="0" w:space="0" w:color="auto"/>
            </w:tcBorders>
          </w:tcPr>
          <w:p w:rsidR="00DA10D2" w:rsidRPr="00DA10D2" w:rsidRDefault="00DA10D2" w:rsidP="002513E7">
            <w:pPr>
              <w:numPr>
                <w:ilvl w:val="0"/>
                <w:numId w:val="2"/>
              </w:numPr>
              <w:spacing w:after="0"/>
              <w:ind w:left="230" w:hanging="180"/>
              <w:jc w:val="left"/>
              <w:rPr>
                <w:rFonts w:eastAsia="MS Mincho"/>
                <w:b w:val="0"/>
                <w:color w:val="000000"/>
                <w:sz w:val="19"/>
                <w:szCs w:val="19"/>
                <w:lang w:bidi="ar-SA"/>
              </w:rPr>
            </w:pPr>
            <w:r w:rsidRPr="00DA10D2">
              <w:rPr>
                <w:rFonts w:eastAsia="MS Mincho"/>
                <w:b w:val="0"/>
                <w:color w:val="000000"/>
                <w:sz w:val="19"/>
                <w:szCs w:val="19"/>
                <w:lang w:bidi="ar-SA"/>
              </w:rPr>
              <w:t>Improve the convenience of and access to intercity bus services through coordinated marketing strategy and passenger information services</w:t>
            </w:r>
          </w:p>
        </w:tc>
        <w:tc>
          <w:tcPr>
            <w:tcW w:w="2834" w:type="dxa"/>
            <w:tcBorders>
              <w:left w:val="none" w:sz="0" w:space="0" w:color="auto"/>
              <w:right w:val="none" w:sz="0" w:space="0" w:color="auto"/>
            </w:tcBorders>
          </w:tcPr>
          <w:p w:rsidR="00DA10D2" w:rsidRPr="00DA10D2" w:rsidRDefault="00DA10D2" w:rsidP="002513E7">
            <w:pPr>
              <w:numPr>
                <w:ilvl w:val="0"/>
                <w:numId w:val="2"/>
              </w:numPr>
              <w:spacing w:after="0"/>
              <w:ind w:left="230" w:hanging="180"/>
              <w:jc w:val="left"/>
              <w:cnfStyle w:val="000000010000"/>
              <w:rPr>
                <w:rFonts w:eastAsia="MS Mincho"/>
                <w:color w:val="000000"/>
                <w:sz w:val="19"/>
                <w:szCs w:val="19"/>
                <w:lang w:bidi="ar-SA"/>
              </w:rPr>
            </w:pPr>
            <w:r w:rsidRPr="00DA10D2">
              <w:rPr>
                <w:rFonts w:eastAsia="MS Mincho"/>
                <w:color w:val="000000"/>
                <w:sz w:val="19"/>
                <w:szCs w:val="19"/>
                <w:lang w:bidi="ar-SA"/>
              </w:rPr>
              <w:t>Control market entry through regulations and enforcement of vehicle and emission standards</w:t>
            </w:r>
          </w:p>
          <w:p w:rsidR="00DA10D2" w:rsidRPr="00DA10D2" w:rsidRDefault="00DA10D2" w:rsidP="006049B9">
            <w:pPr>
              <w:numPr>
                <w:ilvl w:val="0"/>
                <w:numId w:val="2"/>
              </w:numPr>
              <w:spacing w:after="0"/>
              <w:ind w:left="230" w:hanging="180"/>
              <w:jc w:val="left"/>
              <w:cnfStyle w:val="000000010000"/>
              <w:rPr>
                <w:rFonts w:eastAsia="MS Mincho"/>
                <w:color w:val="000000"/>
                <w:sz w:val="19"/>
                <w:szCs w:val="19"/>
                <w:lang w:bidi="ar-SA"/>
              </w:rPr>
            </w:pPr>
            <w:r w:rsidRPr="00DA10D2">
              <w:rPr>
                <w:rFonts w:eastAsia="MS Mincho"/>
                <w:color w:val="000000"/>
                <w:sz w:val="19"/>
                <w:szCs w:val="19"/>
                <w:lang w:bidi="ar-SA"/>
              </w:rPr>
              <w:t>Introduce competitive tendering for strategic intercity routes and manage service quality</w:t>
            </w:r>
          </w:p>
        </w:tc>
        <w:tc>
          <w:tcPr>
            <w:tcW w:w="2494" w:type="dxa"/>
            <w:tcBorders>
              <w:left w:val="none" w:sz="0" w:space="0" w:color="auto"/>
              <w:right w:val="none" w:sz="0" w:space="0" w:color="auto"/>
            </w:tcBorders>
          </w:tcPr>
          <w:p w:rsidR="00DA10D2" w:rsidRPr="00DA10D2" w:rsidRDefault="00DA10D2" w:rsidP="002513E7">
            <w:pPr>
              <w:spacing w:after="0"/>
              <w:ind w:left="230"/>
              <w:jc w:val="left"/>
              <w:cnfStyle w:val="000000010000"/>
              <w:rPr>
                <w:rFonts w:eastAsia="MS Mincho"/>
                <w:color w:val="000000"/>
                <w:sz w:val="19"/>
                <w:szCs w:val="19"/>
                <w:lang w:bidi="ar-SA"/>
              </w:rPr>
            </w:pPr>
          </w:p>
        </w:tc>
        <w:tc>
          <w:tcPr>
            <w:tcW w:w="2481" w:type="dxa"/>
            <w:tcBorders>
              <w:left w:val="none" w:sz="0" w:space="0" w:color="auto"/>
            </w:tcBorders>
          </w:tcPr>
          <w:p w:rsidR="00DA10D2" w:rsidRPr="00DA10D2" w:rsidRDefault="00DA10D2" w:rsidP="006049B9">
            <w:pPr>
              <w:numPr>
                <w:ilvl w:val="0"/>
                <w:numId w:val="2"/>
              </w:numPr>
              <w:spacing w:after="0"/>
              <w:ind w:left="230" w:hanging="180"/>
              <w:jc w:val="left"/>
              <w:cnfStyle w:val="000000010000"/>
              <w:rPr>
                <w:rFonts w:eastAsia="MS Mincho"/>
                <w:color w:val="000000"/>
                <w:sz w:val="19"/>
                <w:szCs w:val="19"/>
                <w:lang w:bidi="ar-SA"/>
              </w:rPr>
            </w:pPr>
            <w:r w:rsidRPr="00DA10D2">
              <w:rPr>
                <w:rFonts w:eastAsia="MS Mincho"/>
                <w:color w:val="000000"/>
                <w:sz w:val="19"/>
                <w:szCs w:val="19"/>
                <w:lang w:bidi="ar-SA"/>
              </w:rPr>
              <w:t>Improve quality of infrastructure and consumer amenities through public and private investments</w:t>
            </w:r>
          </w:p>
        </w:tc>
      </w:tr>
      <w:tr w:rsidR="00DA10D2" w:rsidRPr="00254B4B" w:rsidTr="00DA10D2">
        <w:trPr>
          <w:cnfStyle w:val="000000100000"/>
          <w:jc w:val="center"/>
        </w:trPr>
        <w:tc>
          <w:tcPr>
            <w:cnfStyle w:val="001000000000"/>
            <w:tcW w:w="10246" w:type="dxa"/>
            <w:gridSpan w:val="4"/>
          </w:tcPr>
          <w:p w:rsidR="00DA10D2" w:rsidRPr="00586244" w:rsidRDefault="00DA10D2" w:rsidP="002513E7">
            <w:pPr>
              <w:spacing w:after="0"/>
              <w:jc w:val="center"/>
              <w:rPr>
                <w:color w:val="000000"/>
                <w:sz w:val="20"/>
                <w:szCs w:val="20"/>
              </w:rPr>
            </w:pPr>
            <w:r>
              <w:rPr>
                <w:i/>
                <w:sz w:val="20"/>
                <w:szCs w:val="20"/>
              </w:rPr>
              <w:t xml:space="preserve">E. </w:t>
            </w:r>
            <w:r w:rsidR="00A85E9D">
              <w:rPr>
                <w:i/>
                <w:sz w:val="20"/>
                <w:szCs w:val="20"/>
              </w:rPr>
              <w:t xml:space="preserve"> </w:t>
            </w:r>
            <w:r w:rsidRPr="00586244">
              <w:rPr>
                <w:i/>
                <w:sz w:val="20"/>
                <w:szCs w:val="20"/>
              </w:rPr>
              <w:t>Transform Minibuses and Taxis into Modern Urban Transport Modes</w:t>
            </w:r>
          </w:p>
        </w:tc>
      </w:tr>
      <w:tr w:rsidR="00DA10D2" w:rsidRPr="00DA10D2" w:rsidTr="00DA10D2">
        <w:trPr>
          <w:cnfStyle w:val="000000010000"/>
          <w:jc w:val="center"/>
        </w:trPr>
        <w:tc>
          <w:tcPr>
            <w:cnfStyle w:val="001000000000"/>
            <w:tcW w:w="2437" w:type="dxa"/>
            <w:tcBorders>
              <w:right w:val="none" w:sz="0" w:space="0" w:color="auto"/>
            </w:tcBorders>
          </w:tcPr>
          <w:p w:rsidR="00DA10D2" w:rsidRPr="00DA10D2" w:rsidRDefault="00DA10D2" w:rsidP="002513E7">
            <w:pPr>
              <w:numPr>
                <w:ilvl w:val="0"/>
                <w:numId w:val="2"/>
              </w:numPr>
              <w:spacing w:after="0"/>
              <w:ind w:left="230" w:hanging="180"/>
              <w:jc w:val="left"/>
              <w:rPr>
                <w:rFonts w:eastAsia="MS Mincho"/>
                <w:b w:val="0"/>
                <w:color w:val="000000"/>
                <w:sz w:val="19"/>
                <w:szCs w:val="19"/>
                <w:lang w:bidi="ar-SA"/>
              </w:rPr>
            </w:pPr>
            <w:r w:rsidRPr="00DA10D2">
              <w:rPr>
                <w:rFonts w:eastAsia="MS Mincho"/>
                <w:b w:val="0"/>
                <w:color w:val="000000"/>
                <w:sz w:val="19"/>
                <w:szCs w:val="19"/>
                <w:lang w:bidi="ar-SA"/>
              </w:rPr>
              <w:t>Develop a strategic vision and strengthen market competition for minibuses and taxis</w:t>
            </w:r>
          </w:p>
          <w:p w:rsidR="00DA10D2" w:rsidRPr="00DA10D2" w:rsidRDefault="00DA10D2" w:rsidP="002513E7">
            <w:pPr>
              <w:numPr>
                <w:ilvl w:val="0"/>
                <w:numId w:val="2"/>
              </w:numPr>
              <w:spacing w:after="0"/>
              <w:ind w:left="230" w:hanging="180"/>
              <w:jc w:val="left"/>
              <w:rPr>
                <w:rFonts w:eastAsia="MS Mincho"/>
                <w:b w:val="0"/>
                <w:color w:val="000000"/>
                <w:sz w:val="19"/>
                <w:szCs w:val="19"/>
                <w:lang w:bidi="ar-SA"/>
              </w:rPr>
            </w:pPr>
            <w:r w:rsidRPr="00DA10D2">
              <w:rPr>
                <w:rFonts w:eastAsia="MS Mincho"/>
                <w:b w:val="0"/>
                <w:color w:val="000000"/>
                <w:sz w:val="19"/>
                <w:szCs w:val="19"/>
                <w:lang w:bidi="ar-SA"/>
              </w:rPr>
              <w:t>Develop a strategy for coherent multimodal public transport system</w:t>
            </w:r>
          </w:p>
        </w:tc>
        <w:tc>
          <w:tcPr>
            <w:tcW w:w="2834" w:type="dxa"/>
            <w:tcBorders>
              <w:left w:val="none" w:sz="0" w:space="0" w:color="auto"/>
              <w:right w:val="none" w:sz="0" w:space="0" w:color="auto"/>
            </w:tcBorders>
          </w:tcPr>
          <w:p w:rsidR="00DA10D2" w:rsidRPr="00DA10D2" w:rsidRDefault="00DA10D2" w:rsidP="002513E7">
            <w:pPr>
              <w:numPr>
                <w:ilvl w:val="0"/>
                <w:numId w:val="2"/>
              </w:numPr>
              <w:spacing w:after="0"/>
              <w:ind w:left="230" w:hanging="180"/>
              <w:jc w:val="left"/>
              <w:cnfStyle w:val="000000010000"/>
              <w:rPr>
                <w:rFonts w:eastAsia="MS Mincho"/>
                <w:color w:val="000000"/>
                <w:sz w:val="19"/>
                <w:szCs w:val="19"/>
                <w:lang w:bidi="ar-SA"/>
              </w:rPr>
            </w:pPr>
            <w:r w:rsidRPr="00DA10D2">
              <w:rPr>
                <w:rFonts w:eastAsia="MS Mincho"/>
                <w:color w:val="000000"/>
                <w:sz w:val="19"/>
                <w:szCs w:val="19"/>
                <w:lang w:bidi="ar-SA"/>
              </w:rPr>
              <w:t>Minibus market: introduce competitive tendering and gross-cost based contracting</w:t>
            </w:r>
          </w:p>
          <w:p w:rsidR="00DA10D2" w:rsidRPr="00DA10D2" w:rsidRDefault="00DA10D2" w:rsidP="002513E7">
            <w:pPr>
              <w:numPr>
                <w:ilvl w:val="0"/>
                <w:numId w:val="2"/>
              </w:numPr>
              <w:spacing w:after="0"/>
              <w:ind w:left="230" w:hanging="180"/>
              <w:jc w:val="left"/>
              <w:cnfStyle w:val="000000010000"/>
              <w:rPr>
                <w:rFonts w:eastAsia="MS Mincho"/>
                <w:color w:val="000000"/>
                <w:sz w:val="19"/>
                <w:szCs w:val="19"/>
                <w:lang w:bidi="ar-SA"/>
              </w:rPr>
            </w:pPr>
            <w:r w:rsidRPr="00DA10D2">
              <w:rPr>
                <w:rFonts w:eastAsia="MS Mincho"/>
                <w:color w:val="000000"/>
                <w:sz w:val="19"/>
                <w:szCs w:val="19"/>
                <w:lang w:bidi="ar-SA"/>
              </w:rPr>
              <w:t>Taxi market: introduce partial regulations that control fare and quality but allow free market-entry</w:t>
            </w:r>
          </w:p>
        </w:tc>
        <w:tc>
          <w:tcPr>
            <w:tcW w:w="2494" w:type="dxa"/>
            <w:tcBorders>
              <w:left w:val="none" w:sz="0" w:space="0" w:color="auto"/>
              <w:right w:val="none" w:sz="0" w:space="0" w:color="auto"/>
            </w:tcBorders>
          </w:tcPr>
          <w:p w:rsidR="00DA10D2" w:rsidRPr="00DA10D2" w:rsidRDefault="00DA10D2" w:rsidP="002513E7">
            <w:pPr>
              <w:spacing w:after="0"/>
              <w:ind w:left="230"/>
              <w:jc w:val="left"/>
              <w:cnfStyle w:val="000000010000"/>
              <w:rPr>
                <w:rFonts w:eastAsia="MS Mincho"/>
                <w:color w:val="000000"/>
                <w:sz w:val="19"/>
                <w:szCs w:val="19"/>
                <w:lang w:bidi="ar-SA"/>
              </w:rPr>
            </w:pPr>
          </w:p>
        </w:tc>
        <w:tc>
          <w:tcPr>
            <w:tcW w:w="2481" w:type="dxa"/>
            <w:tcBorders>
              <w:left w:val="none" w:sz="0" w:space="0" w:color="auto"/>
            </w:tcBorders>
          </w:tcPr>
          <w:p w:rsidR="00DA10D2" w:rsidRPr="00DA10D2" w:rsidRDefault="00DA10D2" w:rsidP="002513E7">
            <w:pPr>
              <w:numPr>
                <w:ilvl w:val="0"/>
                <w:numId w:val="2"/>
              </w:numPr>
              <w:spacing w:after="0"/>
              <w:ind w:left="230" w:hanging="180"/>
              <w:jc w:val="left"/>
              <w:cnfStyle w:val="000000010000"/>
              <w:rPr>
                <w:rFonts w:eastAsia="MS Mincho"/>
                <w:color w:val="000000"/>
                <w:sz w:val="19"/>
                <w:szCs w:val="19"/>
                <w:lang w:bidi="ar-SA"/>
              </w:rPr>
            </w:pPr>
            <w:r w:rsidRPr="00DA10D2">
              <w:rPr>
                <w:rFonts w:eastAsia="MS Mincho"/>
                <w:color w:val="000000"/>
                <w:sz w:val="19"/>
                <w:szCs w:val="19"/>
                <w:lang w:bidi="ar-SA"/>
              </w:rPr>
              <w:t xml:space="preserve">Refrain from direct budgetary support for vehicle improvement </w:t>
            </w:r>
          </w:p>
          <w:p w:rsidR="00DA10D2" w:rsidRPr="00DA10D2" w:rsidRDefault="00DA10D2" w:rsidP="002513E7">
            <w:pPr>
              <w:numPr>
                <w:ilvl w:val="0"/>
                <w:numId w:val="2"/>
              </w:numPr>
              <w:spacing w:after="0"/>
              <w:ind w:left="230" w:hanging="180"/>
              <w:jc w:val="left"/>
              <w:cnfStyle w:val="000000010000"/>
              <w:rPr>
                <w:rFonts w:eastAsia="MS Mincho"/>
                <w:color w:val="000000"/>
                <w:sz w:val="19"/>
                <w:szCs w:val="19"/>
                <w:lang w:bidi="ar-SA"/>
              </w:rPr>
            </w:pPr>
            <w:r w:rsidRPr="00DA10D2">
              <w:rPr>
                <w:rFonts w:eastAsia="MS Mincho"/>
                <w:color w:val="000000"/>
                <w:sz w:val="19"/>
                <w:szCs w:val="19"/>
                <w:lang w:bidi="ar-SA"/>
              </w:rPr>
              <w:t>Oblige commercial entities to maintain their vehicle fleet quality</w:t>
            </w:r>
          </w:p>
        </w:tc>
      </w:tr>
      <w:tr w:rsidR="00DA10D2" w:rsidRPr="00254B4B" w:rsidTr="00DA10D2">
        <w:trPr>
          <w:cnfStyle w:val="000000100000"/>
          <w:jc w:val="center"/>
        </w:trPr>
        <w:tc>
          <w:tcPr>
            <w:cnfStyle w:val="001000000000"/>
            <w:tcW w:w="10246" w:type="dxa"/>
            <w:gridSpan w:val="4"/>
          </w:tcPr>
          <w:p w:rsidR="00DA10D2" w:rsidRPr="00586244" w:rsidRDefault="00DA10D2" w:rsidP="002513E7">
            <w:pPr>
              <w:spacing w:after="0"/>
              <w:jc w:val="center"/>
              <w:rPr>
                <w:color w:val="000000"/>
                <w:sz w:val="20"/>
                <w:szCs w:val="20"/>
              </w:rPr>
            </w:pPr>
            <w:r>
              <w:rPr>
                <w:i/>
                <w:sz w:val="20"/>
                <w:szCs w:val="20"/>
              </w:rPr>
              <w:t xml:space="preserve">F. </w:t>
            </w:r>
            <w:r w:rsidR="00A85E9D">
              <w:rPr>
                <w:i/>
                <w:sz w:val="20"/>
                <w:szCs w:val="20"/>
              </w:rPr>
              <w:t xml:space="preserve"> </w:t>
            </w:r>
            <w:r w:rsidRPr="00586244">
              <w:rPr>
                <w:i/>
                <w:sz w:val="20"/>
                <w:szCs w:val="20"/>
              </w:rPr>
              <w:t>Support Sustainable Development of Urban Transport</w:t>
            </w:r>
          </w:p>
        </w:tc>
      </w:tr>
      <w:tr w:rsidR="00DA10D2" w:rsidRPr="00DA10D2" w:rsidTr="00DA10D2">
        <w:trPr>
          <w:cnfStyle w:val="000000010000"/>
          <w:jc w:val="center"/>
        </w:trPr>
        <w:tc>
          <w:tcPr>
            <w:cnfStyle w:val="001000000000"/>
            <w:tcW w:w="2437" w:type="dxa"/>
            <w:tcBorders>
              <w:right w:val="none" w:sz="0" w:space="0" w:color="auto"/>
            </w:tcBorders>
          </w:tcPr>
          <w:p w:rsidR="00DA10D2" w:rsidRPr="00DA10D2" w:rsidRDefault="00DA10D2" w:rsidP="002513E7">
            <w:pPr>
              <w:numPr>
                <w:ilvl w:val="0"/>
                <w:numId w:val="2"/>
              </w:numPr>
              <w:spacing w:after="0"/>
              <w:ind w:left="230" w:hanging="180"/>
              <w:jc w:val="left"/>
              <w:rPr>
                <w:rFonts w:eastAsia="MS Mincho"/>
                <w:b w:val="0"/>
                <w:color w:val="000000"/>
                <w:sz w:val="19"/>
                <w:szCs w:val="19"/>
                <w:lang w:bidi="ar-SA"/>
              </w:rPr>
            </w:pPr>
            <w:r w:rsidRPr="00DA10D2">
              <w:rPr>
                <w:rFonts w:eastAsia="MS Mincho"/>
                <w:b w:val="0"/>
                <w:color w:val="000000"/>
                <w:sz w:val="19"/>
                <w:szCs w:val="19"/>
                <w:lang w:bidi="ar-SA"/>
              </w:rPr>
              <w:t>Develop a national-level urban transport policy framework</w:t>
            </w:r>
          </w:p>
          <w:p w:rsidR="00DA10D2" w:rsidRPr="00DA10D2" w:rsidRDefault="00DA10D2" w:rsidP="002513E7">
            <w:pPr>
              <w:numPr>
                <w:ilvl w:val="0"/>
                <w:numId w:val="2"/>
              </w:numPr>
              <w:spacing w:after="0"/>
              <w:ind w:left="230" w:hanging="180"/>
              <w:jc w:val="left"/>
              <w:rPr>
                <w:rFonts w:eastAsia="MS Mincho"/>
                <w:b w:val="0"/>
                <w:color w:val="000000"/>
                <w:sz w:val="19"/>
                <w:szCs w:val="19"/>
                <w:lang w:bidi="ar-SA"/>
              </w:rPr>
            </w:pPr>
            <w:r w:rsidRPr="00DA10D2">
              <w:rPr>
                <w:rFonts w:eastAsia="MS Mincho"/>
                <w:b w:val="0"/>
                <w:color w:val="000000"/>
                <w:sz w:val="19"/>
                <w:szCs w:val="19"/>
                <w:lang w:bidi="ar-SA"/>
              </w:rPr>
              <w:t>Institute integrated city development and transport planning</w:t>
            </w:r>
          </w:p>
        </w:tc>
        <w:tc>
          <w:tcPr>
            <w:tcW w:w="2834" w:type="dxa"/>
            <w:tcBorders>
              <w:left w:val="none" w:sz="0" w:space="0" w:color="auto"/>
              <w:right w:val="none" w:sz="0" w:space="0" w:color="auto"/>
            </w:tcBorders>
          </w:tcPr>
          <w:p w:rsidR="00DA10D2" w:rsidRPr="00DA10D2" w:rsidRDefault="00DA10D2" w:rsidP="002513E7">
            <w:pPr>
              <w:numPr>
                <w:ilvl w:val="0"/>
                <w:numId w:val="2"/>
              </w:numPr>
              <w:spacing w:after="0"/>
              <w:ind w:left="230" w:hanging="180"/>
              <w:jc w:val="left"/>
              <w:cnfStyle w:val="000000010000"/>
              <w:rPr>
                <w:rFonts w:eastAsia="MS Mincho"/>
                <w:color w:val="000000"/>
                <w:sz w:val="19"/>
                <w:szCs w:val="19"/>
                <w:lang w:bidi="ar-SA"/>
              </w:rPr>
            </w:pPr>
            <w:r w:rsidRPr="00DA10D2">
              <w:rPr>
                <w:rFonts w:eastAsia="MS Mincho"/>
                <w:color w:val="000000"/>
                <w:sz w:val="19"/>
                <w:szCs w:val="19"/>
                <w:lang w:bidi="ar-SA"/>
              </w:rPr>
              <w:t>Make private car use less convenient by introducing parking restrictions in urban centers</w:t>
            </w:r>
          </w:p>
        </w:tc>
        <w:tc>
          <w:tcPr>
            <w:tcW w:w="2494" w:type="dxa"/>
            <w:tcBorders>
              <w:left w:val="none" w:sz="0" w:space="0" w:color="auto"/>
              <w:right w:val="none" w:sz="0" w:space="0" w:color="auto"/>
            </w:tcBorders>
          </w:tcPr>
          <w:p w:rsidR="00DA10D2" w:rsidRPr="00DA10D2" w:rsidRDefault="00DA10D2" w:rsidP="002513E7">
            <w:pPr>
              <w:numPr>
                <w:ilvl w:val="0"/>
                <w:numId w:val="2"/>
              </w:numPr>
              <w:spacing w:after="0"/>
              <w:ind w:left="230" w:hanging="180"/>
              <w:jc w:val="left"/>
              <w:cnfStyle w:val="000000010000"/>
              <w:rPr>
                <w:rFonts w:eastAsia="MS Mincho"/>
                <w:color w:val="000000"/>
                <w:sz w:val="19"/>
                <w:szCs w:val="19"/>
                <w:lang w:bidi="ar-SA"/>
              </w:rPr>
            </w:pPr>
            <w:r w:rsidRPr="00DA10D2">
              <w:rPr>
                <w:rFonts w:eastAsia="MS Mincho"/>
                <w:color w:val="000000"/>
                <w:sz w:val="19"/>
                <w:szCs w:val="19"/>
                <w:lang w:bidi="ar-SA"/>
              </w:rPr>
              <w:t>Make private car use more expensive through appropriate forms of road user charges</w:t>
            </w:r>
          </w:p>
        </w:tc>
        <w:tc>
          <w:tcPr>
            <w:tcW w:w="2481" w:type="dxa"/>
            <w:tcBorders>
              <w:left w:val="none" w:sz="0" w:space="0" w:color="auto"/>
            </w:tcBorders>
          </w:tcPr>
          <w:p w:rsidR="00DA10D2" w:rsidRPr="00DA10D2" w:rsidRDefault="00DA10D2" w:rsidP="002513E7">
            <w:pPr>
              <w:numPr>
                <w:ilvl w:val="0"/>
                <w:numId w:val="2"/>
              </w:numPr>
              <w:spacing w:after="0"/>
              <w:ind w:left="230" w:hanging="180"/>
              <w:jc w:val="left"/>
              <w:cnfStyle w:val="000000010000"/>
              <w:rPr>
                <w:rFonts w:eastAsia="MS Mincho"/>
                <w:color w:val="000000"/>
                <w:sz w:val="19"/>
                <w:szCs w:val="19"/>
                <w:lang w:bidi="ar-SA"/>
              </w:rPr>
            </w:pPr>
            <w:r w:rsidRPr="00DA10D2">
              <w:rPr>
                <w:rFonts w:eastAsia="MS Mincho"/>
                <w:color w:val="000000"/>
                <w:sz w:val="19"/>
                <w:szCs w:val="19"/>
                <w:lang w:bidi="ar-SA"/>
              </w:rPr>
              <w:t>Invest in high-quality and competitive alternatives to private transport</w:t>
            </w:r>
          </w:p>
          <w:p w:rsidR="00DA10D2" w:rsidRPr="00DA10D2" w:rsidRDefault="00DA10D2" w:rsidP="002513E7">
            <w:pPr>
              <w:numPr>
                <w:ilvl w:val="0"/>
                <w:numId w:val="2"/>
              </w:numPr>
              <w:spacing w:after="0"/>
              <w:ind w:left="230" w:hanging="180"/>
              <w:jc w:val="left"/>
              <w:cnfStyle w:val="000000010000"/>
              <w:rPr>
                <w:rFonts w:eastAsia="MS Mincho"/>
                <w:color w:val="000000"/>
                <w:sz w:val="19"/>
                <w:szCs w:val="19"/>
                <w:lang w:bidi="ar-SA"/>
              </w:rPr>
            </w:pPr>
            <w:r w:rsidRPr="00DA10D2">
              <w:rPr>
                <w:rFonts w:eastAsia="MS Mincho"/>
                <w:color w:val="000000"/>
                <w:sz w:val="19"/>
                <w:szCs w:val="19"/>
                <w:lang w:bidi="ar-SA"/>
              </w:rPr>
              <w:t>Introduce intelligent transportation systems for efficient traffic management and better user services in urban areas</w:t>
            </w:r>
          </w:p>
        </w:tc>
      </w:tr>
    </w:tbl>
    <w:p w:rsidR="00E20285" w:rsidRDefault="00E20285" w:rsidP="00E20285">
      <w:r w:rsidRPr="00E20285">
        <w:rPr>
          <w:b/>
          <w:i/>
        </w:rPr>
        <w:lastRenderedPageBreak/>
        <w:t>Expected benefits: positive fiscal implications</w:t>
      </w:r>
      <w:r>
        <w:t>.  In addition to the environmental benefits</w:t>
      </w:r>
      <w:r w:rsidR="008D3279">
        <w:t xml:space="preserve"> estimated in the analysis</w:t>
      </w:r>
      <w:r w:rsidR="0072342D">
        <w:t xml:space="preserve"> below</w:t>
      </w:r>
      <w:r>
        <w:t xml:space="preserve">, the policy </w:t>
      </w:r>
      <w:r w:rsidRPr="00E20285">
        <w:t xml:space="preserve">framework would help reduce fuel imports, and hence, the current account deficits. At the same time, the proposed fiscal and pricing measures would not be inconsistent with the current administrative philosophy that pursues small government. The proposed taxes and subsidies do not automatically lead to bigger government or increased tax burden on households and firms. </w:t>
      </w:r>
      <w:r>
        <w:t>Income (households) and cost (firms) effects of such fiscal measures can partly be compensated for by allocating revenues on developing green transport modes or reducing taxes that have negative effects on economic growth. Appropriate levels of taxes and other charges need to be identified through a follow-up research.</w:t>
      </w:r>
    </w:p>
    <w:p w:rsidR="00E20285" w:rsidRDefault="00E20285" w:rsidP="00E20285">
      <w:r w:rsidRPr="00E20285">
        <w:rPr>
          <w:b/>
          <w:i/>
        </w:rPr>
        <w:t>Implementation: public outreach and phased approach</w:t>
      </w:r>
      <w:r>
        <w:t xml:space="preserve">. </w:t>
      </w:r>
      <w:r w:rsidR="0072342D">
        <w:t xml:space="preserve">Public outreach and phased approach would mitigate political risks and administrative difficulties during implementation of the framework. </w:t>
      </w:r>
      <w:r w:rsidR="008D3279">
        <w:t>P</w:t>
      </w:r>
      <w:r w:rsidRPr="008D3279">
        <w:t>ublic acceptance of fiscal and regulatory measures can be won through a public outreach strategy that highlights the service</w:t>
      </w:r>
      <w:r w:rsidR="0072342D">
        <w:t>-</w:t>
      </w:r>
      <w:r w:rsidRPr="008D3279">
        <w:t>fee nature of certain pricing measures and the social costs of environmental externalities. The</w:t>
      </w:r>
      <w:r>
        <w:t xml:space="preserve"> proposed fiscal and pricing measures target the sources of pollution and inefficient use of motor fuels </w:t>
      </w:r>
      <w:r w:rsidR="008D3279">
        <w:t xml:space="preserve">and </w:t>
      </w:r>
      <w:r>
        <w:t>can easily be formulated and communicated as “fees” that need to be paid for polluting the environment</w:t>
      </w:r>
      <w:r w:rsidRPr="003D5180">
        <w:t xml:space="preserve"> </w:t>
      </w:r>
      <w:r>
        <w:t xml:space="preserve">or for using transport infrastructure and services, instead of “taxes” on vehicles or fuels. </w:t>
      </w:r>
      <w:r w:rsidR="0072342D">
        <w:t>In addition</w:t>
      </w:r>
      <w:r w:rsidRPr="00A84E2F">
        <w:t xml:space="preserve">, </w:t>
      </w:r>
      <w:r w:rsidR="008D3279" w:rsidRPr="008D3279">
        <w:t>t</w:t>
      </w:r>
      <w:r w:rsidRPr="008D3279">
        <w:t>o minimize the contact between public officials and the public, phased implementation of regulatory measures</w:t>
      </w:r>
      <w:r>
        <w:t xml:space="preserve"> is recommended</w:t>
      </w:r>
      <w:r w:rsidR="008D3279">
        <w:t>, starting with f</w:t>
      </w:r>
      <w:r>
        <w:t>uel quality inspection</w:t>
      </w:r>
      <w:r w:rsidR="008D3279">
        <w:t>, which</w:t>
      </w:r>
      <w:r>
        <w:t xml:space="preserve"> poses lowest governance risks</w:t>
      </w:r>
      <w:r w:rsidR="008D3279">
        <w:t>, and e</w:t>
      </w:r>
      <w:r>
        <w:t xml:space="preserve">xpanding vehicle inspection to include </w:t>
      </w:r>
      <w:r w:rsidR="008D3279">
        <w:t xml:space="preserve">all </w:t>
      </w:r>
      <w:r>
        <w:t>commercial operators</w:t>
      </w:r>
      <w:r w:rsidR="008D3279">
        <w:t>.</w:t>
      </w:r>
    </w:p>
    <w:p w:rsidR="008D51E5" w:rsidRPr="0006568D" w:rsidRDefault="008D51E5" w:rsidP="00A85E9D">
      <w:pPr>
        <w:spacing w:before="360" w:after="180"/>
        <w:jc w:val="center"/>
        <w:rPr>
          <w:rFonts w:eastAsia="MS Mincho"/>
          <w:sz w:val="24"/>
          <w:szCs w:val="24"/>
          <w:lang w:bidi="ar-SA"/>
        </w:rPr>
      </w:pPr>
      <w:r w:rsidRPr="0006568D">
        <w:rPr>
          <w:rFonts w:eastAsia="MS Mincho"/>
          <w:b/>
          <w:sz w:val="24"/>
          <w:szCs w:val="24"/>
          <w:lang w:bidi="ar-SA"/>
        </w:rPr>
        <w:t>Economic and Environmental Benefits of Greening Transportation</w:t>
      </w:r>
    </w:p>
    <w:p w:rsidR="008D51E5" w:rsidRDefault="008D51E5" w:rsidP="008D51E5">
      <w:pPr>
        <w:rPr>
          <w:rFonts w:eastAsia="MS Mincho"/>
        </w:rPr>
      </w:pPr>
      <w:r>
        <w:rPr>
          <w:rFonts w:eastAsia="MS Mincho"/>
        </w:rPr>
        <w:t xml:space="preserve">The </w:t>
      </w:r>
      <w:r w:rsidRPr="0006568D">
        <w:rPr>
          <w:rFonts w:eastAsia="MS Mincho"/>
        </w:rPr>
        <w:t xml:space="preserve">economic and environmental benefits of the proposed framework for green transportation </w:t>
      </w:r>
      <w:r>
        <w:rPr>
          <w:rFonts w:eastAsia="MS Mincho"/>
        </w:rPr>
        <w:t xml:space="preserve">have been estimated for a 15-year period (2012-2027) </w:t>
      </w:r>
      <w:r w:rsidRPr="0006568D">
        <w:rPr>
          <w:rFonts w:eastAsia="MS Mincho"/>
        </w:rPr>
        <w:t xml:space="preserve">using the EFFECT </w:t>
      </w:r>
      <w:r>
        <w:rPr>
          <w:rFonts w:eastAsia="MS Mincho"/>
        </w:rPr>
        <w:t>(</w:t>
      </w:r>
      <w:r w:rsidRPr="000A117E">
        <w:rPr>
          <w:rFonts w:eastAsia="MS Mincho"/>
        </w:rPr>
        <w:t>Energy Forecasting Framework and Emissions Consensus Tool</w:t>
      </w:r>
      <w:r>
        <w:rPr>
          <w:rFonts w:eastAsia="MS Mincho"/>
        </w:rPr>
        <w:t xml:space="preserve">) </w:t>
      </w:r>
      <w:r w:rsidRPr="0006568D">
        <w:rPr>
          <w:rFonts w:eastAsia="MS Mincho"/>
        </w:rPr>
        <w:t xml:space="preserve">framework </w:t>
      </w:r>
      <w:r>
        <w:rPr>
          <w:rFonts w:eastAsia="MS Mincho"/>
        </w:rPr>
        <w:t>by</w:t>
      </w:r>
      <w:r w:rsidRPr="0006568D">
        <w:rPr>
          <w:rFonts w:eastAsia="MS Mincho"/>
        </w:rPr>
        <w:t xml:space="preserve"> comparing two scenarios: business-as-usual </w:t>
      </w:r>
      <w:r>
        <w:rPr>
          <w:rFonts w:eastAsia="MS Mincho"/>
        </w:rPr>
        <w:t>or adopting</w:t>
      </w:r>
      <w:r w:rsidRPr="0006568D">
        <w:rPr>
          <w:rFonts w:eastAsia="MS Mincho"/>
        </w:rPr>
        <w:t xml:space="preserve"> </w:t>
      </w:r>
      <w:r w:rsidR="008A2EAE">
        <w:rPr>
          <w:rFonts w:eastAsia="MS Mincho"/>
        </w:rPr>
        <w:t xml:space="preserve">the </w:t>
      </w:r>
      <w:r w:rsidRPr="0006568D">
        <w:rPr>
          <w:rFonts w:eastAsia="MS Mincho"/>
        </w:rPr>
        <w:t>green transportation</w:t>
      </w:r>
      <w:r>
        <w:rPr>
          <w:rFonts w:eastAsia="MS Mincho"/>
        </w:rPr>
        <w:t xml:space="preserve"> policy</w:t>
      </w:r>
      <w:r w:rsidR="008A2EAE">
        <w:rPr>
          <w:rFonts w:eastAsia="MS Mincho"/>
        </w:rPr>
        <w:t xml:space="preserve"> framework</w:t>
      </w:r>
      <w:r w:rsidRPr="0006568D">
        <w:rPr>
          <w:rFonts w:eastAsia="MS Mincho"/>
        </w:rPr>
        <w:t xml:space="preserve">. </w:t>
      </w:r>
      <w:r w:rsidR="00E20285">
        <w:t xml:space="preserve">The EFFECT framework predicts future vehicle ownership and transport demand on the basis of the baseline ownership and transport data, future economic and population growth, fuel prices, mode choice patterns, and anticipated improvements and changes in vehicle technologies. </w:t>
      </w:r>
      <w:r w:rsidRPr="0006568D">
        <w:rPr>
          <w:rFonts w:eastAsia="MS Mincho"/>
        </w:rPr>
        <w:t xml:space="preserve">Under the green transportation scenario, </w:t>
      </w:r>
      <w:r>
        <w:rPr>
          <w:rFonts w:eastAsia="MS Mincho"/>
        </w:rPr>
        <w:t xml:space="preserve">it is estimated that </w:t>
      </w:r>
      <w:r w:rsidRPr="0006568D">
        <w:rPr>
          <w:rFonts w:eastAsia="MS Mincho"/>
        </w:rPr>
        <w:t xml:space="preserve">Georgians </w:t>
      </w:r>
      <w:r>
        <w:rPr>
          <w:rFonts w:eastAsia="MS Mincho"/>
        </w:rPr>
        <w:t xml:space="preserve">will </w:t>
      </w:r>
      <w:r w:rsidRPr="0006568D">
        <w:rPr>
          <w:rFonts w:eastAsia="MS Mincho"/>
        </w:rPr>
        <w:t>drive about 4</w:t>
      </w:r>
      <w:r w:rsidR="006049B9">
        <w:rPr>
          <w:rFonts w:eastAsia="MS Mincho"/>
        </w:rPr>
        <w:t>.0</w:t>
      </w:r>
      <w:r w:rsidRPr="0006568D">
        <w:rPr>
          <w:rFonts w:eastAsia="MS Mincho"/>
        </w:rPr>
        <w:t>-6</w:t>
      </w:r>
      <w:r w:rsidR="006049B9">
        <w:rPr>
          <w:rFonts w:eastAsia="MS Mincho"/>
        </w:rPr>
        <w:t>.0</w:t>
      </w:r>
      <w:r w:rsidRPr="0006568D">
        <w:rPr>
          <w:rFonts w:eastAsia="MS Mincho"/>
        </w:rPr>
        <w:t xml:space="preserve"> percent less than under the business-as-usual </w:t>
      </w:r>
      <w:r>
        <w:rPr>
          <w:rFonts w:eastAsia="MS Mincho"/>
        </w:rPr>
        <w:t>scenario</w:t>
      </w:r>
      <w:r w:rsidR="008A2EAE">
        <w:rPr>
          <w:rFonts w:eastAsia="MS Mincho"/>
        </w:rPr>
        <w:t xml:space="preserve">, </w:t>
      </w:r>
      <w:r w:rsidR="006049B9">
        <w:rPr>
          <w:rFonts w:eastAsia="MS Mincho"/>
        </w:rPr>
        <w:t xml:space="preserve">which </w:t>
      </w:r>
      <w:r w:rsidRPr="0006568D">
        <w:rPr>
          <w:rFonts w:eastAsia="MS Mincho"/>
        </w:rPr>
        <w:t xml:space="preserve">would </w:t>
      </w:r>
      <w:r>
        <w:rPr>
          <w:rFonts w:eastAsia="MS Mincho"/>
        </w:rPr>
        <w:t>reduce</w:t>
      </w:r>
      <w:r w:rsidRPr="0006568D">
        <w:rPr>
          <w:rFonts w:eastAsia="MS Mincho"/>
        </w:rPr>
        <w:t xml:space="preserve"> motor fuel consumption </w:t>
      </w:r>
      <w:r>
        <w:rPr>
          <w:rFonts w:eastAsia="MS Mincho"/>
        </w:rPr>
        <w:t xml:space="preserve">by about </w:t>
      </w:r>
      <w:r w:rsidRPr="0006568D">
        <w:rPr>
          <w:rFonts w:eastAsia="MS Mincho"/>
        </w:rPr>
        <w:t>1,746 to 1,825 million tons</w:t>
      </w:r>
      <w:r w:rsidR="008A2EAE">
        <w:rPr>
          <w:rFonts w:eastAsia="MS Mincho"/>
        </w:rPr>
        <w:t xml:space="preserve"> </w:t>
      </w:r>
      <w:r w:rsidR="008A2EAE">
        <w:t>over the 15 year period</w:t>
      </w:r>
      <w:r w:rsidRPr="0006568D">
        <w:rPr>
          <w:rFonts w:eastAsia="MS Mincho"/>
        </w:rPr>
        <w:t xml:space="preserve">, equivalent to </w:t>
      </w:r>
      <w:r>
        <w:rPr>
          <w:rFonts w:eastAsia="MS Mincho"/>
        </w:rPr>
        <w:t xml:space="preserve">9 </w:t>
      </w:r>
      <w:r w:rsidRPr="0006568D">
        <w:rPr>
          <w:rFonts w:eastAsia="MS Mincho"/>
        </w:rPr>
        <w:t xml:space="preserve">billion GEL of fuel cost savings (discounted net present value). </w:t>
      </w:r>
      <w:r>
        <w:rPr>
          <w:rFonts w:eastAsia="MS Mincho"/>
        </w:rPr>
        <w:t xml:space="preserve">The </w:t>
      </w:r>
      <w:r w:rsidRPr="0006568D">
        <w:rPr>
          <w:rFonts w:eastAsia="MS Mincho"/>
        </w:rPr>
        <w:t xml:space="preserve">CO2 emissions </w:t>
      </w:r>
      <w:r>
        <w:rPr>
          <w:rFonts w:eastAsia="MS Mincho"/>
        </w:rPr>
        <w:t xml:space="preserve">would drop by an estimated </w:t>
      </w:r>
      <w:r w:rsidRPr="0006568D">
        <w:rPr>
          <w:rFonts w:eastAsia="MS Mincho"/>
        </w:rPr>
        <w:t>2,797 to 5,338 million tons</w:t>
      </w:r>
      <w:r>
        <w:rPr>
          <w:rFonts w:eastAsia="MS Mincho"/>
        </w:rPr>
        <w:t xml:space="preserve"> and</w:t>
      </w:r>
      <w:r w:rsidRPr="0006568D">
        <w:rPr>
          <w:rFonts w:eastAsia="MS Mincho"/>
        </w:rPr>
        <w:t xml:space="preserve"> most local pollutant emissions </w:t>
      </w:r>
      <w:r>
        <w:rPr>
          <w:rFonts w:eastAsia="MS Mincho"/>
        </w:rPr>
        <w:t xml:space="preserve">would be </w:t>
      </w:r>
      <w:r w:rsidRPr="0006568D">
        <w:rPr>
          <w:rFonts w:eastAsia="MS Mincho"/>
        </w:rPr>
        <w:t xml:space="preserve">substantially reduced: </w:t>
      </w:r>
      <w:r>
        <w:rPr>
          <w:rFonts w:eastAsia="MS Mincho"/>
        </w:rPr>
        <w:t xml:space="preserve">a </w:t>
      </w:r>
      <w:r w:rsidRPr="0006568D">
        <w:rPr>
          <w:rFonts w:eastAsia="MS Mincho"/>
        </w:rPr>
        <w:t xml:space="preserve">22 to 67 percent </w:t>
      </w:r>
      <w:r>
        <w:rPr>
          <w:rFonts w:eastAsia="MS Mincho"/>
        </w:rPr>
        <w:t xml:space="preserve">drop </w:t>
      </w:r>
      <w:r w:rsidRPr="0006568D">
        <w:rPr>
          <w:rFonts w:eastAsia="MS Mincho"/>
        </w:rPr>
        <w:t xml:space="preserve">in CO emissions, 26 to 54 percent </w:t>
      </w:r>
      <w:r>
        <w:rPr>
          <w:rFonts w:eastAsia="MS Mincho"/>
        </w:rPr>
        <w:t xml:space="preserve">drop </w:t>
      </w:r>
      <w:r w:rsidRPr="0006568D">
        <w:rPr>
          <w:rFonts w:eastAsia="MS Mincho"/>
        </w:rPr>
        <w:t xml:space="preserve">in VOC emissions, and 11 to 23 percent </w:t>
      </w:r>
      <w:r>
        <w:rPr>
          <w:rFonts w:eastAsia="MS Mincho"/>
        </w:rPr>
        <w:t xml:space="preserve">drop </w:t>
      </w:r>
      <w:r w:rsidRPr="0006568D">
        <w:rPr>
          <w:rFonts w:eastAsia="MS Mincho"/>
        </w:rPr>
        <w:t>in NOx emissions.</w:t>
      </w:r>
      <w:r>
        <w:rPr>
          <w:rFonts w:eastAsia="MS Mincho"/>
        </w:rPr>
        <w:t xml:space="preserve"> Other indirect benefits, while not quantitatively measure</w:t>
      </w:r>
      <w:r w:rsidR="00C95B46">
        <w:rPr>
          <w:rFonts w:eastAsia="MS Mincho"/>
        </w:rPr>
        <w:t>d</w:t>
      </w:r>
      <w:r>
        <w:rPr>
          <w:rFonts w:eastAsia="MS Mincho"/>
        </w:rPr>
        <w:t xml:space="preserve">, would include </w:t>
      </w:r>
      <w:r w:rsidR="006049B9">
        <w:rPr>
          <w:rFonts w:eastAsia="MS Mincho"/>
        </w:rPr>
        <w:t>reduced</w:t>
      </w:r>
      <w:r>
        <w:rPr>
          <w:rFonts w:eastAsia="MS Mincho"/>
        </w:rPr>
        <w:t xml:space="preserve"> traffic congestion, road traffic casualties, and healthcare costs.</w:t>
      </w:r>
    </w:p>
    <w:p w:rsidR="0072342D" w:rsidRDefault="0072342D">
      <w:r>
        <w:br w:type="page"/>
      </w:r>
    </w:p>
    <w:tbl>
      <w:tblPr>
        <w:tblW w:w="93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4659"/>
        <w:gridCol w:w="4660"/>
      </w:tblGrid>
      <w:tr w:rsidR="008D51E5" w:rsidRPr="0006568D" w:rsidTr="00DD140E">
        <w:trPr>
          <w:jc w:val="center"/>
        </w:trPr>
        <w:tc>
          <w:tcPr>
            <w:tcW w:w="9319" w:type="dxa"/>
            <w:gridSpan w:val="2"/>
            <w:tcBorders>
              <w:top w:val="nil"/>
              <w:left w:val="nil"/>
              <w:bottom w:val="nil"/>
              <w:right w:val="nil"/>
            </w:tcBorders>
          </w:tcPr>
          <w:p w:rsidR="008D51E5" w:rsidRPr="0006568D" w:rsidRDefault="008D51E5" w:rsidP="00DD140E">
            <w:pPr>
              <w:keepNext/>
              <w:spacing w:before="120" w:after="0" w:line="240" w:lineRule="auto"/>
              <w:jc w:val="center"/>
              <w:rPr>
                <w:rFonts w:eastAsia="Malgun Gothic"/>
                <w:b/>
              </w:rPr>
            </w:pPr>
            <w:r w:rsidRPr="0006568D">
              <w:rPr>
                <w:rFonts w:eastAsia="Malgun Gothic"/>
                <w:b/>
              </w:rPr>
              <w:lastRenderedPageBreak/>
              <w:t>Vehicle-kilometers-traveled</w:t>
            </w:r>
          </w:p>
        </w:tc>
      </w:tr>
      <w:tr w:rsidR="008D51E5" w:rsidRPr="0006568D" w:rsidTr="00DD140E">
        <w:trPr>
          <w:jc w:val="center"/>
        </w:trPr>
        <w:tc>
          <w:tcPr>
            <w:tcW w:w="4659" w:type="dxa"/>
            <w:tcBorders>
              <w:top w:val="nil"/>
              <w:left w:val="nil"/>
              <w:bottom w:val="single" w:sz="4" w:space="0" w:color="auto"/>
              <w:right w:val="nil"/>
            </w:tcBorders>
          </w:tcPr>
          <w:p w:rsidR="008D51E5" w:rsidRPr="0006568D" w:rsidRDefault="008D51E5" w:rsidP="00DD140E">
            <w:pPr>
              <w:tabs>
                <w:tab w:val="center" w:pos="2214"/>
                <w:tab w:val="left" w:pos="3660"/>
              </w:tabs>
              <w:spacing w:before="60" w:after="0" w:line="240" w:lineRule="auto"/>
              <w:jc w:val="left"/>
              <w:rPr>
                <w:rFonts w:eastAsia="Malgun Gothic"/>
                <w:i/>
                <w:noProof/>
                <w:lang w:eastAsia="ko-KR" w:bidi="ar-SA"/>
              </w:rPr>
            </w:pPr>
            <w:r w:rsidRPr="0006568D">
              <w:rPr>
                <w:rFonts w:eastAsia="Malgun Gothic"/>
                <w:i/>
              </w:rPr>
              <w:tab/>
            </w:r>
            <w:r>
              <w:rPr>
                <w:rFonts w:eastAsia="Malgun Gothic"/>
                <w:i/>
              </w:rPr>
              <w:t>B</w:t>
            </w:r>
            <w:r w:rsidRPr="0006568D">
              <w:rPr>
                <w:rFonts w:eastAsia="Malgun Gothic"/>
                <w:i/>
              </w:rPr>
              <w:t>usiness-as-usual</w:t>
            </w:r>
            <w:r w:rsidRPr="0006568D">
              <w:rPr>
                <w:rFonts w:eastAsia="Malgun Gothic"/>
                <w:i/>
              </w:rPr>
              <w:tab/>
            </w:r>
          </w:p>
        </w:tc>
        <w:tc>
          <w:tcPr>
            <w:tcW w:w="4660" w:type="dxa"/>
            <w:tcBorders>
              <w:top w:val="nil"/>
              <w:left w:val="nil"/>
              <w:bottom w:val="single" w:sz="4" w:space="0" w:color="auto"/>
              <w:right w:val="nil"/>
            </w:tcBorders>
          </w:tcPr>
          <w:p w:rsidR="008D51E5" w:rsidRPr="0006568D" w:rsidRDefault="008D51E5" w:rsidP="00DD140E">
            <w:pPr>
              <w:keepNext/>
              <w:spacing w:before="60" w:after="0" w:line="240" w:lineRule="auto"/>
              <w:jc w:val="center"/>
              <w:rPr>
                <w:rFonts w:eastAsia="Malgun Gothic"/>
                <w:b/>
                <w:i/>
              </w:rPr>
            </w:pPr>
            <w:r>
              <w:rPr>
                <w:rFonts w:eastAsia="Malgun Gothic"/>
                <w:i/>
              </w:rPr>
              <w:t>G</w:t>
            </w:r>
            <w:r w:rsidRPr="0006568D">
              <w:rPr>
                <w:rFonts w:eastAsia="Malgun Gothic"/>
                <w:i/>
              </w:rPr>
              <w:t xml:space="preserve">reen transportation </w:t>
            </w:r>
          </w:p>
        </w:tc>
      </w:tr>
      <w:tr w:rsidR="008D51E5" w:rsidRPr="0006568D" w:rsidTr="00DD140E">
        <w:trPr>
          <w:jc w:val="center"/>
        </w:trPr>
        <w:tc>
          <w:tcPr>
            <w:tcW w:w="4659" w:type="dxa"/>
            <w:tcBorders>
              <w:bottom w:val="single" w:sz="4" w:space="0" w:color="auto"/>
            </w:tcBorders>
            <w:tcMar>
              <w:left w:w="0" w:type="dxa"/>
              <w:right w:w="0" w:type="dxa"/>
            </w:tcMar>
          </w:tcPr>
          <w:p w:rsidR="008D51E5" w:rsidRPr="0006568D" w:rsidRDefault="008D51E5" w:rsidP="00DD140E">
            <w:pPr>
              <w:spacing w:after="0" w:line="240" w:lineRule="auto"/>
              <w:jc w:val="center"/>
              <w:rPr>
                <w:rFonts w:eastAsia="Malgun Gothic"/>
                <w:highlight w:val="yellow"/>
              </w:rPr>
            </w:pPr>
            <w:r>
              <w:rPr>
                <w:rFonts w:eastAsia="Malgun Gothic"/>
                <w:noProof/>
                <w:lang w:bidi="ar-SA"/>
              </w:rPr>
              <w:drawing>
                <wp:inline distT="0" distB="0" distL="0" distR="0">
                  <wp:extent cx="2952750" cy="2752725"/>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2952750" cy="2752725"/>
                          </a:xfrm>
                          <a:prstGeom prst="rect">
                            <a:avLst/>
                          </a:prstGeom>
                          <a:noFill/>
                          <a:ln w="9525">
                            <a:noFill/>
                            <a:miter lim="800000"/>
                            <a:headEnd/>
                            <a:tailEnd/>
                          </a:ln>
                        </pic:spPr>
                      </pic:pic>
                    </a:graphicData>
                  </a:graphic>
                </wp:inline>
              </w:drawing>
            </w:r>
          </w:p>
        </w:tc>
        <w:tc>
          <w:tcPr>
            <w:tcW w:w="4660" w:type="dxa"/>
            <w:tcBorders>
              <w:bottom w:val="single" w:sz="4" w:space="0" w:color="auto"/>
            </w:tcBorders>
            <w:tcMar>
              <w:left w:w="0" w:type="dxa"/>
              <w:right w:w="0" w:type="dxa"/>
            </w:tcMar>
          </w:tcPr>
          <w:p w:rsidR="008D51E5" w:rsidRPr="0006568D" w:rsidRDefault="008D51E5" w:rsidP="00DD140E">
            <w:pPr>
              <w:keepNext/>
              <w:spacing w:after="0" w:line="240" w:lineRule="auto"/>
              <w:jc w:val="center"/>
              <w:rPr>
                <w:rFonts w:eastAsia="Malgun Gothic"/>
                <w:noProof/>
                <w:highlight w:val="yellow"/>
                <w:lang w:eastAsia="ko-KR" w:bidi="ar-SA"/>
              </w:rPr>
            </w:pPr>
            <w:r>
              <w:rPr>
                <w:rFonts w:eastAsia="Malgun Gothic"/>
                <w:noProof/>
                <w:lang w:bidi="ar-SA"/>
              </w:rPr>
              <w:drawing>
                <wp:inline distT="0" distB="0" distL="0" distR="0">
                  <wp:extent cx="2952750" cy="2752725"/>
                  <wp:effectExtent l="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2952750" cy="2752725"/>
                          </a:xfrm>
                          <a:prstGeom prst="rect">
                            <a:avLst/>
                          </a:prstGeom>
                          <a:noFill/>
                          <a:ln w="9525">
                            <a:noFill/>
                            <a:miter lim="800000"/>
                            <a:headEnd/>
                            <a:tailEnd/>
                          </a:ln>
                        </pic:spPr>
                      </pic:pic>
                    </a:graphicData>
                  </a:graphic>
                </wp:inline>
              </w:drawing>
            </w:r>
          </w:p>
        </w:tc>
      </w:tr>
    </w:tbl>
    <w:p w:rsidR="008D51E5" w:rsidRDefault="008D51E5" w:rsidP="008D51E5"/>
    <w:tbl>
      <w:tblPr>
        <w:tblW w:w="93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4659"/>
        <w:gridCol w:w="4660"/>
      </w:tblGrid>
      <w:tr w:rsidR="008D51E5" w:rsidRPr="0006568D" w:rsidTr="00DD140E">
        <w:trPr>
          <w:jc w:val="center"/>
        </w:trPr>
        <w:tc>
          <w:tcPr>
            <w:tcW w:w="9319" w:type="dxa"/>
            <w:gridSpan w:val="2"/>
            <w:tcBorders>
              <w:top w:val="nil"/>
              <w:left w:val="nil"/>
              <w:bottom w:val="nil"/>
              <w:right w:val="nil"/>
            </w:tcBorders>
          </w:tcPr>
          <w:p w:rsidR="008D51E5" w:rsidRPr="0006568D" w:rsidRDefault="008D51E5" w:rsidP="008C5914">
            <w:pPr>
              <w:keepNext/>
              <w:keepLines/>
              <w:spacing w:before="120" w:after="0" w:line="240" w:lineRule="auto"/>
              <w:jc w:val="center"/>
              <w:rPr>
                <w:rFonts w:eastAsia="Malgun Gothic"/>
                <w:b/>
              </w:rPr>
            </w:pPr>
            <w:r w:rsidRPr="0006568D">
              <w:rPr>
                <w:rFonts w:eastAsia="Malgun Gothic"/>
                <w:b/>
              </w:rPr>
              <w:t>Motor fuel consumptions</w:t>
            </w:r>
          </w:p>
        </w:tc>
      </w:tr>
      <w:tr w:rsidR="008D51E5" w:rsidRPr="0006568D" w:rsidTr="00DD140E">
        <w:trPr>
          <w:jc w:val="center"/>
        </w:trPr>
        <w:tc>
          <w:tcPr>
            <w:tcW w:w="4659" w:type="dxa"/>
            <w:tcBorders>
              <w:top w:val="nil"/>
              <w:left w:val="nil"/>
              <w:bottom w:val="single" w:sz="4" w:space="0" w:color="auto"/>
              <w:right w:val="nil"/>
            </w:tcBorders>
          </w:tcPr>
          <w:p w:rsidR="008D51E5" w:rsidRPr="0006568D" w:rsidRDefault="008D51E5" w:rsidP="008C5914">
            <w:pPr>
              <w:keepNext/>
              <w:keepLines/>
              <w:tabs>
                <w:tab w:val="center" w:pos="2214"/>
                <w:tab w:val="left" w:pos="3660"/>
              </w:tabs>
              <w:spacing w:before="60" w:after="0" w:line="240" w:lineRule="auto"/>
              <w:jc w:val="left"/>
              <w:rPr>
                <w:rFonts w:eastAsia="Malgun Gothic"/>
                <w:i/>
                <w:noProof/>
                <w:lang w:eastAsia="ko-KR" w:bidi="ar-SA"/>
              </w:rPr>
            </w:pPr>
            <w:r w:rsidRPr="0006568D">
              <w:rPr>
                <w:rFonts w:eastAsia="Malgun Gothic"/>
                <w:i/>
              </w:rPr>
              <w:tab/>
            </w:r>
            <w:r>
              <w:rPr>
                <w:rFonts w:eastAsia="Malgun Gothic"/>
                <w:i/>
              </w:rPr>
              <w:t>B</w:t>
            </w:r>
            <w:r w:rsidRPr="0006568D">
              <w:rPr>
                <w:rFonts w:eastAsia="Malgun Gothic"/>
                <w:i/>
              </w:rPr>
              <w:t>usiness-as-usual</w:t>
            </w:r>
            <w:r w:rsidRPr="0006568D">
              <w:rPr>
                <w:rFonts w:eastAsia="Malgun Gothic"/>
                <w:i/>
              </w:rPr>
              <w:tab/>
            </w:r>
          </w:p>
        </w:tc>
        <w:tc>
          <w:tcPr>
            <w:tcW w:w="4660" w:type="dxa"/>
            <w:tcBorders>
              <w:top w:val="nil"/>
              <w:left w:val="nil"/>
              <w:bottom w:val="single" w:sz="4" w:space="0" w:color="auto"/>
              <w:right w:val="nil"/>
            </w:tcBorders>
          </w:tcPr>
          <w:p w:rsidR="008D51E5" w:rsidRPr="0006568D" w:rsidRDefault="008D51E5" w:rsidP="008C5914">
            <w:pPr>
              <w:keepNext/>
              <w:keepLines/>
              <w:spacing w:before="60" w:after="0" w:line="240" w:lineRule="auto"/>
              <w:jc w:val="center"/>
              <w:rPr>
                <w:rFonts w:eastAsia="Malgun Gothic"/>
                <w:b/>
                <w:i/>
              </w:rPr>
            </w:pPr>
            <w:r>
              <w:rPr>
                <w:rFonts w:eastAsia="Malgun Gothic"/>
                <w:i/>
              </w:rPr>
              <w:t>G</w:t>
            </w:r>
            <w:r w:rsidRPr="0006568D">
              <w:rPr>
                <w:rFonts w:eastAsia="Malgun Gothic"/>
                <w:i/>
              </w:rPr>
              <w:t xml:space="preserve">reen transportation </w:t>
            </w:r>
          </w:p>
        </w:tc>
      </w:tr>
      <w:tr w:rsidR="008D51E5" w:rsidRPr="0006568D" w:rsidTr="00DD140E">
        <w:trPr>
          <w:jc w:val="center"/>
        </w:trPr>
        <w:tc>
          <w:tcPr>
            <w:tcW w:w="4659" w:type="dxa"/>
            <w:tcBorders>
              <w:bottom w:val="single" w:sz="4" w:space="0" w:color="auto"/>
            </w:tcBorders>
            <w:tcMar>
              <w:left w:w="0" w:type="dxa"/>
              <w:right w:w="0" w:type="dxa"/>
            </w:tcMar>
          </w:tcPr>
          <w:p w:rsidR="008D51E5" w:rsidRPr="0006568D" w:rsidRDefault="008D51E5" w:rsidP="008C5914">
            <w:pPr>
              <w:keepNext/>
              <w:keepLines/>
              <w:spacing w:after="0" w:line="240" w:lineRule="auto"/>
              <w:jc w:val="center"/>
              <w:rPr>
                <w:rFonts w:eastAsia="Malgun Gothic"/>
                <w:highlight w:val="yellow"/>
              </w:rPr>
            </w:pPr>
            <w:r>
              <w:rPr>
                <w:rFonts w:eastAsia="Malgun Gothic"/>
                <w:noProof/>
                <w:lang w:bidi="ar-SA"/>
              </w:rPr>
              <w:drawing>
                <wp:inline distT="0" distB="0" distL="0" distR="0">
                  <wp:extent cx="2952750" cy="2752725"/>
                  <wp:effectExtent l="1905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2952750" cy="2752725"/>
                          </a:xfrm>
                          <a:prstGeom prst="rect">
                            <a:avLst/>
                          </a:prstGeom>
                          <a:noFill/>
                          <a:ln w="9525">
                            <a:noFill/>
                            <a:miter lim="800000"/>
                            <a:headEnd/>
                            <a:tailEnd/>
                          </a:ln>
                        </pic:spPr>
                      </pic:pic>
                    </a:graphicData>
                  </a:graphic>
                </wp:inline>
              </w:drawing>
            </w:r>
          </w:p>
        </w:tc>
        <w:tc>
          <w:tcPr>
            <w:tcW w:w="4660" w:type="dxa"/>
            <w:tcBorders>
              <w:bottom w:val="single" w:sz="4" w:space="0" w:color="auto"/>
            </w:tcBorders>
            <w:tcMar>
              <w:left w:w="0" w:type="dxa"/>
              <w:right w:w="0" w:type="dxa"/>
            </w:tcMar>
          </w:tcPr>
          <w:p w:rsidR="008D51E5" w:rsidRPr="0006568D" w:rsidRDefault="008D51E5" w:rsidP="008C5914">
            <w:pPr>
              <w:keepNext/>
              <w:keepLines/>
              <w:spacing w:after="0" w:line="240" w:lineRule="auto"/>
              <w:jc w:val="center"/>
              <w:rPr>
                <w:rFonts w:eastAsia="Malgun Gothic"/>
                <w:noProof/>
                <w:highlight w:val="yellow"/>
                <w:lang w:eastAsia="ko-KR" w:bidi="ar-SA"/>
              </w:rPr>
            </w:pPr>
            <w:r>
              <w:rPr>
                <w:rFonts w:eastAsia="Malgun Gothic"/>
                <w:noProof/>
                <w:lang w:bidi="ar-SA"/>
              </w:rPr>
              <w:drawing>
                <wp:inline distT="0" distB="0" distL="0" distR="0">
                  <wp:extent cx="2952750" cy="2752725"/>
                  <wp:effectExtent l="1905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2952750" cy="2752725"/>
                          </a:xfrm>
                          <a:prstGeom prst="rect">
                            <a:avLst/>
                          </a:prstGeom>
                          <a:noFill/>
                          <a:ln w="9525">
                            <a:noFill/>
                            <a:miter lim="800000"/>
                            <a:headEnd/>
                            <a:tailEnd/>
                          </a:ln>
                        </pic:spPr>
                      </pic:pic>
                    </a:graphicData>
                  </a:graphic>
                </wp:inline>
              </w:drawing>
            </w:r>
          </w:p>
        </w:tc>
      </w:tr>
    </w:tbl>
    <w:p w:rsidR="0072342D" w:rsidRPr="0006568D" w:rsidRDefault="0072342D" w:rsidP="008D51E5">
      <w:pPr>
        <w:spacing w:before="120" w:after="0" w:line="240" w:lineRule="auto"/>
        <w:jc w:val="center"/>
        <w:rPr>
          <w:rFonts w:eastAsia="Malgun Gothic"/>
          <w:b/>
        </w:rPr>
      </w:pPr>
    </w:p>
    <w:p w:rsidR="0072342D" w:rsidRDefault="0072342D">
      <w:r>
        <w:br w:type="page"/>
      </w:r>
    </w:p>
    <w:tbl>
      <w:tblPr>
        <w:tblW w:w="93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4659"/>
        <w:gridCol w:w="4660"/>
      </w:tblGrid>
      <w:tr w:rsidR="008D51E5" w:rsidRPr="0006568D" w:rsidTr="00A85E9D">
        <w:trPr>
          <w:jc w:val="center"/>
        </w:trPr>
        <w:tc>
          <w:tcPr>
            <w:tcW w:w="9319" w:type="dxa"/>
            <w:gridSpan w:val="2"/>
            <w:tcBorders>
              <w:top w:val="nil"/>
              <w:left w:val="nil"/>
              <w:bottom w:val="nil"/>
              <w:right w:val="nil"/>
            </w:tcBorders>
          </w:tcPr>
          <w:p w:rsidR="008D51E5" w:rsidRPr="0006568D" w:rsidRDefault="008D51E5" w:rsidP="00DD140E">
            <w:pPr>
              <w:spacing w:before="120" w:after="0" w:line="240" w:lineRule="auto"/>
              <w:jc w:val="center"/>
              <w:rPr>
                <w:rFonts w:eastAsia="Malgun Gothic"/>
                <w:b/>
              </w:rPr>
            </w:pPr>
            <w:r w:rsidRPr="0006568D">
              <w:rPr>
                <w:rFonts w:eastAsia="Malgun Gothic"/>
                <w:b/>
              </w:rPr>
              <w:lastRenderedPageBreak/>
              <w:t>CO</w:t>
            </w:r>
            <w:r w:rsidRPr="0006568D">
              <w:rPr>
                <w:rFonts w:eastAsia="Malgun Gothic"/>
                <w:b/>
                <w:vertAlign w:val="subscript"/>
              </w:rPr>
              <w:t>2</w:t>
            </w:r>
            <w:r w:rsidRPr="0006568D">
              <w:rPr>
                <w:rFonts w:eastAsia="Malgun Gothic"/>
                <w:b/>
              </w:rPr>
              <w:t xml:space="preserve"> emissions from road transport</w:t>
            </w:r>
          </w:p>
        </w:tc>
      </w:tr>
      <w:tr w:rsidR="008D51E5" w:rsidRPr="0006568D" w:rsidTr="00DD140E">
        <w:trPr>
          <w:jc w:val="center"/>
        </w:trPr>
        <w:tc>
          <w:tcPr>
            <w:tcW w:w="4659" w:type="dxa"/>
            <w:tcBorders>
              <w:top w:val="nil"/>
              <w:left w:val="nil"/>
              <w:bottom w:val="single" w:sz="4" w:space="0" w:color="auto"/>
              <w:right w:val="nil"/>
            </w:tcBorders>
          </w:tcPr>
          <w:p w:rsidR="008D51E5" w:rsidRPr="0006568D" w:rsidRDefault="008D51E5" w:rsidP="00DD140E">
            <w:pPr>
              <w:tabs>
                <w:tab w:val="center" w:pos="2214"/>
                <w:tab w:val="left" w:pos="3660"/>
              </w:tabs>
              <w:spacing w:before="60" w:after="0" w:line="240" w:lineRule="auto"/>
              <w:jc w:val="left"/>
              <w:rPr>
                <w:rFonts w:eastAsia="Malgun Gothic"/>
                <w:i/>
                <w:noProof/>
                <w:lang w:eastAsia="ko-KR" w:bidi="ar-SA"/>
              </w:rPr>
            </w:pPr>
            <w:r w:rsidRPr="0006568D">
              <w:rPr>
                <w:rFonts w:eastAsia="Malgun Gothic"/>
                <w:i/>
              </w:rPr>
              <w:tab/>
            </w:r>
            <w:r>
              <w:rPr>
                <w:rFonts w:eastAsia="Malgun Gothic"/>
                <w:i/>
              </w:rPr>
              <w:t>B</w:t>
            </w:r>
            <w:r w:rsidRPr="0006568D">
              <w:rPr>
                <w:rFonts w:eastAsia="Malgun Gothic"/>
                <w:i/>
              </w:rPr>
              <w:t>usiness-as-usual</w:t>
            </w:r>
            <w:r w:rsidRPr="0006568D">
              <w:rPr>
                <w:rFonts w:eastAsia="Malgun Gothic"/>
                <w:i/>
              </w:rPr>
              <w:tab/>
            </w:r>
          </w:p>
        </w:tc>
        <w:tc>
          <w:tcPr>
            <w:tcW w:w="4660" w:type="dxa"/>
            <w:tcBorders>
              <w:top w:val="nil"/>
              <w:left w:val="nil"/>
              <w:bottom w:val="single" w:sz="4" w:space="0" w:color="auto"/>
              <w:right w:val="nil"/>
            </w:tcBorders>
          </w:tcPr>
          <w:p w:rsidR="008D51E5" w:rsidRPr="0006568D" w:rsidRDefault="008D51E5" w:rsidP="00DD140E">
            <w:pPr>
              <w:spacing w:before="60" w:after="0" w:line="240" w:lineRule="auto"/>
              <w:jc w:val="center"/>
              <w:rPr>
                <w:rFonts w:eastAsia="Malgun Gothic"/>
                <w:b/>
                <w:i/>
              </w:rPr>
            </w:pPr>
            <w:r>
              <w:rPr>
                <w:rFonts w:eastAsia="Malgun Gothic"/>
                <w:i/>
              </w:rPr>
              <w:t>G</w:t>
            </w:r>
            <w:r w:rsidRPr="0006568D">
              <w:rPr>
                <w:rFonts w:eastAsia="Malgun Gothic"/>
                <w:i/>
              </w:rPr>
              <w:t xml:space="preserve">reen transportation </w:t>
            </w:r>
          </w:p>
        </w:tc>
      </w:tr>
      <w:tr w:rsidR="008D51E5" w:rsidRPr="0006568D" w:rsidTr="00DD140E">
        <w:trPr>
          <w:jc w:val="center"/>
        </w:trPr>
        <w:tc>
          <w:tcPr>
            <w:tcW w:w="4659" w:type="dxa"/>
            <w:tcBorders>
              <w:bottom w:val="single" w:sz="4" w:space="0" w:color="auto"/>
            </w:tcBorders>
            <w:tcMar>
              <w:left w:w="0" w:type="dxa"/>
              <w:right w:w="0" w:type="dxa"/>
            </w:tcMar>
          </w:tcPr>
          <w:p w:rsidR="008D51E5" w:rsidRPr="0006568D" w:rsidRDefault="008D51E5" w:rsidP="00DD140E">
            <w:pPr>
              <w:spacing w:after="0" w:line="240" w:lineRule="auto"/>
              <w:jc w:val="center"/>
              <w:rPr>
                <w:rFonts w:eastAsia="Malgun Gothic"/>
                <w:highlight w:val="yellow"/>
              </w:rPr>
            </w:pPr>
            <w:r>
              <w:rPr>
                <w:rFonts w:eastAsia="Malgun Gothic"/>
                <w:noProof/>
                <w:lang w:bidi="ar-SA"/>
              </w:rPr>
              <w:drawing>
                <wp:inline distT="0" distB="0" distL="0" distR="0">
                  <wp:extent cx="2952750" cy="2762250"/>
                  <wp:effectExtent l="19050" t="0" r="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2952750" cy="2762250"/>
                          </a:xfrm>
                          <a:prstGeom prst="rect">
                            <a:avLst/>
                          </a:prstGeom>
                          <a:noFill/>
                          <a:ln w="9525">
                            <a:noFill/>
                            <a:miter lim="800000"/>
                            <a:headEnd/>
                            <a:tailEnd/>
                          </a:ln>
                        </pic:spPr>
                      </pic:pic>
                    </a:graphicData>
                  </a:graphic>
                </wp:inline>
              </w:drawing>
            </w:r>
          </w:p>
        </w:tc>
        <w:tc>
          <w:tcPr>
            <w:tcW w:w="4660" w:type="dxa"/>
            <w:tcBorders>
              <w:bottom w:val="single" w:sz="4" w:space="0" w:color="auto"/>
            </w:tcBorders>
            <w:tcMar>
              <w:left w:w="0" w:type="dxa"/>
              <w:right w:w="0" w:type="dxa"/>
            </w:tcMar>
          </w:tcPr>
          <w:p w:rsidR="008D51E5" w:rsidRPr="0006568D" w:rsidRDefault="008D51E5" w:rsidP="00DD140E">
            <w:pPr>
              <w:spacing w:after="0" w:line="240" w:lineRule="auto"/>
              <w:jc w:val="center"/>
              <w:rPr>
                <w:rFonts w:eastAsia="Malgun Gothic"/>
                <w:noProof/>
                <w:highlight w:val="yellow"/>
                <w:lang w:eastAsia="ko-KR" w:bidi="ar-SA"/>
              </w:rPr>
            </w:pPr>
            <w:r>
              <w:rPr>
                <w:rFonts w:eastAsia="Malgun Gothic"/>
                <w:noProof/>
                <w:lang w:bidi="ar-SA"/>
              </w:rPr>
              <w:drawing>
                <wp:inline distT="0" distB="0" distL="0" distR="0">
                  <wp:extent cx="2952750" cy="2762250"/>
                  <wp:effectExtent l="19050" t="0" r="0" b="0"/>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2952750" cy="2762250"/>
                          </a:xfrm>
                          <a:prstGeom prst="rect">
                            <a:avLst/>
                          </a:prstGeom>
                          <a:noFill/>
                          <a:ln w="9525">
                            <a:noFill/>
                            <a:miter lim="800000"/>
                            <a:headEnd/>
                            <a:tailEnd/>
                          </a:ln>
                        </pic:spPr>
                      </pic:pic>
                    </a:graphicData>
                  </a:graphic>
                </wp:inline>
              </w:drawing>
            </w:r>
          </w:p>
        </w:tc>
      </w:tr>
    </w:tbl>
    <w:p w:rsidR="008D51E5" w:rsidRPr="0006568D" w:rsidRDefault="008D51E5" w:rsidP="008D51E5">
      <w:pPr>
        <w:rPr>
          <w:rFonts w:eastAsia="MS Mincho"/>
          <w:sz w:val="24"/>
          <w:szCs w:val="24"/>
        </w:rPr>
      </w:pPr>
    </w:p>
    <w:p w:rsidR="008D51E5" w:rsidRPr="0006568D" w:rsidRDefault="008D51E5" w:rsidP="00525183">
      <w:pPr>
        <w:spacing w:before="360" w:after="180"/>
        <w:jc w:val="center"/>
        <w:rPr>
          <w:rFonts w:eastAsia="Malgun Gothic"/>
          <w:b/>
          <w:bCs/>
        </w:rPr>
      </w:pPr>
      <w:r w:rsidRPr="0006568D">
        <w:rPr>
          <w:rFonts w:eastAsia="Malgun Gothic"/>
          <w:b/>
          <w:bCs/>
        </w:rPr>
        <w:t>Comparison of business-as-usual and green transportation scenario for 2012-2027</w:t>
      </w:r>
    </w:p>
    <w:tbl>
      <w:tblPr>
        <w:tblW w:w="9320" w:type="dxa"/>
        <w:jc w:val="center"/>
        <w:tblBorders>
          <w:top w:val="single" w:sz="8" w:space="0" w:color="76923C"/>
          <w:left w:val="single" w:sz="8" w:space="0" w:color="76923C"/>
          <w:bottom w:val="single" w:sz="8" w:space="0" w:color="76923C"/>
          <w:right w:val="single" w:sz="8" w:space="0" w:color="76923C"/>
          <w:insideH w:val="single" w:sz="8" w:space="0" w:color="76923C"/>
        </w:tblBorders>
        <w:tblCellMar>
          <w:top w:w="29" w:type="dxa"/>
          <w:left w:w="72" w:type="dxa"/>
          <w:bottom w:w="29" w:type="dxa"/>
          <w:right w:w="72" w:type="dxa"/>
        </w:tblCellMar>
        <w:tblLook w:val="04A0"/>
      </w:tblPr>
      <w:tblGrid>
        <w:gridCol w:w="3490"/>
        <w:gridCol w:w="1620"/>
        <w:gridCol w:w="1052"/>
        <w:gridCol w:w="1053"/>
        <w:gridCol w:w="1052"/>
        <w:gridCol w:w="1053"/>
      </w:tblGrid>
      <w:tr w:rsidR="008D51E5" w:rsidRPr="0006568D" w:rsidTr="00DD140E">
        <w:trPr>
          <w:jc w:val="center"/>
        </w:trPr>
        <w:tc>
          <w:tcPr>
            <w:tcW w:w="3490" w:type="dxa"/>
            <w:vMerge w:val="restart"/>
            <w:tcBorders>
              <w:top w:val="single" w:sz="8" w:space="0" w:color="76923C"/>
              <w:left w:val="single" w:sz="8" w:space="0" w:color="76923C"/>
              <w:bottom w:val="single" w:sz="8" w:space="0" w:color="76923C"/>
              <w:right w:val="single" w:sz="8" w:space="0" w:color="FFFFFF"/>
            </w:tcBorders>
            <w:shd w:val="clear" w:color="auto" w:fill="76923C"/>
            <w:vAlign w:val="center"/>
          </w:tcPr>
          <w:p w:rsidR="008D51E5" w:rsidRPr="0006568D" w:rsidRDefault="008D51E5" w:rsidP="008C5914">
            <w:pPr>
              <w:keepNext/>
              <w:spacing w:after="0" w:line="240" w:lineRule="auto"/>
              <w:jc w:val="center"/>
              <w:rPr>
                <w:rFonts w:eastAsia="Malgun Gothic"/>
                <w:b/>
                <w:bCs/>
                <w:color w:val="F2F2F2"/>
                <w:sz w:val="21"/>
                <w:szCs w:val="21"/>
              </w:rPr>
            </w:pPr>
            <w:r w:rsidRPr="0006568D">
              <w:rPr>
                <w:rFonts w:eastAsia="Malgun Gothic"/>
                <w:b/>
                <w:bCs/>
                <w:color w:val="F2F2F2"/>
                <w:sz w:val="21"/>
                <w:szCs w:val="21"/>
              </w:rPr>
              <w:t>Indicators</w:t>
            </w:r>
          </w:p>
        </w:tc>
        <w:tc>
          <w:tcPr>
            <w:tcW w:w="1620" w:type="dxa"/>
            <w:vMerge w:val="restart"/>
            <w:tcBorders>
              <w:top w:val="single" w:sz="8" w:space="0" w:color="76923C"/>
              <w:left w:val="single" w:sz="8" w:space="0" w:color="FFFFFF"/>
              <w:bottom w:val="single" w:sz="8" w:space="0" w:color="76923C"/>
              <w:right w:val="single" w:sz="8" w:space="0" w:color="FFFFFF"/>
            </w:tcBorders>
            <w:shd w:val="clear" w:color="auto" w:fill="76923C"/>
            <w:vAlign w:val="center"/>
          </w:tcPr>
          <w:p w:rsidR="008D51E5" w:rsidRPr="0006568D" w:rsidRDefault="008D51E5" w:rsidP="008C5914">
            <w:pPr>
              <w:keepNext/>
              <w:spacing w:after="0" w:line="240" w:lineRule="auto"/>
              <w:jc w:val="center"/>
              <w:rPr>
                <w:rFonts w:eastAsia="Malgun Gothic"/>
                <w:b/>
                <w:color w:val="F2F2F2"/>
                <w:sz w:val="21"/>
                <w:szCs w:val="21"/>
              </w:rPr>
            </w:pPr>
            <w:r w:rsidRPr="0006568D">
              <w:rPr>
                <w:rFonts w:eastAsia="Malgun Gothic"/>
                <w:b/>
                <w:bCs/>
                <w:color w:val="F2F2F2"/>
                <w:sz w:val="21"/>
                <w:szCs w:val="21"/>
              </w:rPr>
              <w:t>Business-as-usual</w:t>
            </w:r>
          </w:p>
        </w:tc>
        <w:tc>
          <w:tcPr>
            <w:tcW w:w="4210" w:type="dxa"/>
            <w:gridSpan w:val="4"/>
            <w:tcBorders>
              <w:top w:val="single" w:sz="8" w:space="0" w:color="76923C"/>
              <w:left w:val="single" w:sz="8" w:space="0" w:color="FFFFFF"/>
              <w:bottom w:val="single" w:sz="8" w:space="0" w:color="FFFFFF"/>
              <w:right w:val="single" w:sz="8" w:space="0" w:color="76923C"/>
            </w:tcBorders>
            <w:shd w:val="clear" w:color="auto" w:fill="76923C"/>
            <w:vAlign w:val="center"/>
          </w:tcPr>
          <w:p w:rsidR="008D51E5" w:rsidRPr="0006568D" w:rsidRDefault="008D51E5" w:rsidP="008C5914">
            <w:pPr>
              <w:keepNext/>
              <w:spacing w:after="0" w:line="240" w:lineRule="auto"/>
              <w:jc w:val="center"/>
              <w:rPr>
                <w:rFonts w:eastAsia="Malgun Gothic"/>
                <w:b/>
                <w:color w:val="F2F2F2"/>
                <w:sz w:val="21"/>
                <w:szCs w:val="21"/>
              </w:rPr>
            </w:pPr>
            <w:r w:rsidRPr="0006568D">
              <w:rPr>
                <w:rFonts w:eastAsia="Malgun Gothic"/>
                <w:b/>
                <w:bCs/>
                <w:color w:val="F2F2F2"/>
                <w:sz w:val="21"/>
                <w:szCs w:val="21"/>
              </w:rPr>
              <w:t>Green Transportation</w:t>
            </w:r>
          </w:p>
        </w:tc>
      </w:tr>
      <w:tr w:rsidR="008D51E5" w:rsidRPr="0006568D" w:rsidTr="00DD140E">
        <w:trPr>
          <w:jc w:val="center"/>
        </w:trPr>
        <w:tc>
          <w:tcPr>
            <w:tcW w:w="3490" w:type="dxa"/>
            <w:vMerge/>
            <w:tcBorders>
              <w:top w:val="nil"/>
              <w:left w:val="single" w:sz="8" w:space="0" w:color="76923C"/>
              <w:right w:val="single" w:sz="8" w:space="0" w:color="FFFFFF"/>
            </w:tcBorders>
            <w:shd w:val="clear" w:color="auto" w:fill="76923C"/>
            <w:vAlign w:val="center"/>
          </w:tcPr>
          <w:p w:rsidR="008D51E5" w:rsidRPr="0006568D" w:rsidRDefault="008D51E5" w:rsidP="008C5914">
            <w:pPr>
              <w:keepNext/>
              <w:spacing w:after="0" w:line="240" w:lineRule="auto"/>
              <w:jc w:val="center"/>
              <w:rPr>
                <w:rFonts w:eastAsia="Malgun Gothic"/>
                <w:bCs/>
                <w:color w:val="F2F2F2"/>
                <w:sz w:val="21"/>
                <w:szCs w:val="21"/>
              </w:rPr>
            </w:pPr>
          </w:p>
        </w:tc>
        <w:tc>
          <w:tcPr>
            <w:tcW w:w="1620" w:type="dxa"/>
            <w:vMerge/>
            <w:tcBorders>
              <w:top w:val="nil"/>
              <w:left w:val="single" w:sz="8" w:space="0" w:color="FFFFFF"/>
              <w:bottom w:val="single" w:sz="8" w:space="0" w:color="76923C"/>
              <w:right w:val="single" w:sz="8" w:space="0" w:color="FFFFFF"/>
            </w:tcBorders>
            <w:shd w:val="clear" w:color="auto" w:fill="76923C"/>
            <w:vAlign w:val="center"/>
          </w:tcPr>
          <w:p w:rsidR="008D51E5" w:rsidRPr="0006568D" w:rsidRDefault="008D51E5" w:rsidP="008C5914">
            <w:pPr>
              <w:keepNext/>
              <w:spacing w:after="0" w:line="240" w:lineRule="auto"/>
              <w:jc w:val="center"/>
              <w:rPr>
                <w:rFonts w:eastAsia="Malgun Gothic"/>
                <w:color w:val="F2F2F2"/>
                <w:sz w:val="21"/>
                <w:szCs w:val="21"/>
              </w:rPr>
            </w:pPr>
          </w:p>
        </w:tc>
        <w:tc>
          <w:tcPr>
            <w:tcW w:w="2105" w:type="dxa"/>
            <w:gridSpan w:val="2"/>
            <w:tcBorders>
              <w:top w:val="single" w:sz="8" w:space="0" w:color="FFFFFF"/>
              <w:left w:val="single" w:sz="8" w:space="0" w:color="FFFFFF"/>
              <w:bottom w:val="single" w:sz="8" w:space="0" w:color="76923C"/>
              <w:right w:val="single" w:sz="8" w:space="0" w:color="FFFFFF"/>
            </w:tcBorders>
            <w:shd w:val="clear" w:color="auto" w:fill="76923C"/>
            <w:vAlign w:val="center"/>
          </w:tcPr>
          <w:p w:rsidR="008D51E5" w:rsidRPr="0006568D" w:rsidRDefault="008D51E5" w:rsidP="008C5914">
            <w:pPr>
              <w:keepNext/>
              <w:spacing w:after="0" w:line="240" w:lineRule="auto"/>
              <w:jc w:val="center"/>
              <w:rPr>
                <w:rFonts w:eastAsia="Malgun Gothic"/>
                <w:i/>
                <w:color w:val="F2F2F2"/>
                <w:sz w:val="21"/>
                <w:szCs w:val="21"/>
              </w:rPr>
            </w:pPr>
            <w:r w:rsidRPr="0006568D">
              <w:rPr>
                <w:rFonts w:eastAsia="Malgun Gothic"/>
                <w:i/>
                <w:color w:val="F2F2F2"/>
                <w:sz w:val="21"/>
                <w:szCs w:val="21"/>
              </w:rPr>
              <w:t>Moderate</w:t>
            </w:r>
          </w:p>
        </w:tc>
        <w:tc>
          <w:tcPr>
            <w:tcW w:w="2105" w:type="dxa"/>
            <w:gridSpan w:val="2"/>
            <w:tcBorders>
              <w:top w:val="single" w:sz="8" w:space="0" w:color="FFFFFF"/>
              <w:left w:val="single" w:sz="8" w:space="0" w:color="FFFFFF"/>
            </w:tcBorders>
            <w:shd w:val="clear" w:color="auto" w:fill="76923C"/>
            <w:vAlign w:val="center"/>
          </w:tcPr>
          <w:p w:rsidR="008D51E5" w:rsidRPr="0006568D" w:rsidRDefault="008D51E5" w:rsidP="008C5914">
            <w:pPr>
              <w:keepNext/>
              <w:spacing w:after="0" w:line="240" w:lineRule="auto"/>
              <w:jc w:val="center"/>
              <w:rPr>
                <w:rFonts w:eastAsia="Malgun Gothic"/>
                <w:bCs/>
                <w:i/>
                <w:color w:val="F2F2F2"/>
                <w:sz w:val="21"/>
                <w:szCs w:val="21"/>
              </w:rPr>
            </w:pPr>
            <w:r w:rsidRPr="0006568D">
              <w:rPr>
                <w:rFonts w:eastAsia="Malgun Gothic"/>
                <w:bCs/>
                <w:i/>
                <w:color w:val="F2F2F2"/>
                <w:sz w:val="21"/>
                <w:szCs w:val="21"/>
              </w:rPr>
              <w:t>Aggressive</w:t>
            </w:r>
          </w:p>
        </w:tc>
      </w:tr>
      <w:tr w:rsidR="008D51E5" w:rsidRPr="0006568D" w:rsidTr="00DD140E">
        <w:trPr>
          <w:jc w:val="center"/>
        </w:trPr>
        <w:tc>
          <w:tcPr>
            <w:tcW w:w="3490" w:type="dxa"/>
            <w:tcBorders>
              <w:right w:val="single" w:sz="8" w:space="0" w:color="76923C"/>
            </w:tcBorders>
            <w:vAlign w:val="center"/>
          </w:tcPr>
          <w:p w:rsidR="008D51E5" w:rsidRPr="0006568D" w:rsidRDefault="008D51E5" w:rsidP="008C5914">
            <w:pPr>
              <w:keepNext/>
              <w:spacing w:after="0" w:line="240" w:lineRule="auto"/>
              <w:jc w:val="left"/>
              <w:rPr>
                <w:rFonts w:eastAsia="Malgun Gothic"/>
                <w:bCs/>
                <w:sz w:val="21"/>
                <w:szCs w:val="21"/>
              </w:rPr>
            </w:pPr>
            <w:r w:rsidRPr="0006568D">
              <w:rPr>
                <w:rFonts w:eastAsia="Malgun Gothic"/>
                <w:bCs/>
                <w:sz w:val="21"/>
                <w:szCs w:val="21"/>
              </w:rPr>
              <w:t>Total vehicle-km on road (million)</w:t>
            </w:r>
          </w:p>
        </w:tc>
        <w:tc>
          <w:tcPr>
            <w:tcW w:w="1620" w:type="dxa"/>
            <w:tcBorders>
              <w:left w:val="single" w:sz="8" w:space="0" w:color="76923C"/>
              <w:right w:val="single" w:sz="8" w:space="0" w:color="76923C"/>
            </w:tcBorders>
            <w:vAlign w:val="center"/>
          </w:tcPr>
          <w:p w:rsidR="008D51E5" w:rsidRPr="0006568D" w:rsidRDefault="008D51E5" w:rsidP="008C5914">
            <w:pPr>
              <w:keepNext/>
              <w:spacing w:after="0" w:line="240" w:lineRule="auto"/>
              <w:ind w:right="328"/>
              <w:jc w:val="right"/>
              <w:rPr>
                <w:rFonts w:eastAsia="Malgun Gothic"/>
                <w:color w:val="000000"/>
                <w:sz w:val="21"/>
                <w:szCs w:val="21"/>
              </w:rPr>
            </w:pPr>
            <w:r w:rsidRPr="0006568D">
              <w:rPr>
                <w:rFonts w:eastAsia="Malgun Gothic"/>
                <w:color w:val="000000"/>
                <w:sz w:val="21"/>
                <w:szCs w:val="21"/>
              </w:rPr>
              <w:t>258,235</w:t>
            </w:r>
          </w:p>
        </w:tc>
        <w:tc>
          <w:tcPr>
            <w:tcW w:w="1052" w:type="dxa"/>
            <w:tcBorders>
              <w:left w:val="single" w:sz="8" w:space="0" w:color="76923C"/>
            </w:tcBorders>
            <w:vAlign w:val="center"/>
          </w:tcPr>
          <w:p w:rsidR="008D51E5" w:rsidRPr="0006568D" w:rsidRDefault="008D51E5" w:rsidP="008C5914">
            <w:pPr>
              <w:keepNext/>
              <w:spacing w:after="0" w:line="240" w:lineRule="auto"/>
              <w:jc w:val="right"/>
              <w:rPr>
                <w:rFonts w:eastAsia="Malgun Gothic"/>
                <w:color w:val="000000"/>
                <w:sz w:val="21"/>
                <w:szCs w:val="21"/>
              </w:rPr>
            </w:pPr>
            <w:r w:rsidRPr="0006568D">
              <w:rPr>
                <w:rFonts w:eastAsia="Malgun Gothic"/>
                <w:color w:val="000000"/>
                <w:sz w:val="21"/>
                <w:szCs w:val="21"/>
              </w:rPr>
              <w:t>249,319</w:t>
            </w:r>
          </w:p>
        </w:tc>
        <w:tc>
          <w:tcPr>
            <w:tcW w:w="1053" w:type="dxa"/>
            <w:tcBorders>
              <w:right w:val="single" w:sz="8" w:space="0" w:color="76923C"/>
            </w:tcBorders>
            <w:vAlign w:val="center"/>
          </w:tcPr>
          <w:p w:rsidR="008D51E5" w:rsidRPr="0006568D" w:rsidRDefault="008D51E5" w:rsidP="00D94AD6">
            <w:pPr>
              <w:keepNext/>
              <w:spacing w:after="0" w:line="240" w:lineRule="auto"/>
              <w:jc w:val="left"/>
              <w:rPr>
                <w:rFonts w:eastAsia="Malgun Gothic"/>
                <w:color w:val="000000"/>
                <w:sz w:val="21"/>
                <w:szCs w:val="21"/>
              </w:rPr>
            </w:pPr>
            <w:r w:rsidRPr="0006568D">
              <w:rPr>
                <w:rFonts w:eastAsia="Malgun Gothic"/>
                <w:color w:val="000000"/>
                <w:sz w:val="21"/>
                <w:szCs w:val="21"/>
              </w:rPr>
              <w:t>(</w:t>
            </w:r>
            <w:r w:rsidR="00BC572C">
              <w:rPr>
                <w:rFonts w:eastAsia="Malgun Gothic"/>
                <w:color w:val="000000"/>
                <w:sz w:val="21"/>
                <w:szCs w:val="21"/>
              </w:rPr>
              <w:t>-</w:t>
            </w:r>
            <w:r w:rsidRPr="0006568D">
              <w:rPr>
                <w:rFonts w:eastAsia="Malgun Gothic"/>
                <w:color w:val="000000"/>
                <w:sz w:val="21"/>
                <w:szCs w:val="21"/>
              </w:rPr>
              <w:t>4%)</w:t>
            </w:r>
          </w:p>
        </w:tc>
        <w:tc>
          <w:tcPr>
            <w:tcW w:w="1052" w:type="dxa"/>
            <w:tcBorders>
              <w:left w:val="single" w:sz="8" w:space="0" w:color="76923C"/>
            </w:tcBorders>
            <w:vAlign w:val="center"/>
          </w:tcPr>
          <w:p w:rsidR="008D51E5" w:rsidRPr="0006568D" w:rsidRDefault="008D51E5" w:rsidP="008C5914">
            <w:pPr>
              <w:keepNext/>
              <w:spacing w:after="0" w:line="240" w:lineRule="auto"/>
              <w:jc w:val="right"/>
              <w:rPr>
                <w:rFonts w:eastAsia="Malgun Gothic"/>
                <w:color w:val="000000"/>
                <w:sz w:val="21"/>
                <w:szCs w:val="21"/>
              </w:rPr>
            </w:pPr>
            <w:r w:rsidRPr="0006568D">
              <w:rPr>
                <w:rFonts w:eastAsia="Malgun Gothic"/>
                <w:color w:val="000000"/>
                <w:sz w:val="21"/>
                <w:szCs w:val="21"/>
              </w:rPr>
              <w:t>244,075</w:t>
            </w:r>
          </w:p>
        </w:tc>
        <w:tc>
          <w:tcPr>
            <w:tcW w:w="1053" w:type="dxa"/>
            <w:vAlign w:val="center"/>
          </w:tcPr>
          <w:p w:rsidR="008D51E5" w:rsidRPr="0006568D" w:rsidRDefault="008D51E5" w:rsidP="008C5914">
            <w:pPr>
              <w:keepNext/>
              <w:spacing w:after="0" w:line="240" w:lineRule="auto"/>
              <w:jc w:val="left"/>
              <w:rPr>
                <w:rFonts w:eastAsia="Malgun Gothic"/>
                <w:color w:val="000000"/>
                <w:sz w:val="21"/>
                <w:szCs w:val="21"/>
              </w:rPr>
            </w:pPr>
            <w:r w:rsidRPr="0006568D">
              <w:rPr>
                <w:rFonts w:eastAsia="Malgun Gothic"/>
                <w:color w:val="000000"/>
                <w:sz w:val="21"/>
                <w:szCs w:val="21"/>
              </w:rPr>
              <w:t>(</w:t>
            </w:r>
            <w:r w:rsidR="00BC572C">
              <w:rPr>
                <w:rFonts w:eastAsia="Malgun Gothic"/>
                <w:color w:val="000000"/>
                <w:sz w:val="21"/>
                <w:szCs w:val="21"/>
              </w:rPr>
              <w:t>-</w:t>
            </w:r>
            <w:r w:rsidRPr="0006568D">
              <w:rPr>
                <w:rFonts w:eastAsia="Malgun Gothic"/>
                <w:color w:val="000000"/>
                <w:sz w:val="21"/>
                <w:szCs w:val="21"/>
              </w:rPr>
              <w:t>6%)</w:t>
            </w:r>
          </w:p>
        </w:tc>
      </w:tr>
      <w:tr w:rsidR="008D51E5" w:rsidRPr="0006568D" w:rsidTr="00DD140E">
        <w:trPr>
          <w:jc w:val="center"/>
        </w:trPr>
        <w:tc>
          <w:tcPr>
            <w:tcW w:w="3490" w:type="dxa"/>
            <w:tcBorders>
              <w:right w:val="single" w:sz="8" w:space="0" w:color="76923C"/>
            </w:tcBorders>
            <w:vAlign w:val="center"/>
          </w:tcPr>
          <w:p w:rsidR="008D51E5" w:rsidRPr="0006568D" w:rsidRDefault="008D51E5" w:rsidP="008C5914">
            <w:pPr>
              <w:keepNext/>
              <w:spacing w:after="0" w:line="240" w:lineRule="auto"/>
              <w:jc w:val="left"/>
              <w:rPr>
                <w:rFonts w:eastAsia="Malgun Gothic"/>
                <w:bCs/>
                <w:sz w:val="21"/>
                <w:szCs w:val="21"/>
              </w:rPr>
            </w:pPr>
            <w:r w:rsidRPr="0006568D">
              <w:rPr>
                <w:rFonts w:eastAsia="Malgun Gothic"/>
                <w:bCs/>
                <w:sz w:val="21"/>
                <w:szCs w:val="21"/>
              </w:rPr>
              <w:t>Total fuel consumption (thousand tons)</w:t>
            </w:r>
          </w:p>
        </w:tc>
        <w:tc>
          <w:tcPr>
            <w:tcW w:w="1620" w:type="dxa"/>
            <w:tcBorders>
              <w:left w:val="single" w:sz="8" w:space="0" w:color="76923C"/>
              <w:right w:val="single" w:sz="8" w:space="0" w:color="76923C"/>
            </w:tcBorders>
            <w:vAlign w:val="center"/>
          </w:tcPr>
          <w:p w:rsidR="008D51E5" w:rsidRPr="0006568D" w:rsidRDefault="008D51E5" w:rsidP="008C5914">
            <w:pPr>
              <w:keepNext/>
              <w:spacing w:after="0" w:line="240" w:lineRule="auto"/>
              <w:ind w:right="328"/>
              <w:jc w:val="right"/>
              <w:rPr>
                <w:rFonts w:eastAsia="Malgun Gothic"/>
                <w:color w:val="000000"/>
                <w:sz w:val="21"/>
                <w:szCs w:val="21"/>
              </w:rPr>
            </w:pPr>
            <w:r w:rsidRPr="0006568D">
              <w:rPr>
                <w:rFonts w:eastAsia="Malgun Gothic"/>
                <w:color w:val="000000"/>
                <w:sz w:val="21"/>
                <w:szCs w:val="21"/>
              </w:rPr>
              <w:t>23,492</w:t>
            </w:r>
          </w:p>
        </w:tc>
        <w:tc>
          <w:tcPr>
            <w:tcW w:w="1052" w:type="dxa"/>
            <w:tcBorders>
              <w:left w:val="single" w:sz="8" w:space="0" w:color="76923C"/>
            </w:tcBorders>
            <w:vAlign w:val="center"/>
          </w:tcPr>
          <w:p w:rsidR="008D51E5" w:rsidRPr="0006568D" w:rsidRDefault="008D51E5" w:rsidP="008C5914">
            <w:pPr>
              <w:keepNext/>
              <w:spacing w:after="0" w:line="240" w:lineRule="auto"/>
              <w:jc w:val="right"/>
              <w:rPr>
                <w:rFonts w:eastAsia="Malgun Gothic"/>
                <w:color w:val="000000"/>
                <w:sz w:val="21"/>
                <w:szCs w:val="21"/>
              </w:rPr>
            </w:pPr>
            <w:r w:rsidRPr="0006568D">
              <w:rPr>
                <w:rFonts w:eastAsia="Malgun Gothic"/>
                <w:color w:val="000000"/>
                <w:sz w:val="21"/>
                <w:szCs w:val="21"/>
              </w:rPr>
              <w:t>21,746</w:t>
            </w:r>
          </w:p>
        </w:tc>
        <w:tc>
          <w:tcPr>
            <w:tcW w:w="1053" w:type="dxa"/>
            <w:tcBorders>
              <w:right w:val="single" w:sz="8" w:space="0" w:color="76923C"/>
            </w:tcBorders>
            <w:vAlign w:val="center"/>
          </w:tcPr>
          <w:p w:rsidR="008D51E5" w:rsidRPr="0006568D" w:rsidRDefault="008D51E5" w:rsidP="008C5914">
            <w:pPr>
              <w:keepNext/>
              <w:spacing w:after="0" w:line="240" w:lineRule="auto"/>
              <w:jc w:val="left"/>
              <w:rPr>
                <w:rFonts w:eastAsia="Malgun Gothic"/>
                <w:color w:val="000000"/>
                <w:sz w:val="21"/>
                <w:szCs w:val="21"/>
              </w:rPr>
            </w:pPr>
            <w:r w:rsidRPr="0006568D">
              <w:rPr>
                <w:rFonts w:eastAsia="Malgun Gothic"/>
                <w:color w:val="000000"/>
                <w:sz w:val="21"/>
                <w:szCs w:val="21"/>
              </w:rPr>
              <w:t>(</w:t>
            </w:r>
            <w:r w:rsidR="00BC572C">
              <w:rPr>
                <w:rFonts w:eastAsia="Malgun Gothic"/>
                <w:color w:val="000000"/>
                <w:sz w:val="21"/>
                <w:szCs w:val="21"/>
              </w:rPr>
              <w:t>-</w:t>
            </w:r>
            <w:r w:rsidRPr="0006568D">
              <w:rPr>
                <w:rFonts w:eastAsia="Malgun Gothic"/>
                <w:color w:val="000000"/>
                <w:sz w:val="21"/>
                <w:szCs w:val="21"/>
              </w:rPr>
              <w:t>7%)</w:t>
            </w:r>
          </w:p>
        </w:tc>
        <w:tc>
          <w:tcPr>
            <w:tcW w:w="1052" w:type="dxa"/>
            <w:tcBorders>
              <w:left w:val="single" w:sz="8" w:space="0" w:color="76923C"/>
            </w:tcBorders>
            <w:vAlign w:val="center"/>
          </w:tcPr>
          <w:p w:rsidR="008D51E5" w:rsidRPr="0006568D" w:rsidRDefault="008D51E5" w:rsidP="008C5914">
            <w:pPr>
              <w:keepNext/>
              <w:spacing w:after="0" w:line="240" w:lineRule="auto"/>
              <w:jc w:val="right"/>
              <w:rPr>
                <w:rFonts w:eastAsia="Malgun Gothic"/>
                <w:color w:val="000000"/>
                <w:sz w:val="21"/>
                <w:szCs w:val="21"/>
              </w:rPr>
            </w:pPr>
            <w:r w:rsidRPr="0006568D">
              <w:rPr>
                <w:rFonts w:eastAsia="Malgun Gothic"/>
                <w:color w:val="000000"/>
                <w:sz w:val="21"/>
                <w:szCs w:val="21"/>
              </w:rPr>
              <w:t>21,667</w:t>
            </w:r>
          </w:p>
        </w:tc>
        <w:tc>
          <w:tcPr>
            <w:tcW w:w="1053" w:type="dxa"/>
            <w:vAlign w:val="center"/>
          </w:tcPr>
          <w:p w:rsidR="008D51E5" w:rsidRPr="0006568D" w:rsidRDefault="008D51E5" w:rsidP="008C5914">
            <w:pPr>
              <w:keepNext/>
              <w:spacing w:after="0" w:line="240" w:lineRule="auto"/>
              <w:jc w:val="left"/>
              <w:rPr>
                <w:rFonts w:eastAsia="Malgun Gothic"/>
                <w:color w:val="000000"/>
                <w:sz w:val="21"/>
                <w:szCs w:val="21"/>
              </w:rPr>
            </w:pPr>
            <w:r w:rsidRPr="0006568D">
              <w:rPr>
                <w:rFonts w:eastAsia="Malgun Gothic"/>
                <w:color w:val="000000"/>
                <w:sz w:val="21"/>
                <w:szCs w:val="21"/>
              </w:rPr>
              <w:t>(</w:t>
            </w:r>
            <w:r w:rsidR="00BC572C">
              <w:rPr>
                <w:rFonts w:eastAsia="Malgun Gothic"/>
                <w:color w:val="000000"/>
                <w:sz w:val="21"/>
                <w:szCs w:val="21"/>
              </w:rPr>
              <w:t>-</w:t>
            </w:r>
            <w:r w:rsidRPr="0006568D">
              <w:rPr>
                <w:rFonts w:eastAsia="Malgun Gothic"/>
                <w:color w:val="000000"/>
                <w:sz w:val="21"/>
                <w:szCs w:val="21"/>
              </w:rPr>
              <w:t>8%)</w:t>
            </w:r>
          </w:p>
        </w:tc>
      </w:tr>
      <w:tr w:rsidR="008D51E5" w:rsidRPr="0006568D" w:rsidTr="00DD140E">
        <w:trPr>
          <w:jc w:val="center"/>
        </w:trPr>
        <w:tc>
          <w:tcPr>
            <w:tcW w:w="3490" w:type="dxa"/>
            <w:tcBorders>
              <w:right w:val="single" w:sz="8" w:space="0" w:color="76923C"/>
            </w:tcBorders>
            <w:vAlign w:val="center"/>
          </w:tcPr>
          <w:p w:rsidR="008D51E5" w:rsidRPr="0006568D" w:rsidRDefault="008D51E5" w:rsidP="008C5914">
            <w:pPr>
              <w:keepNext/>
              <w:spacing w:after="0" w:line="240" w:lineRule="auto"/>
              <w:jc w:val="left"/>
              <w:rPr>
                <w:rFonts w:eastAsia="Malgun Gothic"/>
                <w:bCs/>
                <w:sz w:val="21"/>
                <w:szCs w:val="21"/>
              </w:rPr>
            </w:pPr>
            <w:r w:rsidRPr="0006568D">
              <w:rPr>
                <w:rFonts w:eastAsia="Malgun Gothic"/>
                <w:bCs/>
                <w:sz w:val="21"/>
                <w:szCs w:val="21"/>
              </w:rPr>
              <w:t>Total fuel costs, excluding electricity (million GEL)</w:t>
            </w:r>
            <w:r w:rsidRPr="0006568D">
              <w:rPr>
                <w:rFonts w:eastAsia="Malgun Gothic"/>
                <w:bCs/>
                <w:sz w:val="21"/>
                <w:szCs w:val="21"/>
                <w:vertAlign w:val="superscript"/>
              </w:rPr>
              <w:t>a</w:t>
            </w:r>
          </w:p>
        </w:tc>
        <w:tc>
          <w:tcPr>
            <w:tcW w:w="1620" w:type="dxa"/>
            <w:tcBorders>
              <w:left w:val="single" w:sz="8" w:space="0" w:color="76923C"/>
              <w:right w:val="single" w:sz="8" w:space="0" w:color="76923C"/>
            </w:tcBorders>
            <w:vAlign w:val="center"/>
          </w:tcPr>
          <w:p w:rsidR="008D51E5" w:rsidRPr="0006568D" w:rsidRDefault="008D51E5" w:rsidP="008C5914">
            <w:pPr>
              <w:keepNext/>
              <w:spacing w:after="0" w:line="240" w:lineRule="auto"/>
              <w:ind w:right="328"/>
              <w:jc w:val="right"/>
              <w:rPr>
                <w:rFonts w:eastAsia="Malgun Gothic"/>
                <w:color w:val="000000"/>
                <w:sz w:val="21"/>
                <w:szCs w:val="21"/>
              </w:rPr>
            </w:pPr>
            <w:r w:rsidRPr="0006568D">
              <w:rPr>
                <w:rFonts w:eastAsia="Malgun Gothic"/>
                <w:color w:val="000000"/>
                <w:sz w:val="21"/>
                <w:szCs w:val="21"/>
              </w:rPr>
              <w:t>96,226</w:t>
            </w:r>
          </w:p>
        </w:tc>
        <w:tc>
          <w:tcPr>
            <w:tcW w:w="1052" w:type="dxa"/>
            <w:tcBorders>
              <w:left w:val="single" w:sz="8" w:space="0" w:color="76923C"/>
            </w:tcBorders>
            <w:vAlign w:val="center"/>
          </w:tcPr>
          <w:p w:rsidR="008D51E5" w:rsidRPr="0006568D" w:rsidRDefault="008D51E5" w:rsidP="008C5914">
            <w:pPr>
              <w:keepNext/>
              <w:spacing w:after="0" w:line="240" w:lineRule="auto"/>
              <w:jc w:val="right"/>
              <w:rPr>
                <w:rFonts w:eastAsia="Malgun Gothic"/>
                <w:color w:val="000000"/>
                <w:sz w:val="21"/>
                <w:szCs w:val="21"/>
              </w:rPr>
            </w:pPr>
            <w:r w:rsidRPr="0006568D">
              <w:rPr>
                <w:rFonts w:eastAsia="Malgun Gothic"/>
                <w:color w:val="000000"/>
                <w:sz w:val="21"/>
                <w:szCs w:val="21"/>
              </w:rPr>
              <w:t>87,434</w:t>
            </w:r>
          </w:p>
        </w:tc>
        <w:tc>
          <w:tcPr>
            <w:tcW w:w="1053" w:type="dxa"/>
            <w:tcBorders>
              <w:right w:val="single" w:sz="8" w:space="0" w:color="76923C"/>
            </w:tcBorders>
            <w:vAlign w:val="center"/>
          </w:tcPr>
          <w:p w:rsidR="008D51E5" w:rsidRPr="0006568D" w:rsidRDefault="008D51E5" w:rsidP="008C5914">
            <w:pPr>
              <w:keepNext/>
              <w:spacing w:after="0" w:line="240" w:lineRule="auto"/>
              <w:jc w:val="left"/>
              <w:rPr>
                <w:rFonts w:eastAsia="Malgun Gothic"/>
                <w:color w:val="000000"/>
                <w:sz w:val="21"/>
                <w:szCs w:val="21"/>
              </w:rPr>
            </w:pPr>
            <w:r w:rsidRPr="0006568D">
              <w:rPr>
                <w:rFonts w:eastAsia="Malgun Gothic"/>
                <w:color w:val="000000"/>
                <w:sz w:val="21"/>
                <w:szCs w:val="21"/>
              </w:rPr>
              <w:t>(</w:t>
            </w:r>
            <w:r w:rsidR="00BC572C">
              <w:rPr>
                <w:rFonts w:eastAsia="Malgun Gothic"/>
                <w:color w:val="000000"/>
                <w:sz w:val="21"/>
                <w:szCs w:val="21"/>
              </w:rPr>
              <w:t>-</w:t>
            </w:r>
            <w:r w:rsidRPr="0006568D">
              <w:rPr>
                <w:rFonts w:eastAsia="Malgun Gothic"/>
                <w:color w:val="000000"/>
                <w:sz w:val="21"/>
                <w:szCs w:val="21"/>
              </w:rPr>
              <w:t>9%)</w:t>
            </w:r>
          </w:p>
        </w:tc>
        <w:tc>
          <w:tcPr>
            <w:tcW w:w="1052" w:type="dxa"/>
            <w:tcBorders>
              <w:left w:val="single" w:sz="8" w:space="0" w:color="76923C"/>
            </w:tcBorders>
            <w:vAlign w:val="center"/>
          </w:tcPr>
          <w:p w:rsidR="008D51E5" w:rsidRPr="0006568D" w:rsidRDefault="008D51E5" w:rsidP="008C5914">
            <w:pPr>
              <w:keepNext/>
              <w:spacing w:after="0" w:line="240" w:lineRule="auto"/>
              <w:jc w:val="right"/>
              <w:rPr>
                <w:rFonts w:eastAsia="Malgun Gothic"/>
                <w:color w:val="000000"/>
                <w:sz w:val="21"/>
                <w:szCs w:val="21"/>
              </w:rPr>
            </w:pPr>
            <w:r w:rsidRPr="0006568D">
              <w:rPr>
                <w:rFonts w:eastAsia="Malgun Gothic"/>
                <w:color w:val="000000"/>
                <w:sz w:val="21"/>
                <w:szCs w:val="21"/>
              </w:rPr>
              <w:t>87,331</w:t>
            </w:r>
          </w:p>
        </w:tc>
        <w:tc>
          <w:tcPr>
            <w:tcW w:w="1053" w:type="dxa"/>
            <w:vAlign w:val="center"/>
          </w:tcPr>
          <w:p w:rsidR="008D51E5" w:rsidRPr="0006568D" w:rsidRDefault="008D51E5" w:rsidP="008C5914">
            <w:pPr>
              <w:keepNext/>
              <w:spacing w:after="0" w:line="240" w:lineRule="auto"/>
              <w:jc w:val="left"/>
              <w:rPr>
                <w:rFonts w:eastAsia="Malgun Gothic"/>
                <w:color w:val="000000"/>
                <w:sz w:val="21"/>
                <w:szCs w:val="21"/>
              </w:rPr>
            </w:pPr>
            <w:r w:rsidRPr="0006568D">
              <w:rPr>
                <w:rFonts w:eastAsia="Malgun Gothic"/>
                <w:color w:val="000000"/>
                <w:sz w:val="21"/>
                <w:szCs w:val="21"/>
              </w:rPr>
              <w:t>(</w:t>
            </w:r>
            <w:r w:rsidR="00BC572C">
              <w:rPr>
                <w:rFonts w:eastAsia="Malgun Gothic"/>
                <w:color w:val="000000"/>
                <w:sz w:val="21"/>
                <w:szCs w:val="21"/>
              </w:rPr>
              <w:t>-</w:t>
            </w:r>
            <w:r w:rsidRPr="0006568D">
              <w:rPr>
                <w:rFonts w:eastAsia="Malgun Gothic"/>
                <w:color w:val="000000"/>
                <w:sz w:val="21"/>
                <w:szCs w:val="21"/>
              </w:rPr>
              <w:t>9%)</w:t>
            </w:r>
          </w:p>
        </w:tc>
      </w:tr>
      <w:tr w:rsidR="008D51E5" w:rsidRPr="0006568D" w:rsidTr="00DD140E">
        <w:trPr>
          <w:jc w:val="center"/>
        </w:trPr>
        <w:tc>
          <w:tcPr>
            <w:tcW w:w="3490" w:type="dxa"/>
            <w:tcBorders>
              <w:right w:val="single" w:sz="8" w:space="0" w:color="76923C"/>
            </w:tcBorders>
            <w:vAlign w:val="center"/>
          </w:tcPr>
          <w:p w:rsidR="008D51E5" w:rsidRPr="0006568D" w:rsidRDefault="008D51E5" w:rsidP="008C5914">
            <w:pPr>
              <w:keepNext/>
              <w:spacing w:after="0" w:line="240" w:lineRule="auto"/>
              <w:jc w:val="left"/>
              <w:rPr>
                <w:rFonts w:eastAsia="Malgun Gothic"/>
                <w:bCs/>
                <w:sz w:val="21"/>
                <w:szCs w:val="21"/>
              </w:rPr>
            </w:pPr>
            <w:r w:rsidRPr="0006568D">
              <w:rPr>
                <w:rFonts w:eastAsia="Malgun Gothic"/>
                <w:bCs/>
                <w:sz w:val="21"/>
                <w:szCs w:val="21"/>
              </w:rPr>
              <w:t>Total electricity use (GWh)</w:t>
            </w:r>
          </w:p>
        </w:tc>
        <w:tc>
          <w:tcPr>
            <w:tcW w:w="1620" w:type="dxa"/>
            <w:tcBorders>
              <w:left w:val="single" w:sz="8" w:space="0" w:color="76923C"/>
              <w:right w:val="single" w:sz="8" w:space="0" w:color="76923C"/>
            </w:tcBorders>
            <w:vAlign w:val="center"/>
          </w:tcPr>
          <w:p w:rsidR="008D51E5" w:rsidRPr="0006568D" w:rsidRDefault="008D51E5" w:rsidP="008C5914">
            <w:pPr>
              <w:keepNext/>
              <w:spacing w:after="0" w:line="240" w:lineRule="auto"/>
              <w:ind w:right="328"/>
              <w:jc w:val="right"/>
              <w:rPr>
                <w:rFonts w:eastAsia="Malgun Gothic"/>
                <w:color w:val="000000"/>
                <w:sz w:val="21"/>
                <w:szCs w:val="21"/>
              </w:rPr>
            </w:pPr>
            <w:r w:rsidRPr="0006568D">
              <w:rPr>
                <w:rFonts w:eastAsia="Malgun Gothic"/>
                <w:color w:val="000000"/>
                <w:sz w:val="21"/>
                <w:szCs w:val="21"/>
              </w:rPr>
              <w:t>46,249</w:t>
            </w:r>
          </w:p>
        </w:tc>
        <w:tc>
          <w:tcPr>
            <w:tcW w:w="1052" w:type="dxa"/>
            <w:tcBorders>
              <w:left w:val="single" w:sz="8" w:space="0" w:color="76923C"/>
            </w:tcBorders>
            <w:vAlign w:val="center"/>
          </w:tcPr>
          <w:p w:rsidR="008D51E5" w:rsidRPr="0006568D" w:rsidRDefault="008D51E5" w:rsidP="008C5914">
            <w:pPr>
              <w:keepNext/>
              <w:spacing w:after="0" w:line="240" w:lineRule="auto"/>
              <w:jc w:val="right"/>
              <w:rPr>
                <w:rFonts w:eastAsia="Malgun Gothic"/>
                <w:color w:val="000000"/>
                <w:sz w:val="21"/>
                <w:szCs w:val="21"/>
              </w:rPr>
            </w:pPr>
            <w:r w:rsidRPr="0006568D">
              <w:rPr>
                <w:rFonts w:eastAsia="Malgun Gothic"/>
                <w:color w:val="000000"/>
                <w:sz w:val="21"/>
                <w:szCs w:val="21"/>
              </w:rPr>
              <w:t>63,255</w:t>
            </w:r>
          </w:p>
        </w:tc>
        <w:tc>
          <w:tcPr>
            <w:tcW w:w="1053" w:type="dxa"/>
            <w:tcBorders>
              <w:right w:val="single" w:sz="8" w:space="0" w:color="76923C"/>
            </w:tcBorders>
            <w:vAlign w:val="center"/>
          </w:tcPr>
          <w:p w:rsidR="008D51E5" w:rsidRPr="0006568D" w:rsidRDefault="008D51E5" w:rsidP="00D94AD6">
            <w:pPr>
              <w:keepNext/>
              <w:spacing w:after="0" w:line="240" w:lineRule="auto"/>
              <w:jc w:val="left"/>
              <w:rPr>
                <w:rFonts w:eastAsia="Malgun Gothic"/>
                <w:color w:val="000000"/>
                <w:sz w:val="21"/>
                <w:szCs w:val="21"/>
              </w:rPr>
            </w:pPr>
            <w:r w:rsidRPr="0006568D">
              <w:rPr>
                <w:rFonts w:eastAsia="Malgun Gothic"/>
                <w:color w:val="000000"/>
                <w:sz w:val="21"/>
                <w:szCs w:val="21"/>
              </w:rPr>
              <w:t>(</w:t>
            </w:r>
            <w:r w:rsidR="00BC572C">
              <w:rPr>
                <w:rFonts w:eastAsia="Malgun Gothic"/>
                <w:color w:val="000000"/>
                <w:sz w:val="21"/>
                <w:szCs w:val="21"/>
              </w:rPr>
              <w:t>+</w:t>
            </w:r>
            <w:r w:rsidRPr="0006568D">
              <w:rPr>
                <w:rFonts w:eastAsia="Malgun Gothic"/>
                <w:color w:val="000000"/>
                <w:sz w:val="21"/>
                <w:szCs w:val="21"/>
              </w:rPr>
              <w:t>37%)</w:t>
            </w:r>
          </w:p>
        </w:tc>
        <w:tc>
          <w:tcPr>
            <w:tcW w:w="1052" w:type="dxa"/>
            <w:tcBorders>
              <w:left w:val="single" w:sz="8" w:space="0" w:color="76923C"/>
            </w:tcBorders>
            <w:vAlign w:val="center"/>
          </w:tcPr>
          <w:p w:rsidR="008D51E5" w:rsidRPr="0006568D" w:rsidRDefault="008D51E5" w:rsidP="008C5914">
            <w:pPr>
              <w:keepNext/>
              <w:spacing w:after="0" w:line="240" w:lineRule="auto"/>
              <w:jc w:val="right"/>
              <w:rPr>
                <w:rFonts w:eastAsia="Malgun Gothic"/>
                <w:color w:val="000000"/>
                <w:sz w:val="21"/>
                <w:szCs w:val="21"/>
              </w:rPr>
            </w:pPr>
            <w:r w:rsidRPr="0006568D">
              <w:rPr>
                <w:rFonts w:eastAsia="Malgun Gothic"/>
                <w:color w:val="000000"/>
                <w:sz w:val="21"/>
                <w:szCs w:val="21"/>
              </w:rPr>
              <w:t>75,992</w:t>
            </w:r>
          </w:p>
        </w:tc>
        <w:tc>
          <w:tcPr>
            <w:tcW w:w="1053" w:type="dxa"/>
            <w:vAlign w:val="center"/>
          </w:tcPr>
          <w:p w:rsidR="008D51E5" w:rsidRPr="0006568D" w:rsidRDefault="008D51E5" w:rsidP="008C5914">
            <w:pPr>
              <w:keepNext/>
              <w:spacing w:after="0" w:line="240" w:lineRule="auto"/>
              <w:jc w:val="left"/>
              <w:rPr>
                <w:rFonts w:eastAsia="Malgun Gothic"/>
                <w:color w:val="000000"/>
                <w:sz w:val="21"/>
                <w:szCs w:val="21"/>
              </w:rPr>
            </w:pPr>
            <w:r w:rsidRPr="0006568D">
              <w:rPr>
                <w:rFonts w:eastAsia="Malgun Gothic"/>
                <w:color w:val="000000"/>
                <w:sz w:val="21"/>
                <w:szCs w:val="21"/>
              </w:rPr>
              <w:t>(</w:t>
            </w:r>
            <w:r w:rsidR="00BC572C">
              <w:rPr>
                <w:rFonts w:eastAsia="Malgun Gothic"/>
                <w:color w:val="000000"/>
                <w:sz w:val="21"/>
                <w:szCs w:val="21"/>
              </w:rPr>
              <w:t>+</w:t>
            </w:r>
            <w:r w:rsidRPr="0006568D">
              <w:rPr>
                <w:rFonts w:eastAsia="Malgun Gothic"/>
                <w:color w:val="000000"/>
                <w:sz w:val="21"/>
                <w:szCs w:val="21"/>
              </w:rPr>
              <w:t>64%)</w:t>
            </w:r>
          </w:p>
        </w:tc>
      </w:tr>
      <w:tr w:rsidR="008D51E5" w:rsidRPr="0006568D" w:rsidTr="00DD140E">
        <w:trPr>
          <w:jc w:val="center"/>
        </w:trPr>
        <w:tc>
          <w:tcPr>
            <w:tcW w:w="3490" w:type="dxa"/>
            <w:tcBorders>
              <w:right w:val="single" w:sz="8" w:space="0" w:color="76923C"/>
            </w:tcBorders>
            <w:vAlign w:val="center"/>
          </w:tcPr>
          <w:p w:rsidR="008D51E5" w:rsidRPr="0006568D" w:rsidRDefault="008D51E5" w:rsidP="008C5914">
            <w:pPr>
              <w:keepNext/>
              <w:spacing w:after="0" w:line="240" w:lineRule="auto"/>
              <w:jc w:val="left"/>
              <w:rPr>
                <w:rFonts w:eastAsia="Malgun Gothic"/>
                <w:bCs/>
                <w:sz w:val="21"/>
                <w:szCs w:val="21"/>
              </w:rPr>
            </w:pPr>
            <w:r w:rsidRPr="0006568D">
              <w:rPr>
                <w:rFonts w:eastAsia="Malgun Gothic"/>
                <w:bCs/>
                <w:sz w:val="21"/>
                <w:szCs w:val="21"/>
              </w:rPr>
              <w:t>Total passenger-km by road (million)</w:t>
            </w:r>
          </w:p>
        </w:tc>
        <w:tc>
          <w:tcPr>
            <w:tcW w:w="1620" w:type="dxa"/>
            <w:tcBorders>
              <w:left w:val="single" w:sz="8" w:space="0" w:color="76923C"/>
              <w:right w:val="single" w:sz="8" w:space="0" w:color="76923C"/>
            </w:tcBorders>
            <w:vAlign w:val="center"/>
          </w:tcPr>
          <w:p w:rsidR="008D51E5" w:rsidRPr="0006568D" w:rsidRDefault="008D51E5" w:rsidP="008C5914">
            <w:pPr>
              <w:keepNext/>
              <w:spacing w:after="0" w:line="240" w:lineRule="auto"/>
              <w:ind w:right="328"/>
              <w:jc w:val="right"/>
              <w:rPr>
                <w:rFonts w:eastAsia="Malgun Gothic"/>
                <w:color w:val="000000"/>
                <w:sz w:val="21"/>
                <w:szCs w:val="21"/>
              </w:rPr>
            </w:pPr>
            <w:r w:rsidRPr="0006568D">
              <w:rPr>
                <w:rFonts w:eastAsia="Malgun Gothic"/>
                <w:color w:val="000000"/>
                <w:sz w:val="21"/>
                <w:szCs w:val="21"/>
              </w:rPr>
              <w:t>730,502</w:t>
            </w:r>
          </w:p>
        </w:tc>
        <w:tc>
          <w:tcPr>
            <w:tcW w:w="1052" w:type="dxa"/>
            <w:tcBorders>
              <w:left w:val="single" w:sz="8" w:space="0" w:color="76923C"/>
            </w:tcBorders>
            <w:vAlign w:val="center"/>
          </w:tcPr>
          <w:p w:rsidR="008D51E5" w:rsidRPr="0006568D" w:rsidRDefault="008D51E5" w:rsidP="008C5914">
            <w:pPr>
              <w:keepNext/>
              <w:spacing w:after="0" w:line="240" w:lineRule="auto"/>
              <w:jc w:val="right"/>
              <w:rPr>
                <w:rFonts w:eastAsia="Malgun Gothic"/>
                <w:color w:val="000000"/>
                <w:sz w:val="21"/>
                <w:szCs w:val="21"/>
              </w:rPr>
            </w:pPr>
            <w:r w:rsidRPr="0006568D">
              <w:rPr>
                <w:rFonts w:eastAsia="Malgun Gothic"/>
                <w:color w:val="000000"/>
                <w:sz w:val="21"/>
                <w:szCs w:val="21"/>
              </w:rPr>
              <w:t>664,955</w:t>
            </w:r>
          </w:p>
        </w:tc>
        <w:tc>
          <w:tcPr>
            <w:tcW w:w="1053" w:type="dxa"/>
            <w:tcBorders>
              <w:right w:val="single" w:sz="8" w:space="0" w:color="76923C"/>
            </w:tcBorders>
            <w:vAlign w:val="center"/>
          </w:tcPr>
          <w:p w:rsidR="008D51E5" w:rsidRPr="0006568D" w:rsidRDefault="008D51E5" w:rsidP="008C5914">
            <w:pPr>
              <w:keepNext/>
              <w:spacing w:after="0" w:line="240" w:lineRule="auto"/>
              <w:jc w:val="left"/>
              <w:rPr>
                <w:rFonts w:eastAsia="Malgun Gothic"/>
                <w:color w:val="000000"/>
                <w:sz w:val="21"/>
                <w:szCs w:val="21"/>
              </w:rPr>
            </w:pPr>
            <w:r w:rsidRPr="0006568D">
              <w:rPr>
                <w:rFonts w:eastAsia="Malgun Gothic"/>
                <w:color w:val="000000"/>
                <w:sz w:val="21"/>
                <w:szCs w:val="21"/>
              </w:rPr>
              <w:t>(</w:t>
            </w:r>
            <w:r w:rsidR="00BC572C">
              <w:rPr>
                <w:rFonts w:eastAsia="Malgun Gothic"/>
                <w:color w:val="000000"/>
                <w:sz w:val="21"/>
                <w:szCs w:val="21"/>
              </w:rPr>
              <w:t>-</w:t>
            </w:r>
            <w:r w:rsidRPr="0006568D">
              <w:rPr>
                <w:rFonts w:eastAsia="Malgun Gothic"/>
                <w:color w:val="000000"/>
                <w:sz w:val="21"/>
                <w:szCs w:val="21"/>
              </w:rPr>
              <w:t>9%)</w:t>
            </w:r>
          </w:p>
        </w:tc>
        <w:tc>
          <w:tcPr>
            <w:tcW w:w="1052" w:type="dxa"/>
            <w:tcBorders>
              <w:left w:val="single" w:sz="8" w:space="0" w:color="76923C"/>
            </w:tcBorders>
            <w:vAlign w:val="center"/>
          </w:tcPr>
          <w:p w:rsidR="008D51E5" w:rsidRPr="0006568D" w:rsidRDefault="008D51E5" w:rsidP="008C5914">
            <w:pPr>
              <w:keepNext/>
              <w:spacing w:after="0" w:line="240" w:lineRule="auto"/>
              <w:jc w:val="right"/>
              <w:rPr>
                <w:rFonts w:eastAsia="Malgun Gothic"/>
                <w:color w:val="000000"/>
                <w:sz w:val="21"/>
                <w:szCs w:val="21"/>
              </w:rPr>
            </w:pPr>
            <w:r w:rsidRPr="0006568D">
              <w:rPr>
                <w:rFonts w:eastAsia="Malgun Gothic"/>
                <w:color w:val="000000"/>
                <w:sz w:val="21"/>
                <w:szCs w:val="21"/>
              </w:rPr>
              <w:t>689,451</w:t>
            </w:r>
          </w:p>
        </w:tc>
        <w:tc>
          <w:tcPr>
            <w:tcW w:w="1053" w:type="dxa"/>
            <w:vAlign w:val="center"/>
          </w:tcPr>
          <w:p w:rsidR="008D51E5" w:rsidRPr="0006568D" w:rsidRDefault="008D51E5" w:rsidP="008C5914">
            <w:pPr>
              <w:keepNext/>
              <w:spacing w:after="0" w:line="240" w:lineRule="auto"/>
              <w:jc w:val="left"/>
              <w:rPr>
                <w:rFonts w:eastAsia="Malgun Gothic"/>
                <w:color w:val="000000"/>
                <w:sz w:val="21"/>
                <w:szCs w:val="21"/>
              </w:rPr>
            </w:pPr>
            <w:r w:rsidRPr="0006568D">
              <w:rPr>
                <w:rFonts w:eastAsia="Malgun Gothic"/>
                <w:color w:val="000000"/>
                <w:sz w:val="21"/>
                <w:szCs w:val="21"/>
              </w:rPr>
              <w:t>(</w:t>
            </w:r>
            <w:r w:rsidR="00BC572C">
              <w:rPr>
                <w:rFonts w:eastAsia="Malgun Gothic"/>
                <w:color w:val="000000"/>
                <w:sz w:val="21"/>
                <w:szCs w:val="21"/>
              </w:rPr>
              <w:t>-</w:t>
            </w:r>
            <w:r w:rsidRPr="0006568D">
              <w:rPr>
                <w:rFonts w:eastAsia="Malgun Gothic"/>
                <w:color w:val="000000"/>
                <w:sz w:val="21"/>
                <w:szCs w:val="21"/>
              </w:rPr>
              <w:t>6%)</w:t>
            </w:r>
          </w:p>
        </w:tc>
      </w:tr>
      <w:tr w:rsidR="008D51E5" w:rsidRPr="0006568D" w:rsidTr="00DD140E">
        <w:trPr>
          <w:jc w:val="center"/>
        </w:trPr>
        <w:tc>
          <w:tcPr>
            <w:tcW w:w="3490" w:type="dxa"/>
            <w:tcBorders>
              <w:right w:val="single" w:sz="8" w:space="0" w:color="76923C"/>
            </w:tcBorders>
            <w:vAlign w:val="center"/>
          </w:tcPr>
          <w:p w:rsidR="008D51E5" w:rsidRPr="0006568D" w:rsidRDefault="008D51E5" w:rsidP="008C5914">
            <w:pPr>
              <w:keepNext/>
              <w:spacing w:after="0" w:line="240" w:lineRule="auto"/>
              <w:jc w:val="left"/>
              <w:rPr>
                <w:rFonts w:eastAsia="Malgun Gothic"/>
                <w:bCs/>
                <w:sz w:val="21"/>
                <w:szCs w:val="21"/>
              </w:rPr>
            </w:pPr>
            <w:r w:rsidRPr="0006568D">
              <w:rPr>
                <w:rFonts w:eastAsia="Malgun Gothic"/>
                <w:bCs/>
                <w:sz w:val="21"/>
                <w:szCs w:val="21"/>
              </w:rPr>
              <w:t>Total passenger-km by rail and electric public transport (million)</w:t>
            </w:r>
          </w:p>
        </w:tc>
        <w:tc>
          <w:tcPr>
            <w:tcW w:w="1620" w:type="dxa"/>
            <w:tcBorders>
              <w:left w:val="single" w:sz="8" w:space="0" w:color="76923C"/>
              <w:right w:val="single" w:sz="8" w:space="0" w:color="76923C"/>
            </w:tcBorders>
            <w:vAlign w:val="center"/>
          </w:tcPr>
          <w:p w:rsidR="008D51E5" w:rsidRPr="0006568D" w:rsidRDefault="008D51E5" w:rsidP="008C5914">
            <w:pPr>
              <w:keepNext/>
              <w:spacing w:after="0" w:line="240" w:lineRule="auto"/>
              <w:ind w:right="328"/>
              <w:jc w:val="right"/>
              <w:rPr>
                <w:rFonts w:eastAsia="Malgun Gothic"/>
                <w:color w:val="000000"/>
                <w:sz w:val="21"/>
                <w:szCs w:val="21"/>
              </w:rPr>
            </w:pPr>
            <w:r w:rsidRPr="0006568D">
              <w:rPr>
                <w:rFonts w:eastAsia="Malgun Gothic"/>
                <w:color w:val="000000"/>
                <w:sz w:val="21"/>
                <w:szCs w:val="21"/>
              </w:rPr>
              <w:t>30,490</w:t>
            </w:r>
          </w:p>
        </w:tc>
        <w:tc>
          <w:tcPr>
            <w:tcW w:w="1052" w:type="dxa"/>
            <w:tcBorders>
              <w:left w:val="single" w:sz="8" w:space="0" w:color="76923C"/>
            </w:tcBorders>
            <w:vAlign w:val="center"/>
          </w:tcPr>
          <w:p w:rsidR="008D51E5" w:rsidRPr="0006568D" w:rsidRDefault="008D51E5" w:rsidP="008C5914">
            <w:pPr>
              <w:keepNext/>
              <w:spacing w:after="0" w:line="240" w:lineRule="auto"/>
              <w:jc w:val="right"/>
              <w:rPr>
                <w:rFonts w:eastAsia="Malgun Gothic"/>
                <w:color w:val="000000"/>
                <w:sz w:val="21"/>
                <w:szCs w:val="21"/>
              </w:rPr>
            </w:pPr>
            <w:r w:rsidRPr="0006568D">
              <w:rPr>
                <w:rFonts w:eastAsia="Malgun Gothic"/>
                <w:color w:val="000000"/>
                <w:sz w:val="21"/>
                <w:szCs w:val="21"/>
              </w:rPr>
              <w:t>62,600</w:t>
            </w:r>
          </w:p>
        </w:tc>
        <w:tc>
          <w:tcPr>
            <w:tcW w:w="1053" w:type="dxa"/>
            <w:tcBorders>
              <w:right w:val="single" w:sz="8" w:space="0" w:color="76923C"/>
            </w:tcBorders>
            <w:vAlign w:val="center"/>
          </w:tcPr>
          <w:p w:rsidR="008D51E5" w:rsidRPr="0006568D" w:rsidRDefault="008D51E5" w:rsidP="008C5914">
            <w:pPr>
              <w:keepNext/>
              <w:spacing w:after="0" w:line="240" w:lineRule="auto"/>
              <w:jc w:val="left"/>
              <w:rPr>
                <w:rFonts w:eastAsia="Malgun Gothic"/>
                <w:color w:val="000000"/>
                <w:sz w:val="21"/>
                <w:szCs w:val="21"/>
              </w:rPr>
            </w:pPr>
            <w:r w:rsidRPr="0006568D">
              <w:rPr>
                <w:rFonts w:eastAsia="Malgun Gothic"/>
                <w:color w:val="000000"/>
                <w:sz w:val="21"/>
                <w:szCs w:val="21"/>
              </w:rPr>
              <w:t>(</w:t>
            </w:r>
            <w:r w:rsidR="00BC572C">
              <w:rPr>
                <w:rFonts w:eastAsia="Malgun Gothic"/>
                <w:color w:val="000000"/>
                <w:sz w:val="21"/>
                <w:szCs w:val="21"/>
              </w:rPr>
              <w:t>+</w:t>
            </w:r>
            <w:r w:rsidRPr="0006568D">
              <w:rPr>
                <w:rFonts w:eastAsia="Malgun Gothic"/>
                <w:color w:val="000000"/>
                <w:sz w:val="21"/>
                <w:szCs w:val="21"/>
              </w:rPr>
              <w:t>105%)</w:t>
            </w:r>
          </w:p>
        </w:tc>
        <w:tc>
          <w:tcPr>
            <w:tcW w:w="1052" w:type="dxa"/>
            <w:tcBorders>
              <w:left w:val="single" w:sz="8" w:space="0" w:color="76923C"/>
            </w:tcBorders>
            <w:vAlign w:val="center"/>
          </w:tcPr>
          <w:p w:rsidR="008D51E5" w:rsidRPr="0006568D" w:rsidRDefault="008D51E5" w:rsidP="008C5914">
            <w:pPr>
              <w:keepNext/>
              <w:spacing w:after="0" w:line="240" w:lineRule="auto"/>
              <w:jc w:val="right"/>
              <w:rPr>
                <w:rFonts w:eastAsia="Malgun Gothic"/>
                <w:color w:val="000000"/>
                <w:sz w:val="21"/>
                <w:szCs w:val="21"/>
              </w:rPr>
            </w:pPr>
            <w:r w:rsidRPr="0006568D">
              <w:rPr>
                <w:rFonts w:eastAsia="Malgun Gothic"/>
                <w:color w:val="000000"/>
                <w:sz w:val="21"/>
                <w:szCs w:val="21"/>
              </w:rPr>
              <w:t>77,633</w:t>
            </w:r>
          </w:p>
        </w:tc>
        <w:tc>
          <w:tcPr>
            <w:tcW w:w="1053" w:type="dxa"/>
            <w:vAlign w:val="center"/>
          </w:tcPr>
          <w:p w:rsidR="008D51E5" w:rsidRPr="0006568D" w:rsidRDefault="008D51E5" w:rsidP="008C5914">
            <w:pPr>
              <w:keepNext/>
              <w:spacing w:after="0" w:line="240" w:lineRule="auto"/>
              <w:jc w:val="left"/>
              <w:rPr>
                <w:rFonts w:eastAsia="Malgun Gothic"/>
                <w:color w:val="000000"/>
                <w:sz w:val="21"/>
                <w:szCs w:val="21"/>
              </w:rPr>
            </w:pPr>
            <w:r w:rsidRPr="0006568D">
              <w:rPr>
                <w:rFonts w:eastAsia="Malgun Gothic"/>
                <w:color w:val="000000"/>
                <w:sz w:val="21"/>
                <w:szCs w:val="21"/>
              </w:rPr>
              <w:t>(</w:t>
            </w:r>
            <w:r w:rsidR="00BC572C">
              <w:rPr>
                <w:rFonts w:eastAsia="Malgun Gothic"/>
                <w:color w:val="000000"/>
                <w:sz w:val="21"/>
                <w:szCs w:val="21"/>
              </w:rPr>
              <w:t>+</w:t>
            </w:r>
            <w:r w:rsidRPr="0006568D">
              <w:rPr>
                <w:rFonts w:eastAsia="Malgun Gothic"/>
                <w:color w:val="000000"/>
                <w:sz w:val="21"/>
                <w:szCs w:val="21"/>
              </w:rPr>
              <w:t>155%)</w:t>
            </w:r>
          </w:p>
        </w:tc>
      </w:tr>
      <w:tr w:rsidR="008D51E5" w:rsidRPr="0006568D" w:rsidTr="00DD140E">
        <w:trPr>
          <w:jc w:val="center"/>
        </w:trPr>
        <w:tc>
          <w:tcPr>
            <w:tcW w:w="3490" w:type="dxa"/>
            <w:tcBorders>
              <w:right w:val="single" w:sz="8" w:space="0" w:color="76923C"/>
            </w:tcBorders>
            <w:vAlign w:val="center"/>
          </w:tcPr>
          <w:p w:rsidR="008D51E5" w:rsidRPr="0006568D" w:rsidRDefault="008D51E5" w:rsidP="008C5914">
            <w:pPr>
              <w:keepNext/>
              <w:spacing w:after="0" w:line="240" w:lineRule="auto"/>
              <w:jc w:val="left"/>
              <w:rPr>
                <w:rFonts w:eastAsia="Malgun Gothic"/>
                <w:bCs/>
                <w:sz w:val="21"/>
                <w:szCs w:val="21"/>
              </w:rPr>
            </w:pPr>
            <w:r w:rsidRPr="0006568D">
              <w:rPr>
                <w:rFonts w:eastAsia="Malgun Gothic"/>
                <w:bCs/>
                <w:sz w:val="21"/>
                <w:szCs w:val="21"/>
              </w:rPr>
              <w:t>Total ton-km by road (million)</w:t>
            </w:r>
          </w:p>
        </w:tc>
        <w:tc>
          <w:tcPr>
            <w:tcW w:w="1620" w:type="dxa"/>
            <w:tcBorders>
              <w:left w:val="single" w:sz="8" w:space="0" w:color="76923C"/>
              <w:right w:val="single" w:sz="8" w:space="0" w:color="76923C"/>
            </w:tcBorders>
            <w:vAlign w:val="center"/>
          </w:tcPr>
          <w:p w:rsidR="008D51E5" w:rsidRPr="0006568D" w:rsidRDefault="008D51E5" w:rsidP="008C5914">
            <w:pPr>
              <w:keepNext/>
              <w:spacing w:after="0" w:line="240" w:lineRule="auto"/>
              <w:ind w:right="328"/>
              <w:jc w:val="right"/>
              <w:rPr>
                <w:rFonts w:eastAsia="Malgun Gothic"/>
                <w:color w:val="000000"/>
                <w:sz w:val="21"/>
                <w:szCs w:val="21"/>
              </w:rPr>
            </w:pPr>
            <w:r w:rsidRPr="0006568D">
              <w:rPr>
                <w:rFonts w:eastAsia="Malgun Gothic"/>
                <w:color w:val="000000"/>
                <w:sz w:val="21"/>
                <w:szCs w:val="21"/>
              </w:rPr>
              <w:t>524,924</w:t>
            </w:r>
          </w:p>
        </w:tc>
        <w:tc>
          <w:tcPr>
            <w:tcW w:w="1052" w:type="dxa"/>
            <w:tcBorders>
              <w:left w:val="single" w:sz="8" w:space="0" w:color="76923C"/>
            </w:tcBorders>
            <w:vAlign w:val="center"/>
          </w:tcPr>
          <w:p w:rsidR="008D51E5" w:rsidRPr="0006568D" w:rsidRDefault="008D51E5" w:rsidP="008C5914">
            <w:pPr>
              <w:keepNext/>
              <w:spacing w:after="0" w:line="240" w:lineRule="auto"/>
              <w:jc w:val="right"/>
              <w:rPr>
                <w:rFonts w:eastAsia="Malgun Gothic"/>
                <w:color w:val="000000"/>
                <w:sz w:val="21"/>
                <w:szCs w:val="21"/>
              </w:rPr>
            </w:pPr>
            <w:r w:rsidRPr="0006568D">
              <w:rPr>
                <w:rFonts w:eastAsia="Malgun Gothic"/>
                <w:color w:val="000000"/>
                <w:sz w:val="21"/>
                <w:szCs w:val="21"/>
              </w:rPr>
              <w:t>489,010</w:t>
            </w:r>
          </w:p>
        </w:tc>
        <w:tc>
          <w:tcPr>
            <w:tcW w:w="1053" w:type="dxa"/>
            <w:tcBorders>
              <w:right w:val="single" w:sz="8" w:space="0" w:color="76923C"/>
            </w:tcBorders>
            <w:vAlign w:val="center"/>
          </w:tcPr>
          <w:p w:rsidR="008D51E5" w:rsidRPr="0006568D" w:rsidRDefault="008D51E5" w:rsidP="008C5914">
            <w:pPr>
              <w:keepNext/>
              <w:spacing w:after="0" w:line="240" w:lineRule="auto"/>
              <w:jc w:val="left"/>
              <w:rPr>
                <w:rFonts w:eastAsia="Malgun Gothic"/>
                <w:color w:val="000000"/>
                <w:sz w:val="21"/>
                <w:szCs w:val="21"/>
              </w:rPr>
            </w:pPr>
            <w:r w:rsidRPr="0006568D">
              <w:rPr>
                <w:rFonts w:eastAsia="Malgun Gothic"/>
                <w:color w:val="000000"/>
                <w:sz w:val="21"/>
                <w:szCs w:val="21"/>
              </w:rPr>
              <w:t>(</w:t>
            </w:r>
            <w:r w:rsidR="00BC572C">
              <w:rPr>
                <w:rFonts w:eastAsia="Malgun Gothic"/>
                <w:color w:val="000000"/>
                <w:sz w:val="21"/>
                <w:szCs w:val="21"/>
              </w:rPr>
              <w:t>-</w:t>
            </w:r>
            <w:r w:rsidRPr="0006568D">
              <w:rPr>
                <w:rFonts w:eastAsia="Malgun Gothic"/>
                <w:color w:val="000000"/>
                <w:sz w:val="21"/>
                <w:szCs w:val="21"/>
              </w:rPr>
              <w:t>7%)</w:t>
            </w:r>
          </w:p>
        </w:tc>
        <w:tc>
          <w:tcPr>
            <w:tcW w:w="1052" w:type="dxa"/>
            <w:tcBorders>
              <w:left w:val="single" w:sz="8" w:space="0" w:color="76923C"/>
            </w:tcBorders>
            <w:vAlign w:val="center"/>
          </w:tcPr>
          <w:p w:rsidR="008D51E5" w:rsidRPr="0006568D" w:rsidRDefault="008D51E5" w:rsidP="008C5914">
            <w:pPr>
              <w:keepNext/>
              <w:spacing w:after="0" w:line="240" w:lineRule="auto"/>
              <w:jc w:val="right"/>
              <w:rPr>
                <w:rFonts w:eastAsia="Malgun Gothic"/>
                <w:color w:val="000000"/>
                <w:sz w:val="21"/>
                <w:szCs w:val="21"/>
              </w:rPr>
            </w:pPr>
            <w:r w:rsidRPr="0006568D">
              <w:rPr>
                <w:rFonts w:eastAsia="Malgun Gothic"/>
                <w:color w:val="000000"/>
                <w:sz w:val="21"/>
                <w:szCs w:val="21"/>
              </w:rPr>
              <w:t>453,096</w:t>
            </w:r>
          </w:p>
        </w:tc>
        <w:tc>
          <w:tcPr>
            <w:tcW w:w="1053" w:type="dxa"/>
            <w:vAlign w:val="center"/>
          </w:tcPr>
          <w:p w:rsidR="008D51E5" w:rsidRPr="0006568D" w:rsidRDefault="008D51E5" w:rsidP="008C5914">
            <w:pPr>
              <w:keepNext/>
              <w:spacing w:after="0" w:line="240" w:lineRule="auto"/>
              <w:jc w:val="left"/>
              <w:rPr>
                <w:rFonts w:eastAsia="Malgun Gothic"/>
                <w:color w:val="000000"/>
                <w:sz w:val="21"/>
                <w:szCs w:val="21"/>
              </w:rPr>
            </w:pPr>
            <w:r w:rsidRPr="0006568D">
              <w:rPr>
                <w:rFonts w:eastAsia="Malgun Gothic"/>
                <w:color w:val="000000"/>
                <w:sz w:val="21"/>
                <w:szCs w:val="21"/>
              </w:rPr>
              <w:t>(</w:t>
            </w:r>
            <w:r w:rsidR="00BC572C">
              <w:rPr>
                <w:rFonts w:eastAsia="Malgun Gothic"/>
                <w:color w:val="000000"/>
                <w:sz w:val="21"/>
                <w:szCs w:val="21"/>
              </w:rPr>
              <w:t>-</w:t>
            </w:r>
            <w:r w:rsidRPr="0006568D">
              <w:rPr>
                <w:rFonts w:eastAsia="Malgun Gothic"/>
                <w:color w:val="000000"/>
                <w:sz w:val="21"/>
                <w:szCs w:val="21"/>
              </w:rPr>
              <w:t>14%)</w:t>
            </w:r>
          </w:p>
        </w:tc>
      </w:tr>
      <w:tr w:rsidR="008D51E5" w:rsidRPr="0006568D" w:rsidTr="00DD140E">
        <w:trPr>
          <w:jc w:val="center"/>
        </w:trPr>
        <w:tc>
          <w:tcPr>
            <w:tcW w:w="3490" w:type="dxa"/>
            <w:tcBorders>
              <w:right w:val="single" w:sz="8" w:space="0" w:color="76923C"/>
            </w:tcBorders>
            <w:vAlign w:val="center"/>
          </w:tcPr>
          <w:p w:rsidR="008D51E5" w:rsidRPr="0006568D" w:rsidRDefault="008D51E5" w:rsidP="008C5914">
            <w:pPr>
              <w:keepNext/>
              <w:spacing w:after="0" w:line="240" w:lineRule="auto"/>
              <w:jc w:val="left"/>
              <w:rPr>
                <w:rFonts w:eastAsia="Malgun Gothic"/>
                <w:bCs/>
                <w:sz w:val="21"/>
                <w:szCs w:val="21"/>
              </w:rPr>
            </w:pPr>
            <w:r w:rsidRPr="0006568D">
              <w:rPr>
                <w:rFonts w:eastAsia="Malgun Gothic"/>
                <w:bCs/>
                <w:sz w:val="21"/>
                <w:szCs w:val="21"/>
              </w:rPr>
              <w:t>Total ton-km by rail (million)</w:t>
            </w:r>
          </w:p>
        </w:tc>
        <w:tc>
          <w:tcPr>
            <w:tcW w:w="1620" w:type="dxa"/>
            <w:tcBorders>
              <w:left w:val="single" w:sz="8" w:space="0" w:color="76923C"/>
              <w:right w:val="single" w:sz="8" w:space="0" w:color="76923C"/>
            </w:tcBorders>
            <w:vAlign w:val="center"/>
          </w:tcPr>
          <w:p w:rsidR="008D51E5" w:rsidRPr="0006568D" w:rsidRDefault="008D51E5" w:rsidP="008C5914">
            <w:pPr>
              <w:keepNext/>
              <w:spacing w:after="0" w:line="240" w:lineRule="auto"/>
              <w:ind w:right="328"/>
              <w:jc w:val="right"/>
              <w:rPr>
                <w:rFonts w:eastAsia="Malgun Gothic"/>
                <w:color w:val="000000"/>
                <w:sz w:val="21"/>
                <w:szCs w:val="21"/>
              </w:rPr>
            </w:pPr>
            <w:r w:rsidRPr="0006568D">
              <w:rPr>
                <w:rFonts w:eastAsia="Malgun Gothic"/>
                <w:color w:val="000000"/>
                <w:sz w:val="21"/>
                <w:szCs w:val="21"/>
              </w:rPr>
              <w:t>154,504</w:t>
            </w:r>
          </w:p>
        </w:tc>
        <w:tc>
          <w:tcPr>
            <w:tcW w:w="1052" w:type="dxa"/>
            <w:tcBorders>
              <w:left w:val="single" w:sz="8" w:space="0" w:color="76923C"/>
            </w:tcBorders>
            <w:vAlign w:val="center"/>
          </w:tcPr>
          <w:p w:rsidR="008D51E5" w:rsidRPr="0006568D" w:rsidRDefault="008D51E5" w:rsidP="008C5914">
            <w:pPr>
              <w:keepNext/>
              <w:spacing w:after="0" w:line="240" w:lineRule="auto"/>
              <w:jc w:val="right"/>
              <w:rPr>
                <w:rFonts w:eastAsia="Malgun Gothic"/>
                <w:color w:val="000000"/>
                <w:sz w:val="21"/>
                <w:szCs w:val="21"/>
              </w:rPr>
            </w:pPr>
            <w:r w:rsidRPr="0006568D">
              <w:rPr>
                <w:rFonts w:eastAsia="Malgun Gothic"/>
                <w:color w:val="000000"/>
                <w:sz w:val="21"/>
                <w:szCs w:val="21"/>
              </w:rPr>
              <w:t>190,420</w:t>
            </w:r>
          </w:p>
        </w:tc>
        <w:tc>
          <w:tcPr>
            <w:tcW w:w="1053" w:type="dxa"/>
            <w:tcBorders>
              <w:right w:val="single" w:sz="8" w:space="0" w:color="76923C"/>
            </w:tcBorders>
            <w:vAlign w:val="center"/>
          </w:tcPr>
          <w:p w:rsidR="008D51E5" w:rsidRPr="0006568D" w:rsidRDefault="008D51E5" w:rsidP="008C5914">
            <w:pPr>
              <w:keepNext/>
              <w:spacing w:after="0" w:line="240" w:lineRule="auto"/>
              <w:jc w:val="left"/>
              <w:rPr>
                <w:rFonts w:eastAsia="Malgun Gothic"/>
                <w:color w:val="000000"/>
                <w:sz w:val="21"/>
                <w:szCs w:val="21"/>
              </w:rPr>
            </w:pPr>
            <w:r w:rsidRPr="0006568D">
              <w:rPr>
                <w:rFonts w:eastAsia="Malgun Gothic"/>
                <w:color w:val="000000"/>
                <w:sz w:val="21"/>
                <w:szCs w:val="21"/>
              </w:rPr>
              <w:t>(</w:t>
            </w:r>
            <w:r w:rsidR="00BC572C">
              <w:rPr>
                <w:rFonts w:eastAsia="Malgun Gothic"/>
                <w:color w:val="000000"/>
                <w:sz w:val="21"/>
                <w:szCs w:val="21"/>
              </w:rPr>
              <w:t>+</w:t>
            </w:r>
            <w:r w:rsidRPr="0006568D">
              <w:rPr>
                <w:rFonts w:eastAsia="Malgun Gothic"/>
                <w:color w:val="000000"/>
                <w:sz w:val="21"/>
                <w:szCs w:val="21"/>
              </w:rPr>
              <w:t>23%)</w:t>
            </w:r>
          </w:p>
        </w:tc>
        <w:tc>
          <w:tcPr>
            <w:tcW w:w="1052" w:type="dxa"/>
            <w:tcBorders>
              <w:left w:val="single" w:sz="8" w:space="0" w:color="76923C"/>
            </w:tcBorders>
            <w:vAlign w:val="center"/>
          </w:tcPr>
          <w:p w:rsidR="008D51E5" w:rsidRPr="0006568D" w:rsidRDefault="008D51E5" w:rsidP="008C5914">
            <w:pPr>
              <w:keepNext/>
              <w:spacing w:after="0" w:line="240" w:lineRule="auto"/>
              <w:jc w:val="right"/>
              <w:rPr>
                <w:rFonts w:eastAsia="Malgun Gothic"/>
                <w:color w:val="000000"/>
                <w:sz w:val="21"/>
                <w:szCs w:val="21"/>
              </w:rPr>
            </w:pPr>
            <w:r w:rsidRPr="0006568D">
              <w:rPr>
                <w:rFonts w:eastAsia="Malgun Gothic"/>
                <w:color w:val="000000"/>
                <w:sz w:val="21"/>
                <w:szCs w:val="21"/>
              </w:rPr>
              <w:t>226,335</w:t>
            </w:r>
          </w:p>
        </w:tc>
        <w:tc>
          <w:tcPr>
            <w:tcW w:w="1053" w:type="dxa"/>
            <w:vAlign w:val="center"/>
          </w:tcPr>
          <w:p w:rsidR="008D51E5" w:rsidRPr="0006568D" w:rsidRDefault="008D51E5" w:rsidP="008C5914">
            <w:pPr>
              <w:keepNext/>
              <w:spacing w:after="0" w:line="240" w:lineRule="auto"/>
              <w:jc w:val="left"/>
              <w:rPr>
                <w:rFonts w:eastAsia="Malgun Gothic"/>
                <w:color w:val="000000"/>
                <w:sz w:val="21"/>
                <w:szCs w:val="21"/>
              </w:rPr>
            </w:pPr>
            <w:r w:rsidRPr="0006568D">
              <w:rPr>
                <w:rFonts w:eastAsia="Malgun Gothic"/>
                <w:color w:val="000000"/>
                <w:sz w:val="21"/>
                <w:szCs w:val="21"/>
              </w:rPr>
              <w:t>(</w:t>
            </w:r>
            <w:r w:rsidR="00BC572C">
              <w:rPr>
                <w:rFonts w:eastAsia="Malgun Gothic"/>
                <w:color w:val="000000"/>
                <w:sz w:val="21"/>
                <w:szCs w:val="21"/>
              </w:rPr>
              <w:t>+</w:t>
            </w:r>
            <w:r w:rsidRPr="0006568D">
              <w:rPr>
                <w:rFonts w:eastAsia="Malgun Gothic"/>
                <w:color w:val="000000"/>
                <w:sz w:val="21"/>
                <w:szCs w:val="21"/>
              </w:rPr>
              <w:t>47%)</w:t>
            </w:r>
          </w:p>
        </w:tc>
      </w:tr>
      <w:tr w:rsidR="008D51E5" w:rsidRPr="0006568D" w:rsidTr="00DD140E">
        <w:trPr>
          <w:jc w:val="center"/>
        </w:trPr>
        <w:tc>
          <w:tcPr>
            <w:tcW w:w="3490" w:type="dxa"/>
            <w:tcBorders>
              <w:right w:val="single" w:sz="8" w:space="0" w:color="76923C"/>
            </w:tcBorders>
            <w:vAlign w:val="center"/>
          </w:tcPr>
          <w:p w:rsidR="008D51E5" w:rsidRPr="0006568D" w:rsidRDefault="008D51E5" w:rsidP="008C5914">
            <w:pPr>
              <w:keepNext/>
              <w:spacing w:after="0" w:line="240" w:lineRule="auto"/>
              <w:jc w:val="left"/>
              <w:rPr>
                <w:rFonts w:eastAsia="Malgun Gothic"/>
                <w:bCs/>
                <w:sz w:val="21"/>
                <w:szCs w:val="21"/>
              </w:rPr>
            </w:pPr>
            <w:r w:rsidRPr="0006568D">
              <w:rPr>
                <w:rFonts w:eastAsia="Malgun Gothic"/>
                <w:bCs/>
                <w:sz w:val="21"/>
                <w:szCs w:val="21"/>
              </w:rPr>
              <w:t>Total CO</w:t>
            </w:r>
            <w:r w:rsidRPr="0006568D">
              <w:rPr>
                <w:rFonts w:eastAsia="Malgun Gothic"/>
                <w:bCs/>
                <w:sz w:val="21"/>
                <w:szCs w:val="21"/>
                <w:vertAlign w:val="subscript"/>
              </w:rPr>
              <w:t>2</w:t>
            </w:r>
            <w:r w:rsidRPr="0006568D">
              <w:rPr>
                <w:rFonts w:eastAsia="Malgun Gothic"/>
                <w:bCs/>
                <w:sz w:val="21"/>
                <w:szCs w:val="21"/>
              </w:rPr>
              <w:t xml:space="preserve"> emissions (thousand tons)</w:t>
            </w:r>
          </w:p>
        </w:tc>
        <w:tc>
          <w:tcPr>
            <w:tcW w:w="1620" w:type="dxa"/>
            <w:tcBorders>
              <w:left w:val="single" w:sz="8" w:space="0" w:color="76923C"/>
              <w:right w:val="single" w:sz="8" w:space="0" w:color="76923C"/>
            </w:tcBorders>
            <w:vAlign w:val="center"/>
          </w:tcPr>
          <w:p w:rsidR="008D51E5" w:rsidRPr="0006568D" w:rsidRDefault="008D51E5" w:rsidP="008C5914">
            <w:pPr>
              <w:keepNext/>
              <w:spacing w:after="0" w:line="240" w:lineRule="auto"/>
              <w:ind w:right="328"/>
              <w:jc w:val="right"/>
              <w:rPr>
                <w:rFonts w:eastAsia="Malgun Gothic"/>
                <w:color w:val="000000"/>
                <w:sz w:val="21"/>
                <w:szCs w:val="21"/>
              </w:rPr>
            </w:pPr>
            <w:r w:rsidRPr="0006568D">
              <w:rPr>
                <w:rFonts w:eastAsia="Malgun Gothic"/>
                <w:color w:val="000000"/>
                <w:sz w:val="21"/>
                <w:szCs w:val="21"/>
              </w:rPr>
              <w:t>71,793</w:t>
            </w:r>
          </w:p>
        </w:tc>
        <w:tc>
          <w:tcPr>
            <w:tcW w:w="1052" w:type="dxa"/>
            <w:tcBorders>
              <w:left w:val="single" w:sz="8" w:space="0" w:color="76923C"/>
            </w:tcBorders>
            <w:vAlign w:val="center"/>
          </w:tcPr>
          <w:p w:rsidR="008D51E5" w:rsidRPr="0006568D" w:rsidRDefault="008D51E5" w:rsidP="008C5914">
            <w:pPr>
              <w:keepNext/>
              <w:spacing w:after="0" w:line="240" w:lineRule="auto"/>
              <w:jc w:val="right"/>
              <w:rPr>
                <w:rFonts w:eastAsia="Malgun Gothic"/>
                <w:color w:val="000000"/>
                <w:sz w:val="21"/>
                <w:szCs w:val="21"/>
              </w:rPr>
            </w:pPr>
            <w:r w:rsidRPr="0006568D">
              <w:rPr>
                <w:rFonts w:eastAsia="Malgun Gothic"/>
                <w:color w:val="000000"/>
                <w:sz w:val="21"/>
                <w:szCs w:val="21"/>
              </w:rPr>
              <w:t>68,996</w:t>
            </w:r>
          </w:p>
        </w:tc>
        <w:tc>
          <w:tcPr>
            <w:tcW w:w="1053" w:type="dxa"/>
            <w:tcBorders>
              <w:right w:val="single" w:sz="8" w:space="0" w:color="76923C"/>
            </w:tcBorders>
            <w:vAlign w:val="center"/>
          </w:tcPr>
          <w:p w:rsidR="008D51E5" w:rsidRPr="0006568D" w:rsidRDefault="008D51E5" w:rsidP="008C5914">
            <w:pPr>
              <w:keepNext/>
              <w:spacing w:after="0" w:line="240" w:lineRule="auto"/>
              <w:jc w:val="left"/>
              <w:rPr>
                <w:rFonts w:eastAsia="Malgun Gothic"/>
                <w:color w:val="000000"/>
                <w:sz w:val="21"/>
                <w:szCs w:val="21"/>
              </w:rPr>
            </w:pPr>
            <w:r w:rsidRPr="0006568D">
              <w:rPr>
                <w:rFonts w:eastAsia="Malgun Gothic"/>
                <w:color w:val="000000"/>
                <w:sz w:val="21"/>
                <w:szCs w:val="21"/>
              </w:rPr>
              <w:t>(</w:t>
            </w:r>
            <w:r w:rsidR="00BC572C">
              <w:rPr>
                <w:rFonts w:eastAsia="Malgun Gothic"/>
                <w:color w:val="000000"/>
                <w:sz w:val="21"/>
                <w:szCs w:val="21"/>
              </w:rPr>
              <w:t>-</w:t>
            </w:r>
            <w:r w:rsidRPr="0006568D">
              <w:rPr>
                <w:rFonts w:eastAsia="Malgun Gothic"/>
                <w:color w:val="000000"/>
                <w:sz w:val="21"/>
                <w:szCs w:val="21"/>
              </w:rPr>
              <w:t>4%)</w:t>
            </w:r>
          </w:p>
        </w:tc>
        <w:tc>
          <w:tcPr>
            <w:tcW w:w="1052" w:type="dxa"/>
            <w:tcBorders>
              <w:left w:val="single" w:sz="8" w:space="0" w:color="76923C"/>
            </w:tcBorders>
            <w:vAlign w:val="center"/>
          </w:tcPr>
          <w:p w:rsidR="008D51E5" w:rsidRPr="0006568D" w:rsidRDefault="008D51E5" w:rsidP="008C5914">
            <w:pPr>
              <w:keepNext/>
              <w:spacing w:after="0" w:line="240" w:lineRule="auto"/>
              <w:jc w:val="right"/>
              <w:rPr>
                <w:rFonts w:eastAsia="Malgun Gothic"/>
                <w:color w:val="000000"/>
                <w:sz w:val="21"/>
                <w:szCs w:val="21"/>
              </w:rPr>
            </w:pPr>
            <w:r w:rsidRPr="0006568D">
              <w:rPr>
                <w:rFonts w:eastAsia="Malgun Gothic"/>
                <w:color w:val="000000"/>
                <w:sz w:val="21"/>
                <w:szCs w:val="21"/>
              </w:rPr>
              <w:t>66,455</w:t>
            </w:r>
          </w:p>
        </w:tc>
        <w:tc>
          <w:tcPr>
            <w:tcW w:w="1053" w:type="dxa"/>
            <w:vAlign w:val="center"/>
          </w:tcPr>
          <w:p w:rsidR="008D51E5" w:rsidRPr="0006568D" w:rsidRDefault="008D51E5" w:rsidP="008C5914">
            <w:pPr>
              <w:keepNext/>
              <w:spacing w:after="0" w:line="240" w:lineRule="auto"/>
              <w:jc w:val="left"/>
              <w:rPr>
                <w:rFonts w:eastAsia="Malgun Gothic"/>
                <w:color w:val="000000"/>
                <w:sz w:val="21"/>
                <w:szCs w:val="21"/>
              </w:rPr>
            </w:pPr>
            <w:r w:rsidRPr="0006568D">
              <w:rPr>
                <w:rFonts w:eastAsia="Malgun Gothic"/>
                <w:color w:val="000000"/>
                <w:sz w:val="21"/>
                <w:szCs w:val="21"/>
              </w:rPr>
              <w:t>(</w:t>
            </w:r>
            <w:r w:rsidR="00BC572C">
              <w:rPr>
                <w:rFonts w:eastAsia="Malgun Gothic"/>
                <w:color w:val="000000"/>
                <w:sz w:val="21"/>
                <w:szCs w:val="21"/>
              </w:rPr>
              <w:t>-</w:t>
            </w:r>
            <w:r w:rsidRPr="0006568D">
              <w:rPr>
                <w:rFonts w:eastAsia="Malgun Gothic"/>
                <w:color w:val="000000"/>
                <w:sz w:val="21"/>
                <w:szCs w:val="21"/>
              </w:rPr>
              <w:t>7%)</w:t>
            </w:r>
          </w:p>
        </w:tc>
      </w:tr>
      <w:tr w:rsidR="008D51E5" w:rsidRPr="0006568D" w:rsidTr="00DD140E">
        <w:trPr>
          <w:jc w:val="center"/>
        </w:trPr>
        <w:tc>
          <w:tcPr>
            <w:tcW w:w="3490" w:type="dxa"/>
            <w:tcBorders>
              <w:right w:val="single" w:sz="8" w:space="0" w:color="76923C"/>
            </w:tcBorders>
            <w:vAlign w:val="center"/>
          </w:tcPr>
          <w:p w:rsidR="008D51E5" w:rsidRPr="0006568D" w:rsidRDefault="008D51E5" w:rsidP="008C5914">
            <w:pPr>
              <w:keepNext/>
              <w:spacing w:after="0" w:line="240" w:lineRule="auto"/>
              <w:jc w:val="left"/>
              <w:rPr>
                <w:rFonts w:eastAsia="Malgun Gothic"/>
                <w:bCs/>
                <w:sz w:val="21"/>
                <w:szCs w:val="21"/>
              </w:rPr>
            </w:pPr>
            <w:r w:rsidRPr="0006568D">
              <w:rPr>
                <w:rFonts w:eastAsia="Malgun Gothic"/>
                <w:bCs/>
                <w:sz w:val="21"/>
                <w:szCs w:val="21"/>
              </w:rPr>
              <w:t>Total CO emissions (thousand tons)</w:t>
            </w:r>
          </w:p>
        </w:tc>
        <w:tc>
          <w:tcPr>
            <w:tcW w:w="1620" w:type="dxa"/>
            <w:tcBorders>
              <w:left w:val="single" w:sz="8" w:space="0" w:color="76923C"/>
              <w:right w:val="single" w:sz="8" w:space="0" w:color="76923C"/>
            </w:tcBorders>
            <w:vAlign w:val="center"/>
          </w:tcPr>
          <w:p w:rsidR="008D51E5" w:rsidRPr="0006568D" w:rsidRDefault="008D51E5" w:rsidP="008C5914">
            <w:pPr>
              <w:keepNext/>
              <w:spacing w:after="0" w:line="240" w:lineRule="auto"/>
              <w:ind w:right="328"/>
              <w:jc w:val="right"/>
              <w:rPr>
                <w:rFonts w:eastAsia="Malgun Gothic"/>
                <w:color w:val="000000"/>
                <w:sz w:val="21"/>
                <w:szCs w:val="21"/>
              </w:rPr>
            </w:pPr>
            <w:r w:rsidRPr="0006568D">
              <w:rPr>
                <w:rFonts w:eastAsia="Malgun Gothic"/>
                <w:color w:val="000000"/>
                <w:sz w:val="21"/>
                <w:szCs w:val="21"/>
              </w:rPr>
              <w:t>1,200</w:t>
            </w:r>
          </w:p>
        </w:tc>
        <w:tc>
          <w:tcPr>
            <w:tcW w:w="1052" w:type="dxa"/>
            <w:tcBorders>
              <w:left w:val="single" w:sz="8" w:space="0" w:color="76923C"/>
            </w:tcBorders>
            <w:vAlign w:val="center"/>
          </w:tcPr>
          <w:p w:rsidR="008D51E5" w:rsidRPr="0006568D" w:rsidRDefault="008D51E5" w:rsidP="008C5914">
            <w:pPr>
              <w:keepNext/>
              <w:spacing w:after="0" w:line="240" w:lineRule="auto"/>
              <w:jc w:val="right"/>
              <w:rPr>
                <w:rFonts w:eastAsia="Malgun Gothic"/>
                <w:color w:val="000000"/>
                <w:sz w:val="21"/>
                <w:szCs w:val="21"/>
              </w:rPr>
            </w:pPr>
            <w:r w:rsidRPr="0006568D">
              <w:rPr>
                <w:rFonts w:eastAsia="Malgun Gothic"/>
                <w:color w:val="000000"/>
                <w:sz w:val="21"/>
                <w:szCs w:val="21"/>
              </w:rPr>
              <w:t>392</w:t>
            </w:r>
          </w:p>
        </w:tc>
        <w:tc>
          <w:tcPr>
            <w:tcW w:w="1053" w:type="dxa"/>
            <w:tcBorders>
              <w:right w:val="single" w:sz="8" w:space="0" w:color="76923C"/>
            </w:tcBorders>
            <w:vAlign w:val="center"/>
          </w:tcPr>
          <w:p w:rsidR="008D51E5" w:rsidRPr="0006568D" w:rsidRDefault="008D51E5" w:rsidP="008C5914">
            <w:pPr>
              <w:keepNext/>
              <w:spacing w:after="0" w:line="240" w:lineRule="auto"/>
              <w:jc w:val="left"/>
              <w:rPr>
                <w:rFonts w:eastAsia="Malgun Gothic"/>
                <w:color w:val="000000"/>
                <w:sz w:val="21"/>
                <w:szCs w:val="21"/>
              </w:rPr>
            </w:pPr>
            <w:r w:rsidRPr="0006568D">
              <w:rPr>
                <w:rFonts w:eastAsia="Malgun Gothic"/>
                <w:color w:val="000000"/>
                <w:sz w:val="21"/>
                <w:szCs w:val="21"/>
              </w:rPr>
              <w:t>(</w:t>
            </w:r>
            <w:r w:rsidR="00BC572C">
              <w:rPr>
                <w:rFonts w:eastAsia="Malgun Gothic"/>
                <w:color w:val="000000"/>
                <w:sz w:val="21"/>
                <w:szCs w:val="21"/>
              </w:rPr>
              <w:t>-</w:t>
            </w:r>
            <w:r w:rsidRPr="0006568D">
              <w:rPr>
                <w:rFonts w:eastAsia="Malgun Gothic"/>
                <w:color w:val="000000"/>
                <w:sz w:val="21"/>
                <w:szCs w:val="21"/>
              </w:rPr>
              <w:t>67%)</w:t>
            </w:r>
          </w:p>
        </w:tc>
        <w:tc>
          <w:tcPr>
            <w:tcW w:w="1052" w:type="dxa"/>
            <w:tcBorders>
              <w:left w:val="single" w:sz="8" w:space="0" w:color="76923C"/>
            </w:tcBorders>
            <w:vAlign w:val="center"/>
          </w:tcPr>
          <w:p w:rsidR="008D51E5" w:rsidRPr="0006568D" w:rsidRDefault="008D51E5" w:rsidP="008C5914">
            <w:pPr>
              <w:keepNext/>
              <w:spacing w:after="0" w:line="240" w:lineRule="auto"/>
              <w:jc w:val="right"/>
              <w:rPr>
                <w:rFonts w:eastAsia="Malgun Gothic"/>
                <w:color w:val="000000"/>
                <w:sz w:val="21"/>
                <w:szCs w:val="21"/>
              </w:rPr>
            </w:pPr>
            <w:r w:rsidRPr="0006568D">
              <w:rPr>
                <w:rFonts w:eastAsia="Malgun Gothic"/>
                <w:color w:val="000000"/>
                <w:sz w:val="21"/>
                <w:szCs w:val="21"/>
              </w:rPr>
              <w:t>941</w:t>
            </w:r>
          </w:p>
        </w:tc>
        <w:tc>
          <w:tcPr>
            <w:tcW w:w="1053" w:type="dxa"/>
            <w:vAlign w:val="center"/>
          </w:tcPr>
          <w:p w:rsidR="008D51E5" w:rsidRPr="0006568D" w:rsidRDefault="008D51E5" w:rsidP="008C5914">
            <w:pPr>
              <w:keepNext/>
              <w:spacing w:after="0" w:line="240" w:lineRule="auto"/>
              <w:jc w:val="left"/>
              <w:rPr>
                <w:rFonts w:eastAsia="Malgun Gothic"/>
                <w:color w:val="000000"/>
                <w:sz w:val="21"/>
                <w:szCs w:val="21"/>
              </w:rPr>
            </w:pPr>
            <w:r w:rsidRPr="0006568D">
              <w:rPr>
                <w:rFonts w:eastAsia="Malgun Gothic"/>
                <w:color w:val="000000"/>
                <w:sz w:val="21"/>
                <w:szCs w:val="21"/>
              </w:rPr>
              <w:t>(</w:t>
            </w:r>
            <w:r w:rsidR="00BC572C">
              <w:rPr>
                <w:rFonts w:eastAsia="Malgun Gothic"/>
                <w:color w:val="000000"/>
                <w:sz w:val="21"/>
                <w:szCs w:val="21"/>
              </w:rPr>
              <w:t>-</w:t>
            </w:r>
            <w:r w:rsidRPr="0006568D">
              <w:rPr>
                <w:rFonts w:eastAsia="Malgun Gothic"/>
                <w:color w:val="000000"/>
                <w:sz w:val="21"/>
                <w:szCs w:val="21"/>
              </w:rPr>
              <w:t>22%)</w:t>
            </w:r>
          </w:p>
        </w:tc>
      </w:tr>
      <w:tr w:rsidR="008D51E5" w:rsidRPr="0006568D" w:rsidTr="00DD140E">
        <w:trPr>
          <w:jc w:val="center"/>
        </w:trPr>
        <w:tc>
          <w:tcPr>
            <w:tcW w:w="3490" w:type="dxa"/>
            <w:tcBorders>
              <w:right w:val="single" w:sz="8" w:space="0" w:color="76923C"/>
            </w:tcBorders>
            <w:vAlign w:val="center"/>
          </w:tcPr>
          <w:p w:rsidR="008D51E5" w:rsidRPr="0006568D" w:rsidRDefault="008D51E5" w:rsidP="008C5914">
            <w:pPr>
              <w:keepNext/>
              <w:spacing w:after="0" w:line="240" w:lineRule="auto"/>
              <w:jc w:val="left"/>
              <w:rPr>
                <w:rFonts w:eastAsia="Malgun Gothic"/>
                <w:bCs/>
                <w:sz w:val="21"/>
                <w:szCs w:val="21"/>
              </w:rPr>
            </w:pPr>
            <w:r w:rsidRPr="0006568D">
              <w:rPr>
                <w:rFonts w:eastAsia="Malgun Gothic"/>
                <w:bCs/>
                <w:sz w:val="21"/>
                <w:szCs w:val="21"/>
              </w:rPr>
              <w:t>Total VOC emissions (thousand tons)</w:t>
            </w:r>
          </w:p>
        </w:tc>
        <w:tc>
          <w:tcPr>
            <w:tcW w:w="1620" w:type="dxa"/>
            <w:tcBorders>
              <w:left w:val="single" w:sz="8" w:space="0" w:color="76923C"/>
              <w:right w:val="single" w:sz="8" w:space="0" w:color="76923C"/>
            </w:tcBorders>
            <w:vAlign w:val="center"/>
          </w:tcPr>
          <w:p w:rsidR="008D51E5" w:rsidRPr="0006568D" w:rsidRDefault="008D51E5" w:rsidP="008C5914">
            <w:pPr>
              <w:keepNext/>
              <w:spacing w:after="0" w:line="240" w:lineRule="auto"/>
              <w:ind w:right="328"/>
              <w:jc w:val="right"/>
              <w:rPr>
                <w:rFonts w:eastAsia="Malgun Gothic"/>
                <w:color w:val="000000"/>
                <w:sz w:val="21"/>
                <w:szCs w:val="21"/>
              </w:rPr>
            </w:pPr>
            <w:r w:rsidRPr="0006568D">
              <w:rPr>
                <w:rFonts w:eastAsia="Malgun Gothic"/>
                <w:color w:val="000000"/>
                <w:sz w:val="21"/>
                <w:szCs w:val="21"/>
              </w:rPr>
              <w:t>178</w:t>
            </w:r>
          </w:p>
        </w:tc>
        <w:tc>
          <w:tcPr>
            <w:tcW w:w="1052" w:type="dxa"/>
            <w:tcBorders>
              <w:left w:val="single" w:sz="8" w:space="0" w:color="76923C"/>
            </w:tcBorders>
            <w:vAlign w:val="center"/>
          </w:tcPr>
          <w:p w:rsidR="008D51E5" w:rsidRPr="0006568D" w:rsidRDefault="008D51E5" w:rsidP="008C5914">
            <w:pPr>
              <w:keepNext/>
              <w:spacing w:after="0" w:line="240" w:lineRule="auto"/>
              <w:jc w:val="right"/>
              <w:rPr>
                <w:rFonts w:eastAsia="Malgun Gothic"/>
                <w:color w:val="000000"/>
                <w:sz w:val="21"/>
                <w:szCs w:val="21"/>
              </w:rPr>
            </w:pPr>
            <w:r w:rsidRPr="0006568D">
              <w:rPr>
                <w:rFonts w:eastAsia="Malgun Gothic"/>
                <w:color w:val="000000"/>
                <w:sz w:val="21"/>
                <w:szCs w:val="21"/>
              </w:rPr>
              <w:t>82</w:t>
            </w:r>
          </w:p>
        </w:tc>
        <w:tc>
          <w:tcPr>
            <w:tcW w:w="1053" w:type="dxa"/>
            <w:tcBorders>
              <w:right w:val="single" w:sz="8" w:space="0" w:color="76923C"/>
            </w:tcBorders>
            <w:vAlign w:val="center"/>
          </w:tcPr>
          <w:p w:rsidR="008D51E5" w:rsidRPr="0006568D" w:rsidRDefault="008D51E5" w:rsidP="008C5914">
            <w:pPr>
              <w:keepNext/>
              <w:spacing w:after="0" w:line="240" w:lineRule="auto"/>
              <w:jc w:val="left"/>
              <w:rPr>
                <w:rFonts w:eastAsia="Malgun Gothic"/>
                <w:color w:val="000000"/>
                <w:sz w:val="21"/>
                <w:szCs w:val="21"/>
              </w:rPr>
            </w:pPr>
            <w:r w:rsidRPr="0006568D">
              <w:rPr>
                <w:rFonts w:eastAsia="Malgun Gothic"/>
                <w:color w:val="000000"/>
                <w:sz w:val="21"/>
                <w:szCs w:val="21"/>
              </w:rPr>
              <w:t>(</w:t>
            </w:r>
            <w:r w:rsidR="00BC572C">
              <w:rPr>
                <w:rFonts w:eastAsia="Malgun Gothic"/>
                <w:color w:val="000000"/>
                <w:sz w:val="21"/>
                <w:szCs w:val="21"/>
              </w:rPr>
              <w:t>-</w:t>
            </w:r>
            <w:r w:rsidRPr="0006568D">
              <w:rPr>
                <w:rFonts w:eastAsia="Malgun Gothic"/>
                <w:color w:val="000000"/>
                <w:sz w:val="21"/>
                <w:szCs w:val="21"/>
              </w:rPr>
              <w:t>54%)</w:t>
            </w:r>
          </w:p>
        </w:tc>
        <w:tc>
          <w:tcPr>
            <w:tcW w:w="1052" w:type="dxa"/>
            <w:tcBorders>
              <w:left w:val="single" w:sz="8" w:space="0" w:color="76923C"/>
            </w:tcBorders>
            <w:vAlign w:val="center"/>
          </w:tcPr>
          <w:p w:rsidR="008D51E5" w:rsidRPr="0006568D" w:rsidRDefault="008D51E5" w:rsidP="008C5914">
            <w:pPr>
              <w:keepNext/>
              <w:spacing w:after="0" w:line="240" w:lineRule="auto"/>
              <w:jc w:val="right"/>
              <w:rPr>
                <w:rFonts w:eastAsia="Malgun Gothic"/>
                <w:color w:val="000000"/>
                <w:sz w:val="21"/>
                <w:szCs w:val="21"/>
              </w:rPr>
            </w:pPr>
            <w:r w:rsidRPr="0006568D">
              <w:rPr>
                <w:rFonts w:eastAsia="Malgun Gothic"/>
                <w:color w:val="000000"/>
                <w:sz w:val="21"/>
                <w:szCs w:val="21"/>
              </w:rPr>
              <w:t>131</w:t>
            </w:r>
          </w:p>
        </w:tc>
        <w:tc>
          <w:tcPr>
            <w:tcW w:w="1053" w:type="dxa"/>
            <w:vAlign w:val="center"/>
          </w:tcPr>
          <w:p w:rsidR="008D51E5" w:rsidRPr="0006568D" w:rsidRDefault="008D51E5" w:rsidP="008C5914">
            <w:pPr>
              <w:keepNext/>
              <w:spacing w:after="0" w:line="240" w:lineRule="auto"/>
              <w:jc w:val="left"/>
              <w:rPr>
                <w:rFonts w:eastAsia="Malgun Gothic"/>
                <w:color w:val="000000"/>
                <w:sz w:val="21"/>
                <w:szCs w:val="21"/>
              </w:rPr>
            </w:pPr>
            <w:r w:rsidRPr="0006568D">
              <w:rPr>
                <w:rFonts w:eastAsia="Malgun Gothic"/>
                <w:color w:val="000000"/>
                <w:sz w:val="21"/>
                <w:szCs w:val="21"/>
              </w:rPr>
              <w:t>(</w:t>
            </w:r>
            <w:r w:rsidR="00BC572C">
              <w:rPr>
                <w:rFonts w:eastAsia="Malgun Gothic"/>
                <w:color w:val="000000"/>
                <w:sz w:val="21"/>
                <w:szCs w:val="21"/>
              </w:rPr>
              <w:t>-</w:t>
            </w:r>
            <w:r w:rsidRPr="0006568D">
              <w:rPr>
                <w:rFonts w:eastAsia="Malgun Gothic"/>
                <w:color w:val="000000"/>
                <w:sz w:val="21"/>
                <w:szCs w:val="21"/>
              </w:rPr>
              <w:t>26%)</w:t>
            </w:r>
          </w:p>
        </w:tc>
      </w:tr>
      <w:tr w:rsidR="008D51E5" w:rsidRPr="0006568D" w:rsidTr="00DD140E">
        <w:trPr>
          <w:jc w:val="center"/>
        </w:trPr>
        <w:tc>
          <w:tcPr>
            <w:tcW w:w="3490" w:type="dxa"/>
            <w:tcBorders>
              <w:right w:val="single" w:sz="8" w:space="0" w:color="76923C"/>
            </w:tcBorders>
            <w:vAlign w:val="center"/>
          </w:tcPr>
          <w:p w:rsidR="008D51E5" w:rsidRPr="0006568D" w:rsidRDefault="008D51E5" w:rsidP="008C5914">
            <w:pPr>
              <w:keepNext/>
              <w:spacing w:after="0" w:line="240" w:lineRule="auto"/>
              <w:jc w:val="left"/>
              <w:rPr>
                <w:rFonts w:eastAsia="Malgun Gothic"/>
                <w:bCs/>
                <w:sz w:val="21"/>
                <w:szCs w:val="21"/>
              </w:rPr>
            </w:pPr>
            <w:r w:rsidRPr="0006568D">
              <w:rPr>
                <w:rFonts w:eastAsia="Malgun Gothic"/>
                <w:bCs/>
                <w:sz w:val="21"/>
                <w:szCs w:val="21"/>
              </w:rPr>
              <w:t>Total NOx emissions (thousand tons)</w:t>
            </w:r>
          </w:p>
        </w:tc>
        <w:tc>
          <w:tcPr>
            <w:tcW w:w="1620" w:type="dxa"/>
            <w:tcBorders>
              <w:left w:val="single" w:sz="8" w:space="0" w:color="76923C"/>
              <w:right w:val="single" w:sz="8" w:space="0" w:color="76923C"/>
            </w:tcBorders>
            <w:vAlign w:val="center"/>
          </w:tcPr>
          <w:p w:rsidR="008D51E5" w:rsidRPr="0006568D" w:rsidRDefault="008D51E5" w:rsidP="008C5914">
            <w:pPr>
              <w:keepNext/>
              <w:spacing w:after="0" w:line="240" w:lineRule="auto"/>
              <w:ind w:right="328"/>
              <w:jc w:val="right"/>
              <w:rPr>
                <w:rFonts w:eastAsia="Malgun Gothic"/>
                <w:color w:val="000000"/>
                <w:sz w:val="21"/>
                <w:szCs w:val="21"/>
              </w:rPr>
            </w:pPr>
            <w:r w:rsidRPr="0006568D">
              <w:rPr>
                <w:rFonts w:eastAsia="Malgun Gothic"/>
                <w:color w:val="000000"/>
                <w:sz w:val="21"/>
                <w:szCs w:val="21"/>
              </w:rPr>
              <w:t>458</w:t>
            </w:r>
          </w:p>
        </w:tc>
        <w:tc>
          <w:tcPr>
            <w:tcW w:w="1052" w:type="dxa"/>
            <w:tcBorders>
              <w:left w:val="single" w:sz="8" w:space="0" w:color="76923C"/>
            </w:tcBorders>
            <w:vAlign w:val="center"/>
          </w:tcPr>
          <w:p w:rsidR="008D51E5" w:rsidRPr="0006568D" w:rsidRDefault="008D51E5" w:rsidP="008C5914">
            <w:pPr>
              <w:keepNext/>
              <w:spacing w:after="0" w:line="240" w:lineRule="auto"/>
              <w:jc w:val="right"/>
              <w:rPr>
                <w:rFonts w:eastAsia="Malgun Gothic"/>
                <w:color w:val="000000"/>
                <w:sz w:val="21"/>
                <w:szCs w:val="21"/>
              </w:rPr>
            </w:pPr>
            <w:r w:rsidRPr="0006568D">
              <w:rPr>
                <w:rFonts w:eastAsia="Malgun Gothic"/>
                <w:color w:val="000000"/>
                <w:sz w:val="21"/>
                <w:szCs w:val="21"/>
              </w:rPr>
              <w:t>351</w:t>
            </w:r>
          </w:p>
        </w:tc>
        <w:tc>
          <w:tcPr>
            <w:tcW w:w="1053" w:type="dxa"/>
            <w:tcBorders>
              <w:right w:val="single" w:sz="8" w:space="0" w:color="76923C"/>
            </w:tcBorders>
            <w:vAlign w:val="center"/>
          </w:tcPr>
          <w:p w:rsidR="008D51E5" w:rsidRPr="0006568D" w:rsidRDefault="008D51E5" w:rsidP="008C5914">
            <w:pPr>
              <w:keepNext/>
              <w:spacing w:after="0" w:line="240" w:lineRule="auto"/>
              <w:jc w:val="left"/>
              <w:rPr>
                <w:rFonts w:eastAsia="Malgun Gothic"/>
                <w:color w:val="000000"/>
                <w:sz w:val="21"/>
                <w:szCs w:val="21"/>
              </w:rPr>
            </w:pPr>
            <w:r w:rsidRPr="0006568D">
              <w:rPr>
                <w:rFonts w:eastAsia="Malgun Gothic"/>
                <w:color w:val="000000"/>
                <w:sz w:val="21"/>
                <w:szCs w:val="21"/>
              </w:rPr>
              <w:t>(</w:t>
            </w:r>
            <w:r w:rsidR="00BC572C">
              <w:rPr>
                <w:rFonts w:eastAsia="Malgun Gothic"/>
                <w:color w:val="000000"/>
                <w:sz w:val="21"/>
                <w:szCs w:val="21"/>
              </w:rPr>
              <w:t>-</w:t>
            </w:r>
            <w:r w:rsidRPr="0006568D">
              <w:rPr>
                <w:rFonts w:eastAsia="Malgun Gothic"/>
                <w:color w:val="000000"/>
                <w:sz w:val="21"/>
                <w:szCs w:val="21"/>
              </w:rPr>
              <w:t>23%)</w:t>
            </w:r>
          </w:p>
        </w:tc>
        <w:tc>
          <w:tcPr>
            <w:tcW w:w="1052" w:type="dxa"/>
            <w:tcBorders>
              <w:left w:val="single" w:sz="8" w:space="0" w:color="76923C"/>
            </w:tcBorders>
            <w:vAlign w:val="center"/>
          </w:tcPr>
          <w:p w:rsidR="008D51E5" w:rsidRPr="0006568D" w:rsidRDefault="008D51E5" w:rsidP="008C5914">
            <w:pPr>
              <w:keepNext/>
              <w:spacing w:after="0" w:line="240" w:lineRule="auto"/>
              <w:jc w:val="right"/>
              <w:rPr>
                <w:rFonts w:eastAsia="Malgun Gothic"/>
                <w:color w:val="000000"/>
                <w:sz w:val="21"/>
                <w:szCs w:val="21"/>
              </w:rPr>
            </w:pPr>
            <w:r w:rsidRPr="0006568D">
              <w:rPr>
                <w:rFonts w:eastAsia="Malgun Gothic"/>
                <w:color w:val="000000"/>
                <w:sz w:val="21"/>
                <w:szCs w:val="21"/>
              </w:rPr>
              <w:t>406</w:t>
            </w:r>
          </w:p>
        </w:tc>
        <w:tc>
          <w:tcPr>
            <w:tcW w:w="1053" w:type="dxa"/>
            <w:vAlign w:val="center"/>
          </w:tcPr>
          <w:p w:rsidR="008D51E5" w:rsidRPr="0006568D" w:rsidRDefault="008D51E5" w:rsidP="008C5914">
            <w:pPr>
              <w:keepNext/>
              <w:spacing w:after="0" w:line="240" w:lineRule="auto"/>
              <w:jc w:val="left"/>
              <w:rPr>
                <w:rFonts w:eastAsia="Malgun Gothic"/>
                <w:color w:val="000000"/>
                <w:sz w:val="21"/>
                <w:szCs w:val="21"/>
              </w:rPr>
            </w:pPr>
            <w:r w:rsidRPr="0006568D">
              <w:rPr>
                <w:rFonts w:eastAsia="Malgun Gothic"/>
                <w:color w:val="000000"/>
                <w:sz w:val="21"/>
                <w:szCs w:val="21"/>
              </w:rPr>
              <w:t>(</w:t>
            </w:r>
            <w:r w:rsidR="00BC572C">
              <w:rPr>
                <w:rFonts w:eastAsia="Malgun Gothic"/>
                <w:color w:val="000000"/>
                <w:sz w:val="21"/>
                <w:szCs w:val="21"/>
              </w:rPr>
              <w:t>-</w:t>
            </w:r>
            <w:r w:rsidRPr="0006568D">
              <w:rPr>
                <w:rFonts w:eastAsia="Malgun Gothic"/>
                <w:color w:val="000000"/>
                <w:sz w:val="21"/>
                <w:szCs w:val="21"/>
              </w:rPr>
              <w:t>11%)</w:t>
            </w:r>
          </w:p>
        </w:tc>
      </w:tr>
    </w:tbl>
    <w:p w:rsidR="008D51E5" w:rsidRPr="0006568D" w:rsidRDefault="008D51E5" w:rsidP="008D51E5">
      <w:pPr>
        <w:spacing w:after="0"/>
        <w:rPr>
          <w:rFonts w:eastAsia="Malgun Gothic"/>
          <w:i/>
          <w:sz w:val="18"/>
          <w:szCs w:val="18"/>
        </w:rPr>
      </w:pPr>
      <w:r w:rsidRPr="0006568D">
        <w:rPr>
          <w:rFonts w:eastAsia="Malgun Gothic"/>
          <w:i/>
          <w:sz w:val="18"/>
          <w:szCs w:val="18"/>
        </w:rPr>
        <w:t xml:space="preserve"> Note: All values are aggregate sum</w:t>
      </w:r>
      <w:r w:rsidR="003C08B5">
        <w:rPr>
          <w:rFonts w:eastAsia="Malgun Gothic"/>
          <w:i/>
          <w:sz w:val="18"/>
          <w:szCs w:val="18"/>
        </w:rPr>
        <w:t>s</w:t>
      </w:r>
      <w:r w:rsidRPr="0006568D">
        <w:rPr>
          <w:rFonts w:eastAsia="Malgun Gothic"/>
          <w:i/>
          <w:sz w:val="18"/>
          <w:szCs w:val="18"/>
        </w:rPr>
        <w:t xml:space="preserve"> </w:t>
      </w:r>
      <w:r w:rsidR="003C08B5">
        <w:rPr>
          <w:rFonts w:eastAsia="Malgun Gothic"/>
          <w:i/>
          <w:sz w:val="18"/>
          <w:szCs w:val="18"/>
        </w:rPr>
        <w:t xml:space="preserve">for the period </w:t>
      </w:r>
      <w:r w:rsidRPr="0006568D">
        <w:rPr>
          <w:rFonts w:eastAsia="Malgun Gothic"/>
          <w:i/>
          <w:sz w:val="18"/>
          <w:szCs w:val="18"/>
        </w:rPr>
        <w:t>2012-2027</w:t>
      </w:r>
    </w:p>
    <w:p w:rsidR="008D51E5" w:rsidRPr="0006568D" w:rsidRDefault="008D51E5" w:rsidP="008D51E5">
      <w:pPr>
        <w:spacing w:after="240"/>
        <w:rPr>
          <w:rFonts w:eastAsia="Malgun Gothic"/>
          <w:b/>
        </w:rPr>
      </w:pPr>
      <w:r w:rsidRPr="0006568D">
        <w:rPr>
          <w:rFonts w:eastAsia="Malgun Gothic"/>
          <w:i/>
          <w:sz w:val="18"/>
          <w:szCs w:val="18"/>
          <w:vertAlign w:val="superscript"/>
        </w:rPr>
        <w:t xml:space="preserve">a </w:t>
      </w:r>
      <w:r w:rsidRPr="0006568D">
        <w:rPr>
          <w:rFonts w:eastAsia="Malgun Gothic"/>
          <w:i/>
          <w:sz w:val="18"/>
          <w:szCs w:val="18"/>
        </w:rPr>
        <w:t>Discounted</w:t>
      </w:r>
    </w:p>
    <w:p w:rsidR="0072342D" w:rsidRDefault="0072342D" w:rsidP="00A85E9D">
      <w:pPr>
        <w:spacing w:before="360" w:after="180"/>
        <w:jc w:val="center"/>
        <w:rPr>
          <w:rFonts w:eastAsia="MS Mincho"/>
          <w:b/>
          <w:sz w:val="24"/>
          <w:szCs w:val="24"/>
          <w:lang w:bidi="ar-SA"/>
        </w:rPr>
      </w:pPr>
    </w:p>
    <w:p w:rsidR="0006568D" w:rsidRPr="00525183" w:rsidRDefault="0006568D" w:rsidP="00A85E9D">
      <w:pPr>
        <w:spacing w:before="360" w:after="180"/>
        <w:jc w:val="center"/>
        <w:rPr>
          <w:rFonts w:eastAsia="MS Mincho"/>
          <w:b/>
          <w:sz w:val="24"/>
          <w:szCs w:val="24"/>
          <w:lang w:bidi="ar-SA"/>
        </w:rPr>
      </w:pPr>
      <w:r w:rsidRPr="00525183">
        <w:rPr>
          <w:rFonts w:eastAsia="MS Mincho"/>
          <w:b/>
          <w:sz w:val="24"/>
          <w:szCs w:val="24"/>
          <w:lang w:bidi="ar-SA"/>
        </w:rPr>
        <w:lastRenderedPageBreak/>
        <w:t>Roadmap of Priority Actions</w:t>
      </w:r>
    </w:p>
    <w:p w:rsidR="0006568D" w:rsidRPr="0006568D" w:rsidRDefault="006049B9" w:rsidP="000A117E">
      <w:pPr>
        <w:rPr>
          <w:rFonts w:eastAsia="Malgun Gothic"/>
        </w:rPr>
      </w:pPr>
      <w:r>
        <w:rPr>
          <w:rFonts w:eastAsia="Malgun Gothic"/>
        </w:rPr>
        <w:t>M</w:t>
      </w:r>
      <w:r w:rsidR="0006568D" w:rsidRPr="0006568D">
        <w:rPr>
          <w:rFonts w:eastAsia="Malgun Gothic"/>
        </w:rPr>
        <w:t xml:space="preserve">easures proposed in the above policy framework can be prioritized </w:t>
      </w:r>
      <w:r w:rsidR="004C5EA5">
        <w:rPr>
          <w:rFonts w:eastAsia="Malgun Gothic"/>
        </w:rPr>
        <w:t xml:space="preserve">based on urgency </w:t>
      </w:r>
      <w:r w:rsidR="000317D4" w:rsidRPr="0006568D">
        <w:rPr>
          <w:rFonts w:eastAsia="Malgun Gothic"/>
        </w:rPr>
        <w:t>and sequenc</w:t>
      </w:r>
      <w:r w:rsidR="003C08B5">
        <w:rPr>
          <w:rFonts w:eastAsia="Malgun Gothic"/>
        </w:rPr>
        <w:t>ing</w:t>
      </w:r>
      <w:r w:rsidR="0006568D" w:rsidRPr="0006568D">
        <w:rPr>
          <w:rFonts w:eastAsia="Malgun Gothic"/>
        </w:rPr>
        <w:t xml:space="preserve">. The proposed roadmap </w:t>
      </w:r>
      <w:r w:rsidR="004C5EA5">
        <w:rPr>
          <w:rFonts w:eastAsia="Malgun Gothic"/>
        </w:rPr>
        <w:t xml:space="preserve">below </w:t>
      </w:r>
      <w:r w:rsidR="0006568D" w:rsidRPr="0006568D">
        <w:rPr>
          <w:rFonts w:eastAsia="Malgun Gothic"/>
        </w:rPr>
        <w:t xml:space="preserve">lays out priority actions for </w:t>
      </w:r>
      <w:r w:rsidR="004C5EA5">
        <w:rPr>
          <w:rFonts w:eastAsia="Malgun Gothic"/>
        </w:rPr>
        <w:t xml:space="preserve">the </w:t>
      </w:r>
      <w:r w:rsidR="0006568D" w:rsidRPr="0006568D">
        <w:rPr>
          <w:rFonts w:eastAsia="Malgun Gothic"/>
        </w:rPr>
        <w:t>short-term (2012-2014), medium-term (2015-2020), and long</w:t>
      </w:r>
      <w:r w:rsidR="004C5EA5">
        <w:rPr>
          <w:rFonts w:eastAsia="Malgun Gothic"/>
        </w:rPr>
        <w:t>er</w:t>
      </w:r>
      <w:r w:rsidR="0006568D" w:rsidRPr="0006568D">
        <w:rPr>
          <w:rFonts w:eastAsia="Malgun Gothic"/>
        </w:rPr>
        <w:t>-term (after 2020).</w:t>
      </w:r>
    </w:p>
    <w:p w:rsidR="0006568D" w:rsidRPr="0006568D" w:rsidRDefault="0006568D" w:rsidP="00586244">
      <w:pPr>
        <w:spacing w:before="240"/>
        <w:jc w:val="center"/>
        <w:rPr>
          <w:rFonts w:eastAsia="Malgun Gothic"/>
          <w:b/>
          <w:i/>
        </w:rPr>
      </w:pPr>
      <w:r w:rsidRPr="0006568D">
        <w:rPr>
          <w:rFonts w:eastAsia="Malgun Gothic"/>
          <w:b/>
          <w:i/>
        </w:rPr>
        <w:t xml:space="preserve">Short-Term (2012-2014): Institutional </w:t>
      </w:r>
      <w:r w:rsidR="00C35103">
        <w:rPr>
          <w:rFonts w:eastAsia="Malgun Gothic"/>
          <w:b/>
          <w:i/>
        </w:rPr>
        <w:t>Capacity</w:t>
      </w:r>
      <w:r w:rsidR="00C35103" w:rsidRPr="0006568D">
        <w:rPr>
          <w:rFonts w:eastAsia="Malgun Gothic"/>
          <w:b/>
          <w:i/>
        </w:rPr>
        <w:t xml:space="preserve"> </w:t>
      </w:r>
      <w:r w:rsidRPr="0006568D">
        <w:rPr>
          <w:rFonts w:eastAsia="Malgun Gothic"/>
          <w:b/>
          <w:i/>
        </w:rPr>
        <w:t>and Preparatory Tasks</w:t>
      </w:r>
    </w:p>
    <w:tbl>
      <w:tblPr>
        <w:tblW w:w="0" w:type="auto"/>
        <w:jc w:val="center"/>
        <w:tblBorders>
          <w:top w:val="single" w:sz="8" w:space="0" w:color="76923C"/>
          <w:left w:val="single" w:sz="8" w:space="0" w:color="76923C"/>
          <w:bottom w:val="single" w:sz="8" w:space="0" w:color="76923C"/>
          <w:right w:val="single" w:sz="8" w:space="0" w:color="76923C"/>
          <w:insideH w:val="single" w:sz="8" w:space="0" w:color="76923C"/>
        </w:tblBorders>
        <w:tblCellMar>
          <w:top w:w="29" w:type="dxa"/>
          <w:left w:w="115" w:type="dxa"/>
          <w:bottom w:w="29" w:type="dxa"/>
          <w:right w:w="115" w:type="dxa"/>
        </w:tblCellMar>
        <w:tblLook w:val="04A0"/>
      </w:tblPr>
      <w:tblGrid>
        <w:gridCol w:w="1915"/>
        <w:gridCol w:w="5310"/>
        <w:gridCol w:w="2351"/>
      </w:tblGrid>
      <w:tr w:rsidR="0006568D" w:rsidRPr="0006568D" w:rsidTr="0087414B">
        <w:trPr>
          <w:jc w:val="center"/>
        </w:trPr>
        <w:tc>
          <w:tcPr>
            <w:tcW w:w="1915" w:type="dxa"/>
            <w:shd w:val="clear" w:color="auto" w:fill="76923C"/>
          </w:tcPr>
          <w:p w:rsidR="0006568D" w:rsidRPr="0006568D" w:rsidRDefault="0006568D" w:rsidP="000A117E">
            <w:pPr>
              <w:spacing w:after="0" w:line="240" w:lineRule="auto"/>
              <w:jc w:val="left"/>
              <w:rPr>
                <w:rFonts w:eastAsia="Malgun Gothic"/>
                <w:bCs/>
                <w:color w:val="FFFFFF"/>
                <w:sz w:val="21"/>
                <w:szCs w:val="21"/>
              </w:rPr>
            </w:pPr>
            <w:r w:rsidRPr="0006568D">
              <w:rPr>
                <w:rFonts w:eastAsia="Malgun Gothic"/>
                <w:bCs/>
                <w:color w:val="FFFFFF"/>
                <w:sz w:val="21"/>
                <w:szCs w:val="21"/>
              </w:rPr>
              <w:t>Objectives</w:t>
            </w:r>
          </w:p>
        </w:tc>
        <w:tc>
          <w:tcPr>
            <w:tcW w:w="5310" w:type="dxa"/>
            <w:shd w:val="clear" w:color="auto" w:fill="76923C"/>
          </w:tcPr>
          <w:p w:rsidR="0006568D" w:rsidRPr="0006568D" w:rsidRDefault="0006568D" w:rsidP="000A117E">
            <w:pPr>
              <w:spacing w:after="0" w:line="240" w:lineRule="auto"/>
              <w:jc w:val="left"/>
              <w:rPr>
                <w:rFonts w:eastAsia="Malgun Gothic"/>
                <w:bCs/>
                <w:color w:val="FFFFFF"/>
                <w:sz w:val="21"/>
                <w:szCs w:val="21"/>
              </w:rPr>
            </w:pPr>
            <w:r w:rsidRPr="0006568D">
              <w:rPr>
                <w:rFonts w:eastAsia="Malgun Gothic"/>
                <w:bCs/>
                <w:color w:val="FFFFFF"/>
                <w:sz w:val="21"/>
                <w:szCs w:val="21"/>
              </w:rPr>
              <w:t>Actions</w:t>
            </w:r>
          </w:p>
        </w:tc>
        <w:tc>
          <w:tcPr>
            <w:tcW w:w="2351" w:type="dxa"/>
            <w:shd w:val="clear" w:color="auto" w:fill="76923C"/>
          </w:tcPr>
          <w:p w:rsidR="0006568D" w:rsidRPr="0006568D" w:rsidRDefault="0006568D" w:rsidP="000A117E">
            <w:pPr>
              <w:spacing w:after="0" w:line="240" w:lineRule="auto"/>
              <w:jc w:val="left"/>
              <w:rPr>
                <w:rFonts w:eastAsia="Malgun Gothic"/>
                <w:bCs/>
                <w:color w:val="FFFFFF"/>
                <w:sz w:val="21"/>
                <w:szCs w:val="21"/>
              </w:rPr>
            </w:pPr>
            <w:r w:rsidRPr="0006568D">
              <w:rPr>
                <w:rFonts w:eastAsia="Malgun Gothic"/>
                <w:bCs/>
                <w:color w:val="FFFFFF"/>
                <w:sz w:val="21"/>
                <w:szCs w:val="21"/>
              </w:rPr>
              <w:t>Responsible Entities</w:t>
            </w:r>
          </w:p>
        </w:tc>
      </w:tr>
      <w:tr w:rsidR="0006568D" w:rsidRPr="0006568D" w:rsidTr="0087414B">
        <w:trPr>
          <w:jc w:val="center"/>
        </w:trPr>
        <w:tc>
          <w:tcPr>
            <w:tcW w:w="1915" w:type="dxa"/>
            <w:vMerge w:val="restart"/>
            <w:shd w:val="clear" w:color="auto" w:fill="auto"/>
          </w:tcPr>
          <w:p w:rsidR="0006568D" w:rsidRPr="0006568D" w:rsidRDefault="0006568D" w:rsidP="000A117E">
            <w:pPr>
              <w:spacing w:after="0" w:line="240" w:lineRule="auto"/>
              <w:jc w:val="left"/>
              <w:rPr>
                <w:rFonts w:eastAsia="Malgun Gothic"/>
                <w:bCs/>
                <w:sz w:val="21"/>
                <w:szCs w:val="21"/>
              </w:rPr>
            </w:pPr>
            <w:r w:rsidRPr="0006568D">
              <w:rPr>
                <w:rFonts w:eastAsia="Malgun Gothic"/>
                <w:bCs/>
                <w:i/>
                <w:sz w:val="21"/>
                <w:szCs w:val="21"/>
              </w:rPr>
              <w:t xml:space="preserve">Strengthen the institutions </w:t>
            </w:r>
            <w:r w:rsidR="00C35103">
              <w:rPr>
                <w:rFonts w:eastAsia="Malgun Gothic"/>
                <w:bCs/>
                <w:i/>
                <w:sz w:val="21"/>
                <w:szCs w:val="21"/>
              </w:rPr>
              <w:t xml:space="preserve">and policies </w:t>
            </w:r>
            <w:r w:rsidRPr="0006568D">
              <w:rPr>
                <w:rFonts w:eastAsia="Malgun Gothic"/>
                <w:bCs/>
                <w:i/>
                <w:sz w:val="21"/>
                <w:szCs w:val="21"/>
              </w:rPr>
              <w:t>at national and municipal level</w:t>
            </w:r>
          </w:p>
        </w:tc>
        <w:tc>
          <w:tcPr>
            <w:tcW w:w="5310" w:type="dxa"/>
            <w:shd w:val="clear" w:color="auto" w:fill="auto"/>
          </w:tcPr>
          <w:p w:rsidR="0006568D" w:rsidRPr="0006568D" w:rsidRDefault="0006568D" w:rsidP="00197EC3">
            <w:pPr>
              <w:numPr>
                <w:ilvl w:val="0"/>
                <w:numId w:val="10"/>
              </w:numPr>
              <w:tabs>
                <w:tab w:val="left" w:pos="425"/>
              </w:tabs>
              <w:spacing w:after="0" w:line="240" w:lineRule="auto"/>
              <w:ind w:left="-25" w:firstLine="0"/>
              <w:contextualSpacing/>
              <w:jc w:val="left"/>
              <w:rPr>
                <w:rFonts w:eastAsia="Malgun Gothic"/>
                <w:sz w:val="21"/>
                <w:szCs w:val="21"/>
              </w:rPr>
            </w:pPr>
            <w:r w:rsidRPr="0006568D">
              <w:rPr>
                <w:rFonts w:eastAsia="Malgun Gothic"/>
                <w:sz w:val="21"/>
                <w:szCs w:val="21"/>
              </w:rPr>
              <w:t>Include environmental objectives and targets in national and municipal transport policies</w:t>
            </w:r>
          </w:p>
        </w:tc>
        <w:tc>
          <w:tcPr>
            <w:tcW w:w="2351" w:type="dxa"/>
            <w:shd w:val="clear" w:color="auto" w:fill="auto"/>
          </w:tcPr>
          <w:p w:rsidR="0006568D" w:rsidRPr="0006568D" w:rsidRDefault="0006568D" w:rsidP="000A117E">
            <w:pPr>
              <w:spacing w:after="0" w:line="240" w:lineRule="auto"/>
              <w:jc w:val="left"/>
              <w:rPr>
                <w:rFonts w:eastAsia="Malgun Gothic"/>
                <w:sz w:val="21"/>
                <w:szCs w:val="21"/>
              </w:rPr>
            </w:pPr>
            <w:r w:rsidRPr="0006568D">
              <w:rPr>
                <w:rFonts w:eastAsia="Malgun Gothic"/>
                <w:sz w:val="21"/>
                <w:szCs w:val="21"/>
              </w:rPr>
              <w:t>(Lead) MoEnv;</w:t>
            </w:r>
          </w:p>
          <w:p w:rsidR="0006568D" w:rsidRPr="0006568D" w:rsidRDefault="0006568D" w:rsidP="000A117E">
            <w:pPr>
              <w:spacing w:after="0" w:line="240" w:lineRule="auto"/>
              <w:jc w:val="left"/>
              <w:rPr>
                <w:rFonts w:eastAsia="Malgun Gothic"/>
                <w:sz w:val="21"/>
                <w:szCs w:val="21"/>
              </w:rPr>
            </w:pPr>
            <w:r w:rsidRPr="0006568D">
              <w:rPr>
                <w:rFonts w:eastAsia="Malgun Gothic"/>
                <w:sz w:val="21"/>
                <w:szCs w:val="21"/>
              </w:rPr>
              <w:t>(Support) TPD</w:t>
            </w:r>
          </w:p>
        </w:tc>
      </w:tr>
      <w:tr w:rsidR="0006568D" w:rsidRPr="0006568D" w:rsidTr="0087414B">
        <w:trPr>
          <w:jc w:val="center"/>
        </w:trPr>
        <w:tc>
          <w:tcPr>
            <w:tcW w:w="1915" w:type="dxa"/>
            <w:vMerge/>
            <w:shd w:val="clear" w:color="auto" w:fill="auto"/>
          </w:tcPr>
          <w:p w:rsidR="0006568D" w:rsidRPr="0006568D" w:rsidRDefault="0006568D" w:rsidP="000A117E">
            <w:pPr>
              <w:spacing w:after="0" w:line="240" w:lineRule="auto"/>
              <w:jc w:val="left"/>
              <w:rPr>
                <w:rFonts w:eastAsia="Malgun Gothic"/>
                <w:bCs/>
                <w:sz w:val="21"/>
                <w:szCs w:val="21"/>
              </w:rPr>
            </w:pPr>
          </w:p>
        </w:tc>
        <w:tc>
          <w:tcPr>
            <w:tcW w:w="5310" w:type="dxa"/>
            <w:shd w:val="clear" w:color="auto" w:fill="auto"/>
          </w:tcPr>
          <w:p w:rsidR="0006568D" w:rsidRPr="0006568D" w:rsidRDefault="0006568D" w:rsidP="00197EC3">
            <w:pPr>
              <w:numPr>
                <w:ilvl w:val="0"/>
                <w:numId w:val="10"/>
              </w:numPr>
              <w:tabs>
                <w:tab w:val="left" w:pos="425"/>
              </w:tabs>
              <w:spacing w:after="0" w:line="240" w:lineRule="auto"/>
              <w:ind w:left="-25" w:firstLine="0"/>
              <w:contextualSpacing/>
              <w:jc w:val="left"/>
              <w:rPr>
                <w:rFonts w:eastAsia="Malgun Gothic"/>
                <w:sz w:val="21"/>
                <w:szCs w:val="21"/>
              </w:rPr>
            </w:pPr>
            <w:r w:rsidRPr="0006568D">
              <w:rPr>
                <w:rFonts w:eastAsia="Malgun Gothic"/>
                <w:sz w:val="21"/>
                <w:szCs w:val="21"/>
              </w:rPr>
              <w:t>Develop and implement an environmental monitoring framework, including ambient air quality measurement</w:t>
            </w:r>
          </w:p>
        </w:tc>
        <w:tc>
          <w:tcPr>
            <w:tcW w:w="2351" w:type="dxa"/>
            <w:shd w:val="clear" w:color="auto" w:fill="auto"/>
          </w:tcPr>
          <w:p w:rsidR="0006568D" w:rsidRPr="0006568D" w:rsidRDefault="0006568D" w:rsidP="000A117E">
            <w:pPr>
              <w:spacing w:after="0" w:line="240" w:lineRule="auto"/>
              <w:jc w:val="left"/>
              <w:rPr>
                <w:rFonts w:eastAsia="Malgun Gothic"/>
                <w:sz w:val="21"/>
                <w:szCs w:val="21"/>
              </w:rPr>
            </w:pPr>
            <w:r w:rsidRPr="0006568D">
              <w:rPr>
                <w:rFonts w:eastAsia="Malgun Gothic"/>
                <w:sz w:val="21"/>
                <w:szCs w:val="21"/>
              </w:rPr>
              <w:t>(Lead) MoEnv;</w:t>
            </w:r>
          </w:p>
          <w:p w:rsidR="0006568D" w:rsidRPr="0006568D" w:rsidRDefault="0006568D" w:rsidP="000A117E">
            <w:pPr>
              <w:spacing w:after="0" w:line="240" w:lineRule="auto"/>
              <w:jc w:val="left"/>
              <w:rPr>
                <w:rFonts w:eastAsia="Malgun Gothic"/>
                <w:sz w:val="21"/>
                <w:szCs w:val="21"/>
              </w:rPr>
            </w:pPr>
            <w:r w:rsidRPr="0006568D">
              <w:rPr>
                <w:rFonts w:eastAsia="Malgun Gothic"/>
                <w:sz w:val="21"/>
                <w:szCs w:val="21"/>
              </w:rPr>
              <w:t>(Support) TPD</w:t>
            </w:r>
          </w:p>
        </w:tc>
      </w:tr>
      <w:tr w:rsidR="0006568D" w:rsidRPr="0006568D" w:rsidTr="0087414B">
        <w:trPr>
          <w:jc w:val="center"/>
        </w:trPr>
        <w:tc>
          <w:tcPr>
            <w:tcW w:w="1915" w:type="dxa"/>
            <w:vMerge/>
            <w:shd w:val="clear" w:color="auto" w:fill="auto"/>
          </w:tcPr>
          <w:p w:rsidR="0006568D" w:rsidRPr="0006568D" w:rsidRDefault="0006568D" w:rsidP="000A117E">
            <w:pPr>
              <w:spacing w:after="0" w:line="240" w:lineRule="auto"/>
              <w:jc w:val="left"/>
              <w:rPr>
                <w:rFonts w:eastAsia="Malgun Gothic"/>
                <w:bCs/>
                <w:sz w:val="21"/>
                <w:szCs w:val="21"/>
              </w:rPr>
            </w:pPr>
          </w:p>
        </w:tc>
        <w:tc>
          <w:tcPr>
            <w:tcW w:w="5310" w:type="dxa"/>
            <w:shd w:val="clear" w:color="auto" w:fill="auto"/>
          </w:tcPr>
          <w:p w:rsidR="0006568D" w:rsidRPr="0006568D" w:rsidRDefault="0006568D" w:rsidP="00197EC3">
            <w:pPr>
              <w:numPr>
                <w:ilvl w:val="0"/>
                <w:numId w:val="10"/>
              </w:numPr>
              <w:tabs>
                <w:tab w:val="left" w:pos="425"/>
              </w:tabs>
              <w:spacing w:after="0" w:line="240" w:lineRule="auto"/>
              <w:ind w:left="-25" w:firstLine="0"/>
              <w:contextualSpacing/>
              <w:jc w:val="left"/>
              <w:rPr>
                <w:rFonts w:eastAsia="Malgun Gothic"/>
                <w:sz w:val="21"/>
                <w:szCs w:val="21"/>
              </w:rPr>
            </w:pPr>
            <w:r w:rsidRPr="0006568D">
              <w:rPr>
                <w:rFonts w:eastAsia="Malgun Gothic"/>
                <w:sz w:val="21"/>
                <w:szCs w:val="21"/>
              </w:rPr>
              <w:t>Update regulatory framework stipulated in Presidential Decree No. 302, introducing phased implementation plans with defined targets at each phase, streamline administrative procedures with a plan to outsourc</w:t>
            </w:r>
            <w:r w:rsidR="00C35103">
              <w:rPr>
                <w:rFonts w:eastAsia="Malgun Gothic"/>
                <w:sz w:val="21"/>
                <w:szCs w:val="21"/>
              </w:rPr>
              <w:t>e</w:t>
            </w:r>
            <w:r w:rsidRPr="0006568D">
              <w:rPr>
                <w:rFonts w:eastAsia="Malgun Gothic"/>
                <w:sz w:val="21"/>
                <w:szCs w:val="21"/>
              </w:rPr>
              <w:t xml:space="preserve"> actual implementation.</w:t>
            </w:r>
          </w:p>
        </w:tc>
        <w:tc>
          <w:tcPr>
            <w:tcW w:w="2351" w:type="dxa"/>
            <w:shd w:val="clear" w:color="auto" w:fill="auto"/>
          </w:tcPr>
          <w:p w:rsidR="0006568D" w:rsidRPr="0006568D" w:rsidRDefault="0006568D" w:rsidP="000A117E">
            <w:pPr>
              <w:spacing w:after="0" w:line="240" w:lineRule="auto"/>
              <w:jc w:val="left"/>
              <w:rPr>
                <w:rFonts w:eastAsia="Malgun Gothic"/>
                <w:sz w:val="21"/>
                <w:szCs w:val="21"/>
              </w:rPr>
            </w:pPr>
            <w:r w:rsidRPr="0006568D">
              <w:rPr>
                <w:rFonts w:eastAsia="Malgun Gothic"/>
                <w:sz w:val="21"/>
                <w:szCs w:val="21"/>
              </w:rPr>
              <w:t>(Lead) LTA;</w:t>
            </w:r>
          </w:p>
          <w:p w:rsidR="0006568D" w:rsidRPr="0006568D" w:rsidRDefault="0006568D" w:rsidP="000A117E">
            <w:pPr>
              <w:spacing w:after="0" w:line="240" w:lineRule="auto"/>
              <w:jc w:val="left"/>
              <w:rPr>
                <w:rFonts w:eastAsia="Malgun Gothic"/>
                <w:sz w:val="21"/>
                <w:szCs w:val="21"/>
              </w:rPr>
            </w:pPr>
            <w:r w:rsidRPr="0006568D">
              <w:rPr>
                <w:rFonts w:eastAsia="Malgun Gothic"/>
                <w:sz w:val="21"/>
                <w:szCs w:val="21"/>
              </w:rPr>
              <w:t>(Support) MoEnv, MoE, MoESD</w:t>
            </w:r>
          </w:p>
        </w:tc>
      </w:tr>
      <w:tr w:rsidR="0006568D" w:rsidRPr="0006568D" w:rsidTr="0087414B">
        <w:trPr>
          <w:jc w:val="center"/>
        </w:trPr>
        <w:tc>
          <w:tcPr>
            <w:tcW w:w="1915" w:type="dxa"/>
            <w:vMerge/>
            <w:shd w:val="clear" w:color="auto" w:fill="auto"/>
          </w:tcPr>
          <w:p w:rsidR="0006568D" w:rsidRPr="0006568D" w:rsidRDefault="0006568D" w:rsidP="000A117E">
            <w:pPr>
              <w:spacing w:after="0" w:line="240" w:lineRule="auto"/>
              <w:jc w:val="left"/>
              <w:rPr>
                <w:rFonts w:eastAsia="Malgun Gothic"/>
                <w:bCs/>
                <w:sz w:val="21"/>
                <w:szCs w:val="21"/>
              </w:rPr>
            </w:pPr>
          </w:p>
        </w:tc>
        <w:tc>
          <w:tcPr>
            <w:tcW w:w="5310" w:type="dxa"/>
            <w:shd w:val="clear" w:color="auto" w:fill="auto"/>
          </w:tcPr>
          <w:p w:rsidR="0006568D" w:rsidRPr="0006568D" w:rsidRDefault="0006568D" w:rsidP="00197EC3">
            <w:pPr>
              <w:numPr>
                <w:ilvl w:val="0"/>
                <w:numId w:val="10"/>
              </w:numPr>
              <w:tabs>
                <w:tab w:val="left" w:pos="425"/>
              </w:tabs>
              <w:spacing w:after="0" w:line="240" w:lineRule="auto"/>
              <w:ind w:left="-25" w:firstLine="0"/>
              <w:contextualSpacing/>
              <w:jc w:val="left"/>
              <w:rPr>
                <w:rFonts w:eastAsia="Malgun Gothic"/>
                <w:sz w:val="21"/>
                <w:szCs w:val="21"/>
              </w:rPr>
            </w:pPr>
            <w:r w:rsidRPr="0006568D">
              <w:rPr>
                <w:rFonts w:eastAsia="Malgun Gothic"/>
                <w:sz w:val="21"/>
                <w:szCs w:val="21"/>
              </w:rPr>
              <w:t>Strengthen inter-agency collaboration among ministries, and between national government and municipal authorities</w:t>
            </w:r>
          </w:p>
        </w:tc>
        <w:tc>
          <w:tcPr>
            <w:tcW w:w="2351" w:type="dxa"/>
            <w:shd w:val="clear" w:color="auto" w:fill="auto"/>
          </w:tcPr>
          <w:p w:rsidR="0006568D" w:rsidRPr="0006568D" w:rsidRDefault="0006568D" w:rsidP="000A117E">
            <w:pPr>
              <w:spacing w:after="0" w:line="240" w:lineRule="auto"/>
              <w:jc w:val="left"/>
              <w:rPr>
                <w:rFonts w:eastAsia="Malgun Gothic"/>
                <w:sz w:val="21"/>
                <w:szCs w:val="21"/>
              </w:rPr>
            </w:pPr>
            <w:r w:rsidRPr="0006568D">
              <w:rPr>
                <w:rFonts w:eastAsia="Malgun Gothic"/>
                <w:sz w:val="21"/>
                <w:szCs w:val="21"/>
              </w:rPr>
              <w:t>Council of Ministers</w:t>
            </w:r>
          </w:p>
        </w:tc>
      </w:tr>
      <w:tr w:rsidR="0006568D" w:rsidRPr="0006568D" w:rsidTr="0087414B">
        <w:trPr>
          <w:jc w:val="center"/>
        </w:trPr>
        <w:tc>
          <w:tcPr>
            <w:tcW w:w="1915" w:type="dxa"/>
            <w:vMerge w:val="restart"/>
            <w:shd w:val="clear" w:color="auto" w:fill="auto"/>
          </w:tcPr>
          <w:p w:rsidR="0006568D" w:rsidRPr="0006568D" w:rsidRDefault="0006568D" w:rsidP="000A117E">
            <w:pPr>
              <w:spacing w:after="0" w:line="240" w:lineRule="auto"/>
              <w:jc w:val="left"/>
              <w:rPr>
                <w:rFonts w:eastAsia="Malgun Gothic"/>
                <w:bCs/>
                <w:sz w:val="21"/>
                <w:szCs w:val="21"/>
              </w:rPr>
            </w:pPr>
            <w:r w:rsidRPr="0006568D">
              <w:rPr>
                <w:rFonts w:eastAsia="Malgun Gothic"/>
                <w:bCs/>
                <w:i/>
                <w:sz w:val="21"/>
                <w:szCs w:val="21"/>
              </w:rPr>
              <w:t>Carry out preparatory work and studies for medium-term actions</w:t>
            </w:r>
          </w:p>
        </w:tc>
        <w:tc>
          <w:tcPr>
            <w:tcW w:w="5310" w:type="dxa"/>
            <w:shd w:val="clear" w:color="auto" w:fill="auto"/>
          </w:tcPr>
          <w:p w:rsidR="0006568D" w:rsidRPr="0006568D" w:rsidRDefault="0006568D" w:rsidP="006049B9">
            <w:pPr>
              <w:numPr>
                <w:ilvl w:val="0"/>
                <w:numId w:val="10"/>
              </w:numPr>
              <w:tabs>
                <w:tab w:val="left" w:pos="425"/>
              </w:tabs>
              <w:spacing w:after="0" w:line="240" w:lineRule="auto"/>
              <w:ind w:left="-25" w:firstLine="0"/>
              <w:contextualSpacing/>
              <w:jc w:val="left"/>
              <w:rPr>
                <w:rFonts w:eastAsia="Malgun Gothic"/>
                <w:sz w:val="21"/>
                <w:szCs w:val="21"/>
              </w:rPr>
            </w:pPr>
            <w:r w:rsidRPr="0006568D">
              <w:rPr>
                <w:rFonts w:eastAsia="Malgun Gothic"/>
                <w:sz w:val="21"/>
                <w:szCs w:val="21"/>
              </w:rPr>
              <w:t xml:space="preserve">Assess appropriate levels of transit truck charges by emission class and weight, and possibly </w:t>
            </w:r>
            <w:r w:rsidR="004C5EA5">
              <w:rPr>
                <w:rFonts w:eastAsia="Malgun Gothic"/>
                <w:sz w:val="21"/>
                <w:szCs w:val="21"/>
              </w:rPr>
              <w:t xml:space="preserve">by </w:t>
            </w:r>
            <w:r w:rsidRPr="0006568D">
              <w:rPr>
                <w:rFonts w:eastAsia="Malgun Gothic"/>
                <w:sz w:val="21"/>
                <w:szCs w:val="21"/>
              </w:rPr>
              <w:t>distance, devise a</w:t>
            </w:r>
            <w:r w:rsidR="006049B9">
              <w:rPr>
                <w:rFonts w:eastAsia="Malgun Gothic"/>
                <w:sz w:val="21"/>
                <w:szCs w:val="21"/>
              </w:rPr>
              <w:t>n</w:t>
            </w:r>
            <w:r w:rsidRPr="0006568D">
              <w:rPr>
                <w:rFonts w:eastAsia="Malgun Gothic"/>
                <w:sz w:val="21"/>
                <w:szCs w:val="21"/>
              </w:rPr>
              <w:t xml:space="preserve"> implementation</w:t>
            </w:r>
            <w:r w:rsidR="006049B9">
              <w:rPr>
                <w:rFonts w:eastAsia="Malgun Gothic"/>
                <w:sz w:val="21"/>
                <w:szCs w:val="21"/>
              </w:rPr>
              <w:t xml:space="preserve"> plan</w:t>
            </w:r>
            <w:r w:rsidRPr="0006568D">
              <w:rPr>
                <w:rFonts w:eastAsia="Malgun Gothic"/>
                <w:sz w:val="21"/>
                <w:szCs w:val="21"/>
              </w:rPr>
              <w:t xml:space="preserve">, including </w:t>
            </w:r>
            <w:r w:rsidR="006049B9">
              <w:rPr>
                <w:rFonts w:eastAsia="Malgun Gothic"/>
                <w:sz w:val="21"/>
                <w:szCs w:val="21"/>
              </w:rPr>
              <w:t xml:space="preserve">an </w:t>
            </w:r>
            <w:r w:rsidRPr="0006568D">
              <w:rPr>
                <w:rFonts w:eastAsia="Malgun Gothic"/>
                <w:sz w:val="21"/>
                <w:szCs w:val="21"/>
              </w:rPr>
              <w:t>electronic toll collection system</w:t>
            </w:r>
          </w:p>
        </w:tc>
        <w:tc>
          <w:tcPr>
            <w:tcW w:w="2351" w:type="dxa"/>
            <w:shd w:val="clear" w:color="auto" w:fill="auto"/>
          </w:tcPr>
          <w:p w:rsidR="0006568D" w:rsidRPr="0006568D" w:rsidRDefault="0006568D" w:rsidP="000A117E">
            <w:pPr>
              <w:spacing w:after="0" w:line="240" w:lineRule="auto"/>
              <w:jc w:val="left"/>
              <w:rPr>
                <w:rFonts w:eastAsia="Malgun Gothic"/>
                <w:sz w:val="21"/>
                <w:szCs w:val="21"/>
              </w:rPr>
            </w:pPr>
            <w:r w:rsidRPr="0006568D">
              <w:rPr>
                <w:rFonts w:eastAsia="Malgun Gothic"/>
                <w:sz w:val="21"/>
                <w:szCs w:val="21"/>
              </w:rPr>
              <w:t>(Lead) TPD, MoRDI;</w:t>
            </w:r>
          </w:p>
          <w:p w:rsidR="0006568D" w:rsidRPr="0006568D" w:rsidRDefault="0006568D" w:rsidP="000A117E">
            <w:pPr>
              <w:spacing w:after="0" w:line="240" w:lineRule="auto"/>
              <w:jc w:val="left"/>
              <w:rPr>
                <w:rFonts w:eastAsia="Malgun Gothic"/>
                <w:sz w:val="21"/>
                <w:szCs w:val="21"/>
              </w:rPr>
            </w:pPr>
            <w:r w:rsidRPr="0006568D">
              <w:rPr>
                <w:rFonts w:eastAsia="Malgun Gothic"/>
                <w:sz w:val="21"/>
                <w:szCs w:val="21"/>
              </w:rPr>
              <w:t>(Support) MoESD</w:t>
            </w:r>
          </w:p>
        </w:tc>
      </w:tr>
      <w:tr w:rsidR="0006568D" w:rsidRPr="0006568D" w:rsidTr="0087414B">
        <w:trPr>
          <w:jc w:val="center"/>
        </w:trPr>
        <w:tc>
          <w:tcPr>
            <w:tcW w:w="1915" w:type="dxa"/>
            <w:vMerge/>
            <w:shd w:val="clear" w:color="auto" w:fill="auto"/>
          </w:tcPr>
          <w:p w:rsidR="0006568D" w:rsidRPr="0006568D" w:rsidRDefault="0006568D" w:rsidP="000A117E">
            <w:pPr>
              <w:spacing w:after="0" w:line="240" w:lineRule="auto"/>
              <w:jc w:val="left"/>
              <w:rPr>
                <w:rFonts w:eastAsia="Malgun Gothic"/>
                <w:bCs/>
                <w:i/>
                <w:sz w:val="21"/>
                <w:szCs w:val="21"/>
              </w:rPr>
            </w:pPr>
          </w:p>
        </w:tc>
        <w:tc>
          <w:tcPr>
            <w:tcW w:w="5310" w:type="dxa"/>
            <w:shd w:val="clear" w:color="auto" w:fill="auto"/>
          </w:tcPr>
          <w:p w:rsidR="0006568D" w:rsidRPr="0006568D" w:rsidRDefault="0006568D" w:rsidP="006049B9">
            <w:pPr>
              <w:numPr>
                <w:ilvl w:val="0"/>
                <w:numId w:val="10"/>
              </w:numPr>
              <w:tabs>
                <w:tab w:val="left" w:pos="425"/>
              </w:tabs>
              <w:spacing w:after="0" w:line="240" w:lineRule="auto"/>
              <w:ind w:left="-25" w:firstLine="0"/>
              <w:contextualSpacing/>
              <w:jc w:val="left"/>
              <w:rPr>
                <w:rFonts w:eastAsia="Malgun Gothic"/>
                <w:sz w:val="21"/>
                <w:szCs w:val="21"/>
              </w:rPr>
            </w:pPr>
            <w:r w:rsidRPr="0006568D">
              <w:rPr>
                <w:rFonts w:eastAsia="Malgun Gothic"/>
                <w:sz w:val="21"/>
                <w:szCs w:val="21"/>
              </w:rPr>
              <w:t>Carry out green logistics study, assessing feasibility of containerization and transshipment facilities such as Ro-Mo and Ro-Ro and identify investment needs</w:t>
            </w:r>
          </w:p>
        </w:tc>
        <w:tc>
          <w:tcPr>
            <w:tcW w:w="2351" w:type="dxa"/>
            <w:shd w:val="clear" w:color="auto" w:fill="auto"/>
          </w:tcPr>
          <w:p w:rsidR="0006568D" w:rsidRPr="0006568D" w:rsidRDefault="0006568D" w:rsidP="000A117E">
            <w:pPr>
              <w:spacing w:after="0" w:line="240" w:lineRule="auto"/>
              <w:jc w:val="left"/>
              <w:rPr>
                <w:rFonts w:eastAsia="Malgun Gothic"/>
                <w:sz w:val="21"/>
                <w:szCs w:val="21"/>
              </w:rPr>
            </w:pPr>
            <w:r w:rsidRPr="0006568D">
              <w:rPr>
                <w:rFonts w:eastAsia="Malgun Gothic"/>
                <w:sz w:val="21"/>
                <w:szCs w:val="21"/>
              </w:rPr>
              <w:t>(Lead) TPD;</w:t>
            </w:r>
          </w:p>
          <w:p w:rsidR="0006568D" w:rsidRPr="0006568D" w:rsidRDefault="0006568D" w:rsidP="000A117E">
            <w:pPr>
              <w:spacing w:after="0" w:line="240" w:lineRule="auto"/>
              <w:jc w:val="left"/>
              <w:rPr>
                <w:rFonts w:eastAsia="Malgun Gothic"/>
                <w:sz w:val="21"/>
                <w:szCs w:val="21"/>
              </w:rPr>
            </w:pPr>
            <w:r w:rsidRPr="0006568D">
              <w:rPr>
                <w:rFonts w:eastAsia="Malgun Gothic"/>
                <w:sz w:val="21"/>
                <w:szCs w:val="21"/>
              </w:rPr>
              <w:t>(Support) MoRDI, Georgian Railway</w:t>
            </w:r>
          </w:p>
        </w:tc>
      </w:tr>
      <w:tr w:rsidR="0006568D" w:rsidRPr="0006568D" w:rsidTr="0087414B">
        <w:trPr>
          <w:jc w:val="center"/>
        </w:trPr>
        <w:tc>
          <w:tcPr>
            <w:tcW w:w="1915" w:type="dxa"/>
            <w:vMerge/>
            <w:shd w:val="clear" w:color="auto" w:fill="auto"/>
          </w:tcPr>
          <w:p w:rsidR="0006568D" w:rsidRPr="0006568D" w:rsidRDefault="0006568D" w:rsidP="000A117E">
            <w:pPr>
              <w:spacing w:after="0" w:line="240" w:lineRule="auto"/>
              <w:jc w:val="left"/>
              <w:rPr>
                <w:rFonts w:eastAsia="Malgun Gothic"/>
                <w:bCs/>
                <w:i/>
                <w:sz w:val="21"/>
                <w:szCs w:val="21"/>
              </w:rPr>
            </w:pPr>
          </w:p>
        </w:tc>
        <w:tc>
          <w:tcPr>
            <w:tcW w:w="5310" w:type="dxa"/>
            <w:shd w:val="clear" w:color="auto" w:fill="auto"/>
          </w:tcPr>
          <w:p w:rsidR="0006568D" w:rsidRPr="0006568D" w:rsidRDefault="0006568D" w:rsidP="00197EC3">
            <w:pPr>
              <w:numPr>
                <w:ilvl w:val="0"/>
                <w:numId w:val="10"/>
              </w:numPr>
              <w:tabs>
                <w:tab w:val="left" w:pos="425"/>
              </w:tabs>
              <w:spacing w:after="0" w:line="240" w:lineRule="auto"/>
              <w:ind w:left="-25" w:firstLine="0"/>
              <w:contextualSpacing/>
              <w:jc w:val="left"/>
              <w:rPr>
                <w:rFonts w:eastAsia="Malgun Gothic"/>
                <w:sz w:val="21"/>
                <w:szCs w:val="21"/>
              </w:rPr>
            </w:pPr>
            <w:r w:rsidRPr="0006568D">
              <w:rPr>
                <w:rFonts w:eastAsia="Malgun Gothic"/>
                <w:sz w:val="21"/>
                <w:szCs w:val="21"/>
              </w:rPr>
              <w:t>Develop strategy for intercity passenger transport based on ongoing market analysis</w:t>
            </w:r>
          </w:p>
        </w:tc>
        <w:tc>
          <w:tcPr>
            <w:tcW w:w="2351" w:type="dxa"/>
            <w:shd w:val="clear" w:color="auto" w:fill="auto"/>
          </w:tcPr>
          <w:p w:rsidR="0006568D" w:rsidRPr="0006568D" w:rsidRDefault="0006568D" w:rsidP="000A117E">
            <w:pPr>
              <w:spacing w:after="0" w:line="240" w:lineRule="auto"/>
              <w:jc w:val="left"/>
              <w:rPr>
                <w:rFonts w:eastAsia="Malgun Gothic"/>
                <w:sz w:val="21"/>
                <w:szCs w:val="21"/>
              </w:rPr>
            </w:pPr>
            <w:r w:rsidRPr="0006568D">
              <w:rPr>
                <w:rFonts w:eastAsia="Malgun Gothic"/>
                <w:sz w:val="21"/>
                <w:szCs w:val="21"/>
              </w:rPr>
              <w:t>(Lead) TPD;</w:t>
            </w:r>
          </w:p>
          <w:p w:rsidR="0006568D" w:rsidRPr="0006568D" w:rsidRDefault="0006568D" w:rsidP="000A117E">
            <w:pPr>
              <w:spacing w:after="0" w:line="240" w:lineRule="auto"/>
              <w:jc w:val="left"/>
              <w:rPr>
                <w:rFonts w:eastAsia="Malgun Gothic"/>
                <w:sz w:val="21"/>
                <w:szCs w:val="21"/>
              </w:rPr>
            </w:pPr>
            <w:r w:rsidRPr="0006568D">
              <w:rPr>
                <w:rFonts w:eastAsia="Malgun Gothic"/>
                <w:sz w:val="21"/>
                <w:szCs w:val="21"/>
              </w:rPr>
              <w:t>(Support) NTA</w:t>
            </w:r>
          </w:p>
        </w:tc>
      </w:tr>
      <w:tr w:rsidR="0006568D" w:rsidRPr="0006568D" w:rsidTr="0087414B">
        <w:trPr>
          <w:jc w:val="center"/>
        </w:trPr>
        <w:tc>
          <w:tcPr>
            <w:tcW w:w="1915" w:type="dxa"/>
            <w:vMerge/>
            <w:shd w:val="clear" w:color="auto" w:fill="auto"/>
          </w:tcPr>
          <w:p w:rsidR="0006568D" w:rsidRPr="0006568D" w:rsidRDefault="0006568D" w:rsidP="000A117E">
            <w:pPr>
              <w:spacing w:after="0" w:line="240" w:lineRule="auto"/>
              <w:jc w:val="left"/>
              <w:rPr>
                <w:rFonts w:eastAsia="Malgun Gothic"/>
                <w:bCs/>
                <w:i/>
                <w:sz w:val="21"/>
                <w:szCs w:val="21"/>
              </w:rPr>
            </w:pPr>
          </w:p>
        </w:tc>
        <w:tc>
          <w:tcPr>
            <w:tcW w:w="5310" w:type="dxa"/>
            <w:shd w:val="clear" w:color="auto" w:fill="auto"/>
          </w:tcPr>
          <w:p w:rsidR="0006568D" w:rsidRPr="0006568D" w:rsidRDefault="0006568D" w:rsidP="00197EC3">
            <w:pPr>
              <w:numPr>
                <w:ilvl w:val="0"/>
                <w:numId w:val="10"/>
              </w:numPr>
              <w:tabs>
                <w:tab w:val="left" w:pos="425"/>
              </w:tabs>
              <w:spacing w:after="0" w:line="240" w:lineRule="auto"/>
              <w:ind w:left="-25" w:firstLine="0"/>
              <w:contextualSpacing/>
              <w:jc w:val="left"/>
              <w:rPr>
                <w:rFonts w:eastAsia="Malgun Gothic"/>
                <w:sz w:val="21"/>
                <w:szCs w:val="21"/>
              </w:rPr>
            </w:pPr>
            <w:r w:rsidRPr="0006568D">
              <w:rPr>
                <w:rFonts w:eastAsia="Malgun Gothic"/>
                <w:sz w:val="21"/>
                <w:szCs w:val="21"/>
              </w:rPr>
              <w:t>Develop strategy for minibus reform, identifying steps to introduce competitive tendering and evaluating feasibility of gross-cost vs. net-cost contracting</w:t>
            </w:r>
          </w:p>
        </w:tc>
        <w:tc>
          <w:tcPr>
            <w:tcW w:w="2351" w:type="dxa"/>
            <w:shd w:val="clear" w:color="auto" w:fill="auto"/>
          </w:tcPr>
          <w:p w:rsidR="0006568D" w:rsidRPr="0006568D" w:rsidRDefault="0006568D" w:rsidP="000A117E">
            <w:pPr>
              <w:spacing w:after="0" w:line="240" w:lineRule="auto"/>
              <w:jc w:val="left"/>
              <w:rPr>
                <w:rFonts w:eastAsia="Malgun Gothic"/>
                <w:sz w:val="21"/>
                <w:szCs w:val="21"/>
              </w:rPr>
            </w:pPr>
            <w:r w:rsidRPr="0006568D">
              <w:rPr>
                <w:rFonts w:eastAsia="Malgun Gothic"/>
                <w:sz w:val="21"/>
                <w:szCs w:val="21"/>
              </w:rPr>
              <w:t>(Lead) TPD;</w:t>
            </w:r>
          </w:p>
          <w:p w:rsidR="0006568D" w:rsidRPr="0006568D" w:rsidRDefault="0006568D" w:rsidP="000A117E">
            <w:pPr>
              <w:spacing w:after="0" w:line="240" w:lineRule="auto"/>
              <w:jc w:val="left"/>
              <w:rPr>
                <w:rFonts w:eastAsia="Malgun Gothic"/>
                <w:sz w:val="21"/>
                <w:szCs w:val="21"/>
              </w:rPr>
            </w:pPr>
            <w:r w:rsidRPr="0006568D">
              <w:rPr>
                <w:rFonts w:eastAsia="Malgun Gothic"/>
                <w:sz w:val="21"/>
                <w:szCs w:val="21"/>
              </w:rPr>
              <w:t>(Support) Municipalities</w:t>
            </w:r>
          </w:p>
        </w:tc>
      </w:tr>
      <w:tr w:rsidR="0006568D" w:rsidRPr="0006568D" w:rsidTr="0087414B">
        <w:trPr>
          <w:jc w:val="center"/>
        </w:trPr>
        <w:tc>
          <w:tcPr>
            <w:tcW w:w="1915" w:type="dxa"/>
            <w:vMerge/>
            <w:shd w:val="clear" w:color="auto" w:fill="auto"/>
          </w:tcPr>
          <w:p w:rsidR="0006568D" w:rsidRPr="0006568D" w:rsidRDefault="0006568D" w:rsidP="000A117E">
            <w:pPr>
              <w:spacing w:after="0" w:line="240" w:lineRule="auto"/>
              <w:jc w:val="left"/>
              <w:rPr>
                <w:rFonts w:eastAsia="Malgun Gothic"/>
                <w:bCs/>
                <w:i/>
                <w:sz w:val="21"/>
                <w:szCs w:val="21"/>
              </w:rPr>
            </w:pPr>
          </w:p>
        </w:tc>
        <w:tc>
          <w:tcPr>
            <w:tcW w:w="5310" w:type="dxa"/>
            <w:shd w:val="clear" w:color="auto" w:fill="auto"/>
          </w:tcPr>
          <w:p w:rsidR="0006568D" w:rsidRPr="0006568D" w:rsidRDefault="004C5EA5" w:rsidP="00197EC3">
            <w:pPr>
              <w:numPr>
                <w:ilvl w:val="0"/>
                <w:numId w:val="10"/>
              </w:numPr>
              <w:tabs>
                <w:tab w:val="left" w:pos="425"/>
              </w:tabs>
              <w:spacing w:after="0" w:line="240" w:lineRule="auto"/>
              <w:ind w:left="-25" w:firstLine="0"/>
              <w:contextualSpacing/>
              <w:jc w:val="left"/>
              <w:rPr>
                <w:rFonts w:eastAsia="Malgun Gothic"/>
                <w:sz w:val="21"/>
                <w:szCs w:val="21"/>
              </w:rPr>
            </w:pPr>
            <w:r>
              <w:rPr>
                <w:rFonts w:eastAsia="Malgun Gothic"/>
                <w:sz w:val="21"/>
                <w:szCs w:val="21"/>
              </w:rPr>
              <w:t>R</w:t>
            </w:r>
            <w:r w:rsidR="0006568D" w:rsidRPr="0006568D">
              <w:rPr>
                <w:rFonts w:eastAsia="Malgun Gothic"/>
                <w:sz w:val="21"/>
                <w:szCs w:val="21"/>
              </w:rPr>
              <w:t>esearch taxi regulations, investigating current market condition and identifying appropriate level of regulations</w:t>
            </w:r>
          </w:p>
        </w:tc>
        <w:tc>
          <w:tcPr>
            <w:tcW w:w="2351" w:type="dxa"/>
            <w:shd w:val="clear" w:color="auto" w:fill="auto"/>
          </w:tcPr>
          <w:p w:rsidR="0006568D" w:rsidRPr="0006568D" w:rsidRDefault="0006568D" w:rsidP="000A117E">
            <w:pPr>
              <w:spacing w:after="0" w:line="240" w:lineRule="auto"/>
              <w:jc w:val="left"/>
              <w:rPr>
                <w:rFonts w:eastAsia="Malgun Gothic"/>
                <w:sz w:val="21"/>
                <w:szCs w:val="21"/>
              </w:rPr>
            </w:pPr>
            <w:r w:rsidRPr="0006568D">
              <w:rPr>
                <w:rFonts w:eastAsia="Malgun Gothic"/>
                <w:sz w:val="21"/>
                <w:szCs w:val="21"/>
              </w:rPr>
              <w:t>(Lead) LTA;</w:t>
            </w:r>
          </w:p>
          <w:p w:rsidR="0006568D" w:rsidRPr="0006568D" w:rsidRDefault="0006568D" w:rsidP="000A117E">
            <w:pPr>
              <w:spacing w:after="0" w:line="240" w:lineRule="auto"/>
              <w:jc w:val="left"/>
              <w:rPr>
                <w:rFonts w:eastAsia="Malgun Gothic"/>
                <w:sz w:val="21"/>
                <w:szCs w:val="21"/>
              </w:rPr>
            </w:pPr>
            <w:r w:rsidRPr="0006568D">
              <w:rPr>
                <w:rFonts w:eastAsia="Malgun Gothic"/>
                <w:sz w:val="21"/>
                <w:szCs w:val="21"/>
              </w:rPr>
              <w:t>(Support) Municipalities, TPD</w:t>
            </w:r>
          </w:p>
        </w:tc>
      </w:tr>
      <w:tr w:rsidR="0006568D" w:rsidRPr="0006568D" w:rsidTr="0087414B">
        <w:trPr>
          <w:jc w:val="center"/>
        </w:trPr>
        <w:tc>
          <w:tcPr>
            <w:tcW w:w="1915" w:type="dxa"/>
            <w:vMerge/>
            <w:shd w:val="clear" w:color="auto" w:fill="auto"/>
          </w:tcPr>
          <w:p w:rsidR="0006568D" w:rsidRPr="0006568D" w:rsidRDefault="0006568D" w:rsidP="000A117E">
            <w:pPr>
              <w:spacing w:after="0" w:line="240" w:lineRule="auto"/>
              <w:jc w:val="left"/>
              <w:rPr>
                <w:rFonts w:eastAsia="Malgun Gothic"/>
                <w:bCs/>
                <w:i/>
                <w:sz w:val="21"/>
                <w:szCs w:val="21"/>
              </w:rPr>
            </w:pPr>
          </w:p>
        </w:tc>
        <w:tc>
          <w:tcPr>
            <w:tcW w:w="5310" w:type="dxa"/>
            <w:shd w:val="clear" w:color="auto" w:fill="auto"/>
          </w:tcPr>
          <w:p w:rsidR="0006568D" w:rsidRPr="0006568D" w:rsidRDefault="0006568D" w:rsidP="00197EC3">
            <w:pPr>
              <w:numPr>
                <w:ilvl w:val="0"/>
                <w:numId w:val="10"/>
              </w:numPr>
              <w:tabs>
                <w:tab w:val="left" w:pos="515"/>
              </w:tabs>
              <w:spacing w:after="0" w:line="240" w:lineRule="auto"/>
              <w:ind w:left="-25" w:firstLine="0"/>
              <w:contextualSpacing/>
              <w:jc w:val="left"/>
              <w:rPr>
                <w:rFonts w:eastAsia="Malgun Gothic"/>
                <w:sz w:val="21"/>
                <w:szCs w:val="21"/>
              </w:rPr>
            </w:pPr>
            <w:r w:rsidRPr="0006568D">
              <w:rPr>
                <w:rFonts w:eastAsia="Malgun Gothic"/>
                <w:sz w:val="21"/>
                <w:szCs w:val="21"/>
              </w:rPr>
              <w:t>Develop urban transport strategic plans in cities other than Tbilisi</w:t>
            </w:r>
          </w:p>
        </w:tc>
        <w:tc>
          <w:tcPr>
            <w:tcW w:w="2351" w:type="dxa"/>
            <w:shd w:val="clear" w:color="auto" w:fill="auto"/>
          </w:tcPr>
          <w:p w:rsidR="0006568D" w:rsidRPr="0006568D" w:rsidRDefault="0006568D" w:rsidP="000A117E">
            <w:pPr>
              <w:spacing w:after="0" w:line="240" w:lineRule="auto"/>
              <w:jc w:val="left"/>
              <w:rPr>
                <w:rFonts w:eastAsia="Malgun Gothic"/>
                <w:sz w:val="21"/>
                <w:szCs w:val="21"/>
              </w:rPr>
            </w:pPr>
            <w:r w:rsidRPr="0006568D">
              <w:rPr>
                <w:rFonts w:eastAsia="Malgun Gothic"/>
                <w:sz w:val="21"/>
                <w:szCs w:val="21"/>
              </w:rPr>
              <w:t>(Lead) Municipalities;</w:t>
            </w:r>
          </w:p>
          <w:p w:rsidR="0006568D" w:rsidRPr="0006568D" w:rsidRDefault="0006568D" w:rsidP="000A117E">
            <w:pPr>
              <w:spacing w:after="0" w:line="240" w:lineRule="auto"/>
              <w:jc w:val="left"/>
              <w:rPr>
                <w:rFonts w:eastAsia="Malgun Gothic"/>
                <w:sz w:val="21"/>
                <w:szCs w:val="21"/>
              </w:rPr>
            </w:pPr>
            <w:r w:rsidRPr="0006568D">
              <w:rPr>
                <w:rFonts w:eastAsia="Malgun Gothic"/>
                <w:sz w:val="21"/>
                <w:szCs w:val="21"/>
              </w:rPr>
              <w:t>(Support) TPD</w:t>
            </w:r>
          </w:p>
        </w:tc>
      </w:tr>
      <w:tr w:rsidR="0006568D" w:rsidRPr="0006568D" w:rsidTr="0087414B">
        <w:trPr>
          <w:jc w:val="center"/>
        </w:trPr>
        <w:tc>
          <w:tcPr>
            <w:tcW w:w="1915" w:type="dxa"/>
            <w:vMerge/>
            <w:shd w:val="clear" w:color="auto" w:fill="auto"/>
          </w:tcPr>
          <w:p w:rsidR="0006568D" w:rsidRPr="0006568D" w:rsidRDefault="0006568D" w:rsidP="000A117E">
            <w:pPr>
              <w:spacing w:after="0" w:line="240" w:lineRule="auto"/>
              <w:jc w:val="left"/>
              <w:rPr>
                <w:rFonts w:eastAsia="Malgun Gothic"/>
                <w:bCs/>
                <w:i/>
                <w:sz w:val="21"/>
                <w:szCs w:val="21"/>
              </w:rPr>
            </w:pPr>
          </w:p>
        </w:tc>
        <w:tc>
          <w:tcPr>
            <w:tcW w:w="5310" w:type="dxa"/>
            <w:shd w:val="clear" w:color="auto" w:fill="auto"/>
          </w:tcPr>
          <w:p w:rsidR="0006568D" w:rsidRPr="0006568D" w:rsidRDefault="0006568D" w:rsidP="00197EC3">
            <w:pPr>
              <w:numPr>
                <w:ilvl w:val="0"/>
                <w:numId w:val="10"/>
              </w:numPr>
              <w:tabs>
                <w:tab w:val="left" w:pos="515"/>
              </w:tabs>
              <w:spacing w:after="0" w:line="240" w:lineRule="auto"/>
              <w:ind w:left="-25" w:firstLine="0"/>
              <w:contextualSpacing/>
              <w:jc w:val="left"/>
              <w:rPr>
                <w:rFonts w:eastAsia="Malgun Gothic"/>
                <w:sz w:val="21"/>
                <w:szCs w:val="21"/>
              </w:rPr>
            </w:pPr>
            <w:r w:rsidRPr="0006568D">
              <w:rPr>
                <w:rFonts w:eastAsia="Malgun Gothic"/>
                <w:sz w:val="21"/>
                <w:szCs w:val="21"/>
              </w:rPr>
              <w:t>Carry out alternative analysis and/or feasibility studies for public transport modes in Georgian cities, including trams, ropeways, LRT, BRT</w:t>
            </w:r>
          </w:p>
        </w:tc>
        <w:tc>
          <w:tcPr>
            <w:tcW w:w="2351" w:type="dxa"/>
            <w:shd w:val="clear" w:color="auto" w:fill="auto"/>
          </w:tcPr>
          <w:p w:rsidR="0006568D" w:rsidRPr="0006568D" w:rsidRDefault="0006568D" w:rsidP="000A117E">
            <w:pPr>
              <w:spacing w:after="0" w:line="240" w:lineRule="auto"/>
              <w:jc w:val="left"/>
              <w:rPr>
                <w:rFonts w:eastAsia="Malgun Gothic"/>
                <w:sz w:val="21"/>
                <w:szCs w:val="21"/>
              </w:rPr>
            </w:pPr>
            <w:r w:rsidRPr="0006568D">
              <w:rPr>
                <w:rFonts w:eastAsia="Malgun Gothic"/>
                <w:sz w:val="21"/>
                <w:szCs w:val="21"/>
              </w:rPr>
              <w:t>(Lead) Municipalities;</w:t>
            </w:r>
          </w:p>
          <w:p w:rsidR="0006568D" w:rsidRPr="0006568D" w:rsidRDefault="0006568D" w:rsidP="000A117E">
            <w:pPr>
              <w:spacing w:after="0" w:line="240" w:lineRule="auto"/>
              <w:jc w:val="left"/>
              <w:rPr>
                <w:rFonts w:eastAsia="Malgun Gothic"/>
                <w:sz w:val="21"/>
                <w:szCs w:val="21"/>
              </w:rPr>
            </w:pPr>
            <w:r w:rsidRPr="0006568D">
              <w:rPr>
                <w:rFonts w:eastAsia="Malgun Gothic"/>
                <w:sz w:val="21"/>
                <w:szCs w:val="21"/>
              </w:rPr>
              <w:t>(Support) TPD</w:t>
            </w:r>
          </w:p>
        </w:tc>
      </w:tr>
    </w:tbl>
    <w:p w:rsidR="0006568D" w:rsidRPr="0006568D" w:rsidRDefault="0006568D" w:rsidP="000A117E">
      <w:pPr>
        <w:spacing w:before="60" w:after="180"/>
        <w:rPr>
          <w:rFonts w:eastAsia="Malgun Gothic"/>
        </w:rPr>
      </w:pPr>
      <w:r w:rsidRPr="0006568D">
        <w:rPr>
          <w:rFonts w:eastAsia="Malgun Gothic"/>
          <w:i/>
          <w:sz w:val="18"/>
          <w:szCs w:val="18"/>
        </w:rPr>
        <w:t>Note: MoESD (Ministry of Economy and Sustainable Development), TPD (Transport Policy Department within the MoESD), MoEnv (Ministry of Environment), MoE (Ministry of Energy), MoRDI (Ministry of Regional Development and Infrastructure), LTA (Land Transport Agency) NTA (National Tourism Agency)</w:t>
      </w:r>
      <w:r w:rsidR="00C35103">
        <w:rPr>
          <w:rFonts w:eastAsia="Malgun Gothic"/>
          <w:i/>
          <w:sz w:val="18"/>
          <w:szCs w:val="18"/>
        </w:rPr>
        <w:t>, Ro-Mo (</w:t>
      </w:r>
      <w:r w:rsidR="00A57097">
        <w:rPr>
          <w:rFonts w:eastAsia="Malgun Gothic"/>
          <w:i/>
          <w:sz w:val="18"/>
          <w:szCs w:val="18"/>
        </w:rPr>
        <w:t>rolling motorway</w:t>
      </w:r>
      <w:r w:rsidR="00C35103">
        <w:rPr>
          <w:rFonts w:eastAsia="Malgun Gothic"/>
          <w:i/>
          <w:sz w:val="18"/>
          <w:szCs w:val="18"/>
        </w:rPr>
        <w:t>), Ro-Ro (</w:t>
      </w:r>
      <w:r w:rsidR="00A57097">
        <w:rPr>
          <w:rFonts w:eastAsia="Malgun Gothic"/>
          <w:i/>
          <w:sz w:val="18"/>
          <w:szCs w:val="18"/>
        </w:rPr>
        <w:t>rolled-on and rolled-off</w:t>
      </w:r>
      <w:r w:rsidR="00C35103">
        <w:rPr>
          <w:rFonts w:eastAsia="Malgun Gothic"/>
          <w:i/>
          <w:sz w:val="18"/>
          <w:szCs w:val="18"/>
        </w:rPr>
        <w:t>)</w:t>
      </w:r>
    </w:p>
    <w:p w:rsidR="0072342D" w:rsidRDefault="0072342D">
      <w:pPr>
        <w:spacing w:after="200"/>
        <w:jc w:val="left"/>
        <w:rPr>
          <w:rFonts w:eastAsia="Malgun Gothic"/>
          <w:b/>
          <w:i/>
        </w:rPr>
      </w:pPr>
      <w:r>
        <w:rPr>
          <w:rFonts w:eastAsia="Malgun Gothic"/>
          <w:b/>
          <w:i/>
        </w:rPr>
        <w:br w:type="page"/>
      </w:r>
    </w:p>
    <w:p w:rsidR="0006568D" w:rsidRPr="0006568D" w:rsidRDefault="0006568D" w:rsidP="00586244">
      <w:pPr>
        <w:spacing w:before="240"/>
        <w:jc w:val="center"/>
        <w:rPr>
          <w:rFonts w:eastAsia="Malgun Gothic"/>
          <w:b/>
          <w:i/>
        </w:rPr>
      </w:pPr>
      <w:r w:rsidRPr="0006568D">
        <w:rPr>
          <w:rFonts w:eastAsia="Malgun Gothic"/>
          <w:b/>
          <w:i/>
        </w:rPr>
        <w:lastRenderedPageBreak/>
        <w:t>Medium-Term (2015-2020): Enforcement, Market Reforms, and Infrastructure</w:t>
      </w:r>
    </w:p>
    <w:tbl>
      <w:tblPr>
        <w:tblW w:w="0" w:type="auto"/>
        <w:jc w:val="center"/>
        <w:tblBorders>
          <w:top w:val="single" w:sz="8" w:space="0" w:color="76923C"/>
          <w:left w:val="single" w:sz="8" w:space="0" w:color="76923C"/>
          <w:bottom w:val="single" w:sz="8" w:space="0" w:color="76923C"/>
          <w:right w:val="single" w:sz="8" w:space="0" w:color="76923C"/>
          <w:insideH w:val="single" w:sz="8" w:space="0" w:color="76923C"/>
        </w:tblBorders>
        <w:tblCellMar>
          <w:top w:w="29" w:type="dxa"/>
          <w:left w:w="115" w:type="dxa"/>
          <w:bottom w:w="29" w:type="dxa"/>
          <w:right w:w="115" w:type="dxa"/>
        </w:tblCellMar>
        <w:tblLook w:val="04A0"/>
      </w:tblPr>
      <w:tblGrid>
        <w:gridCol w:w="1825"/>
        <w:gridCol w:w="5310"/>
        <w:gridCol w:w="2441"/>
      </w:tblGrid>
      <w:tr w:rsidR="0006568D" w:rsidRPr="0006568D" w:rsidTr="0087414B">
        <w:trPr>
          <w:jc w:val="center"/>
        </w:trPr>
        <w:tc>
          <w:tcPr>
            <w:tcW w:w="1825" w:type="dxa"/>
            <w:shd w:val="clear" w:color="auto" w:fill="76923C"/>
          </w:tcPr>
          <w:p w:rsidR="0006568D" w:rsidRPr="0006568D" w:rsidRDefault="0006568D" w:rsidP="000A117E">
            <w:pPr>
              <w:spacing w:after="0" w:line="240" w:lineRule="auto"/>
              <w:jc w:val="left"/>
              <w:rPr>
                <w:rFonts w:eastAsia="Malgun Gothic"/>
                <w:bCs/>
                <w:color w:val="FFFFFF"/>
                <w:sz w:val="21"/>
                <w:szCs w:val="21"/>
              </w:rPr>
            </w:pPr>
            <w:r w:rsidRPr="0006568D">
              <w:rPr>
                <w:rFonts w:eastAsia="Malgun Gothic"/>
                <w:bCs/>
                <w:color w:val="FFFFFF"/>
                <w:sz w:val="21"/>
                <w:szCs w:val="21"/>
              </w:rPr>
              <w:t>Objectives</w:t>
            </w:r>
          </w:p>
        </w:tc>
        <w:tc>
          <w:tcPr>
            <w:tcW w:w="5310" w:type="dxa"/>
            <w:shd w:val="clear" w:color="auto" w:fill="76923C"/>
          </w:tcPr>
          <w:p w:rsidR="0006568D" w:rsidRPr="0006568D" w:rsidRDefault="0006568D" w:rsidP="000A117E">
            <w:pPr>
              <w:spacing w:after="0" w:line="240" w:lineRule="auto"/>
              <w:jc w:val="left"/>
              <w:rPr>
                <w:rFonts w:eastAsia="Malgun Gothic"/>
                <w:bCs/>
                <w:color w:val="FFFFFF"/>
                <w:sz w:val="21"/>
                <w:szCs w:val="21"/>
              </w:rPr>
            </w:pPr>
            <w:r w:rsidRPr="0006568D">
              <w:rPr>
                <w:rFonts w:eastAsia="Malgun Gothic"/>
                <w:bCs/>
                <w:color w:val="FFFFFF"/>
                <w:sz w:val="21"/>
                <w:szCs w:val="21"/>
              </w:rPr>
              <w:t>Actions</w:t>
            </w:r>
          </w:p>
        </w:tc>
        <w:tc>
          <w:tcPr>
            <w:tcW w:w="2441" w:type="dxa"/>
            <w:shd w:val="clear" w:color="auto" w:fill="76923C"/>
          </w:tcPr>
          <w:p w:rsidR="0006568D" w:rsidRPr="0006568D" w:rsidRDefault="0006568D" w:rsidP="000A117E">
            <w:pPr>
              <w:spacing w:after="0" w:line="240" w:lineRule="auto"/>
              <w:jc w:val="left"/>
              <w:rPr>
                <w:rFonts w:eastAsia="Malgun Gothic"/>
                <w:bCs/>
                <w:color w:val="FFFFFF"/>
                <w:sz w:val="21"/>
                <w:szCs w:val="21"/>
              </w:rPr>
            </w:pPr>
            <w:r w:rsidRPr="0006568D">
              <w:rPr>
                <w:rFonts w:eastAsia="Malgun Gothic"/>
                <w:bCs/>
                <w:color w:val="FFFFFF"/>
                <w:sz w:val="21"/>
                <w:szCs w:val="21"/>
              </w:rPr>
              <w:t>Responsible Entities</w:t>
            </w:r>
          </w:p>
        </w:tc>
      </w:tr>
      <w:tr w:rsidR="0006568D" w:rsidRPr="0006568D" w:rsidTr="0087414B">
        <w:trPr>
          <w:jc w:val="center"/>
        </w:trPr>
        <w:tc>
          <w:tcPr>
            <w:tcW w:w="1825" w:type="dxa"/>
            <w:vMerge w:val="restart"/>
          </w:tcPr>
          <w:p w:rsidR="0006568D" w:rsidRPr="0006568D" w:rsidRDefault="0006568D" w:rsidP="000A117E">
            <w:pPr>
              <w:spacing w:after="0" w:line="240" w:lineRule="auto"/>
              <w:jc w:val="left"/>
              <w:rPr>
                <w:rFonts w:eastAsia="Malgun Gothic"/>
                <w:bCs/>
                <w:sz w:val="21"/>
                <w:szCs w:val="21"/>
              </w:rPr>
            </w:pPr>
            <w:r w:rsidRPr="0006568D">
              <w:rPr>
                <w:rFonts w:eastAsia="Malgun Gothic"/>
                <w:bCs/>
                <w:i/>
                <w:sz w:val="21"/>
                <w:szCs w:val="21"/>
              </w:rPr>
              <w:t xml:space="preserve">Implement the </w:t>
            </w:r>
            <w:r w:rsidR="00C35103">
              <w:rPr>
                <w:rFonts w:eastAsia="Malgun Gothic"/>
                <w:bCs/>
                <w:i/>
                <w:sz w:val="21"/>
                <w:szCs w:val="21"/>
              </w:rPr>
              <w:t xml:space="preserve">improved </w:t>
            </w:r>
            <w:r w:rsidRPr="0006568D">
              <w:rPr>
                <w:rFonts w:eastAsia="Malgun Gothic"/>
                <w:bCs/>
                <w:i/>
                <w:sz w:val="21"/>
                <w:szCs w:val="21"/>
              </w:rPr>
              <w:t>regulatory framework</w:t>
            </w:r>
          </w:p>
        </w:tc>
        <w:tc>
          <w:tcPr>
            <w:tcW w:w="5310" w:type="dxa"/>
          </w:tcPr>
          <w:p w:rsidR="0006568D" w:rsidRPr="0006568D" w:rsidRDefault="0006568D" w:rsidP="00197EC3">
            <w:pPr>
              <w:numPr>
                <w:ilvl w:val="0"/>
                <w:numId w:val="11"/>
              </w:numPr>
              <w:tabs>
                <w:tab w:val="left" w:pos="425"/>
              </w:tabs>
              <w:spacing w:after="0" w:line="240" w:lineRule="auto"/>
              <w:ind w:left="-25" w:firstLine="0"/>
              <w:contextualSpacing/>
              <w:jc w:val="left"/>
              <w:rPr>
                <w:rFonts w:eastAsia="Malgun Gothic"/>
                <w:sz w:val="21"/>
                <w:szCs w:val="21"/>
              </w:rPr>
            </w:pPr>
            <w:r w:rsidRPr="0006568D">
              <w:rPr>
                <w:rFonts w:eastAsia="Malgun Gothic"/>
                <w:sz w:val="21"/>
                <w:szCs w:val="21"/>
              </w:rPr>
              <w:t>Based on updated regulatory framework developed under (1.3), enforce fuel quality standards</w:t>
            </w:r>
          </w:p>
        </w:tc>
        <w:tc>
          <w:tcPr>
            <w:tcW w:w="2441" w:type="dxa"/>
          </w:tcPr>
          <w:p w:rsidR="0006568D" w:rsidRPr="0006568D" w:rsidRDefault="0006568D" w:rsidP="000A117E">
            <w:pPr>
              <w:spacing w:after="0" w:line="240" w:lineRule="auto"/>
              <w:jc w:val="left"/>
              <w:rPr>
                <w:rFonts w:eastAsia="Malgun Gothic"/>
                <w:sz w:val="21"/>
                <w:szCs w:val="21"/>
              </w:rPr>
            </w:pPr>
            <w:r w:rsidRPr="0006568D">
              <w:rPr>
                <w:rFonts w:eastAsia="Malgun Gothic"/>
                <w:sz w:val="21"/>
                <w:szCs w:val="21"/>
              </w:rPr>
              <w:t>(Lead) LTA or a new designated agency;</w:t>
            </w:r>
          </w:p>
          <w:p w:rsidR="0006568D" w:rsidRPr="0006568D" w:rsidRDefault="0006568D" w:rsidP="000A117E">
            <w:pPr>
              <w:spacing w:after="0" w:line="240" w:lineRule="auto"/>
              <w:jc w:val="left"/>
              <w:rPr>
                <w:rFonts w:eastAsia="Malgun Gothic"/>
                <w:sz w:val="21"/>
                <w:szCs w:val="21"/>
              </w:rPr>
            </w:pPr>
            <w:r w:rsidRPr="0006568D">
              <w:rPr>
                <w:rFonts w:eastAsia="Malgun Gothic"/>
                <w:sz w:val="21"/>
                <w:szCs w:val="21"/>
              </w:rPr>
              <w:t>(Support) MoEnv, MoE</w:t>
            </w:r>
          </w:p>
        </w:tc>
      </w:tr>
      <w:tr w:rsidR="0006568D" w:rsidRPr="0006568D" w:rsidTr="0087414B">
        <w:trPr>
          <w:jc w:val="center"/>
        </w:trPr>
        <w:tc>
          <w:tcPr>
            <w:tcW w:w="1825" w:type="dxa"/>
            <w:vMerge/>
          </w:tcPr>
          <w:p w:rsidR="0006568D" w:rsidRPr="0006568D" w:rsidRDefault="0006568D" w:rsidP="000A117E">
            <w:pPr>
              <w:spacing w:after="0" w:line="240" w:lineRule="auto"/>
              <w:jc w:val="left"/>
              <w:rPr>
                <w:rFonts w:eastAsia="Malgun Gothic"/>
                <w:bCs/>
                <w:sz w:val="21"/>
                <w:szCs w:val="21"/>
              </w:rPr>
            </w:pPr>
          </w:p>
        </w:tc>
        <w:tc>
          <w:tcPr>
            <w:tcW w:w="5310" w:type="dxa"/>
          </w:tcPr>
          <w:p w:rsidR="0006568D" w:rsidRPr="0006568D" w:rsidRDefault="0006568D" w:rsidP="00197EC3">
            <w:pPr>
              <w:numPr>
                <w:ilvl w:val="0"/>
                <w:numId w:val="11"/>
              </w:numPr>
              <w:tabs>
                <w:tab w:val="left" w:pos="425"/>
              </w:tabs>
              <w:spacing w:after="0" w:line="240" w:lineRule="auto"/>
              <w:ind w:left="-25" w:firstLine="0"/>
              <w:contextualSpacing/>
              <w:jc w:val="left"/>
              <w:rPr>
                <w:rFonts w:eastAsia="Malgun Gothic"/>
                <w:sz w:val="21"/>
                <w:szCs w:val="21"/>
              </w:rPr>
            </w:pPr>
            <w:r w:rsidRPr="0006568D">
              <w:rPr>
                <w:rFonts w:eastAsia="Malgun Gothic"/>
                <w:sz w:val="21"/>
                <w:szCs w:val="21"/>
              </w:rPr>
              <w:t>Expand vehicle inspections to all commercial vehicles, including those providing domestic services</w:t>
            </w:r>
          </w:p>
        </w:tc>
        <w:tc>
          <w:tcPr>
            <w:tcW w:w="2441" w:type="dxa"/>
          </w:tcPr>
          <w:p w:rsidR="0006568D" w:rsidRPr="0006568D" w:rsidRDefault="0006568D" w:rsidP="000A117E">
            <w:pPr>
              <w:spacing w:after="0" w:line="240" w:lineRule="auto"/>
              <w:jc w:val="left"/>
              <w:rPr>
                <w:rFonts w:eastAsia="Malgun Gothic"/>
                <w:sz w:val="21"/>
                <w:szCs w:val="21"/>
              </w:rPr>
            </w:pPr>
            <w:r w:rsidRPr="0006568D">
              <w:rPr>
                <w:rFonts w:eastAsia="Malgun Gothic"/>
                <w:sz w:val="21"/>
                <w:szCs w:val="21"/>
              </w:rPr>
              <w:t>(Lead) LTA, Police;</w:t>
            </w:r>
          </w:p>
          <w:p w:rsidR="0006568D" w:rsidRPr="0006568D" w:rsidRDefault="0006568D" w:rsidP="000A117E">
            <w:pPr>
              <w:spacing w:after="0" w:line="240" w:lineRule="auto"/>
              <w:jc w:val="left"/>
              <w:rPr>
                <w:rFonts w:eastAsia="Malgun Gothic"/>
                <w:sz w:val="21"/>
                <w:szCs w:val="21"/>
              </w:rPr>
            </w:pPr>
            <w:r w:rsidRPr="0006568D">
              <w:rPr>
                <w:rFonts w:eastAsia="Malgun Gothic"/>
                <w:sz w:val="21"/>
                <w:szCs w:val="21"/>
              </w:rPr>
              <w:t>(Support) MoEnv</w:t>
            </w:r>
          </w:p>
        </w:tc>
      </w:tr>
      <w:tr w:rsidR="0006568D" w:rsidRPr="0006568D" w:rsidTr="0087414B">
        <w:trPr>
          <w:trHeight w:val="581"/>
          <w:jc w:val="center"/>
        </w:trPr>
        <w:tc>
          <w:tcPr>
            <w:tcW w:w="1825" w:type="dxa"/>
            <w:vMerge/>
          </w:tcPr>
          <w:p w:rsidR="0006568D" w:rsidRPr="0006568D" w:rsidRDefault="0006568D" w:rsidP="000A117E">
            <w:pPr>
              <w:spacing w:after="0" w:line="240" w:lineRule="auto"/>
              <w:jc w:val="left"/>
              <w:rPr>
                <w:rFonts w:eastAsia="Malgun Gothic"/>
                <w:bCs/>
                <w:sz w:val="21"/>
                <w:szCs w:val="21"/>
              </w:rPr>
            </w:pPr>
          </w:p>
        </w:tc>
        <w:tc>
          <w:tcPr>
            <w:tcW w:w="5310" w:type="dxa"/>
          </w:tcPr>
          <w:p w:rsidR="0006568D" w:rsidRPr="0006568D" w:rsidRDefault="0006568D" w:rsidP="00197EC3">
            <w:pPr>
              <w:numPr>
                <w:ilvl w:val="0"/>
                <w:numId w:val="11"/>
              </w:numPr>
              <w:tabs>
                <w:tab w:val="left" w:pos="425"/>
              </w:tabs>
              <w:spacing w:after="0" w:line="240" w:lineRule="auto"/>
              <w:ind w:left="-25" w:firstLine="0"/>
              <w:contextualSpacing/>
              <w:jc w:val="left"/>
              <w:rPr>
                <w:rFonts w:eastAsia="Malgun Gothic"/>
                <w:sz w:val="21"/>
                <w:szCs w:val="21"/>
              </w:rPr>
            </w:pPr>
            <w:r w:rsidRPr="0006568D">
              <w:rPr>
                <w:rFonts w:eastAsia="Malgun Gothic"/>
                <w:sz w:val="21"/>
                <w:szCs w:val="21"/>
              </w:rPr>
              <w:t>Institute administrative procedures for periodic vehicle registration combined with compulsory safety and emissions inspection for all privately owned vehicles</w:t>
            </w:r>
          </w:p>
        </w:tc>
        <w:tc>
          <w:tcPr>
            <w:tcW w:w="2441" w:type="dxa"/>
          </w:tcPr>
          <w:p w:rsidR="0006568D" w:rsidRPr="0006568D" w:rsidRDefault="0006568D" w:rsidP="000A117E">
            <w:pPr>
              <w:spacing w:after="0" w:line="240" w:lineRule="auto"/>
              <w:jc w:val="left"/>
              <w:rPr>
                <w:rFonts w:eastAsia="Malgun Gothic"/>
                <w:sz w:val="21"/>
                <w:szCs w:val="21"/>
              </w:rPr>
            </w:pPr>
            <w:r w:rsidRPr="0006568D">
              <w:rPr>
                <w:rFonts w:eastAsia="Malgun Gothic"/>
                <w:sz w:val="21"/>
                <w:szCs w:val="21"/>
              </w:rPr>
              <w:t>(Lead) Police, LTA;</w:t>
            </w:r>
          </w:p>
          <w:p w:rsidR="0006568D" w:rsidRPr="0006568D" w:rsidRDefault="0006568D" w:rsidP="000A117E">
            <w:pPr>
              <w:spacing w:after="0" w:line="240" w:lineRule="auto"/>
              <w:jc w:val="left"/>
              <w:rPr>
                <w:rFonts w:eastAsia="Malgun Gothic"/>
                <w:sz w:val="21"/>
                <w:szCs w:val="21"/>
              </w:rPr>
            </w:pPr>
            <w:r w:rsidRPr="0006568D">
              <w:rPr>
                <w:rFonts w:eastAsia="Malgun Gothic"/>
                <w:sz w:val="21"/>
                <w:szCs w:val="21"/>
              </w:rPr>
              <w:t>(Support) TPD, MoEnv</w:t>
            </w:r>
          </w:p>
        </w:tc>
      </w:tr>
      <w:tr w:rsidR="0006568D" w:rsidRPr="0006568D" w:rsidTr="0087414B">
        <w:trPr>
          <w:trHeight w:val="241"/>
          <w:jc w:val="center"/>
        </w:trPr>
        <w:tc>
          <w:tcPr>
            <w:tcW w:w="1825" w:type="dxa"/>
            <w:vMerge/>
          </w:tcPr>
          <w:p w:rsidR="0006568D" w:rsidRPr="0006568D" w:rsidRDefault="0006568D" w:rsidP="000A117E">
            <w:pPr>
              <w:spacing w:after="0" w:line="240" w:lineRule="auto"/>
              <w:jc w:val="left"/>
              <w:rPr>
                <w:rFonts w:eastAsia="Malgun Gothic"/>
                <w:bCs/>
                <w:sz w:val="21"/>
                <w:szCs w:val="21"/>
              </w:rPr>
            </w:pPr>
          </w:p>
        </w:tc>
        <w:tc>
          <w:tcPr>
            <w:tcW w:w="5310" w:type="dxa"/>
          </w:tcPr>
          <w:p w:rsidR="0006568D" w:rsidRPr="0006568D" w:rsidRDefault="0006568D" w:rsidP="00197EC3">
            <w:pPr>
              <w:numPr>
                <w:ilvl w:val="0"/>
                <w:numId w:val="11"/>
              </w:numPr>
              <w:tabs>
                <w:tab w:val="left" w:pos="425"/>
              </w:tabs>
              <w:spacing w:after="0" w:line="240" w:lineRule="auto"/>
              <w:ind w:left="-25" w:firstLine="0"/>
              <w:contextualSpacing/>
              <w:jc w:val="left"/>
              <w:rPr>
                <w:rFonts w:eastAsia="Malgun Gothic"/>
                <w:sz w:val="21"/>
                <w:szCs w:val="21"/>
              </w:rPr>
            </w:pPr>
            <w:r w:rsidRPr="0006568D">
              <w:rPr>
                <w:rFonts w:eastAsia="Malgun Gothic"/>
                <w:sz w:val="21"/>
                <w:szCs w:val="21"/>
              </w:rPr>
              <w:t>Establish test facility for technical inspection and start pilot implementation in selected cities and regions</w:t>
            </w:r>
          </w:p>
        </w:tc>
        <w:tc>
          <w:tcPr>
            <w:tcW w:w="2441" w:type="dxa"/>
          </w:tcPr>
          <w:p w:rsidR="0006568D" w:rsidRPr="0006568D" w:rsidRDefault="0006568D" w:rsidP="000A117E">
            <w:pPr>
              <w:spacing w:after="0" w:line="240" w:lineRule="auto"/>
              <w:jc w:val="left"/>
              <w:rPr>
                <w:rFonts w:eastAsia="Malgun Gothic"/>
                <w:sz w:val="21"/>
                <w:szCs w:val="21"/>
              </w:rPr>
            </w:pPr>
            <w:r w:rsidRPr="0006568D">
              <w:rPr>
                <w:rFonts w:eastAsia="Malgun Gothic"/>
                <w:sz w:val="21"/>
                <w:szCs w:val="21"/>
              </w:rPr>
              <w:t>(Lead) LTA, Police;</w:t>
            </w:r>
          </w:p>
          <w:p w:rsidR="0006568D" w:rsidRPr="0006568D" w:rsidRDefault="0006568D" w:rsidP="000A117E">
            <w:pPr>
              <w:spacing w:after="0" w:line="240" w:lineRule="auto"/>
              <w:jc w:val="left"/>
              <w:rPr>
                <w:rFonts w:eastAsia="Malgun Gothic"/>
                <w:sz w:val="21"/>
                <w:szCs w:val="21"/>
              </w:rPr>
            </w:pPr>
            <w:r w:rsidRPr="0006568D">
              <w:rPr>
                <w:rFonts w:eastAsia="Malgun Gothic"/>
                <w:sz w:val="21"/>
                <w:szCs w:val="21"/>
              </w:rPr>
              <w:t>Support municipalities</w:t>
            </w:r>
          </w:p>
        </w:tc>
      </w:tr>
      <w:tr w:rsidR="0006568D" w:rsidRPr="0006568D" w:rsidTr="0087414B">
        <w:trPr>
          <w:jc w:val="center"/>
        </w:trPr>
        <w:tc>
          <w:tcPr>
            <w:tcW w:w="1825" w:type="dxa"/>
            <w:vMerge w:val="restart"/>
          </w:tcPr>
          <w:p w:rsidR="0006568D" w:rsidRPr="0006568D" w:rsidRDefault="0006568D" w:rsidP="000A117E">
            <w:pPr>
              <w:spacing w:after="0" w:line="240" w:lineRule="auto"/>
              <w:jc w:val="left"/>
              <w:rPr>
                <w:rFonts w:eastAsia="Malgun Gothic"/>
                <w:bCs/>
                <w:sz w:val="21"/>
                <w:szCs w:val="21"/>
              </w:rPr>
            </w:pPr>
            <w:r w:rsidRPr="0006568D">
              <w:rPr>
                <w:rFonts w:eastAsia="Malgun Gothic"/>
                <w:bCs/>
                <w:i/>
                <w:sz w:val="21"/>
                <w:szCs w:val="21"/>
              </w:rPr>
              <w:t>Promot</w:t>
            </w:r>
            <w:r w:rsidR="00C35103">
              <w:rPr>
                <w:rFonts w:eastAsia="Malgun Gothic"/>
                <w:bCs/>
                <w:i/>
                <w:sz w:val="21"/>
                <w:szCs w:val="21"/>
              </w:rPr>
              <w:t>e</w:t>
            </w:r>
            <w:r w:rsidRPr="0006568D">
              <w:rPr>
                <w:rFonts w:eastAsia="Malgun Gothic"/>
                <w:bCs/>
                <w:i/>
                <w:sz w:val="21"/>
                <w:szCs w:val="21"/>
              </w:rPr>
              <w:t xml:space="preserve"> market competition through key sub-sector reforms</w:t>
            </w:r>
          </w:p>
        </w:tc>
        <w:tc>
          <w:tcPr>
            <w:tcW w:w="5310" w:type="dxa"/>
          </w:tcPr>
          <w:p w:rsidR="0006568D" w:rsidRPr="0006568D" w:rsidRDefault="0006568D" w:rsidP="00197EC3">
            <w:pPr>
              <w:numPr>
                <w:ilvl w:val="0"/>
                <w:numId w:val="11"/>
              </w:numPr>
              <w:tabs>
                <w:tab w:val="left" w:pos="425"/>
              </w:tabs>
              <w:spacing w:after="0" w:line="240" w:lineRule="auto"/>
              <w:ind w:left="-25" w:firstLine="0"/>
              <w:contextualSpacing/>
              <w:jc w:val="left"/>
              <w:rPr>
                <w:rFonts w:eastAsia="Malgun Gothic"/>
                <w:sz w:val="21"/>
                <w:szCs w:val="21"/>
              </w:rPr>
            </w:pPr>
            <w:r w:rsidRPr="0006568D">
              <w:rPr>
                <w:rFonts w:eastAsia="Malgun Gothic"/>
                <w:sz w:val="21"/>
                <w:szCs w:val="21"/>
              </w:rPr>
              <w:t>Implement intercity passenger transport strategy developed under (1.8)</w:t>
            </w:r>
          </w:p>
        </w:tc>
        <w:tc>
          <w:tcPr>
            <w:tcW w:w="2441" w:type="dxa"/>
          </w:tcPr>
          <w:p w:rsidR="0006568D" w:rsidRPr="0006568D" w:rsidRDefault="0006568D" w:rsidP="000A117E">
            <w:pPr>
              <w:spacing w:after="0" w:line="240" w:lineRule="auto"/>
              <w:jc w:val="left"/>
              <w:rPr>
                <w:rFonts w:eastAsia="Malgun Gothic"/>
                <w:sz w:val="21"/>
                <w:szCs w:val="21"/>
              </w:rPr>
            </w:pPr>
            <w:r w:rsidRPr="0006568D">
              <w:rPr>
                <w:rFonts w:eastAsia="Malgun Gothic"/>
                <w:sz w:val="21"/>
                <w:szCs w:val="21"/>
              </w:rPr>
              <w:t>(Lead) NTA, TPD</w:t>
            </w:r>
          </w:p>
          <w:p w:rsidR="0006568D" w:rsidRPr="0006568D" w:rsidRDefault="0006568D" w:rsidP="000A117E">
            <w:pPr>
              <w:spacing w:after="0" w:line="240" w:lineRule="auto"/>
              <w:jc w:val="left"/>
              <w:rPr>
                <w:rFonts w:eastAsia="Malgun Gothic"/>
                <w:sz w:val="21"/>
                <w:szCs w:val="21"/>
              </w:rPr>
            </w:pPr>
            <w:r w:rsidRPr="0006568D">
              <w:rPr>
                <w:rFonts w:eastAsia="Malgun Gothic"/>
                <w:sz w:val="21"/>
                <w:szCs w:val="21"/>
              </w:rPr>
              <w:t>(Support) MoF</w:t>
            </w:r>
          </w:p>
        </w:tc>
      </w:tr>
      <w:tr w:rsidR="0006568D" w:rsidRPr="0006568D" w:rsidTr="0087414B">
        <w:trPr>
          <w:jc w:val="center"/>
        </w:trPr>
        <w:tc>
          <w:tcPr>
            <w:tcW w:w="1825" w:type="dxa"/>
            <w:vMerge/>
          </w:tcPr>
          <w:p w:rsidR="0006568D" w:rsidRPr="0006568D" w:rsidRDefault="0006568D" w:rsidP="000A117E">
            <w:pPr>
              <w:spacing w:after="0" w:line="240" w:lineRule="auto"/>
              <w:jc w:val="left"/>
              <w:rPr>
                <w:rFonts w:eastAsia="Malgun Gothic"/>
                <w:bCs/>
                <w:i/>
                <w:sz w:val="21"/>
                <w:szCs w:val="21"/>
              </w:rPr>
            </w:pPr>
          </w:p>
        </w:tc>
        <w:tc>
          <w:tcPr>
            <w:tcW w:w="5310" w:type="dxa"/>
          </w:tcPr>
          <w:p w:rsidR="0006568D" w:rsidRPr="0006568D" w:rsidRDefault="0006568D" w:rsidP="00197EC3">
            <w:pPr>
              <w:numPr>
                <w:ilvl w:val="0"/>
                <w:numId w:val="11"/>
              </w:numPr>
              <w:tabs>
                <w:tab w:val="left" w:pos="425"/>
              </w:tabs>
              <w:spacing w:after="0" w:line="240" w:lineRule="auto"/>
              <w:ind w:left="-25" w:firstLine="0"/>
              <w:contextualSpacing/>
              <w:jc w:val="left"/>
              <w:rPr>
                <w:rFonts w:eastAsia="Malgun Gothic"/>
                <w:sz w:val="21"/>
                <w:szCs w:val="21"/>
              </w:rPr>
            </w:pPr>
            <w:r w:rsidRPr="0006568D">
              <w:rPr>
                <w:rFonts w:eastAsia="Malgun Gothic"/>
                <w:sz w:val="21"/>
                <w:szCs w:val="21"/>
              </w:rPr>
              <w:t>Implement in-city minibus market reform strategy developed under (1.9)</w:t>
            </w:r>
          </w:p>
        </w:tc>
        <w:tc>
          <w:tcPr>
            <w:tcW w:w="2441" w:type="dxa"/>
          </w:tcPr>
          <w:p w:rsidR="0006568D" w:rsidRPr="0006568D" w:rsidRDefault="0006568D" w:rsidP="000A117E">
            <w:pPr>
              <w:spacing w:after="0" w:line="240" w:lineRule="auto"/>
              <w:jc w:val="left"/>
              <w:rPr>
                <w:rFonts w:eastAsia="Malgun Gothic"/>
                <w:sz w:val="21"/>
                <w:szCs w:val="21"/>
              </w:rPr>
            </w:pPr>
            <w:r w:rsidRPr="0006568D">
              <w:rPr>
                <w:rFonts w:eastAsia="Malgun Gothic"/>
                <w:sz w:val="21"/>
                <w:szCs w:val="21"/>
              </w:rPr>
              <w:t>(Lead) Municipalities</w:t>
            </w:r>
          </w:p>
          <w:p w:rsidR="0006568D" w:rsidRPr="0006568D" w:rsidRDefault="0006568D" w:rsidP="000A117E">
            <w:pPr>
              <w:spacing w:after="0" w:line="240" w:lineRule="auto"/>
              <w:jc w:val="left"/>
              <w:rPr>
                <w:rFonts w:eastAsia="Malgun Gothic"/>
                <w:sz w:val="21"/>
                <w:szCs w:val="21"/>
              </w:rPr>
            </w:pPr>
            <w:r w:rsidRPr="0006568D">
              <w:rPr>
                <w:rFonts w:eastAsia="Malgun Gothic"/>
                <w:sz w:val="21"/>
                <w:szCs w:val="21"/>
              </w:rPr>
              <w:t>(Support) TPD</w:t>
            </w:r>
          </w:p>
        </w:tc>
      </w:tr>
      <w:tr w:rsidR="0006568D" w:rsidRPr="0006568D" w:rsidTr="0087414B">
        <w:trPr>
          <w:jc w:val="center"/>
        </w:trPr>
        <w:tc>
          <w:tcPr>
            <w:tcW w:w="1825" w:type="dxa"/>
            <w:vMerge/>
          </w:tcPr>
          <w:p w:rsidR="0006568D" w:rsidRPr="0006568D" w:rsidRDefault="0006568D" w:rsidP="000A117E">
            <w:pPr>
              <w:spacing w:after="0" w:line="240" w:lineRule="auto"/>
              <w:jc w:val="left"/>
              <w:rPr>
                <w:rFonts w:eastAsia="Malgun Gothic"/>
                <w:bCs/>
                <w:i/>
                <w:sz w:val="21"/>
                <w:szCs w:val="21"/>
              </w:rPr>
            </w:pPr>
          </w:p>
        </w:tc>
        <w:tc>
          <w:tcPr>
            <w:tcW w:w="5310" w:type="dxa"/>
          </w:tcPr>
          <w:p w:rsidR="0006568D" w:rsidRPr="0006568D" w:rsidRDefault="0006568D" w:rsidP="00197EC3">
            <w:pPr>
              <w:numPr>
                <w:ilvl w:val="0"/>
                <w:numId w:val="11"/>
              </w:numPr>
              <w:tabs>
                <w:tab w:val="left" w:pos="425"/>
              </w:tabs>
              <w:spacing w:after="0" w:line="240" w:lineRule="auto"/>
              <w:ind w:left="-25" w:firstLine="0"/>
              <w:contextualSpacing/>
              <w:jc w:val="left"/>
              <w:rPr>
                <w:rFonts w:eastAsia="Malgun Gothic"/>
                <w:sz w:val="21"/>
                <w:szCs w:val="21"/>
              </w:rPr>
            </w:pPr>
            <w:r w:rsidRPr="0006568D">
              <w:rPr>
                <w:rFonts w:eastAsia="Malgun Gothic"/>
                <w:sz w:val="21"/>
                <w:szCs w:val="21"/>
              </w:rPr>
              <w:t>Based on the findings from (1.10), implement reforms of the urban taxi market, starting in a pilot city</w:t>
            </w:r>
          </w:p>
        </w:tc>
        <w:tc>
          <w:tcPr>
            <w:tcW w:w="2441" w:type="dxa"/>
          </w:tcPr>
          <w:p w:rsidR="0006568D" w:rsidRPr="0006568D" w:rsidRDefault="0006568D" w:rsidP="000A117E">
            <w:pPr>
              <w:spacing w:after="0" w:line="240" w:lineRule="auto"/>
              <w:jc w:val="left"/>
              <w:rPr>
                <w:rFonts w:eastAsia="Malgun Gothic"/>
                <w:sz w:val="21"/>
                <w:szCs w:val="21"/>
              </w:rPr>
            </w:pPr>
            <w:r w:rsidRPr="0006568D">
              <w:rPr>
                <w:rFonts w:eastAsia="Malgun Gothic"/>
                <w:sz w:val="21"/>
                <w:szCs w:val="21"/>
              </w:rPr>
              <w:t>(Lead) Municipalities</w:t>
            </w:r>
          </w:p>
          <w:p w:rsidR="0006568D" w:rsidRPr="0006568D" w:rsidRDefault="0006568D" w:rsidP="000A117E">
            <w:pPr>
              <w:spacing w:after="0" w:line="240" w:lineRule="auto"/>
              <w:jc w:val="left"/>
              <w:rPr>
                <w:rFonts w:eastAsia="Malgun Gothic"/>
                <w:sz w:val="21"/>
                <w:szCs w:val="21"/>
              </w:rPr>
            </w:pPr>
            <w:r w:rsidRPr="0006568D">
              <w:rPr>
                <w:rFonts w:eastAsia="Malgun Gothic"/>
                <w:sz w:val="21"/>
                <w:szCs w:val="21"/>
              </w:rPr>
              <w:t>(Support) LTA, TPD</w:t>
            </w:r>
          </w:p>
        </w:tc>
      </w:tr>
      <w:tr w:rsidR="0006568D" w:rsidRPr="0006568D" w:rsidTr="0087414B">
        <w:trPr>
          <w:jc w:val="center"/>
        </w:trPr>
        <w:tc>
          <w:tcPr>
            <w:tcW w:w="1825" w:type="dxa"/>
            <w:vMerge w:val="restart"/>
          </w:tcPr>
          <w:p w:rsidR="0006568D" w:rsidRPr="0006568D" w:rsidRDefault="0006568D" w:rsidP="000A117E">
            <w:pPr>
              <w:spacing w:after="0" w:line="240" w:lineRule="auto"/>
              <w:jc w:val="left"/>
              <w:rPr>
                <w:rFonts w:eastAsia="Malgun Gothic"/>
                <w:bCs/>
                <w:i/>
                <w:sz w:val="21"/>
                <w:szCs w:val="21"/>
              </w:rPr>
            </w:pPr>
            <w:r w:rsidRPr="0006568D">
              <w:rPr>
                <w:rFonts w:eastAsia="Malgun Gothic"/>
                <w:bCs/>
                <w:i/>
                <w:sz w:val="21"/>
                <w:szCs w:val="21"/>
              </w:rPr>
              <w:t>Develop infrastructure for lasting transformation</w:t>
            </w:r>
          </w:p>
        </w:tc>
        <w:tc>
          <w:tcPr>
            <w:tcW w:w="5310" w:type="dxa"/>
          </w:tcPr>
          <w:p w:rsidR="0006568D" w:rsidRPr="0006568D" w:rsidRDefault="0006568D" w:rsidP="006049B9">
            <w:pPr>
              <w:numPr>
                <w:ilvl w:val="0"/>
                <w:numId w:val="11"/>
              </w:numPr>
              <w:tabs>
                <w:tab w:val="left" w:pos="425"/>
              </w:tabs>
              <w:spacing w:after="0" w:line="240" w:lineRule="auto"/>
              <w:ind w:left="-25" w:firstLine="0"/>
              <w:contextualSpacing/>
              <w:jc w:val="left"/>
              <w:rPr>
                <w:rFonts w:eastAsia="Malgun Gothic"/>
                <w:sz w:val="21"/>
                <w:szCs w:val="21"/>
              </w:rPr>
            </w:pPr>
            <w:r w:rsidRPr="0006568D">
              <w:rPr>
                <w:rFonts w:eastAsia="Malgun Gothic"/>
                <w:sz w:val="21"/>
                <w:szCs w:val="21"/>
              </w:rPr>
              <w:t>Implement revised transit truck charges based on the assessment and implementation plan prepared under (1.5)</w:t>
            </w:r>
          </w:p>
        </w:tc>
        <w:tc>
          <w:tcPr>
            <w:tcW w:w="2441" w:type="dxa"/>
          </w:tcPr>
          <w:p w:rsidR="0006568D" w:rsidRPr="0006568D" w:rsidRDefault="0006568D" w:rsidP="000A117E">
            <w:pPr>
              <w:spacing w:after="0" w:line="240" w:lineRule="auto"/>
              <w:jc w:val="left"/>
              <w:rPr>
                <w:rFonts w:eastAsia="Malgun Gothic"/>
                <w:sz w:val="21"/>
                <w:szCs w:val="21"/>
              </w:rPr>
            </w:pPr>
            <w:r w:rsidRPr="0006568D">
              <w:rPr>
                <w:rFonts w:eastAsia="Malgun Gothic"/>
                <w:sz w:val="21"/>
                <w:szCs w:val="21"/>
              </w:rPr>
              <w:t>(Lead) MoRDI or a designated entity;</w:t>
            </w:r>
          </w:p>
          <w:p w:rsidR="0006568D" w:rsidRPr="0006568D" w:rsidRDefault="0006568D" w:rsidP="000A117E">
            <w:pPr>
              <w:spacing w:after="0" w:line="240" w:lineRule="auto"/>
              <w:jc w:val="left"/>
              <w:rPr>
                <w:rFonts w:eastAsia="Malgun Gothic"/>
                <w:sz w:val="21"/>
                <w:szCs w:val="21"/>
              </w:rPr>
            </w:pPr>
            <w:r w:rsidRPr="0006568D">
              <w:rPr>
                <w:rFonts w:eastAsia="Malgun Gothic"/>
                <w:sz w:val="21"/>
                <w:szCs w:val="21"/>
              </w:rPr>
              <w:t>(Support) TPD</w:t>
            </w:r>
          </w:p>
        </w:tc>
      </w:tr>
      <w:tr w:rsidR="0006568D" w:rsidRPr="0006568D" w:rsidTr="0087414B">
        <w:trPr>
          <w:jc w:val="center"/>
        </w:trPr>
        <w:tc>
          <w:tcPr>
            <w:tcW w:w="1825" w:type="dxa"/>
            <w:vMerge/>
          </w:tcPr>
          <w:p w:rsidR="0006568D" w:rsidRPr="0006568D" w:rsidRDefault="0006568D" w:rsidP="000A117E">
            <w:pPr>
              <w:spacing w:after="0" w:line="240" w:lineRule="auto"/>
              <w:jc w:val="left"/>
              <w:rPr>
                <w:rFonts w:eastAsia="Malgun Gothic"/>
                <w:bCs/>
                <w:i/>
                <w:sz w:val="21"/>
                <w:szCs w:val="21"/>
              </w:rPr>
            </w:pPr>
          </w:p>
        </w:tc>
        <w:tc>
          <w:tcPr>
            <w:tcW w:w="5310" w:type="dxa"/>
          </w:tcPr>
          <w:p w:rsidR="0006568D" w:rsidRPr="0006568D" w:rsidRDefault="0006568D" w:rsidP="00197EC3">
            <w:pPr>
              <w:numPr>
                <w:ilvl w:val="0"/>
                <w:numId w:val="11"/>
              </w:numPr>
              <w:tabs>
                <w:tab w:val="left" w:pos="425"/>
              </w:tabs>
              <w:spacing w:after="0" w:line="240" w:lineRule="auto"/>
              <w:ind w:left="-25" w:firstLine="0"/>
              <w:contextualSpacing/>
              <w:jc w:val="left"/>
              <w:rPr>
                <w:rFonts w:eastAsia="Malgun Gothic"/>
                <w:sz w:val="21"/>
                <w:szCs w:val="21"/>
              </w:rPr>
            </w:pPr>
            <w:r w:rsidRPr="0006568D">
              <w:rPr>
                <w:rFonts w:eastAsia="Malgun Gothic"/>
                <w:sz w:val="21"/>
                <w:szCs w:val="21"/>
              </w:rPr>
              <w:t>Based on study results from (1.6), prepare and implement infrastructure investment projects for new intermodal facilities, transshipment terminals, capacity expansion, etc.</w:t>
            </w:r>
          </w:p>
        </w:tc>
        <w:tc>
          <w:tcPr>
            <w:tcW w:w="2441" w:type="dxa"/>
          </w:tcPr>
          <w:p w:rsidR="0006568D" w:rsidRPr="0006568D" w:rsidRDefault="0006568D" w:rsidP="000A117E">
            <w:pPr>
              <w:spacing w:after="0" w:line="240" w:lineRule="auto"/>
              <w:jc w:val="left"/>
              <w:rPr>
                <w:rFonts w:eastAsia="Malgun Gothic"/>
                <w:sz w:val="21"/>
                <w:szCs w:val="21"/>
              </w:rPr>
            </w:pPr>
            <w:r w:rsidRPr="0006568D">
              <w:rPr>
                <w:rFonts w:eastAsia="Malgun Gothic"/>
                <w:sz w:val="21"/>
                <w:szCs w:val="21"/>
              </w:rPr>
              <w:t>(Lead) MoRDI, Georgian Railway, Port authorities, municipalities</w:t>
            </w:r>
          </w:p>
          <w:p w:rsidR="0006568D" w:rsidRPr="0006568D" w:rsidRDefault="0006568D" w:rsidP="000A117E">
            <w:pPr>
              <w:spacing w:after="0" w:line="240" w:lineRule="auto"/>
              <w:jc w:val="left"/>
              <w:rPr>
                <w:rFonts w:eastAsia="Malgun Gothic"/>
                <w:sz w:val="21"/>
                <w:szCs w:val="21"/>
              </w:rPr>
            </w:pPr>
            <w:r w:rsidRPr="0006568D">
              <w:rPr>
                <w:rFonts w:eastAsia="Malgun Gothic"/>
                <w:sz w:val="21"/>
                <w:szCs w:val="21"/>
              </w:rPr>
              <w:t>(Support) TPD, MoF</w:t>
            </w:r>
          </w:p>
        </w:tc>
      </w:tr>
      <w:tr w:rsidR="0006568D" w:rsidRPr="0006568D" w:rsidTr="0087414B">
        <w:trPr>
          <w:jc w:val="center"/>
        </w:trPr>
        <w:tc>
          <w:tcPr>
            <w:tcW w:w="1825" w:type="dxa"/>
            <w:vMerge/>
          </w:tcPr>
          <w:p w:rsidR="0006568D" w:rsidRPr="0006568D" w:rsidRDefault="0006568D" w:rsidP="000A117E">
            <w:pPr>
              <w:spacing w:after="0" w:line="240" w:lineRule="auto"/>
              <w:jc w:val="left"/>
              <w:rPr>
                <w:rFonts w:eastAsia="Malgun Gothic"/>
                <w:bCs/>
                <w:i/>
                <w:sz w:val="21"/>
                <w:szCs w:val="21"/>
              </w:rPr>
            </w:pPr>
          </w:p>
        </w:tc>
        <w:tc>
          <w:tcPr>
            <w:tcW w:w="5310" w:type="dxa"/>
          </w:tcPr>
          <w:p w:rsidR="0006568D" w:rsidRPr="0006568D" w:rsidRDefault="0006568D" w:rsidP="00197EC3">
            <w:pPr>
              <w:numPr>
                <w:ilvl w:val="0"/>
                <w:numId w:val="11"/>
              </w:numPr>
              <w:tabs>
                <w:tab w:val="left" w:pos="515"/>
              </w:tabs>
              <w:spacing w:after="0" w:line="240" w:lineRule="auto"/>
              <w:ind w:left="-25" w:firstLine="0"/>
              <w:contextualSpacing/>
              <w:jc w:val="left"/>
              <w:rPr>
                <w:rFonts w:eastAsia="Malgun Gothic"/>
                <w:sz w:val="21"/>
                <w:szCs w:val="21"/>
              </w:rPr>
            </w:pPr>
            <w:r w:rsidRPr="0006568D">
              <w:rPr>
                <w:rFonts w:eastAsia="Malgun Gothic"/>
                <w:sz w:val="21"/>
                <w:szCs w:val="21"/>
              </w:rPr>
              <w:t>Based on study outcomes from (1.11), prepare and implement public transport capital investment projects: possible projects include fleet renewal, new investments in public transport trunk corridor development, infrastructure and facility for non-motorized transport, and ITS measures</w:t>
            </w:r>
          </w:p>
        </w:tc>
        <w:tc>
          <w:tcPr>
            <w:tcW w:w="2441" w:type="dxa"/>
          </w:tcPr>
          <w:p w:rsidR="0006568D" w:rsidRPr="0006568D" w:rsidRDefault="0006568D" w:rsidP="000A117E">
            <w:pPr>
              <w:spacing w:after="0" w:line="240" w:lineRule="auto"/>
              <w:jc w:val="left"/>
              <w:rPr>
                <w:rFonts w:eastAsia="Malgun Gothic"/>
                <w:sz w:val="21"/>
                <w:szCs w:val="21"/>
              </w:rPr>
            </w:pPr>
            <w:r w:rsidRPr="0006568D">
              <w:rPr>
                <w:rFonts w:eastAsia="Malgun Gothic"/>
                <w:sz w:val="21"/>
                <w:szCs w:val="21"/>
              </w:rPr>
              <w:t>(Lead) Municipalities</w:t>
            </w:r>
          </w:p>
          <w:p w:rsidR="0006568D" w:rsidRPr="0006568D" w:rsidRDefault="0006568D" w:rsidP="000A117E">
            <w:pPr>
              <w:spacing w:after="0" w:line="240" w:lineRule="auto"/>
              <w:jc w:val="left"/>
              <w:rPr>
                <w:rFonts w:eastAsia="Malgun Gothic"/>
                <w:sz w:val="21"/>
                <w:szCs w:val="21"/>
              </w:rPr>
            </w:pPr>
            <w:r w:rsidRPr="0006568D">
              <w:rPr>
                <w:rFonts w:eastAsia="Malgun Gothic"/>
                <w:sz w:val="21"/>
                <w:szCs w:val="21"/>
              </w:rPr>
              <w:t>(Support) TPD, MoF</w:t>
            </w:r>
          </w:p>
        </w:tc>
      </w:tr>
    </w:tbl>
    <w:p w:rsidR="0006568D" w:rsidRPr="0006568D" w:rsidRDefault="0006568D" w:rsidP="000A117E">
      <w:pPr>
        <w:spacing w:before="60" w:after="180"/>
        <w:rPr>
          <w:rFonts w:eastAsia="Malgun Gothic"/>
        </w:rPr>
      </w:pPr>
      <w:r w:rsidRPr="0006568D">
        <w:rPr>
          <w:rFonts w:eastAsia="Malgun Gothic"/>
          <w:i/>
          <w:sz w:val="18"/>
          <w:szCs w:val="18"/>
        </w:rPr>
        <w:t>Note: MoF (Ministry of Finance), MoESD (Ministry of Economy and Sustainable Development), TPD (Transport Policy Department within the MoESD), MoEnv (Ministry of Environment), MoE (Ministry of Energy), MoRDI (Ministry of Regional Development and Infrastructure), LTA (Land Transport Agency). NTA (National Tourism Agency)</w:t>
      </w:r>
    </w:p>
    <w:p w:rsidR="0006568D" w:rsidRPr="0006568D" w:rsidRDefault="0006568D" w:rsidP="00586244">
      <w:pPr>
        <w:spacing w:before="240"/>
        <w:jc w:val="center"/>
        <w:rPr>
          <w:rFonts w:eastAsia="Malgun Gothic"/>
          <w:b/>
          <w:i/>
        </w:rPr>
      </w:pPr>
      <w:r w:rsidRPr="0006568D">
        <w:rPr>
          <w:rFonts w:eastAsia="Malgun Gothic"/>
          <w:b/>
          <w:i/>
        </w:rPr>
        <w:t>Long-Term (2020 and after): Transformation</w:t>
      </w:r>
    </w:p>
    <w:tbl>
      <w:tblPr>
        <w:tblW w:w="0" w:type="auto"/>
        <w:jc w:val="center"/>
        <w:tblBorders>
          <w:top w:val="single" w:sz="8" w:space="0" w:color="76923C"/>
          <w:left w:val="single" w:sz="8" w:space="0" w:color="76923C"/>
          <w:bottom w:val="single" w:sz="8" w:space="0" w:color="76923C"/>
          <w:right w:val="single" w:sz="8" w:space="0" w:color="76923C"/>
          <w:insideH w:val="single" w:sz="8" w:space="0" w:color="76923C"/>
        </w:tblBorders>
        <w:tblCellMar>
          <w:top w:w="29" w:type="dxa"/>
          <w:left w:w="115" w:type="dxa"/>
          <w:bottom w:w="29" w:type="dxa"/>
          <w:right w:w="115" w:type="dxa"/>
        </w:tblCellMar>
        <w:tblLook w:val="04A0"/>
      </w:tblPr>
      <w:tblGrid>
        <w:gridCol w:w="2083"/>
        <w:gridCol w:w="7482"/>
      </w:tblGrid>
      <w:tr w:rsidR="0006568D" w:rsidRPr="0006568D" w:rsidTr="006049B9">
        <w:trPr>
          <w:jc w:val="center"/>
        </w:trPr>
        <w:tc>
          <w:tcPr>
            <w:tcW w:w="2083" w:type="dxa"/>
            <w:shd w:val="clear" w:color="auto" w:fill="76923C"/>
          </w:tcPr>
          <w:p w:rsidR="0006568D" w:rsidRPr="0006568D" w:rsidRDefault="0006568D" w:rsidP="000A117E">
            <w:pPr>
              <w:spacing w:after="0" w:line="240" w:lineRule="auto"/>
              <w:jc w:val="left"/>
              <w:rPr>
                <w:rFonts w:eastAsia="Malgun Gothic"/>
                <w:bCs/>
                <w:color w:val="FFFFFF"/>
                <w:sz w:val="21"/>
                <w:szCs w:val="21"/>
              </w:rPr>
            </w:pPr>
            <w:r w:rsidRPr="0006568D">
              <w:rPr>
                <w:rFonts w:eastAsia="Malgun Gothic"/>
                <w:bCs/>
                <w:color w:val="FFFFFF"/>
                <w:sz w:val="21"/>
                <w:szCs w:val="21"/>
              </w:rPr>
              <w:t>Objectives</w:t>
            </w:r>
          </w:p>
        </w:tc>
        <w:tc>
          <w:tcPr>
            <w:tcW w:w="7482" w:type="dxa"/>
            <w:shd w:val="clear" w:color="auto" w:fill="76923C"/>
          </w:tcPr>
          <w:p w:rsidR="0006568D" w:rsidRPr="0006568D" w:rsidRDefault="0006568D" w:rsidP="000A117E">
            <w:pPr>
              <w:spacing w:after="0" w:line="240" w:lineRule="auto"/>
              <w:jc w:val="left"/>
              <w:rPr>
                <w:rFonts w:eastAsia="Malgun Gothic"/>
                <w:bCs/>
                <w:color w:val="FFFFFF"/>
                <w:sz w:val="21"/>
                <w:szCs w:val="21"/>
              </w:rPr>
            </w:pPr>
            <w:r w:rsidRPr="0006568D">
              <w:rPr>
                <w:rFonts w:eastAsia="Malgun Gothic"/>
                <w:bCs/>
                <w:color w:val="FFFFFF"/>
                <w:sz w:val="21"/>
                <w:szCs w:val="21"/>
              </w:rPr>
              <w:t>Actions</w:t>
            </w:r>
          </w:p>
        </w:tc>
      </w:tr>
      <w:tr w:rsidR="0006568D" w:rsidRPr="0006568D" w:rsidTr="006049B9">
        <w:trPr>
          <w:jc w:val="center"/>
        </w:trPr>
        <w:tc>
          <w:tcPr>
            <w:tcW w:w="2083" w:type="dxa"/>
            <w:vMerge w:val="restart"/>
          </w:tcPr>
          <w:p w:rsidR="0006568D" w:rsidRPr="0006568D" w:rsidRDefault="0006568D" w:rsidP="000A117E">
            <w:pPr>
              <w:spacing w:after="0" w:line="240" w:lineRule="auto"/>
              <w:jc w:val="left"/>
              <w:rPr>
                <w:rFonts w:eastAsia="Malgun Gothic"/>
                <w:bCs/>
                <w:sz w:val="21"/>
                <w:szCs w:val="21"/>
              </w:rPr>
            </w:pPr>
            <w:r w:rsidRPr="0006568D">
              <w:rPr>
                <w:rFonts w:eastAsia="Malgun Gothic"/>
                <w:bCs/>
                <w:i/>
                <w:sz w:val="21"/>
                <w:szCs w:val="21"/>
              </w:rPr>
              <w:t>Transform mobility using advanced technologies</w:t>
            </w:r>
          </w:p>
        </w:tc>
        <w:tc>
          <w:tcPr>
            <w:tcW w:w="7482" w:type="dxa"/>
          </w:tcPr>
          <w:p w:rsidR="0006568D" w:rsidRPr="0006568D" w:rsidRDefault="0006568D" w:rsidP="006049B9">
            <w:pPr>
              <w:numPr>
                <w:ilvl w:val="0"/>
                <w:numId w:val="12"/>
              </w:numPr>
              <w:tabs>
                <w:tab w:val="left" w:pos="425"/>
              </w:tabs>
              <w:spacing w:after="0" w:line="240" w:lineRule="auto"/>
              <w:ind w:left="-25" w:firstLine="0"/>
              <w:contextualSpacing/>
              <w:jc w:val="left"/>
              <w:rPr>
                <w:rFonts w:eastAsia="Malgun Gothic"/>
                <w:sz w:val="21"/>
                <w:szCs w:val="21"/>
              </w:rPr>
            </w:pPr>
            <w:r w:rsidRPr="0006568D">
              <w:rPr>
                <w:rFonts w:eastAsia="Malgun Gothic"/>
                <w:sz w:val="21"/>
                <w:szCs w:val="21"/>
              </w:rPr>
              <w:t xml:space="preserve">Institute financial incentives </w:t>
            </w:r>
            <w:r w:rsidR="006049B9">
              <w:rPr>
                <w:rFonts w:eastAsia="Malgun Gothic"/>
                <w:sz w:val="21"/>
                <w:szCs w:val="21"/>
              </w:rPr>
              <w:t>to</w:t>
            </w:r>
            <w:r w:rsidR="004C5EA5">
              <w:rPr>
                <w:rFonts w:eastAsia="Malgun Gothic"/>
                <w:sz w:val="21"/>
                <w:szCs w:val="21"/>
              </w:rPr>
              <w:t xml:space="preserve"> </w:t>
            </w:r>
            <w:r w:rsidRPr="0006568D">
              <w:rPr>
                <w:rFonts w:eastAsia="Malgun Gothic"/>
                <w:sz w:val="21"/>
                <w:szCs w:val="21"/>
              </w:rPr>
              <w:t>adop</w:t>
            </w:r>
            <w:r w:rsidR="006049B9">
              <w:rPr>
                <w:rFonts w:eastAsia="Malgun Gothic"/>
                <w:sz w:val="21"/>
                <w:szCs w:val="21"/>
              </w:rPr>
              <w:t>t</w:t>
            </w:r>
            <w:r w:rsidRPr="0006568D">
              <w:rPr>
                <w:rFonts w:eastAsia="Malgun Gothic"/>
                <w:sz w:val="21"/>
                <w:szCs w:val="21"/>
              </w:rPr>
              <w:t xml:space="preserve"> technologies </w:t>
            </w:r>
            <w:r w:rsidR="004C5EA5">
              <w:rPr>
                <w:rFonts w:eastAsia="Malgun Gothic"/>
                <w:sz w:val="21"/>
                <w:szCs w:val="21"/>
              </w:rPr>
              <w:t xml:space="preserve">to </w:t>
            </w:r>
            <w:r w:rsidRPr="0006568D">
              <w:rPr>
                <w:rFonts w:eastAsia="Malgun Gothic"/>
                <w:sz w:val="21"/>
                <w:szCs w:val="21"/>
              </w:rPr>
              <w:t>improve fuel efficiency</w:t>
            </w:r>
          </w:p>
        </w:tc>
      </w:tr>
      <w:tr w:rsidR="0006568D" w:rsidRPr="0006568D" w:rsidTr="006049B9">
        <w:trPr>
          <w:jc w:val="center"/>
        </w:trPr>
        <w:tc>
          <w:tcPr>
            <w:tcW w:w="2083" w:type="dxa"/>
            <w:vMerge/>
          </w:tcPr>
          <w:p w:rsidR="0006568D" w:rsidRPr="0006568D" w:rsidRDefault="0006568D" w:rsidP="000A117E">
            <w:pPr>
              <w:spacing w:after="0" w:line="240" w:lineRule="auto"/>
              <w:jc w:val="left"/>
              <w:rPr>
                <w:rFonts w:eastAsia="Malgun Gothic"/>
                <w:bCs/>
                <w:sz w:val="21"/>
                <w:szCs w:val="21"/>
              </w:rPr>
            </w:pPr>
          </w:p>
        </w:tc>
        <w:tc>
          <w:tcPr>
            <w:tcW w:w="7482" w:type="dxa"/>
          </w:tcPr>
          <w:p w:rsidR="0006568D" w:rsidRPr="0006568D" w:rsidRDefault="0006568D" w:rsidP="00197EC3">
            <w:pPr>
              <w:numPr>
                <w:ilvl w:val="0"/>
                <w:numId w:val="12"/>
              </w:numPr>
              <w:tabs>
                <w:tab w:val="left" w:pos="425"/>
              </w:tabs>
              <w:spacing w:after="0" w:line="240" w:lineRule="auto"/>
              <w:ind w:left="-25" w:firstLine="0"/>
              <w:contextualSpacing/>
              <w:jc w:val="left"/>
              <w:rPr>
                <w:rFonts w:eastAsia="Malgun Gothic"/>
                <w:sz w:val="21"/>
                <w:szCs w:val="21"/>
              </w:rPr>
            </w:pPr>
            <w:r w:rsidRPr="0006568D">
              <w:rPr>
                <w:rFonts w:eastAsia="Malgun Gothic"/>
                <w:sz w:val="21"/>
                <w:szCs w:val="21"/>
              </w:rPr>
              <w:t>Evaluate alternative propulsion technology options including electric vehicles</w:t>
            </w:r>
          </w:p>
        </w:tc>
      </w:tr>
      <w:tr w:rsidR="0006568D" w:rsidRPr="0006568D" w:rsidTr="006049B9">
        <w:trPr>
          <w:jc w:val="center"/>
        </w:trPr>
        <w:tc>
          <w:tcPr>
            <w:tcW w:w="2083" w:type="dxa"/>
            <w:vMerge/>
          </w:tcPr>
          <w:p w:rsidR="0006568D" w:rsidRPr="0006568D" w:rsidRDefault="0006568D" w:rsidP="000A117E">
            <w:pPr>
              <w:spacing w:after="0" w:line="240" w:lineRule="auto"/>
              <w:jc w:val="left"/>
              <w:rPr>
                <w:rFonts w:eastAsia="Malgun Gothic"/>
                <w:bCs/>
                <w:sz w:val="21"/>
                <w:szCs w:val="21"/>
              </w:rPr>
            </w:pPr>
          </w:p>
        </w:tc>
        <w:tc>
          <w:tcPr>
            <w:tcW w:w="7482" w:type="dxa"/>
          </w:tcPr>
          <w:p w:rsidR="0006568D" w:rsidRPr="0006568D" w:rsidRDefault="0006568D" w:rsidP="00197EC3">
            <w:pPr>
              <w:numPr>
                <w:ilvl w:val="0"/>
                <w:numId w:val="12"/>
              </w:numPr>
              <w:tabs>
                <w:tab w:val="left" w:pos="425"/>
              </w:tabs>
              <w:spacing w:after="0" w:line="240" w:lineRule="auto"/>
              <w:ind w:left="-25" w:firstLine="0"/>
              <w:contextualSpacing/>
              <w:jc w:val="left"/>
              <w:rPr>
                <w:rFonts w:eastAsia="Malgun Gothic"/>
                <w:sz w:val="21"/>
                <w:szCs w:val="21"/>
              </w:rPr>
            </w:pPr>
            <w:r w:rsidRPr="0006568D">
              <w:rPr>
                <w:rFonts w:eastAsia="Malgun Gothic"/>
                <w:sz w:val="21"/>
                <w:szCs w:val="21"/>
              </w:rPr>
              <w:t>Inves</w:t>
            </w:r>
            <w:r w:rsidR="006049B9">
              <w:rPr>
                <w:rFonts w:eastAsia="Malgun Gothic"/>
                <w:sz w:val="21"/>
                <w:szCs w:val="21"/>
              </w:rPr>
              <w:t>t in infrastructure and facilities</w:t>
            </w:r>
            <w:r w:rsidRPr="0006568D">
              <w:rPr>
                <w:rFonts w:eastAsia="Malgun Gothic"/>
                <w:sz w:val="21"/>
                <w:szCs w:val="21"/>
              </w:rPr>
              <w:t xml:space="preserve"> </w:t>
            </w:r>
            <w:r w:rsidR="004C5EA5">
              <w:rPr>
                <w:rFonts w:eastAsia="Malgun Gothic"/>
                <w:sz w:val="21"/>
                <w:szCs w:val="21"/>
              </w:rPr>
              <w:t xml:space="preserve">to </w:t>
            </w:r>
            <w:r w:rsidRPr="0006568D">
              <w:rPr>
                <w:rFonts w:eastAsia="Malgun Gothic"/>
                <w:sz w:val="21"/>
                <w:szCs w:val="21"/>
              </w:rPr>
              <w:t>support deployment of new technologies</w:t>
            </w:r>
          </w:p>
        </w:tc>
      </w:tr>
      <w:tr w:rsidR="0006568D" w:rsidRPr="0006568D" w:rsidTr="006049B9">
        <w:trPr>
          <w:jc w:val="center"/>
        </w:trPr>
        <w:tc>
          <w:tcPr>
            <w:tcW w:w="2083" w:type="dxa"/>
            <w:vMerge w:val="restart"/>
          </w:tcPr>
          <w:p w:rsidR="0006568D" w:rsidRPr="0006568D" w:rsidRDefault="0006568D" w:rsidP="000A117E">
            <w:pPr>
              <w:spacing w:after="0" w:line="240" w:lineRule="auto"/>
              <w:jc w:val="left"/>
              <w:rPr>
                <w:rFonts w:eastAsia="Malgun Gothic"/>
                <w:bCs/>
                <w:sz w:val="21"/>
                <w:szCs w:val="21"/>
              </w:rPr>
            </w:pPr>
            <w:r w:rsidRPr="0006568D">
              <w:rPr>
                <w:rFonts w:eastAsia="Malgun Gothic"/>
                <w:bCs/>
                <w:i/>
                <w:sz w:val="21"/>
                <w:szCs w:val="21"/>
              </w:rPr>
              <w:t>Shap</w:t>
            </w:r>
            <w:r w:rsidR="004F41D4">
              <w:rPr>
                <w:rFonts w:eastAsia="Malgun Gothic"/>
                <w:bCs/>
                <w:i/>
                <w:sz w:val="21"/>
                <w:szCs w:val="21"/>
              </w:rPr>
              <w:t>e</w:t>
            </w:r>
            <w:r w:rsidRPr="0006568D">
              <w:rPr>
                <w:rFonts w:eastAsia="Malgun Gothic"/>
                <w:bCs/>
                <w:i/>
                <w:sz w:val="21"/>
                <w:szCs w:val="21"/>
              </w:rPr>
              <w:t xml:space="preserve"> green mobility patterns</w:t>
            </w:r>
          </w:p>
        </w:tc>
        <w:tc>
          <w:tcPr>
            <w:tcW w:w="7482" w:type="dxa"/>
          </w:tcPr>
          <w:p w:rsidR="0006568D" w:rsidRPr="0006568D" w:rsidRDefault="0006568D" w:rsidP="00197EC3">
            <w:pPr>
              <w:numPr>
                <w:ilvl w:val="0"/>
                <w:numId w:val="12"/>
              </w:numPr>
              <w:tabs>
                <w:tab w:val="left" w:pos="425"/>
              </w:tabs>
              <w:spacing w:after="0" w:line="240" w:lineRule="auto"/>
              <w:ind w:left="-25" w:firstLine="0"/>
              <w:contextualSpacing/>
              <w:jc w:val="left"/>
              <w:rPr>
                <w:rFonts w:eastAsia="Malgun Gothic"/>
                <w:sz w:val="21"/>
                <w:szCs w:val="21"/>
              </w:rPr>
            </w:pPr>
            <w:r w:rsidRPr="0006568D">
              <w:rPr>
                <w:rFonts w:eastAsia="Malgun Gothic"/>
                <w:sz w:val="21"/>
                <w:szCs w:val="21"/>
              </w:rPr>
              <w:t>Introduce appropriate road pricing measures, including congestion pricing</w:t>
            </w:r>
          </w:p>
        </w:tc>
      </w:tr>
      <w:tr w:rsidR="0006568D" w:rsidRPr="0006568D" w:rsidTr="006049B9">
        <w:trPr>
          <w:jc w:val="center"/>
        </w:trPr>
        <w:tc>
          <w:tcPr>
            <w:tcW w:w="2083" w:type="dxa"/>
            <w:vMerge/>
          </w:tcPr>
          <w:p w:rsidR="0006568D" w:rsidRPr="0006568D" w:rsidRDefault="0006568D" w:rsidP="000A117E">
            <w:pPr>
              <w:spacing w:after="0" w:line="240" w:lineRule="auto"/>
              <w:jc w:val="left"/>
              <w:rPr>
                <w:rFonts w:eastAsia="Malgun Gothic"/>
                <w:bCs/>
                <w:sz w:val="21"/>
                <w:szCs w:val="21"/>
              </w:rPr>
            </w:pPr>
          </w:p>
        </w:tc>
        <w:tc>
          <w:tcPr>
            <w:tcW w:w="7482" w:type="dxa"/>
          </w:tcPr>
          <w:p w:rsidR="0006568D" w:rsidRPr="0006568D" w:rsidRDefault="0006568D" w:rsidP="00197EC3">
            <w:pPr>
              <w:numPr>
                <w:ilvl w:val="0"/>
                <w:numId w:val="12"/>
              </w:numPr>
              <w:tabs>
                <w:tab w:val="left" w:pos="425"/>
              </w:tabs>
              <w:spacing w:after="0" w:line="240" w:lineRule="auto"/>
              <w:ind w:left="-25" w:firstLine="0"/>
              <w:contextualSpacing/>
              <w:jc w:val="left"/>
              <w:rPr>
                <w:rFonts w:eastAsia="Malgun Gothic"/>
                <w:sz w:val="21"/>
                <w:szCs w:val="21"/>
              </w:rPr>
            </w:pPr>
            <w:r w:rsidRPr="0006568D">
              <w:rPr>
                <w:rFonts w:eastAsia="Malgun Gothic"/>
                <w:sz w:val="21"/>
                <w:szCs w:val="21"/>
              </w:rPr>
              <w:t>Incorporate environmental considerations in the existing taxation structure</w:t>
            </w:r>
          </w:p>
        </w:tc>
      </w:tr>
    </w:tbl>
    <w:p w:rsidR="00481485" w:rsidRDefault="00481485">
      <w:pPr>
        <w:spacing w:after="200"/>
        <w:jc w:val="left"/>
      </w:pPr>
    </w:p>
    <w:p w:rsidR="00481485" w:rsidRDefault="00481485">
      <w:pPr>
        <w:spacing w:after="200"/>
        <w:jc w:val="left"/>
      </w:pPr>
      <w:r>
        <w:br w:type="page"/>
      </w:r>
    </w:p>
    <w:p w:rsidR="00F83E99" w:rsidRDefault="00F83E99" w:rsidP="00BA2792">
      <w:pPr>
        <w:pStyle w:val="Heading1"/>
        <w:jc w:val="center"/>
        <w:rPr>
          <w:sz w:val="26"/>
          <w:szCs w:val="26"/>
        </w:rPr>
        <w:sectPr w:rsidR="00F83E99" w:rsidSect="00481485">
          <w:footerReference w:type="default" r:id="rId16"/>
          <w:pgSz w:w="12240" w:h="15840"/>
          <w:pgMar w:top="1440" w:right="1440" w:bottom="1440" w:left="1440" w:header="720" w:footer="720" w:gutter="0"/>
          <w:pgNumType w:fmt="lowerRoman" w:start="1"/>
          <w:cols w:space="720"/>
          <w:docGrid w:linePitch="360"/>
        </w:sectPr>
      </w:pPr>
    </w:p>
    <w:p w:rsidR="0093715B" w:rsidRPr="00477DD6" w:rsidRDefault="00245204" w:rsidP="00BA2792">
      <w:pPr>
        <w:pStyle w:val="Heading1"/>
        <w:jc w:val="center"/>
        <w:rPr>
          <w:sz w:val="26"/>
          <w:szCs w:val="26"/>
        </w:rPr>
      </w:pPr>
      <w:bookmarkStart w:id="14" w:name="_Toc326892922"/>
      <w:r>
        <w:rPr>
          <w:sz w:val="26"/>
          <w:szCs w:val="26"/>
        </w:rPr>
        <w:lastRenderedPageBreak/>
        <w:t xml:space="preserve">Introduction: </w:t>
      </w:r>
      <w:r w:rsidR="004726A2">
        <w:rPr>
          <w:sz w:val="26"/>
          <w:szCs w:val="26"/>
        </w:rPr>
        <w:t>Framing the Policy</w:t>
      </w:r>
      <w:r w:rsidR="0079758C" w:rsidRPr="00477DD6">
        <w:rPr>
          <w:sz w:val="26"/>
          <w:szCs w:val="26"/>
        </w:rPr>
        <w:t xml:space="preserve"> Question</w:t>
      </w:r>
      <w:r w:rsidR="004726A2">
        <w:rPr>
          <w:sz w:val="26"/>
          <w:szCs w:val="26"/>
        </w:rPr>
        <w:t>s</w:t>
      </w:r>
      <w:bookmarkEnd w:id="14"/>
    </w:p>
    <w:p w:rsidR="00A70BBC" w:rsidRPr="00A24018" w:rsidRDefault="00A70BBC" w:rsidP="00BA2792">
      <w:pPr>
        <w:pStyle w:val="Heading2"/>
      </w:pPr>
      <w:bookmarkStart w:id="15" w:name="_Toc326892923"/>
      <w:r>
        <w:t>What is Green Transportation?</w:t>
      </w:r>
      <w:bookmarkEnd w:id="15"/>
    </w:p>
    <w:p w:rsidR="003A237B" w:rsidRDefault="003A237B" w:rsidP="005E23AF">
      <w:r>
        <w:t xml:space="preserve">The Government of Georgia is considering options for reducing fossil fuel imports in favor of introducing large scale use of domestic energy sources for public and private transportation.  However, this must be considered within the overall context of </w:t>
      </w:r>
      <w:r w:rsidR="006049B9">
        <w:t>g</w:t>
      </w:r>
      <w:r>
        <w:t xml:space="preserve">reen </w:t>
      </w:r>
      <w:r w:rsidR="006049B9">
        <w:t>t</w:t>
      </w:r>
      <w:r>
        <w:t>ransportation—which would generate benefits well beyond the substitution of fossil fuels with domestic energy sources.</w:t>
      </w:r>
    </w:p>
    <w:p w:rsidR="00214381" w:rsidRDefault="006049B9" w:rsidP="00A57097">
      <w:r>
        <w:t>The concept of green transportation has emerged i</w:t>
      </w:r>
      <w:r w:rsidR="00474B58">
        <w:t xml:space="preserve">n response to growing concerns </w:t>
      </w:r>
      <w:r w:rsidR="00B2432F">
        <w:t xml:space="preserve">about </w:t>
      </w:r>
      <w:r w:rsidR="00474B58">
        <w:t>climate change</w:t>
      </w:r>
      <w:r>
        <w:t xml:space="preserve">; typically this refers to </w:t>
      </w:r>
      <w:r w:rsidR="00B4398D">
        <w:t xml:space="preserve">a transportation system </w:t>
      </w:r>
      <w:r w:rsidR="00474B58">
        <w:t xml:space="preserve">characterized </w:t>
      </w:r>
      <w:r w:rsidR="00B2432F">
        <w:t xml:space="preserve">by </w:t>
      </w:r>
      <w:r w:rsidR="00110A64">
        <w:t>low carbon</w:t>
      </w:r>
      <w:r w:rsidR="00EF339C">
        <w:t xml:space="preserve"> </w:t>
      </w:r>
      <w:r w:rsidR="00B2432F">
        <w:t>emissions</w:t>
      </w:r>
      <w:r w:rsidR="00D35FC9">
        <w:t>,</w:t>
      </w:r>
      <w:r w:rsidR="00B2432F">
        <w:t xml:space="preserve"> </w:t>
      </w:r>
      <w:r w:rsidR="00AD5B58">
        <w:t xml:space="preserve">i.e., </w:t>
      </w:r>
      <w:r w:rsidR="00110A64">
        <w:t>green house gas</w:t>
      </w:r>
      <w:r w:rsidR="003E738B">
        <w:t>ses</w:t>
      </w:r>
      <w:r w:rsidR="00B2432F">
        <w:t xml:space="preserve"> (</w:t>
      </w:r>
      <w:r w:rsidR="00110A64">
        <w:t>GHG</w:t>
      </w:r>
      <w:r w:rsidR="00AD5B58">
        <w:t>)</w:t>
      </w:r>
      <w:r w:rsidR="00110A64">
        <w:t xml:space="preserve">. </w:t>
      </w:r>
      <w:r w:rsidR="009302EA">
        <w:t xml:space="preserve"> </w:t>
      </w:r>
      <w:r w:rsidR="00110A64">
        <w:t xml:space="preserve">In the context of Georgia, </w:t>
      </w:r>
      <w:r>
        <w:t xml:space="preserve">two </w:t>
      </w:r>
      <w:r w:rsidR="00B2432F">
        <w:t xml:space="preserve">other </w:t>
      </w:r>
      <w:r w:rsidR="00BD3957">
        <w:t xml:space="preserve">important </w:t>
      </w:r>
      <w:r w:rsidR="00CD3F3F">
        <w:t xml:space="preserve">development issues </w:t>
      </w:r>
      <w:r w:rsidR="00B2432F">
        <w:t xml:space="preserve">in green transportation in addition to </w:t>
      </w:r>
      <w:r w:rsidR="00BD3957">
        <w:t>GHG emissions are fossil fuel consumption</w:t>
      </w:r>
      <w:r w:rsidR="00B26EE0">
        <w:t xml:space="preserve"> and air pollution</w:t>
      </w:r>
      <w:r w:rsidR="00BD3957">
        <w:t>.</w:t>
      </w:r>
      <w:r w:rsidR="00214381">
        <w:t xml:space="preserve"> </w:t>
      </w:r>
      <w:r w:rsidR="00B4398D">
        <w:t xml:space="preserve"> </w:t>
      </w:r>
      <w:r w:rsidR="00B26EE0">
        <w:t>F</w:t>
      </w:r>
      <w:r w:rsidR="00BD3957">
        <w:t xml:space="preserve">or the purpose of this study, </w:t>
      </w:r>
      <w:r w:rsidR="00214381">
        <w:t>therefore</w:t>
      </w:r>
      <w:r w:rsidR="00B26EE0">
        <w:t xml:space="preserve">, </w:t>
      </w:r>
      <w:r w:rsidR="00BD3957" w:rsidRPr="001E7EF5">
        <w:rPr>
          <w:b/>
        </w:rPr>
        <w:t xml:space="preserve">green transportation </w:t>
      </w:r>
      <w:r w:rsidR="00AE124B" w:rsidRPr="001E7EF5">
        <w:rPr>
          <w:b/>
        </w:rPr>
        <w:t xml:space="preserve">in Georgia </w:t>
      </w:r>
      <w:r w:rsidR="00B2432F" w:rsidRPr="001E7EF5">
        <w:rPr>
          <w:b/>
        </w:rPr>
        <w:t>refers to</w:t>
      </w:r>
      <w:r w:rsidR="008C74F2">
        <w:rPr>
          <w:b/>
        </w:rPr>
        <w:t xml:space="preserve"> </w:t>
      </w:r>
      <w:r>
        <w:rPr>
          <w:b/>
        </w:rPr>
        <w:t xml:space="preserve">reducing the </w:t>
      </w:r>
      <w:r w:rsidR="00A57097" w:rsidRPr="00A57097">
        <w:rPr>
          <w:b/>
        </w:rPr>
        <w:t xml:space="preserve">intensity </w:t>
      </w:r>
      <w:r>
        <w:rPr>
          <w:b/>
        </w:rPr>
        <w:t>of fossil fuel use and increasing</w:t>
      </w:r>
      <w:r w:rsidR="00A57097" w:rsidRPr="00A57097">
        <w:rPr>
          <w:b/>
        </w:rPr>
        <w:t xml:space="preserve"> reliance on indigenous energy sources (mainly hydropower), </w:t>
      </w:r>
      <w:r w:rsidR="00A57097">
        <w:rPr>
          <w:b/>
        </w:rPr>
        <w:t>as well as</w:t>
      </w:r>
      <w:r w:rsidR="00A57097" w:rsidRPr="00A57097">
        <w:rPr>
          <w:b/>
        </w:rPr>
        <w:t xml:space="preserve"> minimiz</w:t>
      </w:r>
      <w:r>
        <w:rPr>
          <w:b/>
        </w:rPr>
        <w:t>ing</w:t>
      </w:r>
      <w:r w:rsidR="00A57097" w:rsidRPr="00A57097">
        <w:rPr>
          <w:b/>
        </w:rPr>
        <w:t xml:space="preserve"> adverse impacts on the global and local environment through reduced emissions of </w:t>
      </w:r>
      <w:r w:rsidR="00A57097">
        <w:rPr>
          <w:b/>
        </w:rPr>
        <w:t xml:space="preserve">GHG </w:t>
      </w:r>
      <w:r w:rsidR="00A57097" w:rsidRPr="00A57097">
        <w:rPr>
          <w:b/>
        </w:rPr>
        <w:t>and local pollutants</w:t>
      </w:r>
      <w:r w:rsidR="00B26EE0" w:rsidRPr="00E01E02">
        <w:t>.</w:t>
      </w:r>
    </w:p>
    <w:p w:rsidR="00A70BBC" w:rsidRPr="00214381" w:rsidRDefault="00214381" w:rsidP="005E23AF">
      <w:r>
        <w:t>G</w:t>
      </w:r>
      <w:r w:rsidR="00EF339C" w:rsidRPr="00214381">
        <w:t xml:space="preserve">reening transportation would </w:t>
      </w:r>
      <w:r w:rsidR="000F7E3A">
        <w:t>create</w:t>
      </w:r>
      <w:r w:rsidR="00350643">
        <w:t xml:space="preserve"> </w:t>
      </w:r>
      <w:r w:rsidR="00EF339C" w:rsidRPr="00214381">
        <w:t>“co-benefits”</w:t>
      </w:r>
      <w:r w:rsidR="00B2432F">
        <w:t>:</w:t>
      </w:r>
      <w:r w:rsidR="00EF339C" w:rsidRPr="00214381">
        <w:t xml:space="preserve"> </w:t>
      </w:r>
      <w:r w:rsidR="00350643">
        <w:t xml:space="preserve">(i) </w:t>
      </w:r>
      <w:r w:rsidR="00EF339C" w:rsidRPr="00214381">
        <w:t>reducing fossil fuel use</w:t>
      </w:r>
      <w:r w:rsidRPr="00214381">
        <w:t xml:space="preserve"> would </w:t>
      </w:r>
      <w:r w:rsidRPr="00E01E02">
        <w:t xml:space="preserve">help </w:t>
      </w:r>
      <w:r w:rsidRPr="000F7E3A">
        <w:rPr>
          <w:b/>
        </w:rPr>
        <w:t>improve the balance of trade and energy security</w:t>
      </w:r>
      <w:r w:rsidR="00B2432F" w:rsidRPr="00E01E02">
        <w:t>;</w:t>
      </w:r>
      <w:r w:rsidRPr="00E01E02">
        <w:t xml:space="preserve"> </w:t>
      </w:r>
      <w:r w:rsidR="00350643" w:rsidRPr="00E01E02">
        <w:t xml:space="preserve">and (ii) </w:t>
      </w:r>
      <w:r w:rsidRPr="00E01E02">
        <w:t xml:space="preserve">employing measures to avoid unnecessary trips and </w:t>
      </w:r>
      <w:r w:rsidR="00E4620B" w:rsidRPr="00E01E02">
        <w:t>us</w:t>
      </w:r>
      <w:r w:rsidR="00350643" w:rsidRPr="00E01E02">
        <w:t>ing</w:t>
      </w:r>
      <w:r w:rsidR="00E4620B" w:rsidRPr="00E01E02">
        <w:t xml:space="preserve"> fewer vehicles for the same number of trips</w:t>
      </w:r>
      <w:r w:rsidR="00382898" w:rsidRPr="00E01E02">
        <w:t xml:space="preserve"> </w:t>
      </w:r>
      <w:r w:rsidR="00350643" w:rsidRPr="00E01E02">
        <w:t xml:space="preserve">(i.e., </w:t>
      </w:r>
      <w:r w:rsidR="00382898" w:rsidRPr="00E01E02">
        <w:t>public transportation</w:t>
      </w:r>
      <w:r w:rsidR="00350643" w:rsidRPr="00E01E02">
        <w:t>)</w:t>
      </w:r>
      <w:r w:rsidR="00E4620B" w:rsidRPr="00E01E02">
        <w:t xml:space="preserve"> </w:t>
      </w:r>
      <w:r w:rsidRPr="00E01E02">
        <w:t xml:space="preserve">would </w:t>
      </w:r>
      <w:r w:rsidRPr="000F7E3A">
        <w:rPr>
          <w:b/>
        </w:rPr>
        <w:t xml:space="preserve">reduce </w:t>
      </w:r>
      <w:r w:rsidR="00B4398D" w:rsidRPr="000F7E3A">
        <w:rPr>
          <w:b/>
        </w:rPr>
        <w:t xml:space="preserve">traffic </w:t>
      </w:r>
      <w:r w:rsidRPr="000F7E3A">
        <w:rPr>
          <w:b/>
        </w:rPr>
        <w:t>congestion on the road network</w:t>
      </w:r>
      <w:r w:rsidR="00350643" w:rsidRPr="00E01E02">
        <w:t>,</w:t>
      </w:r>
      <w:r w:rsidRPr="00E01E02">
        <w:t xml:space="preserve"> </w:t>
      </w:r>
      <w:r w:rsidR="00350643" w:rsidRPr="00E01E02">
        <w:t xml:space="preserve">particularly in </w:t>
      </w:r>
      <w:r w:rsidRPr="00E01E02">
        <w:t>urban areas.</w:t>
      </w:r>
    </w:p>
    <w:p w:rsidR="00596A4F" w:rsidRPr="00A24018" w:rsidRDefault="00596A4F" w:rsidP="00BA2792">
      <w:pPr>
        <w:pStyle w:val="Heading2"/>
      </w:pPr>
      <w:bookmarkStart w:id="16" w:name="_Toc326892924"/>
      <w:r>
        <w:t>What is the Rationale for Green Transportation?</w:t>
      </w:r>
      <w:bookmarkEnd w:id="16"/>
    </w:p>
    <w:p w:rsidR="00596A4F" w:rsidRPr="00AD73F3" w:rsidRDefault="00596A4F" w:rsidP="00525183">
      <w:pPr>
        <w:spacing w:before="180" w:after="60"/>
        <w:rPr>
          <w:b/>
          <w:i/>
        </w:rPr>
      </w:pPr>
      <w:r w:rsidRPr="00AD73F3">
        <w:rPr>
          <w:b/>
          <w:i/>
        </w:rPr>
        <w:t xml:space="preserve">Role of </w:t>
      </w:r>
      <w:r w:rsidR="00350643">
        <w:rPr>
          <w:b/>
          <w:i/>
        </w:rPr>
        <w:t xml:space="preserve">the </w:t>
      </w:r>
      <w:r w:rsidRPr="00AD73F3">
        <w:rPr>
          <w:b/>
          <w:i/>
        </w:rPr>
        <w:t xml:space="preserve">Transport </w:t>
      </w:r>
      <w:r w:rsidR="00AD73F3" w:rsidRPr="00AD73F3">
        <w:rPr>
          <w:b/>
          <w:i/>
        </w:rPr>
        <w:t>Sector in Georgia’s Growth</w:t>
      </w:r>
    </w:p>
    <w:p w:rsidR="00AD73F3" w:rsidRDefault="000F7E3A" w:rsidP="00995A9F">
      <w:r w:rsidRPr="00403B4F">
        <w:rPr>
          <w:b/>
        </w:rPr>
        <w:t>Develop</w:t>
      </w:r>
      <w:r>
        <w:rPr>
          <w:b/>
        </w:rPr>
        <w:t>ing</w:t>
      </w:r>
      <w:r w:rsidRPr="00403B4F">
        <w:rPr>
          <w:b/>
        </w:rPr>
        <w:t xml:space="preserve"> transport infrastructure and services is </w:t>
      </w:r>
      <w:r>
        <w:rPr>
          <w:b/>
        </w:rPr>
        <w:t>essential to</w:t>
      </w:r>
      <w:r w:rsidRPr="00403B4F">
        <w:rPr>
          <w:b/>
        </w:rPr>
        <w:t xml:space="preserve"> </w:t>
      </w:r>
      <w:r>
        <w:rPr>
          <w:b/>
        </w:rPr>
        <w:t>realize</w:t>
      </w:r>
      <w:r w:rsidRPr="00403B4F">
        <w:rPr>
          <w:b/>
        </w:rPr>
        <w:t xml:space="preserve"> Georgia’s growth potential</w:t>
      </w:r>
      <w:r>
        <w:rPr>
          <w:b/>
        </w:rPr>
        <w:t>.</w:t>
      </w:r>
      <w:r w:rsidRPr="00AD73F3">
        <w:t xml:space="preserve"> </w:t>
      </w:r>
      <w:r>
        <w:t xml:space="preserve">Improved transport and services would support </w:t>
      </w:r>
      <w:r w:rsidRPr="00403B4F">
        <w:t>development of sectors</w:t>
      </w:r>
      <w:r>
        <w:t xml:space="preserve"> that are key to national economic growth</w:t>
      </w:r>
      <w:r>
        <w:sym w:font="Symbol" w:char="F0BE"/>
      </w:r>
      <w:r w:rsidRPr="00403B4F">
        <w:t>exports, tourism, and agriculture. Well</w:t>
      </w:r>
      <w:r>
        <w:t>-</w:t>
      </w:r>
      <w:r w:rsidRPr="00403B4F">
        <w:t xml:space="preserve">developed </w:t>
      </w:r>
      <w:r>
        <w:t xml:space="preserve">transport </w:t>
      </w:r>
      <w:r w:rsidRPr="00403B4F">
        <w:t xml:space="preserve">infrastructure </w:t>
      </w:r>
      <w:r w:rsidR="00514399">
        <w:t xml:space="preserve">and services </w:t>
      </w:r>
      <w:r>
        <w:t xml:space="preserve">would: (i) </w:t>
      </w:r>
      <w:r w:rsidRPr="00403B4F">
        <w:t>improve</w:t>
      </w:r>
      <w:r>
        <w:t xml:space="preserve"> the</w:t>
      </w:r>
      <w:r w:rsidRPr="00403B4F">
        <w:t xml:space="preserve"> competitiveness of Georgian goods</w:t>
      </w:r>
      <w:r>
        <w:t>;</w:t>
      </w:r>
      <w:r w:rsidRPr="00403B4F">
        <w:t xml:space="preserve"> </w:t>
      </w:r>
      <w:r>
        <w:t xml:space="preserve">(ii) </w:t>
      </w:r>
      <w:r w:rsidRPr="00403B4F">
        <w:t>lower prices for Georgian consumer</w:t>
      </w:r>
      <w:r>
        <w:t>s;</w:t>
      </w:r>
      <w:r w:rsidRPr="00403B4F">
        <w:t xml:space="preserve"> </w:t>
      </w:r>
      <w:r>
        <w:t xml:space="preserve">(iii) </w:t>
      </w:r>
      <w:r w:rsidRPr="00403B4F">
        <w:t xml:space="preserve">strengthen </w:t>
      </w:r>
      <w:r>
        <w:t>Georgia</w:t>
      </w:r>
      <w:r w:rsidRPr="00403B4F">
        <w:t xml:space="preserve">’s position as an international transshipment country </w:t>
      </w:r>
      <w:r>
        <w:t>for</w:t>
      </w:r>
      <w:r w:rsidRPr="00403B4F">
        <w:t xml:space="preserve"> the region</w:t>
      </w:r>
      <w:r>
        <w:t>;</w:t>
      </w:r>
      <w:r w:rsidRPr="00403B4F">
        <w:t xml:space="preserve"> </w:t>
      </w:r>
      <w:r>
        <w:t xml:space="preserve">(iv) improve access to </w:t>
      </w:r>
      <w:r w:rsidRPr="00403B4F">
        <w:t>tourism destinations</w:t>
      </w:r>
      <w:r>
        <w:t>;</w:t>
      </w:r>
      <w:r w:rsidRPr="00403B4F">
        <w:t xml:space="preserve"> </w:t>
      </w:r>
      <w:r>
        <w:t xml:space="preserve">(v) improve </w:t>
      </w:r>
      <w:r w:rsidRPr="00403B4F">
        <w:t>regional integration</w:t>
      </w:r>
      <w:r>
        <w:t>;</w:t>
      </w:r>
      <w:r w:rsidRPr="00403B4F">
        <w:t xml:space="preserve"> and </w:t>
      </w:r>
      <w:r>
        <w:t xml:space="preserve">(vi) </w:t>
      </w:r>
      <w:r w:rsidRPr="00403B4F">
        <w:t>enhance rural communities</w:t>
      </w:r>
      <w:r>
        <w:t>’</w:t>
      </w:r>
      <w:r w:rsidRPr="00403B4F">
        <w:t xml:space="preserve"> access to markets and social services. </w:t>
      </w:r>
      <w:r w:rsidR="00995A9F">
        <w:t xml:space="preserve">Access </w:t>
      </w:r>
      <w:r w:rsidR="005E709F">
        <w:t xml:space="preserve">to </w:t>
      </w:r>
      <w:r w:rsidR="00995A9F">
        <w:t xml:space="preserve">and affordability of transport services </w:t>
      </w:r>
      <w:r>
        <w:t xml:space="preserve">would foster </w:t>
      </w:r>
      <w:r w:rsidR="00995A9F">
        <w:t xml:space="preserve">transformational changes </w:t>
      </w:r>
      <w:r>
        <w:t xml:space="preserve">of </w:t>
      </w:r>
      <w:r w:rsidR="00995A9F">
        <w:t xml:space="preserve">the Georgian economy. </w:t>
      </w:r>
      <w:r w:rsidR="005E709F">
        <w:t xml:space="preserve"> </w:t>
      </w:r>
      <w:r w:rsidR="00B15FCF" w:rsidRPr="00B15FCF">
        <w:t xml:space="preserve">Increasing transport sector efficiency helps </w:t>
      </w:r>
      <w:r w:rsidR="006049B9">
        <w:t>create jobs and</w:t>
      </w:r>
      <w:r w:rsidR="00B15FCF" w:rsidRPr="00B15FCF">
        <w:t xml:space="preserve"> improve job quality, and generates productivity increases in agriculture, manufacturing and the services sector. </w:t>
      </w:r>
      <w:r w:rsidR="00DB372F">
        <w:t xml:space="preserve"> </w:t>
      </w:r>
      <w:r w:rsidR="00B15FCF" w:rsidRPr="00B15FCF">
        <w:t>This relate</w:t>
      </w:r>
      <w:r w:rsidR="006049B9">
        <w:t>s not only</w:t>
      </w:r>
      <w:r w:rsidR="00B15FCF" w:rsidRPr="00B15FCF">
        <w:t xml:space="preserve"> to market prices for transport services, but also to travel times, reliability </w:t>
      </w:r>
      <w:r w:rsidR="006049B9">
        <w:t xml:space="preserve">and quality </w:t>
      </w:r>
      <w:r w:rsidR="00B15FCF" w:rsidRPr="00B15FCF">
        <w:t xml:space="preserve">of transport services, </w:t>
      </w:r>
      <w:r w:rsidR="00D94295">
        <w:t xml:space="preserve">and </w:t>
      </w:r>
      <w:r w:rsidR="00B15FCF" w:rsidRPr="00B15FCF">
        <w:t>a connectivity between the different service providers.</w:t>
      </w:r>
      <w:r w:rsidR="00B15FCF">
        <w:t xml:space="preserve">  </w:t>
      </w:r>
      <w:r w:rsidR="00995A9F">
        <w:t xml:space="preserve">Low </w:t>
      </w:r>
      <w:r w:rsidR="00D94295">
        <w:t xml:space="preserve">transport </w:t>
      </w:r>
      <w:r w:rsidR="00995A9F">
        <w:t>costs</w:t>
      </w:r>
      <w:r w:rsidR="00085075">
        <w:t xml:space="preserve">, which can be attained by well-developed infrastructure and competitive transport services, </w:t>
      </w:r>
      <w:r w:rsidR="00995A9F">
        <w:t xml:space="preserve">will help generate jobs and gradually </w:t>
      </w:r>
      <w:r w:rsidR="00D94295">
        <w:t xml:space="preserve">improve </w:t>
      </w:r>
      <w:r w:rsidR="00995A9F">
        <w:t>productivity, first in agriculture and increasingly in manufac</w:t>
      </w:r>
      <w:r w:rsidR="00AD73F3">
        <w:t xml:space="preserve">turing and </w:t>
      </w:r>
      <w:r w:rsidR="00350643">
        <w:t xml:space="preserve">in </w:t>
      </w:r>
      <w:r w:rsidR="00AD73F3">
        <w:t>high-value services.</w:t>
      </w:r>
    </w:p>
    <w:p w:rsidR="00085075" w:rsidRDefault="000F7E3A" w:rsidP="00995A9F">
      <w:r>
        <w:t>G</w:t>
      </w:r>
      <w:r w:rsidRPr="00403B4F">
        <w:t xml:space="preserve">overnment has long recognized the importance of upgrading </w:t>
      </w:r>
      <w:r>
        <w:t>national</w:t>
      </w:r>
      <w:r w:rsidRPr="00403B4F">
        <w:t xml:space="preserve"> </w:t>
      </w:r>
      <w:r>
        <w:t xml:space="preserve">transport </w:t>
      </w:r>
      <w:r w:rsidRPr="00403B4F">
        <w:t xml:space="preserve">infrastructure to international standards of serviceability and has allocated </w:t>
      </w:r>
      <w:r>
        <w:t xml:space="preserve">substantial </w:t>
      </w:r>
      <w:r w:rsidRPr="00403B4F">
        <w:t xml:space="preserve">public resources </w:t>
      </w:r>
      <w:r>
        <w:t>for this. I</w:t>
      </w:r>
      <w:r w:rsidRPr="00403B4F">
        <w:t>n 2011 more than 50 percent</w:t>
      </w:r>
      <w:r>
        <w:t xml:space="preserve"> </w:t>
      </w:r>
      <w:r w:rsidRPr="00403B4F">
        <w:t xml:space="preserve">of </w:t>
      </w:r>
      <w:r>
        <w:t>G</w:t>
      </w:r>
      <w:r w:rsidRPr="00403B4F">
        <w:t>overnment</w:t>
      </w:r>
      <w:r>
        <w:t xml:space="preserve">’s </w:t>
      </w:r>
      <w:r w:rsidRPr="00403B4F">
        <w:t>total planned capital investment</w:t>
      </w:r>
      <w:r>
        <w:t xml:space="preserve"> was </w:t>
      </w:r>
      <w:r w:rsidRPr="00403B4F">
        <w:t>allocated for transport infrastructure</w:t>
      </w:r>
      <w:r>
        <w:t xml:space="preserve"> or about </w:t>
      </w:r>
      <w:r w:rsidRPr="00403B4F">
        <w:t>580 million GEL</w:t>
      </w:r>
      <w:r>
        <w:t xml:space="preserve"> out of </w:t>
      </w:r>
      <w:r w:rsidRPr="00403B4F">
        <w:t>about 1</w:t>
      </w:r>
      <w:r>
        <w:t>.0</w:t>
      </w:r>
      <w:r w:rsidRPr="00403B4F">
        <w:t xml:space="preserve"> billion GEL </w:t>
      </w:r>
      <w:r>
        <w:t>(</w:t>
      </w:r>
      <w:r w:rsidRPr="00403B4F">
        <w:t>including donor funding</w:t>
      </w:r>
      <w:r>
        <w:t>). However, to achieve the goals of improving local industries’ competitiveness and achieving long-term sustainable economic growth, Government must also invest in</w:t>
      </w:r>
      <w:r w:rsidRPr="001B583D">
        <w:t xml:space="preserve"> </w:t>
      </w:r>
      <w:r w:rsidR="002F7103">
        <w:t xml:space="preserve">the modernization </w:t>
      </w:r>
      <w:r>
        <w:t>of transport services.</w:t>
      </w:r>
    </w:p>
    <w:p w:rsidR="00274D6E" w:rsidRDefault="00274D6E" w:rsidP="00525183">
      <w:pPr>
        <w:spacing w:before="240"/>
        <w:rPr>
          <w:b/>
          <w:i/>
        </w:rPr>
      </w:pPr>
      <w:r>
        <w:rPr>
          <w:b/>
          <w:i/>
        </w:rPr>
        <w:lastRenderedPageBreak/>
        <w:t>Balance of Trade and Energy Security</w:t>
      </w:r>
    </w:p>
    <w:tbl>
      <w:tblPr>
        <w:tblStyle w:val="TableGrid"/>
        <w:tblpPr w:leftFromText="180" w:rightFromText="180" w:vertAnchor="text" w:horzAnchor="margin" w:tblpXSpec="right" w:tblpY="53"/>
        <w:tblOverlap w:val="never"/>
        <w:tblW w:w="0" w:type="auto"/>
        <w:tblLayout w:type="fixed"/>
        <w:tblCellMar>
          <w:left w:w="0" w:type="dxa"/>
          <w:right w:w="0" w:type="dxa"/>
        </w:tblCellMar>
        <w:tblLook w:val="04A0"/>
      </w:tblPr>
      <w:tblGrid>
        <w:gridCol w:w="5040"/>
      </w:tblGrid>
      <w:tr w:rsidR="00B75973" w:rsidTr="00210F06">
        <w:tc>
          <w:tcPr>
            <w:tcW w:w="5040" w:type="dxa"/>
            <w:tcBorders>
              <w:top w:val="nil"/>
              <w:left w:val="nil"/>
              <w:bottom w:val="single" w:sz="4" w:space="0" w:color="auto"/>
              <w:right w:val="nil"/>
            </w:tcBorders>
          </w:tcPr>
          <w:p w:rsidR="00B75973" w:rsidRPr="00CC197F" w:rsidRDefault="00B75973" w:rsidP="002513E7">
            <w:pPr>
              <w:spacing w:after="60"/>
              <w:jc w:val="center"/>
              <w:rPr>
                <w:noProof/>
                <w:lang w:eastAsia="ko-KR" w:bidi="ar-SA"/>
              </w:rPr>
            </w:pPr>
            <w:bookmarkStart w:id="17" w:name="_Ref307493334"/>
            <w:bookmarkStart w:id="18" w:name="_Toc326892822"/>
            <w:r w:rsidRPr="00394B4B">
              <w:rPr>
                <w:b/>
                <w:sz w:val="20"/>
                <w:szCs w:val="20"/>
              </w:rPr>
              <w:t xml:space="preserve">Figure </w:t>
            </w:r>
            <w:r w:rsidR="001A7AF8" w:rsidRPr="00394B4B">
              <w:rPr>
                <w:b/>
                <w:sz w:val="20"/>
                <w:szCs w:val="20"/>
              </w:rPr>
              <w:fldChar w:fldCharType="begin"/>
            </w:r>
            <w:r w:rsidRPr="00394B4B">
              <w:rPr>
                <w:b/>
                <w:sz w:val="20"/>
                <w:szCs w:val="20"/>
              </w:rPr>
              <w:instrText xml:space="preserve"> SEQ Figure \* ARABIC </w:instrText>
            </w:r>
            <w:r w:rsidR="001A7AF8" w:rsidRPr="00394B4B">
              <w:rPr>
                <w:b/>
                <w:sz w:val="20"/>
                <w:szCs w:val="20"/>
              </w:rPr>
              <w:fldChar w:fldCharType="separate"/>
            </w:r>
            <w:r w:rsidR="00BA2792">
              <w:rPr>
                <w:b/>
                <w:noProof/>
                <w:sz w:val="20"/>
                <w:szCs w:val="20"/>
              </w:rPr>
              <w:t>1</w:t>
            </w:r>
            <w:r w:rsidR="001A7AF8" w:rsidRPr="00394B4B">
              <w:rPr>
                <w:b/>
                <w:sz w:val="20"/>
                <w:szCs w:val="20"/>
              </w:rPr>
              <w:fldChar w:fldCharType="end"/>
            </w:r>
            <w:bookmarkEnd w:id="17"/>
            <w:r w:rsidRPr="00394B4B">
              <w:rPr>
                <w:sz w:val="20"/>
                <w:szCs w:val="20"/>
              </w:rPr>
              <w:t xml:space="preserve">: </w:t>
            </w:r>
            <w:r w:rsidRPr="00CC197F">
              <w:rPr>
                <w:sz w:val="20"/>
                <w:szCs w:val="20"/>
              </w:rPr>
              <w:t xml:space="preserve">Oil imports </w:t>
            </w:r>
            <w:r w:rsidR="002513E7">
              <w:rPr>
                <w:sz w:val="20"/>
                <w:szCs w:val="20"/>
              </w:rPr>
              <w:t xml:space="preserve">as </w:t>
            </w:r>
            <w:r w:rsidRPr="00CC197F">
              <w:rPr>
                <w:sz w:val="20"/>
                <w:szCs w:val="20"/>
              </w:rPr>
              <w:t>a substantial share in overall merchandise imports</w:t>
            </w:r>
            <w:bookmarkEnd w:id="18"/>
          </w:p>
        </w:tc>
      </w:tr>
      <w:tr w:rsidR="00B75973" w:rsidTr="00210F06">
        <w:tc>
          <w:tcPr>
            <w:tcW w:w="5040" w:type="dxa"/>
            <w:tcBorders>
              <w:bottom w:val="single" w:sz="4" w:space="0" w:color="auto"/>
            </w:tcBorders>
          </w:tcPr>
          <w:p w:rsidR="00B75973" w:rsidRDefault="00210F06" w:rsidP="00B75973">
            <w:pPr>
              <w:spacing w:after="0"/>
              <w:jc w:val="center"/>
            </w:pPr>
            <w:r w:rsidRPr="00210F06">
              <w:rPr>
                <w:noProof/>
                <w:lang w:bidi="ar-SA"/>
              </w:rPr>
              <w:drawing>
                <wp:inline distT="0" distB="0" distL="0" distR="0">
                  <wp:extent cx="3209925" cy="2314575"/>
                  <wp:effectExtent l="1905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B75973" w:rsidTr="00210F06">
        <w:tc>
          <w:tcPr>
            <w:tcW w:w="5040" w:type="dxa"/>
            <w:tcBorders>
              <w:left w:val="nil"/>
              <w:bottom w:val="nil"/>
              <w:right w:val="nil"/>
            </w:tcBorders>
            <w:tcMar>
              <w:top w:w="14" w:type="dxa"/>
              <w:left w:w="43" w:type="dxa"/>
              <w:bottom w:w="14" w:type="dxa"/>
              <w:right w:w="43" w:type="dxa"/>
            </w:tcMar>
          </w:tcPr>
          <w:p w:rsidR="00B75973" w:rsidRPr="00961A10" w:rsidRDefault="00B75973" w:rsidP="00210F06">
            <w:pPr>
              <w:jc w:val="center"/>
              <w:rPr>
                <w:i/>
                <w:sz w:val="18"/>
                <w:szCs w:val="18"/>
              </w:rPr>
            </w:pPr>
            <w:r w:rsidRPr="00961A10">
              <w:rPr>
                <w:i/>
                <w:sz w:val="18"/>
                <w:szCs w:val="18"/>
              </w:rPr>
              <w:t>Source: World Bank Development Indicators 2011</w:t>
            </w:r>
            <w:r w:rsidR="00210F06">
              <w:rPr>
                <w:i/>
                <w:sz w:val="18"/>
                <w:szCs w:val="18"/>
              </w:rPr>
              <w:t>, the Union of Oil Products Importers and Customers of Georgia</w:t>
            </w:r>
          </w:p>
        </w:tc>
      </w:tr>
    </w:tbl>
    <w:p w:rsidR="00274D6E" w:rsidRDefault="000D5E48" w:rsidP="00274D6E">
      <w:r w:rsidRPr="00AD73F3">
        <w:rPr>
          <w:b/>
        </w:rPr>
        <w:t xml:space="preserve">By greening transportation, Georgia </w:t>
      </w:r>
      <w:r>
        <w:rPr>
          <w:b/>
        </w:rPr>
        <w:t>c</w:t>
      </w:r>
      <w:r w:rsidRPr="00AD73F3">
        <w:rPr>
          <w:b/>
        </w:rPr>
        <w:t xml:space="preserve">ould reduce </w:t>
      </w:r>
      <w:r>
        <w:rPr>
          <w:b/>
        </w:rPr>
        <w:t xml:space="preserve">the </w:t>
      </w:r>
      <w:r w:rsidRPr="00AD73F3">
        <w:rPr>
          <w:b/>
        </w:rPr>
        <w:t xml:space="preserve">total </w:t>
      </w:r>
      <w:r w:rsidR="00D94295">
        <w:rPr>
          <w:b/>
        </w:rPr>
        <w:t xml:space="preserve">import bill for </w:t>
      </w:r>
      <w:r w:rsidRPr="00AD73F3">
        <w:rPr>
          <w:b/>
        </w:rPr>
        <w:t xml:space="preserve">petroleum products, </w:t>
      </w:r>
      <w:r>
        <w:rPr>
          <w:b/>
        </w:rPr>
        <w:t xml:space="preserve">thereby </w:t>
      </w:r>
      <w:r w:rsidRPr="00AD73F3">
        <w:rPr>
          <w:b/>
        </w:rPr>
        <w:t>improv</w:t>
      </w:r>
      <w:r>
        <w:rPr>
          <w:b/>
        </w:rPr>
        <w:t>ing</w:t>
      </w:r>
      <w:r w:rsidRPr="00AD73F3">
        <w:rPr>
          <w:b/>
        </w:rPr>
        <w:t xml:space="preserve"> the balance of trade and energy security.</w:t>
      </w:r>
      <w:r>
        <w:t xml:space="preserve"> </w:t>
      </w:r>
      <w:r w:rsidRPr="008D7F59">
        <w:t>Georgia relies entirely on imported energy to meet its transportation needs</w:t>
      </w:r>
      <w:r>
        <w:t>;</w:t>
      </w:r>
      <w:r w:rsidRPr="008D7F59">
        <w:t xml:space="preserve"> the import bill for petroleum fuels </w:t>
      </w:r>
      <w:r>
        <w:t xml:space="preserve">comprises a significant share of the overall import bill, </w:t>
      </w:r>
      <w:r w:rsidRPr="008D7F59">
        <w:t>has substantial impacts on balance of trade</w:t>
      </w:r>
      <w:r>
        <w:t xml:space="preserve">, contributes to a </w:t>
      </w:r>
      <w:r w:rsidR="006F3DB9">
        <w:t xml:space="preserve">large </w:t>
      </w:r>
      <w:r>
        <w:t>current account deficit</w:t>
      </w:r>
      <w:r w:rsidR="008C2724">
        <w:t xml:space="preserve"> (above</w:t>
      </w:r>
      <w:r w:rsidR="00D93B9E">
        <w:t xml:space="preserve"> </w:t>
      </w:r>
      <w:r w:rsidR="008C2724">
        <w:t xml:space="preserve">-10 percent of </w:t>
      </w:r>
      <w:r w:rsidR="00D93B9E">
        <w:t>gross domestic product (</w:t>
      </w:r>
      <w:r w:rsidR="008C2724">
        <w:t>GDP</w:t>
      </w:r>
      <w:r w:rsidR="00D93B9E">
        <w:t>)</w:t>
      </w:r>
      <w:r w:rsidR="008C2724">
        <w:t xml:space="preserve"> since 2003, except in 2004, peaking at -23 percent in 2008)</w:t>
      </w:r>
      <w:r>
        <w:t xml:space="preserve">, and results in foreign currency shortages for other imports Georgia needs for national development. </w:t>
      </w:r>
      <w:r w:rsidRPr="008D7F59">
        <w:t xml:space="preserve">Petroleum fuel imports, used almost </w:t>
      </w:r>
      <w:r>
        <w:t>entirely</w:t>
      </w:r>
      <w:r w:rsidRPr="008D7F59">
        <w:t xml:space="preserve"> for transportation, increased about ten-fold </w:t>
      </w:r>
      <w:r>
        <w:t>during</w:t>
      </w:r>
      <w:r w:rsidRPr="008D7F59">
        <w:t xml:space="preserve"> 1999</w:t>
      </w:r>
      <w:r>
        <w:t>-</w:t>
      </w:r>
      <w:r w:rsidR="00E542AD">
        <w:t>20</w:t>
      </w:r>
      <w:r w:rsidRPr="008D7F59">
        <w:t>08</w:t>
      </w:r>
      <w:r>
        <w:t xml:space="preserve">; </w:t>
      </w:r>
      <w:r w:rsidR="00E542AD">
        <w:t xml:space="preserve">although </w:t>
      </w:r>
      <w:r>
        <w:t>during the same period</w:t>
      </w:r>
      <w:r w:rsidRPr="008D7F59">
        <w:t xml:space="preserve"> </w:t>
      </w:r>
      <w:r>
        <w:t>the</w:t>
      </w:r>
      <w:r w:rsidRPr="008D7F59">
        <w:t xml:space="preserve"> share in overall merchandise imports </w:t>
      </w:r>
      <w:r>
        <w:t>fell</w:t>
      </w:r>
      <w:r w:rsidRPr="008D7F59">
        <w:t xml:space="preserve"> from 23 percent to aro</w:t>
      </w:r>
      <w:r>
        <w:t>und 18 percent</w:t>
      </w:r>
      <w:r w:rsidR="001C0F40">
        <w:t>. Fuel import</w:t>
      </w:r>
      <w:r w:rsidR="00D94295">
        <w:t xml:space="preserve"> volumes </w:t>
      </w:r>
      <w:r w:rsidR="001C0F40">
        <w:t xml:space="preserve">are </w:t>
      </w:r>
      <w:r w:rsidR="00D94295">
        <w:t xml:space="preserve">also </w:t>
      </w:r>
      <w:r w:rsidR="001C0F40">
        <w:t>steadily increasing since the global financial crisis</w:t>
      </w:r>
      <w:r>
        <w:t xml:space="preserve"> </w:t>
      </w:r>
      <w:r w:rsidRPr="00CC197F">
        <w:t>(</w:t>
      </w:r>
      <w:fldSimple w:instr=" REF _Ref307493334 \h  \* MERGEFORMAT ">
        <w:r w:rsidR="00BA2792" w:rsidRPr="00BA2792">
          <w:t>Figure 1</w:t>
        </w:r>
      </w:fldSimple>
      <w:r w:rsidRPr="00CC197F">
        <w:t>)</w:t>
      </w:r>
      <w:r w:rsidR="001C0F40">
        <w:t xml:space="preserve">. </w:t>
      </w:r>
      <w:r>
        <w:t>D</w:t>
      </w:r>
      <w:r w:rsidRPr="008D7F59">
        <w:t xml:space="preserve">uring the financial crisis </w:t>
      </w:r>
      <w:r>
        <w:t>o</w:t>
      </w:r>
      <w:r w:rsidRPr="00CC197F">
        <w:t>verall</w:t>
      </w:r>
      <w:r w:rsidRPr="008D7F59">
        <w:t xml:space="preserve"> imports plummeted but have been recovering</w:t>
      </w:r>
      <w:r>
        <w:t>.</w:t>
      </w:r>
      <w:r w:rsidRPr="008D7F59">
        <w:t xml:space="preserve"> </w:t>
      </w:r>
      <w:r>
        <w:t>I</w:t>
      </w:r>
      <w:r w:rsidRPr="008D7F59">
        <w:t>n 2010</w:t>
      </w:r>
      <w:r>
        <w:t>, t</w:t>
      </w:r>
      <w:r w:rsidRPr="008D7F59">
        <w:t>he total import bill for petroleum and hydrocarbon fuels—including about 810 million liters of gasoline and diesel—</w:t>
      </w:r>
      <w:r>
        <w:t>was</w:t>
      </w:r>
      <w:r w:rsidRPr="008D7F59">
        <w:t xml:space="preserve"> about US</w:t>
      </w:r>
      <w:r>
        <w:t>$</w:t>
      </w:r>
      <w:r w:rsidRPr="008D7F59">
        <w:t xml:space="preserve">832 million, </w:t>
      </w:r>
      <w:r>
        <w:t>or</w:t>
      </w:r>
      <w:r w:rsidRPr="008D7F59">
        <w:t xml:space="preserve"> about 16 percent of total imports and more than 7</w:t>
      </w:r>
      <w:r>
        <w:t>.0</w:t>
      </w:r>
      <w:r w:rsidRPr="008D7F59">
        <w:t xml:space="preserve"> percent of GDP</w:t>
      </w:r>
      <w:r>
        <w:t xml:space="preserve">. Also </w:t>
      </w:r>
      <w:r w:rsidRPr="008D7F59">
        <w:t>in 2010</w:t>
      </w:r>
      <w:r>
        <w:t>,</w:t>
      </w:r>
      <w:r w:rsidRPr="008D7F59">
        <w:t xml:space="preserve"> </w:t>
      </w:r>
      <w:r>
        <w:t>t</w:t>
      </w:r>
      <w:r w:rsidRPr="008D7F59">
        <w:t xml:space="preserve">he import bill increased by 17 percent from </w:t>
      </w:r>
      <w:r>
        <w:t>US</w:t>
      </w:r>
      <w:r w:rsidRPr="008D7F59">
        <w:t>$710 million in 2009</w:t>
      </w:r>
      <w:r>
        <w:t xml:space="preserve">; </w:t>
      </w:r>
      <w:r w:rsidR="00E542AD">
        <w:t xml:space="preserve">its </w:t>
      </w:r>
      <w:r w:rsidRPr="008D7F59">
        <w:t xml:space="preserve">share of GDP also increased from 6.6 to 7.2 percent; the import bill for gasoline alone </w:t>
      </w:r>
      <w:r>
        <w:t>grew</w:t>
      </w:r>
      <w:r w:rsidRPr="008D7F59">
        <w:t xml:space="preserve"> by 27 percent between January and May 2011, compared to the same period in 2010, primarily due to global price increases.</w:t>
      </w:r>
    </w:p>
    <w:p w:rsidR="00731303" w:rsidRDefault="00731303" w:rsidP="00525183">
      <w:pPr>
        <w:spacing w:before="240"/>
        <w:rPr>
          <w:b/>
          <w:i/>
        </w:rPr>
      </w:pPr>
      <w:r>
        <w:rPr>
          <w:b/>
          <w:i/>
        </w:rPr>
        <w:t>Catalys</w:t>
      </w:r>
      <w:r w:rsidR="00F6731D">
        <w:rPr>
          <w:b/>
          <w:i/>
        </w:rPr>
        <w:t>t</w:t>
      </w:r>
      <w:r>
        <w:rPr>
          <w:b/>
          <w:i/>
        </w:rPr>
        <w:t xml:space="preserve"> for Service Sector Development</w:t>
      </w:r>
    </w:p>
    <w:p w:rsidR="00995A9F" w:rsidRDefault="000D5E48" w:rsidP="00995A9F">
      <w:r w:rsidRPr="007E2E5B">
        <w:rPr>
          <w:b/>
        </w:rPr>
        <w:t>Increasing international trade in the region provides opportunities for Georgia’s transport sector to increase national foreign currency earnings.</w:t>
      </w:r>
      <w:r>
        <w:t xml:space="preserve"> </w:t>
      </w:r>
      <w:r w:rsidR="00D94295">
        <w:t>According to the statistics for international trade in services, t</w:t>
      </w:r>
      <w:r w:rsidRPr="00770997">
        <w:t>ransport services</w:t>
      </w:r>
      <w:r w:rsidR="00D94295">
        <w:t xml:space="preserve">, </w:t>
      </w:r>
      <w:r w:rsidR="004353B0">
        <w:t xml:space="preserve">including deflated </w:t>
      </w:r>
      <w:r w:rsidR="00544EB2">
        <w:t xml:space="preserve">values of freight and passenger transport, </w:t>
      </w:r>
      <w:r w:rsidRPr="00770997">
        <w:t>account for more than 50 percent of Georgia’s commercial services exports</w:t>
      </w:r>
      <w:r w:rsidR="00B75973">
        <w:t>.</w:t>
      </w:r>
      <w:r w:rsidR="00934F06">
        <w:t xml:space="preserve"> </w:t>
      </w:r>
      <w:r w:rsidR="00B75973">
        <w:t>The tourism</w:t>
      </w:r>
      <w:r w:rsidR="000702D9">
        <w:t xml:space="preserve"> sector, </w:t>
      </w:r>
      <w:r w:rsidR="00C44A55">
        <w:t xml:space="preserve">a </w:t>
      </w:r>
      <w:r w:rsidR="000702D9">
        <w:t xml:space="preserve">key </w:t>
      </w:r>
      <w:r w:rsidR="004353B0">
        <w:t xml:space="preserve">service </w:t>
      </w:r>
      <w:r w:rsidR="00C44A55">
        <w:t>industry</w:t>
      </w:r>
      <w:r w:rsidR="000702D9">
        <w:t xml:space="preserve"> </w:t>
      </w:r>
      <w:r w:rsidR="00C44A55">
        <w:t>in Georgia</w:t>
      </w:r>
      <w:r w:rsidR="000702D9">
        <w:t>,</w:t>
      </w:r>
      <w:r w:rsidR="00B75973">
        <w:t xml:space="preserve"> </w:t>
      </w:r>
      <w:r w:rsidR="00C44A55">
        <w:t xml:space="preserve">critically </w:t>
      </w:r>
      <w:r w:rsidR="00B75973">
        <w:t xml:space="preserve">depends on </w:t>
      </w:r>
      <w:r w:rsidR="00C44A55">
        <w:t>improving</w:t>
      </w:r>
      <w:r w:rsidR="00B75973">
        <w:t xml:space="preserve"> transport connectivity and develop</w:t>
      </w:r>
      <w:r w:rsidR="00C44A55">
        <w:t xml:space="preserve">ing </w:t>
      </w:r>
      <w:r w:rsidR="00B75973">
        <w:t>efficient transport services</w:t>
      </w:r>
      <w:r>
        <w:t>. Recently, t</w:t>
      </w:r>
      <w:r w:rsidRPr="00770997">
        <w:t>ourist</w:t>
      </w:r>
      <w:r>
        <w:t xml:space="preserve"> numbers have expanded </w:t>
      </w:r>
      <w:r w:rsidR="00C44A55">
        <w:t>rapidly</w:t>
      </w:r>
      <w:r>
        <w:sym w:font="Symbol" w:char="F0BE"/>
      </w:r>
      <w:r>
        <w:t>up</w:t>
      </w:r>
      <w:r w:rsidRPr="00770997">
        <w:t xml:space="preserve"> </w:t>
      </w:r>
      <w:r>
        <w:t xml:space="preserve">about </w:t>
      </w:r>
      <w:r w:rsidRPr="00770997">
        <w:t>45 percent during January-June 2011</w:t>
      </w:r>
      <w:r>
        <w:t xml:space="preserve"> over </w:t>
      </w:r>
      <w:r w:rsidRPr="00770997">
        <w:t>the same period in 2010</w:t>
      </w:r>
      <w:r>
        <w:t xml:space="preserve">. </w:t>
      </w:r>
      <w:r w:rsidRPr="00770997">
        <w:t xml:space="preserve">Tourism sector annual export value reached almost </w:t>
      </w:r>
      <w:r>
        <w:t>US</w:t>
      </w:r>
      <w:r w:rsidRPr="00770997">
        <w:t>$500 million by end</w:t>
      </w:r>
      <w:r>
        <w:t>-</w:t>
      </w:r>
      <w:r w:rsidRPr="00770997">
        <w:t>2010, or about 4</w:t>
      </w:r>
      <w:r>
        <w:t>.0</w:t>
      </w:r>
      <w:r w:rsidRPr="00770997">
        <w:t xml:space="preserve"> percent of GDP</w:t>
      </w:r>
      <w:r>
        <w:t xml:space="preserve">. </w:t>
      </w:r>
      <w:r w:rsidRPr="00770997">
        <w:t xml:space="preserve">New developments for </w:t>
      </w:r>
      <w:r>
        <w:t xml:space="preserve">the </w:t>
      </w:r>
      <w:r w:rsidRPr="00770997">
        <w:t xml:space="preserve">sector are ongoing </w:t>
      </w:r>
      <w:r>
        <w:t>throughout Georgia, which</w:t>
      </w:r>
      <w:r w:rsidRPr="00770997">
        <w:t xml:space="preserve"> call</w:t>
      </w:r>
      <w:r>
        <w:t xml:space="preserve">s </w:t>
      </w:r>
      <w:r w:rsidRPr="00770997">
        <w:t xml:space="preserve">for </w:t>
      </w:r>
      <w:r>
        <w:t>more</w:t>
      </w:r>
      <w:r w:rsidRPr="00770997">
        <w:t xml:space="preserve"> transport infrastructure </w:t>
      </w:r>
      <w:r>
        <w:t>development to provide</w:t>
      </w:r>
      <w:r w:rsidRPr="00770997">
        <w:t xml:space="preserve"> reliable and high</w:t>
      </w:r>
      <w:r>
        <w:t>-quality transport services</w:t>
      </w:r>
      <w:r w:rsidR="000C6027">
        <w:t xml:space="preserve"> </w:t>
      </w:r>
      <w:r w:rsidR="00C44A55">
        <w:t xml:space="preserve">at lower </w:t>
      </w:r>
      <w:r w:rsidR="000C6027">
        <w:t>costs</w:t>
      </w:r>
      <w:r w:rsidR="00995A9F" w:rsidRPr="00770997">
        <w:t>.</w:t>
      </w:r>
    </w:p>
    <w:p w:rsidR="00AD73F3" w:rsidRDefault="00AD73F3" w:rsidP="00586244">
      <w:pPr>
        <w:keepNext/>
        <w:spacing w:before="180"/>
        <w:rPr>
          <w:b/>
          <w:i/>
        </w:rPr>
      </w:pPr>
      <w:r>
        <w:rPr>
          <w:b/>
          <w:i/>
        </w:rPr>
        <w:t xml:space="preserve">Potential for </w:t>
      </w:r>
      <w:r w:rsidR="00706C95">
        <w:rPr>
          <w:b/>
          <w:i/>
        </w:rPr>
        <w:t>Increasing</w:t>
      </w:r>
      <w:r>
        <w:rPr>
          <w:b/>
          <w:i/>
        </w:rPr>
        <w:t xml:space="preserve"> Hydropower Generation</w:t>
      </w:r>
    </w:p>
    <w:p w:rsidR="00995A9F" w:rsidRDefault="000D5E48" w:rsidP="00995A9F">
      <w:r w:rsidRPr="00274D6E">
        <w:rPr>
          <w:b/>
        </w:rPr>
        <w:t xml:space="preserve">Greening transportation would provide an opportunity to utilize </w:t>
      </w:r>
      <w:r>
        <w:rPr>
          <w:b/>
        </w:rPr>
        <w:t>national</w:t>
      </w:r>
      <w:r w:rsidRPr="00274D6E">
        <w:rPr>
          <w:b/>
        </w:rPr>
        <w:t xml:space="preserve"> hydropower potential </w:t>
      </w:r>
      <w:r>
        <w:rPr>
          <w:b/>
        </w:rPr>
        <w:t>more efficiently</w:t>
      </w:r>
      <w:r w:rsidRPr="00274D6E">
        <w:rPr>
          <w:b/>
        </w:rPr>
        <w:t xml:space="preserve"> for </w:t>
      </w:r>
      <w:r>
        <w:rPr>
          <w:b/>
        </w:rPr>
        <w:t xml:space="preserve">economic </w:t>
      </w:r>
      <w:r w:rsidRPr="00274D6E">
        <w:rPr>
          <w:b/>
        </w:rPr>
        <w:t>growth</w:t>
      </w:r>
      <w:r>
        <w:rPr>
          <w:b/>
        </w:rPr>
        <w:t xml:space="preserve">. </w:t>
      </w:r>
      <w:r>
        <w:t xml:space="preserve">Georgia </w:t>
      </w:r>
      <w:r w:rsidRPr="008D7F59">
        <w:t>export</w:t>
      </w:r>
      <w:r>
        <w:t>s</w:t>
      </w:r>
      <w:r w:rsidRPr="008D7F59">
        <w:t xml:space="preserve"> hydro-generated electricity and has potential to expand </w:t>
      </w:r>
      <w:r w:rsidR="00C44A55">
        <w:t>existing</w:t>
      </w:r>
      <w:r w:rsidRPr="008D7F59">
        <w:t xml:space="preserve"> capacity</w:t>
      </w:r>
      <w:r>
        <w:t xml:space="preserve">, which </w:t>
      </w:r>
      <w:r w:rsidRPr="008D7F59">
        <w:t xml:space="preserve">supplies about 90 percent of total </w:t>
      </w:r>
      <w:r>
        <w:t xml:space="preserve">national </w:t>
      </w:r>
      <w:r w:rsidRPr="008D7F59">
        <w:t>electricity needs (</w:t>
      </w:r>
      <w:r w:rsidR="009D10E2">
        <w:t>Figure 2</w:t>
      </w:r>
      <w:r w:rsidRPr="008D7F59">
        <w:t xml:space="preserve">) </w:t>
      </w:r>
      <w:r>
        <w:lastRenderedPageBreak/>
        <w:t xml:space="preserve">and is </w:t>
      </w:r>
      <w:r w:rsidRPr="008D7F59">
        <w:t xml:space="preserve">estimated to be </w:t>
      </w:r>
      <w:r>
        <w:t xml:space="preserve">only </w:t>
      </w:r>
      <w:r w:rsidRPr="008D7F59">
        <w:t>23 percent of the economically feasible potential of 32 TWh</w:t>
      </w:r>
      <w:r>
        <w:t xml:space="preserve">. </w:t>
      </w:r>
      <w:r w:rsidRPr="008D7F59">
        <w:t>However hydro-generated electricity supply is seasonal</w:t>
      </w:r>
      <w:r>
        <w:t xml:space="preserve">; </w:t>
      </w:r>
      <w:r w:rsidRPr="008D7F59">
        <w:t>during summer</w:t>
      </w:r>
      <w:r>
        <w:sym w:font="Symbol" w:char="F0BE"/>
      </w:r>
      <w:r>
        <w:t>high season</w:t>
      </w:r>
      <w:r>
        <w:sym w:font="Symbol" w:char="F0BE"/>
      </w:r>
      <w:r>
        <w:t xml:space="preserve">generation </w:t>
      </w:r>
      <w:r w:rsidRPr="008D7F59">
        <w:t>is about 160 percent of domestic demand and part of the surplus—</w:t>
      </w:r>
      <w:r>
        <w:t>now</w:t>
      </w:r>
      <w:r w:rsidRPr="008D7F59">
        <w:t xml:space="preserve"> about 1 TWh—is exported, mainly to Turkey</w:t>
      </w:r>
      <w:r>
        <w:t xml:space="preserve">. During the winter season, </w:t>
      </w:r>
      <w:r w:rsidRPr="008D7F59">
        <w:t xml:space="preserve">supply </w:t>
      </w:r>
      <w:r>
        <w:t>shortages are</w:t>
      </w:r>
      <w:r w:rsidRPr="008D7F59">
        <w:t xml:space="preserve"> supplemented by thermal generation and </w:t>
      </w:r>
      <w:r>
        <w:t xml:space="preserve">an </w:t>
      </w:r>
      <w:r w:rsidRPr="008D7F59">
        <w:t>electricity-swap with Turkey</w:t>
      </w:r>
      <w:r>
        <w:t xml:space="preserve">. </w:t>
      </w:r>
      <w:r w:rsidRPr="008D7F59">
        <w:t>In the long</w:t>
      </w:r>
      <w:r>
        <w:t>er</w:t>
      </w:r>
      <w:r w:rsidRPr="008D7F59">
        <w:t xml:space="preserve">-term, </w:t>
      </w:r>
      <w:r>
        <w:t>G</w:t>
      </w:r>
      <w:r w:rsidRPr="008D7F59">
        <w:t xml:space="preserve">overnment aspires to meet </w:t>
      </w:r>
      <w:r>
        <w:t>Georgia’s</w:t>
      </w:r>
      <w:r w:rsidRPr="008D7F59">
        <w:t xml:space="preserve"> electricity demand solely from hydropower and to increase export</w:t>
      </w:r>
      <w:r>
        <w:t>s</w:t>
      </w:r>
      <w:r w:rsidRPr="008D7F59">
        <w:t xml:space="preserve"> of excess </w:t>
      </w:r>
      <w:r>
        <w:t xml:space="preserve">supply. </w:t>
      </w:r>
      <w:r w:rsidRPr="008D7F59">
        <w:t xml:space="preserve">To achieve this, five hydropower plants are </w:t>
      </w:r>
      <w:r>
        <w:t xml:space="preserve">now </w:t>
      </w:r>
      <w:r w:rsidRPr="008D7F59">
        <w:t>under construction and contracts have been signed for another 16</w:t>
      </w:r>
      <w:r>
        <w:t>. An</w:t>
      </w:r>
      <w:r w:rsidRPr="008D7F59">
        <w:t xml:space="preserve"> addition</w:t>
      </w:r>
      <w:r>
        <w:t>al</w:t>
      </w:r>
      <w:r w:rsidRPr="008D7F59">
        <w:t xml:space="preserve"> 20 new plants </w:t>
      </w:r>
      <w:r>
        <w:t xml:space="preserve">under </w:t>
      </w:r>
      <w:r w:rsidRPr="008D7F59">
        <w:t>consider</w:t>
      </w:r>
      <w:r>
        <w:t>ation</w:t>
      </w:r>
      <w:r w:rsidRPr="008D7F59">
        <w:t xml:space="preserve"> would increase electricity generation capacity by about 3000 MW</w:t>
      </w:r>
      <w:r>
        <w:t>. This</w:t>
      </w:r>
      <w:r w:rsidRPr="008D7F59">
        <w:t xml:space="preserve"> increased capacity</w:t>
      </w:r>
      <w:r>
        <w:t>,</w:t>
      </w:r>
      <w:r w:rsidRPr="008D7F59">
        <w:t xml:space="preserve"> </w:t>
      </w:r>
      <w:r>
        <w:t>plus</w:t>
      </w:r>
      <w:r w:rsidRPr="008D7F59">
        <w:t xml:space="preserve"> </w:t>
      </w:r>
      <w:r>
        <w:t xml:space="preserve">the future </w:t>
      </w:r>
      <w:r w:rsidRPr="008D7F59">
        <w:t>completion of transmission grids</w:t>
      </w:r>
      <w:r w:rsidR="00BC704A">
        <w:t>,</w:t>
      </w:r>
      <w:r>
        <w:t xml:space="preserve"> led to G</w:t>
      </w:r>
      <w:r w:rsidRPr="008D7F59">
        <w:t>overnment expect</w:t>
      </w:r>
      <w:r>
        <w:t>ations of being able</w:t>
      </w:r>
      <w:r w:rsidRPr="008D7F59">
        <w:t xml:space="preserve"> to increase electricity exports to Turkey by as much as 10 to 15 times</w:t>
      </w:r>
      <w:r>
        <w:t xml:space="preserve"> current levels</w:t>
      </w:r>
      <w:r w:rsidRPr="008D7F59">
        <w:t>.</w:t>
      </w:r>
      <w:r w:rsidR="00B75973">
        <w:t xml:space="preserve"> </w:t>
      </w:r>
      <w:r w:rsidR="00C44A55">
        <w:t>E</w:t>
      </w:r>
      <w:r w:rsidR="000C6027">
        <w:t xml:space="preserve">lectricity production from </w:t>
      </w:r>
      <w:r w:rsidR="00C44A55">
        <w:t xml:space="preserve">hydropower </w:t>
      </w:r>
      <w:r w:rsidR="000C6027">
        <w:t xml:space="preserve">sources </w:t>
      </w:r>
      <w:r w:rsidR="00C44A55">
        <w:t>has gradually increased and makes up about 86 percent of total production</w:t>
      </w:r>
      <w:r w:rsidR="000C6027">
        <w:t xml:space="preserve">, </w:t>
      </w:r>
      <w:r w:rsidR="00C44A55">
        <w:t xml:space="preserve">but </w:t>
      </w:r>
      <w:r w:rsidR="000C6027">
        <w:t xml:space="preserve">this has not led to </w:t>
      </w:r>
      <w:r w:rsidR="00C44A55">
        <w:t>reduced</w:t>
      </w:r>
      <w:r w:rsidR="000C6027">
        <w:t xml:space="preserve"> dependence on imported energy.  </w:t>
      </w:r>
      <w:r w:rsidR="00C44A55">
        <w:t>Instead, t</w:t>
      </w:r>
      <w:r w:rsidR="000C6027">
        <w:t>he share of imported energy in overall energy use has increased and reached almost 70 percent of all energy use before the financial crisis.</w:t>
      </w:r>
      <w:r w:rsidR="000C6027" w:rsidRPr="000C6027">
        <w:rPr>
          <w:vertAlign w:val="superscript"/>
        </w:rPr>
        <w:footnoteReference w:id="1"/>
      </w:r>
    </w:p>
    <w:tbl>
      <w:tblPr>
        <w:tblStyle w:val="TableGrid"/>
        <w:tblpPr w:leftFromText="180" w:rightFromText="180" w:vertAnchor="text" w:horzAnchor="margin" w:tblpXSpec="right" w:tblpY="-1826"/>
        <w:tblW w:w="0" w:type="auto"/>
        <w:tblCellMar>
          <w:left w:w="0" w:type="dxa"/>
          <w:right w:w="0" w:type="dxa"/>
        </w:tblCellMar>
        <w:tblLook w:val="04A0"/>
      </w:tblPr>
      <w:tblGrid>
        <w:gridCol w:w="4990"/>
      </w:tblGrid>
      <w:tr w:rsidR="00934F06" w:rsidTr="00934F06">
        <w:tc>
          <w:tcPr>
            <w:tcW w:w="4450" w:type="dxa"/>
            <w:tcBorders>
              <w:top w:val="nil"/>
              <w:left w:val="nil"/>
              <w:bottom w:val="single" w:sz="4" w:space="0" w:color="auto"/>
              <w:right w:val="nil"/>
            </w:tcBorders>
          </w:tcPr>
          <w:p w:rsidR="00934F06" w:rsidRPr="003F73D9" w:rsidRDefault="00934F06" w:rsidP="00B87AB3">
            <w:pPr>
              <w:spacing w:before="120" w:after="0"/>
              <w:jc w:val="center"/>
              <w:rPr>
                <w:noProof/>
                <w:lang w:eastAsia="ko-KR" w:bidi="ar-SA"/>
              </w:rPr>
            </w:pPr>
            <w:bookmarkStart w:id="19" w:name="_Toc326892823"/>
            <w:r w:rsidRPr="00394B4B">
              <w:rPr>
                <w:b/>
                <w:sz w:val="20"/>
                <w:szCs w:val="20"/>
              </w:rPr>
              <w:t xml:space="preserve">Figure </w:t>
            </w:r>
            <w:r w:rsidR="001A7AF8" w:rsidRPr="00394B4B">
              <w:rPr>
                <w:b/>
                <w:sz w:val="20"/>
                <w:szCs w:val="20"/>
              </w:rPr>
              <w:fldChar w:fldCharType="begin"/>
            </w:r>
            <w:r w:rsidRPr="00394B4B">
              <w:rPr>
                <w:b/>
                <w:sz w:val="20"/>
                <w:szCs w:val="20"/>
              </w:rPr>
              <w:instrText xml:space="preserve"> SEQ Figure \* ARABIC </w:instrText>
            </w:r>
            <w:r w:rsidR="001A7AF8" w:rsidRPr="00394B4B">
              <w:rPr>
                <w:b/>
                <w:sz w:val="20"/>
                <w:szCs w:val="20"/>
              </w:rPr>
              <w:fldChar w:fldCharType="separate"/>
            </w:r>
            <w:r w:rsidR="00BA2792">
              <w:rPr>
                <w:b/>
                <w:noProof/>
                <w:sz w:val="20"/>
                <w:szCs w:val="20"/>
              </w:rPr>
              <w:t>2</w:t>
            </w:r>
            <w:r w:rsidR="001A7AF8" w:rsidRPr="00394B4B">
              <w:rPr>
                <w:b/>
                <w:sz w:val="20"/>
                <w:szCs w:val="20"/>
              </w:rPr>
              <w:fldChar w:fldCharType="end"/>
            </w:r>
            <w:r w:rsidRPr="00394B4B">
              <w:rPr>
                <w:sz w:val="20"/>
                <w:szCs w:val="20"/>
              </w:rPr>
              <w:t xml:space="preserve">: </w:t>
            </w:r>
            <w:r w:rsidRPr="003F73D9">
              <w:rPr>
                <w:sz w:val="20"/>
                <w:szCs w:val="20"/>
              </w:rPr>
              <w:t>Georgia’s hydropower share in overall energy production is high</w:t>
            </w:r>
            <w:bookmarkEnd w:id="19"/>
          </w:p>
        </w:tc>
      </w:tr>
      <w:tr w:rsidR="00934F06" w:rsidTr="00934F06">
        <w:tc>
          <w:tcPr>
            <w:tcW w:w="4450" w:type="dxa"/>
            <w:tcBorders>
              <w:bottom w:val="single" w:sz="4" w:space="0" w:color="auto"/>
            </w:tcBorders>
          </w:tcPr>
          <w:p w:rsidR="00934F06" w:rsidRDefault="00934F06" w:rsidP="00934F06">
            <w:pPr>
              <w:spacing w:after="0"/>
              <w:jc w:val="center"/>
            </w:pPr>
            <w:r w:rsidRPr="003F73D9">
              <w:rPr>
                <w:noProof/>
                <w:lang w:bidi="ar-SA"/>
              </w:rPr>
              <w:drawing>
                <wp:inline distT="0" distB="0" distL="0" distR="0">
                  <wp:extent cx="3162300" cy="2124075"/>
                  <wp:effectExtent l="0" t="0" r="0" b="0"/>
                  <wp:docPr id="113"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934F06" w:rsidTr="00934F06">
        <w:tc>
          <w:tcPr>
            <w:tcW w:w="4450" w:type="dxa"/>
            <w:tcBorders>
              <w:left w:val="nil"/>
              <w:bottom w:val="nil"/>
              <w:right w:val="nil"/>
            </w:tcBorders>
            <w:tcMar>
              <w:top w:w="14" w:type="dxa"/>
              <w:left w:w="43" w:type="dxa"/>
              <w:bottom w:w="14" w:type="dxa"/>
              <w:right w:w="43" w:type="dxa"/>
            </w:tcMar>
          </w:tcPr>
          <w:p w:rsidR="00934F06" w:rsidRPr="00961A10" w:rsidRDefault="00934F06" w:rsidP="00934F06">
            <w:pPr>
              <w:jc w:val="center"/>
              <w:rPr>
                <w:i/>
                <w:sz w:val="18"/>
                <w:szCs w:val="18"/>
              </w:rPr>
            </w:pPr>
            <w:r w:rsidRPr="00961A10">
              <w:rPr>
                <w:i/>
                <w:sz w:val="18"/>
                <w:szCs w:val="18"/>
              </w:rPr>
              <w:t>Source: World Bank Development Indicators 2011</w:t>
            </w:r>
          </w:p>
        </w:tc>
      </w:tr>
    </w:tbl>
    <w:p w:rsidR="00AD73F3" w:rsidRDefault="007E2E5B" w:rsidP="007E2E5B">
      <w:pPr>
        <w:spacing w:before="180"/>
        <w:rPr>
          <w:b/>
          <w:i/>
        </w:rPr>
      </w:pPr>
      <w:r>
        <w:rPr>
          <w:b/>
          <w:i/>
        </w:rPr>
        <w:t>Negative Impacts of Road Transport on the Global and Local Environmental</w:t>
      </w:r>
    </w:p>
    <w:p w:rsidR="007E2E5B" w:rsidRPr="007E2E5B" w:rsidRDefault="007E2E5B" w:rsidP="00934F06">
      <w:r>
        <w:rPr>
          <w:b/>
        </w:rPr>
        <w:t>Greening transportation would lower greenhouse gas emissions from road transport, contributing to the global public goods</w:t>
      </w:r>
      <w:r w:rsidRPr="007E2E5B">
        <w:t xml:space="preserve">.  </w:t>
      </w:r>
      <w:r>
        <w:t>Transport sector accounts for about 40 percent of Georgia’s CO</w:t>
      </w:r>
      <w:r w:rsidRPr="00C21C25">
        <w:rPr>
          <w:vertAlign w:val="subscript"/>
        </w:rPr>
        <w:t>2</w:t>
      </w:r>
      <w:r>
        <w:t xml:space="preserve"> emissions.  According to </w:t>
      </w:r>
      <w:r w:rsidR="00D93B9E">
        <w:t>International Energy Agency (</w:t>
      </w:r>
      <w:r>
        <w:t>IEA</w:t>
      </w:r>
      <w:r w:rsidR="00D93B9E">
        <w:t>)</w:t>
      </w:r>
      <w:r>
        <w:t xml:space="preserve">, </w:t>
      </w:r>
      <w:r w:rsidR="00B87AB3">
        <w:t xml:space="preserve">in 2009, CO2 emissions from road transport were 2 million tons and other transport sectors 0.2 million tons, of the total of 5.7 million tons. </w:t>
      </w:r>
      <w:r>
        <w:t xml:space="preserve"> </w:t>
      </w:r>
      <w:r w:rsidR="00B87AB3">
        <w:t>T</w:t>
      </w:r>
      <w:r>
        <w:t>he share of transport sector is expected to grow as mitigation in other sectors, such as building and industry, is relatively easier.</w:t>
      </w:r>
    </w:p>
    <w:p w:rsidR="00934F06" w:rsidRDefault="007E2E5B" w:rsidP="00934F06">
      <w:r>
        <w:rPr>
          <w:b/>
        </w:rPr>
        <w:t xml:space="preserve">Also </w:t>
      </w:r>
      <w:r w:rsidR="00934F06" w:rsidRPr="00706C95">
        <w:rPr>
          <w:b/>
        </w:rPr>
        <w:t>lower</w:t>
      </w:r>
      <w:r>
        <w:rPr>
          <w:b/>
        </w:rPr>
        <w:t>ed would be</w:t>
      </w:r>
      <w:r w:rsidR="00934F06" w:rsidRPr="00706C95">
        <w:rPr>
          <w:b/>
        </w:rPr>
        <w:t xml:space="preserve"> </w:t>
      </w:r>
      <w:r w:rsidR="00934F06">
        <w:rPr>
          <w:b/>
        </w:rPr>
        <w:t>vehicle</w:t>
      </w:r>
      <w:r w:rsidR="00934F06" w:rsidRPr="00706C95">
        <w:rPr>
          <w:b/>
        </w:rPr>
        <w:t xml:space="preserve"> emissions of </w:t>
      </w:r>
      <w:r w:rsidR="00934F06">
        <w:rPr>
          <w:b/>
        </w:rPr>
        <w:t>major</w:t>
      </w:r>
      <w:r w:rsidR="00934F06" w:rsidRPr="00706C95">
        <w:rPr>
          <w:b/>
        </w:rPr>
        <w:t xml:space="preserve"> local</w:t>
      </w:r>
      <w:r w:rsidR="00934F06">
        <w:rPr>
          <w:b/>
        </w:rPr>
        <w:t xml:space="preserve"> air pollutants thereby </w:t>
      </w:r>
      <w:r w:rsidR="00934F06" w:rsidRPr="00706C95">
        <w:rPr>
          <w:b/>
        </w:rPr>
        <w:t>reduc</w:t>
      </w:r>
      <w:r w:rsidR="00934F06">
        <w:rPr>
          <w:b/>
        </w:rPr>
        <w:t>ing</w:t>
      </w:r>
      <w:r w:rsidR="00934F06" w:rsidRPr="00706C95">
        <w:rPr>
          <w:b/>
        </w:rPr>
        <w:t xml:space="preserve"> health costs and improv</w:t>
      </w:r>
      <w:r w:rsidR="00934F06">
        <w:rPr>
          <w:b/>
        </w:rPr>
        <w:t>ing</w:t>
      </w:r>
      <w:r w:rsidR="00934F06" w:rsidRPr="00706C95">
        <w:rPr>
          <w:b/>
        </w:rPr>
        <w:t xml:space="preserve"> </w:t>
      </w:r>
      <w:r w:rsidR="00934F06">
        <w:rPr>
          <w:b/>
        </w:rPr>
        <w:t xml:space="preserve">the </w:t>
      </w:r>
      <w:r w:rsidR="00934F06" w:rsidRPr="00706C95">
        <w:rPr>
          <w:b/>
        </w:rPr>
        <w:t xml:space="preserve">quality of life for </w:t>
      </w:r>
      <w:r w:rsidR="00934F06">
        <w:rPr>
          <w:b/>
        </w:rPr>
        <w:t xml:space="preserve">Georgians. </w:t>
      </w:r>
      <w:r w:rsidR="00934F06" w:rsidRPr="00AE79B6">
        <w:t>I</w:t>
      </w:r>
      <w:r w:rsidR="00934F06">
        <w:t>n Georgia</w:t>
      </w:r>
      <w:r w:rsidR="00934F06" w:rsidRPr="00706C95" w:rsidDel="00AE79B6">
        <w:rPr>
          <w:b/>
        </w:rPr>
        <w:t xml:space="preserve"> </w:t>
      </w:r>
      <w:r w:rsidR="00934F06">
        <w:t>the main source of air pollution</w:t>
      </w:r>
      <w:r w:rsidR="00934F06" w:rsidRPr="00706C95" w:rsidDel="00AE79B6">
        <w:rPr>
          <w:b/>
        </w:rPr>
        <w:t xml:space="preserve"> </w:t>
      </w:r>
      <w:r w:rsidR="00934F06" w:rsidRPr="00DB5904">
        <w:t>is</w:t>
      </w:r>
      <w:r w:rsidR="00934F06">
        <w:rPr>
          <w:b/>
        </w:rPr>
        <w:t xml:space="preserve"> </w:t>
      </w:r>
      <w:r w:rsidR="00934F06">
        <w:t>road transport</w:t>
      </w:r>
      <w:r w:rsidR="00AB1574">
        <w:t>,</w:t>
      </w:r>
      <w:r w:rsidR="00AB1574">
        <w:rPr>
          <w:rStyle w:val="FootnoteReference"/>
        </w:rPr>
        <w:t xml:space="preserve"> </w:t>
      </w:r>
      <w:r w:rsidR="00934F06">
        <w:t xml:space="preserve">which emits a major and growing share of most pollutants, including </w:t>
      </w:r>
      <w:r w:rsidR="00934F06" w:rsidRPr="00946C94">
        <w:t>carbon monoxide (CO), hydrocarbons (volatile organic compounds and methane), nitrogen oxides (NO</w:t>
      </w:r>
      <w:r w:rsidR="00934F06" w:rsidRPr="0090309E">
        <w:rPr>
          <w:vertAlign w:val="subscript"/>
        </w:rPr>
        <w:t>x</w:t>
      </w:r>
      <w:r w:rsidR="00934F06" w:rsidRPr="00946C94">
        <w:t>), sulfur dioxide (SO</w:t>
      </w:r>
      <w:r w:rsidR="00934F06" w:rsidRPr="00946C94">
        <w:rPr>
          <w:vertAlign w:val="subscript"/>
        </w:rPr>
        <w:t>2</w:t>
      </w:r>
      <w:r w:rsidR="00934F06" w:rsidRPr="00946C94">
        <w:t xml:space="preserve">), soot, benzopyrene and </w:t>
      </w:r>
      <w:r w:rsidR="00C21C25">
        <w:t xml:space="preserve">particulate matter </w:t>
      </w:r>
      <w:r w:rsidR="00934F06" w:rsidRPr="00946C94">
        <w:t>(</w:t>
      </w:r>
      <w:r w:rsidR="00C21C25">
        <w:t>PM</w:t>
      </w:r>
      <w:r w:rsidR="00934F06" w:rsidRPr="00946C94">
        <w:t>)</w:t>
      </w:r>
      <w:r w:rsidR="00934F06">
        <w:t xml:space="preserve"> </w:t>
      </w:r>
      <w:r w:rsidR="00934F06" w:rsidRPr="00840C6F">
        <w:t>(</w:t>
      </w:r>
      <w:fldSimple w:instr=" REF _Ref306789259 \h  \* MERGEFORMAT ">
        <w:r w:rsidR="00BA2792" w:rsidRPr="00BA2792">
          <w:t>Figure 3</w:t>
        </w:r>
      </w:fldSimple>
      <w:r w:rsidR="00934F06" w:rsidRPr="00840C6F">
        <w:t>)</w:t>
      </w:r>
      <w:r w:rsidR="00934F06">
        <w:t>. These pollutants are present in areas with intensive traffic</w:t>
      </w:r>
      <w:r w:rsidR="00934F06">
        <w:sym w:font="Symbol" w:char="F0BE"/>
      </w:r>
      <w:r w:rsidR="00934F06">
        <w:t>large urban areas and along main road corridors</w:t>
      </w:r>
      <w:r w:rsidR="00934F06">
        <w:sym w:font="Symbol" w:char="F0BE"/>
      </w:r>
      <w:r w:rsidR="00934F06">
        <w:t>most acutely observed in Tbilisi, where emissions of these pollutants i</w:t>
      </w:r>
      <w:r w:rsidR="00C21C25">
        <w:t xml:space="preserve">ncur substantial health costs. </w:t>
      </w:r>
      <w:r w:rsidR="00934F06">
        <w:t>They contribute to eye irritation, respiratory diseases, cardio-pulmonary damage and premature death.</w:t>
      </w:r>
      <w:r w:rsidR="00934F06" w:rsidRPr="00D52E8D">
        <w:rPr>
          <w:vertAlign w:val="superscript"/>
        </w:rPr>
        <w:footnoteReference w:id="2"/>
      </w:r>
      <w:r w:rsidR="00934F06">
        <w:t xml:space="preserve"> A comparative example is Mexico City; a World Bank study estimated that reducing local ozone concentrations and emissions of particulate matters by only 10 percent would save annual health costs up to US$1,607 million for Mexico City </w:t>
      </w:r>
      <w:r w:rsidR="00934F06">
        <w:lastRenderedPageBreak/>
        <w:t>metropolitan area.</w:t>
      </w:r>
      <w:r w:rsidR="00934F06">
        <w:rPr>
          <w:rStyle w:val="FootnoteReference"/>
        </w:rPr>
        <w:footnoteReference w:id="3"/>
      </w:r>
      <w:r w:rsidR="00934F06">
        <w:t xml:space="preserve">  Although Georgia’s cities have lower levels of individual vehicle use,</w:t>
      </w:r>
      <w:r w:rsidR="00934F06" w:rsidRPr="00240468">
        <w:t xml:space="preserve"> </w:t>
      </w:r>
      <w:r w:rsidR="00934F06">
        <w:t>minibus fleets have high emission intensity, contribute to congestion and disrupt traffic; emissions from other vehicles are also rising.</w:t>
      </w:r>
    </w:p>
    <w:tbl>
      <w:tblPr>
        <w:tblStyle w:val="TableGrid"/>
        <w:tblW w:w="0" w:type="auto"/>
        <w:jc w:val="center"/>
        <w:tblInd w:w="-43" w:type="dxa"/>
        <w:tblCellMar>
          <w:left w:w="0" w:type="dxa"/>
          <w:right w:w="0" w:type="dxa"/>
        </w:tblCellMar>
        <w:tblLook w:val="04A0"/>
      </w:tblPr>
      <w:tblGrid>
        <w:gridCol w:w="4543"/>
        <w:gridCol w:w="4543"/>
      </w:tblGrid>
      <w:tr w:rsidR="00934F06" w:rsidTr="00934F06">
        <w:trPr>
          <w:jc w:val="center"/>
        </w:trPr>
        <w:tc>
          <w:tcPr>
            <w:tcW w:w="9086" w:type="dxa"/>
            <w:gridSpan w:val="2"/>
            <w:tcBorders>
              <w:top w:val="nil"/>
              <w:left w:val="nil"/>
              <w:right w:val="nil"/>
            </w:tcBorders>
          </w:tcPr>
          <w:p w:rsidR="00934F06" w:rsidRDefault="00934F06" w:rsidP="00C44A55">
            <w:pPr>
              <w:keepNext/>
              <w:spacing w:after="0"/>
              <w:jc w:val="center"/>
              <w:rPr>
                <w:noProof/>
                <w:lang w:eastAsia="ko-KR" w:bidi="ar-SA"/>
              </w:rPr>
            </w:pPr>
            <w:bookmarkStart w:id="20" w:name="_Ref306789259"/>
            <w:bookmarkStart w:id="21" w:name="_Toc326892824"/>
            <w:r w:rsidRPr="00394B4B">
              <w:rPr>
                <w:b/>
                <w:sz w:val="20"/>
                <w:szCs w:val="20"/>
              </w:rPr>
              <w:t xml:space="preserve">Figure </w:t>
            </w:r>
            <w:r w:rsidR="001A7AF8" w:rsidRPr="00394B4B">
              <w:rPr>
                <w:b/>
                <w:sz w:val="20"/>
                <w:szCs w:val="20"/>
              </w:rPr>
              <w:fldChar w:fldCharType="begin"/>
            </w:r>
            <w:r w:rsidRPr="00394B4B">
              <w:rPr>
                <w:b/>
                <w:sz w:val="20"/>
                <w:szCs w:val="20"/>
              </w:rPr>
              <w:instrText xml:space="preserve"> SEQ Figure \* ARABIC </w:instrText>
            </w:r>
            <w:r w:rsidR="001A7AF8" w:rsidRPr="00394B4B">
              <w:rPr>
                <w:b/>
                <w:sz w:val="20"/>
                <w:szCs w:val="20"/>
              </w:rPr>
              <w:fldChar w:fldCharType="separate"/>
            </w:r>
            <w:r w:rsidR="00BA2792">
              <w:rPr>
                <w:b/>
                <w:noProof/>
                <w:sz w:val="20"/>
                <w:szCs w:val="20"/>
              </w:rPr>
              <w:t>3</w:t>
            </w:r>
            <w:r w:rsidR="001A7AF8" w:rsidRPr="00394B4B">
              <w:rPr>
                <w:b/>
                <w:sz w:val="20"/>
                <w:szCs w:val="20"/>
              </w:rPr>
              <w:fldChar w:fldCharType="end"/>
            </w:r>
            <w:bookmarkEnd w:id="20"/>
            <w:r w:rsidRPr="00394B4B">
              <w:rPr>
                <w:sz w:val="20"/>
                <w:szCs w:val="20"/>
              </w:rPr>
              <w:t xml:space="preserve">: </w:t>
            </w:r>
            <w:r>
              <w:rPr>
                <w:sz w:val="20"/>
                <w:szCs w:val="20"/>
              </w:rPr>
              <w:t xml:space="preserve">Road Transport is Responsible for </w:t>
            </w:r>
            <w:r w:rsidR="00C44A55">
              <w:rPr>
                <w:sz w:val="20"/>
                <w:szCs w:val="20"/>
              </w:rPr>
              <w:t>a</w:t>
            </w:r>
            <w:r>
              <w:rPr>
                <w:sz w:val="20"/>
                <w:szCs w:val="20"/>
              </w:rPr>
              <w:t xml:space="preserve"> Major</w:t>
            </w:r>
            <w:r w:rsidR="00C44A55">
              <w:rPr>
                <w:sz w:val="20"/>
                <w:szCs w:val="20"/>
              </w:rPr>
              <w:t xml:space="preserve"> </w:t>
            </w:r>
            <w:r>
              <w:rPr>
                <w:sz w:val="20"/>
                <w:szCs w:val="20"/>
              </w:rPr>
              <w:t>and Growing Share of Emissions</w:t>
            </w:r>
            <w:bookmarkEnd w:id="21"/>
          </w:p>
        </w:tc>
      </w:tr>
      <w:tr w:rsidR="00934F06" w:rsidTr="00934F06">
        <w:trPr>
          <w:jc w:val="center"/>
        </w:trPr>
        <w:tc>
          <w:tcPr>
            <w:tcW w:w="4543" w:type="dxa"/>
          </w:tcPr>
          <w:p w:rsidR="00934F06" w:rsidRPr="000A31B2" w:rsidRDefault="001A7AF8" w:rsidP="004353B0">
            <w:pPr>
              <w:spacing w:after="0"/>
              <w:rPr>
                <w:b/>
                <w:i/>
                <w:noProof/>
                <w:lang w:eastAsia="ko-KR" w:bidi="ar-SA"/>
              </w:rPr>
            </w:pPr>
            <w:r w:rsidRPr="001A7AF8">
              <w:rPr>
                <w:noProof/>
                <w:lang w:eastAsia="ko-KR" w:bidi="ar-SA"/>
              </w:rPr>
              <w:pict>
                <v:shapetype id="_x0000_t202" coordsize="21600,21600" o:spt="202" path="m,l,21600r21600,l21600,xe">
                  <v:stroke joinstyle="miter"/>
                  <v:path gradientshapeok="t" o:connecttype="rect"/>
                </v:shapetype>
                <v:shape id="_x0000_s1117" type="#_x0000_t202" style="position:absolute;left:0;text-align:left;margin-left:30.3pt;margin-top:4.25pt;width:119.25pt;height:25.5pt;z-index:251677184;mso-position-horizontal-relative:text;mso-position-vertical-relative:text" filled="f" stroked="f">
                  <v:textbox style="mso-next-textbox:#_x0000_s1117">
                    <w:txbxContent>
                      <w:p w:rsidR="005E7173" w:rsidRPr="000C0F37" w:rsidRDefault="005E7173" w:rsidP="00FD0D50">
                        <w:pPr>
                          <w:rPr>
                            <w:rFonts w:asciiTheme="minorHAnsi" w:hAnsiTheme="minorHAnsi"/>
                            <w:b/>
                            <w:sz w:val="20"/>
                            <w:szCs w:val="20"/>
                          </w:rPr>
                        </w:pPr>
                        <w:r>
                          <w:rPr>
                            <w:rFonts w:asciiTheme="minorHAnsi" w:hAnsiTheme="minorHAnsi"/>
                            <w:b/>
                            <w:sz w:val="20"/>
                            <w:szCs w:val="20"/>
                          </w:rPr>
                          <w:t>C</w:t>
                        </w:r>
                        <w:r w:rsidRPr="000C0F37">
                          <w:rPr>
                            <w:rFonts w:asciiTheme="minorHAnsi" w:hAnsiTheme="minorHAnsi"/>
                            <w:b/>
                            <w:sz w:val="20"/>
                            <w:szCs w:val="20"/>
                          </w:rPr>
                          <w:t>O Emission</w:t>
                        </w:r>
                        <w:r>
                          <w:rPr>
                            <w:rFonts w:asciiTheme="minorHAnsi" w:hAnsiTheme="minorHAnsi"/>
                            <w:b/>
                            <w:sz w:val="20"/>
                            <w:szCs w:val="20"/>
                          </w:rPr>
                          <w:t>s</w:t>
                        </w:r>
                        <w:r w:rsidRPr="000C0F37">
                          <w:rPr>
                            <w:rFonts w:asciiTheme="minorHAnsi" w:hAnsiTheme="minorHAnsi"/>
                            <w:b/>
                            <w:sz w:val="20"/>
                            <w:szCs w:val="20"/>
                          </w:rPr>
                          <w:t xml:space="preserve"> by Sector</w:t>
                        </w:r>
                      </w:p>
                    </w:txbxContent>
                  </v:textbox>
                </v:shape>
              </w:pict>
            </w:r>
            <w:r w:rsidR="00934F06" w:rsidRPr="002417C3">
              <w:rPr>
                <w:noProof/>
                <w:lang w:bidi="ar-SA"/>
              </w:rPr>
              <w:drawing>
                <wp:inline distT="0" distB="0" distL="0" distR="0">
                  <wp:extent cx="2830659" cy="1457325"/>
                  <wp:effectExtent l="19050" t="0" r="7791" b="0"/>
                  <wp:docPr id="10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screen">
                            <a:lum bright="-29000" contrast="45000"/>
                          </a:blip>
                          <a:srcRect b="22951"/>
                          <a:stretch>
                            <a:fillRect/>
                          </a:stretch>
                        </pic:blipFill>
                        <pic:spPr bwMode="auto">
                          <a:xfrm>
                            <a:off x="0" y="0"/>
                            <a:ext cx="2830659" cy="1457325"/>
                          </a:xfrm>
                          <a:prstGeom prst="rect">
                            <a:avLst/>
                          </a:prstGeom>
                          <a:noFill/>
                          <a:ln w="9525">
                            <a:noFill/>
                            <a:miter lim="800000"/>
                            <a:headEnd/>
                            <a:tailEnd/>
                          </a:ln>
                        </pic:spPr>
                      </pic:pic>
                    </a:graphicData>
                  </a:graphic>
                </wp:inline>
              </w:drawing>
            </w:r>
          </w:p>
        </w:tc>
        <w:tc>
          <w:tcPr>
            <w:tcW w:w="4543" w:type="dxa"/>
          </w:tcPr>
          <w:p w:rsidR="00934F06" w:rsidRDefault="001A7AF8" w:rsidP="004353B0">
            <w:pPr>
              <w:spacing w:after="0"/>
            </w:pPr>
            <w:r w:rsidRPr="001A7AF8">
              <w:rPr>
                <w:b/>
                <w:i/>
                <w:noProof/>
                <w:lang w:eastAsia="ko-KR" w:bidi="ar-SA"/>
              </w:rPr>
              <w:pict>
                <v:group id="_x0000_s1120" style="position:absolute;left:0;text-align:left;margin-left:34.5pt;margin-top:28.25pt;width:164.45pt;height:55.8pt;z-index:251680256;mso-position-horizontal-relative:text;mso-position-vertical-relative:text" coordorigin="6957,8259" coordsize="3289,1116">
                  <v:shape id="_x0000_s1121" type="#_x0000_t202" style="position:absolute;left:9058;top:9015;width:1188;height:360" filled="f" fillcolor="white [3212]" stroked="f">
                    <v:textbox style="mso-next-textbox:#_x0000_s1121" inset="0,0,0,0">
                      <w:txbxContent>
                        <w:p w:rsidR="005E7173" w:rsidRPr="00CA016A" w:rsidRDefault="005E7173" w:rsidP="003D6114">
                          <w:pPr>
                            <w:spacing w:after="0"/>
                            <w:rPr>
                              <w:rFonts w:asciiTheme="minorHAnsi" w:hAnsiTheme="minorHAnsi"/>
                              <w:b/>
                              <w:sz w:val="18"/>
                              <w:szCs w:val="18"/>
                            </w:rPr>
                          </w:pPr>
                          <w:r w:rsidRPr="00CA016A">
                            <w:rPr>
                              <w:rFonts w:asciiTheme="minorHAnsi" w:hAnsiTheme="minorHAnsi"/>
                              <w:b/>
                              <w:sz w:val="18"/>
                              <w:szCs w:val="18"/>
                            </w:rPr>
                            <w:t>Road Transport</w:t>
                          </w:r>
                        </w:p>
                      </w:txbxContent>
                    </v:textbox>
                  </v:shape>
                  <v:group id="_x0000_s1122" style="position:absolute;left:7362;top:8259;width:1473;height:270" coordorigin="7362,8259" coordsize="1473,270">
                    <v:shape id="_x0000_s1123" type="#_x0000_t202" style="position:absolute;left:7362;top:8259;width:838;height:270" fillcolor="white [3212]" stroked="f">
                      <v:textbox style="mso-next-textbox:#_x0000_s1123" inset="0,0,0,0">
                        <w:txbxContent>
                          <w:p w:rsidR="005E7173" w:rsidRPr="00CA016A" w:rsidRDefault="005E7173" w:rsidP="003D6114">
                            <w:pPr>
                              <w:spacing w:after="0"/>
                              <w:jc w:val="right"/>
                              <w:rPr>
                                <w:rFonts w:asciiTheme="minorHAnsi" w:hAnsiTheme="minorHAnsi"/>
                                <w:b/>
                                <w:sz w:val="18"/>
                                <w:szCs w:val="18"/>
                              </w:rPr>
                            </w:pPr>
                            <w:r>
                              <w:rPr>
                                <w:rFonts w:asciiTheme="minorHAnsi" w:hAnsiTheme="minorHAnsi"/>
                                <w:b/>
                                <w:sz w:val="18"/>
                                <w:szCs w:val="18"/>
                              </w:rPr>
                              <w:t>Industry</w:t>
                            </w:r>
                          </w:p>
                        </w:txbxContent>
                      </v:textbox>
                    </v:shape>
                    <v:shapetype id="_x0000_t32" coordsize="21600,21600" o:spt="32" o:oned="t" path="m,l21600,21600e" filled="f">
                      <v:path arrowok="t" fillok="f" o:connecttype="none"/>
                      <o:lock v:ext="edit" shapetype="t"/>
                    </v:shapetype>
                    <v:shape id="_x0000_s1124" type="#_x0000_t32" style="position:absolute;left:8220;top:8385;width:615;height:75" o:connectortype="straight">
                      <v:stroke endarrow="block"/>
                    </v:shape>
                  </v:group>
                  <v:group id="_x0000_s1125" style="position:absolute;left:6957;top:8670;width:1473;height:285" coordorigin="6957,8670" coordsize="1473,285">
                    <v:shape id="_x0000_s1126" type="#_x0000_t202" style="position:absolute;left:6957;top:8670;width:838;height:270" fillcolor="white [3212]" stroked="f">
                      <v:textbox style="mso-next-textbox:#_x0000_s1126" inset="0,0,0,0">
                        <w:txbxContent>
                          <w:p w:rsidR="005E7173" w:rsidRPr="00CA016A" w:rsidRDefault="005E7173" w:rsidP="003D6114">
                            <w:pPr>
                              <w:spacing w:after="0"/>
                              <w:jc w:val="right"/>
                              <w:rPr>
                                <w:rFonts w:asciiTheme="minorHAnsi" w:hAnsiTheme="minorHAnsi"/>
                                <w:b/>
                                <w:sz w:val="18"/>
                                <w:szCs w:val="18"/>
                              </w:rPr>
                            </w:pPr>
                            <w:r w:rsidRPr="00CA016A">
                              <w:rPr>
                                <w:rFonts w:asciiTheme="minorHAnsi" w:hAnsiTheme="minorHAnsi"/>
                                <w:b/>
                                <w:sz w:val="18"/>
                                <w:szCs w:val="18"/>
                              </w:rPr>
                              <w:t>Energy</w:t>
                            </w:r>
                          </w:p>
                        </w:txbxContent>
                      </v:textbox>
                    </v:shape>
                    <v:shape id="_x0000_s1127" type="#_x0000_t32" style="position:absolute;left:7815;top:8790;width:615;height:165" o:connectortype="straight">
                      <v:stroke endarrow="block"/>
                    </v:shape>
                  </v:group>
                </v:group>
              </w:pict>
            </w:r>
            <w:r>
              <w:rPr>
                <w:noProof/>
                <w:lang w:eastAsia="ko-KR" w:bidi="ar-SA"/>
              </w:rPr>
              <w:pict>
                <v:shape id="_x0000_s1118" type="#_x0000_t202" style="position:absolute;left:0;text-align:left;margin-left:30pt;margin-top:4.25pt;width:119.25pt;height:25.5pt;z-index:251678208;mso-position-horizontal-relative:text;mso-position-vertical-relative:text" stroked="f">
                  <v:textbox style="mso-next-textbox:#_x0000_s1118">
                    <w:txbxContent>
                      <w:p w:rsidR="005E7173" w:rsidRPr="000C0F37" w:rsidRDefault="005E7173" w:rsidP="00FD0D50">
                        <w:pPr>
                          <w:rPr>
                            <w:rFonts w:asciiTheme="minorHAnsi" w:hAnsiTheme="minorHAnsi"/>
                            <w:b/>
                            <w:sz w:val="20"/>
                            <w:szCs w:val="20"/>
                          </w:rPr>
                        </w:pPr>
                        <w:r w:rsidRPr="000C0F37">
                          <w:rPr>
                            <w:rFonts w:asciiTheme="minorHAnsi" w:hAnsiTheme="minorHAnsi"/>
                            <w:b/>
                            <w:sz w:val="20"/>
                            <w:szCs w:val="20"/>
                          </w:rPr>
                          <w:t>NO Emission</w:t>
                        </w:r>
                        <w:r>
                          <w:rPr>
                            <w:rFonts w:asciiTheme="minorHAnsi" w:hAnsiTheme="minorHAnsi"/>
                            <w:b/>
                            <w:sz w:val="20"/>
                            <w:szCs w:val="20"/>
                          </w:rPr>
                          <w:t>s</w:t>
                        </w:r>
                        <w:r w:rsidRPr="000C0F37">
                          <w:rPr>
                            <w:rFonts w:asciiTheme="minorHAnsi" w:hAnsiTheme="minorHAnsi"/>
                            <w:b/>
                            <w:sz w:val="20"/>
                            <w:szCs w:val="20"/>
                          </w:rPr>
                          <w:t xml:space="preserve"> by Sector</w:t>
                        </w:r>
                      </w:p>
                    </w:txbxContent>
                  </v:textbox>
                </v:shape>
              </w:pict>
            </w:r>
            <w:r w:rsidR="00934F06" w:rsidRPr="002417C3">
              <w:rPr>
                <w:noProof/>
                <w:lang w:bidi="ar-SA"/>
              </w:rPr>
              <w:drawing>
                <wp:inline distT="0" distB="0" distL="0" distR="0">
                  <wp:extent cx="2808796" cy="1457325"/>
                  <wp:effectExtent l="19050" t="0" r="0" b="0"/>
                  <wp:docPr id="10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screen">
                            <a:lum bright="-29000" contrast="45000"/>
                          </a:blip>
                          <a:srcRect r="1606" b="20310"/>
                          <a:stretch>
                            <a:fillRect/>
                          </a:stretch>
                        </pic:blipFill>
                        <pic:spPr bwMode="auto">
                          <a:xfrm>
                            <a:off x="0" y="0"/>
                            <a:ext cx="2815367" cy="1460735"/>
                          </a:xfrm>
                          <a:prstGeom prst="rect">
                            <a:avLst/>
                          </a:prstGeom>
                          <a:noFill/>
                          <a:ln w="9525">
                            <a:noFill/>
                            <a:miter lim="800000"/>
                            <a:headEnd/>
                            <a:tailEnd/>
                          </a:ln>
                        </pic:spPr>
                      </pic:pic>
                    </a:graphicData>
                  </a:graphic>
                </wp:inline>
              </w:drawing>
            </w:r>
          </w:p>
        </w:tc>
      </w:tr>
      <w:tr w:rsidR="009475B2" w:rsidTr="007F2695">
        <w:trPr>
          <w:jc w:val="center"/>
        </w:trPr>
        <w:tc>
          <w:tcPr>
            <w:tcW w:w="4543" w:type="dxa"/>
            <w:tcBorders>
              <w:bottom w:val="single" w:sz="4" w:space="0" w:color="auto"/>
            </w:tcBorders>
          </w:tcPr>
          <w:p w:rsidR="009475B2" w:rsidRDefault="001A7AF8" w:rsidP="00934F06">
            <w:pPr>
              <w:spacing w:after="0"/>
              <w:jc w:val="center"/>
              <w:rPr>
                <w:noProof/>
                <w:lang w:eastAsia="ko-KR" w:bidi="ar-SA"/>
              </w:rPr>
            </w:pPr>
            <w:r>
              <w:rPr>
                <w:noProof/>
                <w:lang w:eastAsia="ko-KR" w:bidi="ar-SA"/>
              </w:rPr>
              <w:pict>
                <v:shape id="_x0000_s1137" type="#_x0000_t202" style="position:absolute;left:0;text-align:left;margin-left:33.65pt;margin-top:8.2pt;width:119.25pt;height:25.5pt;z-index:251686400;mso-position-horizontal-relative:text;mso-position-vertical-relative:text" filled="f" stroked="f">
                  <v:textbox style="mso-next-textbox:#_x0000_s1137">
                    <w:txbxContent>
                      <w:p w:rsidR="005E7173" w:rsidRPr="000C0F37" w:rsidRDefault="005E7173" w:rsidP="00FD0D50">
                        <w:pPr>
                          <w:rPr>
                            <w:rFonts w:asciiTheme="minorHAnsi" w:hAnsiTheme="minorHAnsi"/>
                            <w:b/>
                            <w:sz w:val="20"/>
                            <w:szCs w:val="20"/>
                          </w:rPr>
                        </w:pPr>
                        <w:r>
                          <w:rPr>
                            <w:rFonts w:asciiTheme="minorHAnsi" w:hAnsiTheme="minorHAnsi"/>
                            <w:b/>
                            <w:sz w:val="20"/>
                            <w:szCs w:val="20"/>
                          </w:rPr>
                          <w:t>S</w:t>
                        </w:r>
                        <w:r w:rsidRPr="000C0F37">
                          <w:rPr>
                            <w:rFonts w:asciiTheme="minorHAnsi" w:hAnsiTheme="minorHAnsi"/>
                            <w:b/>
                            <w:sz w:val="20"/>
                            <w:szCs w:val="20"/>
                          </w:rPr>
                          <w:t>O</w:t>
                        </w:r>
                        <w:r w:rsidRPr="000C0F37">
                          <w:rPr>
                            <w:rFonts w:asciiTheme="minorHAnsi" w:hAnsiTheme="minorHAnsi"/>
                            <w:b/>
                            <w:sz w:val="20"/>
                            <w:szCs w:val="20"/>
                            <w:vertAlign w:val="subscript"/>
                          </w:rPr>
                          <w:t>2</w:t>
                        </w:r>
                        <w:r w:rsidRPr="000C0F37">
                          <w:rPr>
                            <w:rFonts w:asciiTheme="minorHAnsi" w:hAnsiTheme="minorHAnsi"/>
                            <w:b/>
                            <w:sz w:val="20"/>
                            <w:szCs w:val="20"/>
                          </w:rPr>
                          <w:t xml:space="preserve"> Emission</w:t>
                        </w:r>
                        <w:r>
                          <w:rPr>
                            <w:rFonts w:asciiTheme="minorHAnsi" w:hAnsiTheme="minorHAnsi"/>
                            <w:b/>
                            <w:sz w:val="20"/>
                            <w:szCs w:val="20"/>
                          </w:rPr>
                          <w:t>s</w:t>
                        </w:r>
                        <w:r w:rsidRPr="000C0F37">
                          <w:rPr>
                            <w:rFonts w:asciiTheme="minorHAnsi" w:hAnsiTheme="minorHAnsi"/>
                            <w:b/>
                            <w:sz w:val="20"/>
                            <w:szCs w:val="20"/>
                          </w:rPr>
                          <w:t xml:space="preserve"> by Sector</w:t>
                        </w:r>
                      </w:p>
                    </w:txbxContent>
                  </v:textbox>
                </v:shape>
              </w:pict>
            </w:r>
            <w:r w:rsidR="009475B2" w:rsidRPr="002417C3">
              <w:rPr>
                <w:noProof/>
                <w:lang w:bidi="ar-SA"/>
              </w:rPr>
              <w:drawing>
                <wp:inline distT="0" distB="0" distL="0" distR="0">
                  <wp:extent cx="2816041" cy="1419225"/>
                  <wp:effectExtent l="19050" t="0" r="3359" b="0"/>
                  <wp:docPr id="107"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screen">
                            <a:lum bright="-29000" contrast="45000"/>
                          </a:blip>
                          <a:srcRect b="21721"/>
                          <a:stretch>
                            <a:fillRect/>
                          </a:stretch>
                        </pic:blipFill>
                        <pic:spPr bwMode="auto">
                          <a:xfrm>
                            <a:off x="0" y="0"/>
                            <a:ext cx="2819301" cy="1420868"/>
                          </a:xfrm>
                          <a:prstGeom prst="rect">
                            <a:avLst/>
                          </a:prstGeom>
                          <a:noFill/>
                          <a:ln w="9525">
                            <a:noFill/>
                            <a:miter lim="800000"/>
                            <a:headEnd/>
                            <a:tailEnd/>
                          </a:ln>
                        </pic:spPr>
                      </pic:pic>
                    </a:graphicData>
                  </a:graphic>
                </wp:inline>
              </w:drawing>
            </w:r>
          </w:p>
        </w:tc>
        <w:tc>
          <w:tcPr>
            <w:tcW w:w="4543" w:type="dxa"/>
            <w:tcBorders>
              <w:bottom w:val="single" w:sz="4" w:space="0" w:color="auto"/>
            </w:tcBorders>
          </w:tcPr>
          <w:p w:rsidR="009475B2" w:rsidRDefault="001A7AF8" w:rsidP="00934F06">
            <w:pPr>
              <w:spacing w:after="0"/>
              <w:jc w:val="center"/>
              <w:rPr>
                <w:noProof/>
                <w:lang w:eastAsia="ko-KR" w:bidi="ar-SA"/>
              </w:rPr>
            </w:pPr>
            <w:r>
              <w:rPr>
                <w:noProof/>
                <w:lang w:eastAsia="ko-KR" w:bidi="ar-SA"/>
              </w:rPr>
              <w:pict>
                <v:shape id="_x0000_s1138" type="#_x0000_t202" style="position:absolute;left:0;text-align:left;margin-left:34.5pt;margin-top:7.15pt;width:119.25pt;height:25.5pt;z-index:251687424;mso-position-horizontal-relative:text;mso-position-vertical-relative:text" filled="f" stroked="f">
                  <v:textbox style="mso-next-textbox:#_x0000_s1138">
                    <w:txbxContent>
                      <w:p w:rsidR="005E7173" w:rsidRPr="000C0F37" w:rsidRDefault="005E7173" w:rsidP="009475B2">
                        <w:pPr>
                          <w:rPr>
                            <w:rFonts w:asciiTheme="minorHAnsi" w:hAnsiTheme="minorHAnsi"/>
                            <w:b/>
                            <w:sz w:val="20"/>
                            <w:szCs w:val="20"/>
                          </w:rPr>
                        </w:pPr>
                        <w:r>
                          <w:rPr>
                            <w:rFonts w:asciiTheme="minorHAnsi" w:hAnsiTheme="minorHAnsi"/>
                            <w:b/>
                            <w:sz w:val="20"/>
                            <w:szCs w:val="20"/>
                          </w:rPr>
                          <w:t>PM</w:t>
                        </w:r>
                        <w:r>
                          <w:rPr>
                            <w:rFonts w:asciiTheme="minorHAnsi" w:hAnsiTheme="minorHAnsi"/>
                            <w:b/>
                            <w:sz w:val="20"/>
                            <w:szCs w:val="20"/>
                            <w:vertAlign w:val="subscript"/>
                          </w:rPr>
                          <w:t>10</w:t>
                        </w:r>
                        <w:r w:rsidRPr="000C0F37">
                          <w:rPr>
                            <w:rFonts w:asciiTheme="minorHAnsi" w:hAnsiTheme="minorHAnsi"/>
                            <w:b/>
                            <w:sz w:val="20"/>
                            <w:szCs w:val="20"/>
                          </w:rPr>
                          <w:t xml:space="preserve"> Emission</w:t>
                        </w:r>
                        <w:r>
                          <w:rPr>
                            <w:rFonts w:asciiTheme="minorHAnsi" w:hAnsiTheme="minorHAnsi"/>
                            <w:b/>
                            <w:sz w:val="20"/>
                            <w:szCs w:val="20"/>
                          </w:rPr>
                          <w:t>s</w:t>
                        </w:r>
                        <w:r w:rsidRPr="000C0F37">
                          <w:rPr>
                            <w:rFonts w:asciiTheme="minorHAnsi" w:hAnsiTheme="minorHAnsi"/>
                            <w:b/>
                            <w:sz w:val="20"/>
                            <w:szCs w:val="20"/>
                          </w:rPr>
                          <w:t xml:space="preserve"> by Sector</w:t>
                        </w:r>
                      </w:p>
                    </w:txbxContent>
                  </v:textbox>
                </v:shape>
              </w:pict>
            </w:r>
            <w:r w:rsidR="009475B2">
              <w:rPr>
                <w:noProof/>
                <w:lang w:bidi="ar-SA"/>
              </w:rPr>
              <w:drawing>
                <wp:inline distT="0" distB="0" distL="0" distR="0">
                  <wp:extent cx="2790825" cy="1417690"/>
                  <wp:effectExtent l="19050" t="0" r="9525" b="0"/>
                  <wp:docPr id="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lum bright="-29000" contrast="45000"/>
                          </a:blip>
                          <a:srcRect/>
                          <a:stretch>
                            <a:fillRect/>
                          </a:stretch>
                        </pic:blipFill>
                        <pic:spPr bwMode="auto">
                          <a:xfrm>
                            <a:off x="0" y="0"/>
                            <a:ext cx="2801032" cy="1422875"/>
                          </a:xfrm>
                          <a:prstGeom prst="rect">
                            <a:avLst/>
                          </a:prstGeom>
                          <a:noFill/>
                          <a:ln w="9525">
                            <a:noFill/>
                            <a:miter lim="800000"/>
                            <a:headEnd/>
                            <a:tailEnd/>
                          </a:ln>
                        </pic:spPr>
                      </pic:pic>
                    </a:graphicData>
                  </a:graphic>
                </wp:inline>
              </w:drawing>
            </w:r>
          </w:p>
        </w:tc>
      </w:tr>
      <w:tr w:rsidR="00934F06" w:rsidTr="00934F06">
        <w:trPr>
          <w:jc w:val="center"/>
        </w:trPr>
        <w:tc>
          <w:tcPr>
            <w:tcW w:w="9086" w:type="dxa"/>
            <w:gridSpan w:val="2"/>
            <w:tcBorders>
              <w:left w:val="nil"/>
              <w:bottom w:val="nil"/>
              <w:right w:val="nil"/>
            </w:tcBorders>
          </w:tcPr>
          <w:p w:rsidR="00934F06" w:rsidRPr="00961A10" w:rsidRDefault="00934F06" w:rsidP="00934F06">
            <w:pPr>
              <w:spacing w:after="180"/>
              <w:jc w:val="left"/>
              <w:rPr>
                <w:noProof/>
                <w:sz w:val="18"/>
                <w:szCs w:val="18"/>
                <w:lang w:eastAsia="ko-KR" w:bidi="ar-SA"/>
              </w:rPr>
            </w:pPr>
            <w:r w:rsidRPr="00961A10">
              <w:rPr>
                <w:i/>
                <w:sz w:val="18"/>
                <w:szCs w:val="18"/>
              </w:rPr>
              <w:t xml:space="preserve">Source: Ministry of Environment Protection (2009) </w:t>
            </w:r>
          </w:p>
        </w:tc>
      </w:tr>
    </w:tbl>
    <w:p w:rsidR="00772C26" w:rsidRDefault="00F16BE7" w:rsidP="007E2E5B">
      <w:pPr>
        <w:spacing w:before="180"/>
        <w:rPr>
          <w:b/>
          <w:i/>
        </w:rPr>
      </w:pPr>
      <w:r>
        <w:rPr>
          <w:b/>
          <w:i/>
        </w:rPr>
        <w:t>Future Prices of Petroleum Fuels and Carbon Emissions</w:t>
      </w:r>
    </w:p>
    <w:p w:rsidR="000D5E48" w:rsidRDefault="000D5E48" w:rsidP="000D5E48">
      <w:r>
        <w:rPr>
          <w:b/>
        </w:rPr>
        <w:t xml:space="preserve">Policies for green transportation would prepare the Georgian economy for future changes in fuel prices and a potential international agreement on pricing carbon emissions. </w:t>
      </w:r>
      <w:r>
        <w:t>Either scenario is likely for the global economy in the near future. First, continued economic growth and rising demands for private vehicles and energy in developing countries would continue to drive oil prices higher, which would raise the oil import bill for Georgia. Second, internationally coordinated climate change mitigation efforts</w:t>
      </w:r>
      <w:r w:rsidRPr="001918A7">
        <w:t xml:space="preserve"> </w:t>
      </w:r>
      <w:r>
        <w:t>would set a high price on carbon emissions, which could curtail oil price rises. To stabilize the GHG concentration in the atmosphere to a level that limits the global temperature increase to within 2ºC, the U.S. Department of Energy estimates that the global carbon price</w:t>
      </w:r>
      <w:r w:rsidR="00ED45A6">
        <w:t>, implemented as a global carbon tax,</w:t>
      </w:r>
      <w:r>
        <w:t xml:space="preserve"> would need to be US$50 per ton today and increased to US$700 by 2100. This lower bound of carbon prices assumes an immediate international agreement and global compliance. Delay in implementing a carbon pricing regime would lead to much more rapid increases of future carbon prices.</w:t>
      </w:r>
      <w:r w:rsidRPr="00296680">
        <w:rPr>
          <w:vertAlign w:val="superscript"/>
        </w:rPr>
        <w:footnoteReference w:id="4"/>
      </w:r>
      <w:r w:rsidRPr="00296680">
        <w:t xml:space="preserve">  </w:t>
      </w:r>
      <w:r>
        <w:t xml:space="preserve">On the other hand, estimates from the </w:t>
      </w:r>
      <w:r w:rsidRPr="00296680">
        <w:t>International Energy Agency</w:t>
      </w:r>
      <w:r>
        <w:t xml:space="preserve"> assumed </w:t>
      </w:r>
      <w:r w:rsidRPr="00296680">
        <w:t xml:space="preserve">that tightening </w:t>
      </w:r>
      <w:r>
        <w:t>private vehicle</w:t>
      </w:r>
      <w:r w:rsidRPr="00296680">
        <w:t xml:space="preserve"> technical standards </w:t>
      </w:r>
      <w:r>
        <w:t xml:space="preserve">would achieve a </w:t>
      </w:r>
      <w:r w:rsidRPr="00296680">
        <w:t xml:space="preserve">30 percent reduction in fossil fuel use </w:t>
      </w:r>
      <w:r>
        <w:t xml:space="preserve">by </w:t>
      </w:r>
      <w:r w:rsidRPr="00296680">
        <w:t>transport by 2050</w:t>
      </w:r>
      <w:r>
        <w:t xml:space="preserve">, although stricter private vehicle emission standards means </w:t>
      </w:r>
      <w:r w:rsidRPr="00296680">
        <w:t xml:space="preserve">higher </w:t>
      </w:r>
      <w:r>
        <w:t>capital costs for private vehicles</w:t>
      </w:r>
      <w:r w:rsidR="008C2724">
        <w:t xml:space="preserve">, estimated at </w:t>
      </w:r>
      <w:r>
        <w:t>US</w:t>
      </w:r>
      <w:r w:rsidRPr="00296680">
        <w:t xml:space="preserve">$4,500 </w:t>
      </w:r>
      <w:r>
        <w:t xml:space="preserve">billion by </w:t>
      </w:r>
      <w:r w:rsidRPr="00296680">
        <w:t>2050.</w:t>
      </w:r>
      <w:r w:rsidRPr="00296680">
        <w:rPr>
          <w:vertAlign w:val="superscript"/>
        </w:rPr>
        <w:footnoteReference w:id="5"/>
      </w:r>
      <w:r>
        <w:t xml:space="preserve">  </w:t>
      </w:r>
      <w:r w:rsidR="00ED45A6">
        <w:t xml:space="preserve">Such costs will </w:t>
      </w:r>
      <w:r w:rsidR="00C44A55">
        <w:t xml:space="preserve">affect </w:t>
      </w:r>
      <w:r w:rsidR="00ED45A6">
        <w:t>lower-income households</w:t>
      </w:r>
      <w:r w:rsidR="00C44A55">
        <w:t xml:space="preserve"> disproportionately</w:t>
      </w:r>
      <w:r w:rsidR="00ED45A6">
        <w:t xml:space="preserve">, including Georgian consumers, compared to </w:t>
      </w:r>
      <w:r w:rsidR="00C44A55">
        <w:t xml:space="preserve">the effect on consumers </w:t>
      </w:r>
      <w:r w:rsidR="00ED45A6">
        <w:t>in high</w:t>
      </w:r>
      <w:r w:rsidR="00C44A55">
        <w:t>er</w:t>
      </w:r>
      <w:r w:rsidR="00ED45A6">
        <w:t>-income countries.</w:t>
      </w:r>
    </w:p>
    <w:p w:rsidR="00296680" w:rsidRDefault="000D5E48" w:rsidP="000D5E48">
      <w:r>
        <w:lastRenderedPageBreak/>
        <w:t>In either case, Georgia and other non oil-producing countries are likely to face high costs for fossil fuel usage</w:t>
      </w:r>
      <w:r>
        <w:sym w:font="Symbol" w:char="F0BE"/>
      </w:r>
      <w:r>
        <w:t>paid at the pump, through high carbon prices or through higher vehicle prices due to stricter technical standards. Therefore, investing now in infrastructure for low-emission modes will help insulate Georgia from the almost inevitable rise in oil and carbon prices, reduce transportation costs, and improve national energy security.</w:t>
      </w:r>
    </w:p>
    <w:p w:rsidR="0079758C" w:rsidRPr="00A24018" w:rsidRDefault="00995A9F" w:rsidP="00BA2792">
      <w:pPr>
        <w:pStyle w:val="Heading2"/>
      </w:pPr>
      <w:bookmarkStart w:id="22" w:name="_Toc326892925"/>
      <w:r>
        <w:t xml:space="preserve">What is the </w:t>
      </w:r>
      <w:r w:rsidR="00025C82">
        <w:t xml:space="preserve">Rationale for </w:t>
      </w:r>
      <w:r>
        <w:t xml:space="preserve">Government’s </w:t>
      </w:r>
      <w:r w:rsidR="00025C82">
        <w:t xml:space="preserve">Involvement in </w:t>
      </w:r>
      <w:r>
        <w:t>Green</w:t>
      </w:r>
      <w:r w:rsidR="00025C82">
        <w:t xml:space="preserve">ing </w:t>
      </w:r>
      <w:r>
        <w:t>Transportation</w:t>
      </w:r>
      <w:r w:rsidR="0079758C">
        <w:t>?</w:t>
      </w:r>
      <w:bookmarkEnd w:id="22"/>
    </w:p>
    <w:p w:rsidR="00B528D9" w:rsidRDefault="005A76C7" w:rsidP="001B2C33">
      <w:r>
        <w:rPr>
          <w:b/>
        </w:rPr>
        <w:t xml:space="preserve">Because of its long life, investing </w:t>
      </w:r>
      <w:r w:rsidR="000D5E48">
        <w:rPr>
          <w:b/>
        </w:rPr>
        <w:t>in t</w:t>
      </w:r>
      <w:r w:rsidR="000D5E48" w:rsidRPr="00CD1BD5">
        <w:rPr>
          <w:b/>
        </w:rPr>
        <w:t xml:space="preserve">ransport </w:t>
      </w:r>
      <w:r w:rsidR="000D5E48">
        <w:rPr>
          <w:b/>
        </w:rPr>
        <w:t>i</w:t>
      </w:r>
      <w:r w:rsidR="000D5E48" w:rsidRPr="00CD1BD5">
        <w:rPr>
          <w:b/>
        </w:rPr>
        <w:t xml:space="preserve">nfrastructure will </w:t>
      </w:r>
      <w:r w:rsidR="000D5E48">
        <w:rPr>
          <w:b/>
        </w:rPr>
        <w:t xml:space="preserve">shape </w:t>
      </w:r>
      <w:r w:rsidR="00E90906">
        <w:rPr>
          <w:b/>
        </w:rPr>
        <w:t xml:space="preserve">transport modal choices </w:t>
      </w:r>
      <w:r w:rsidR="000D5E48">
        <w:rPr>
          <w:b/>
        </w:rPr>
        <w:t xml:space="preserve">and </w:t>
      </w:r>
      <w:r w:rsidR="00E90906">
        <w:rPr>
          <w:b/>
        </w:rPr>
        <w:t xml:space="preserve">hence </w:t>
      </w:r>
      <w:r w:rsidR="000D5E48">
        <w:rPr>
          <w:b/>
        </w:rPr>
        <w:t xml:space="preserve">potentially lock in the </w:t>
      </w:r>
      <w:r w:rsidR="000D5E48" w:rsidRPr="00CD1BD5">
        <w:rPr>
          <w:b/>
        </w:rPr>
        <w:t xml:space="preserve">long-run </w:t>
      </w:r>
      <w:r w:rsidR="000D5E48">
        <w:rPr>
          <w:b/>
        </w:rPr>
        <w:t>trajectory of transportation costs</w:t>
      </w:r>
      <w:r w:rsidR="002615EE">
        <w:rPr>
          <w:b/>
        </w:rPr>
        <w:t>.</w:t>
      </w:r>
      <w:r w:rsidR="002615EE" w:rsidRPr="002615EE">
        <w:t xml:space="preserve"> </w:t>
      </w:r>
      <w:r w:rsidR="000D5E48" w:rsidRPr="002615EE">
        <w:t xml:space="preserve"> </w:t>
      </w:r>
      <w:r w:rsidR="002615EE" w:rsidRPr="002615EE">
        <w:t>T</w:t>
      </w:r>
      <w:r w:rsidR="000D5E48" w:rsidRPr="002615EE">
        <w:t xml:space="preserve">ransportation planning </w:t>
      </w:r>
      <w:r w:rsidR="00E90906">
        <w:t xml:space="preserve">and infrastructure development </w:t>
      </w:r>
      <w:r w:rsidR="000D5E48" w:rsidRPr="002615EE">
        <w:t>affects spatial development, generation of agglomeration economies, and consumer choices and behavior</w:t>
      </w:r>
      <w:r w:rsidR="00C44A55">
        <w:t>;</w:t>
      </w:r>
      <w:r w:rsidR="002615EE" w:rsidRPr="002615EE">
        <w:t xml:space="preserve"> </w:t>
      </w:r>
      <w:r w:rsidR="00C44A55">
        <w:t xml:space="preserve">the </w:t>
      </w:r>
      <w:r w:rsidR="002615EE" w:rsidRPr="002615EE">
        <w:t xml:space="preserve">long lifespan </w:t>
      </w:r>
      <w:r w:rsidR="00C44A55">
        <w:t xml:space="preserve">of infrastructure </w:t>
      </w:r>
      <w:r w:rsidR="00E90906">
        <w:t xml:space="preserve">would have </w:t>
      </w:r>
      <w:r w:rsidR="002615EE" w:rsidRPr="002615EE">
        <w:t>a persistent effect on transport system emission intensity</w:t>
      </w:r>
      <w:r w:rsidR="000D5E48" w:rsidRPr="002615EE">
        <w:t xml:space="preserve">. </w:t>
      </w:r>
      <w:r w:rsidR="00C21C25">
        <w:t>Development of transport i</w:t>
      </w:r>
      <w:r w:rsidR="000D5E48" w:rsidRPr="002615EE">
        <w:t>nfrastructure</w:t>
      </w:r>
      <w:r w:rsidR="00C21C25">
        <w:t>, which</w:t>
      </w:r>
      <w:r w:rsidR="000D5E48" w:rsidRPr="002615EE">
        <w:t xml:space="preserve"> lower</w:t>
      </w:r>
      <w:r w:rsidR="00C21C25">
        <w:t>s</w:t>
      </w:r>
      <w:r w:rsidR="000D5E48" w:rsidRPr="002615EE">
        <w:t xml:space="preserve"> </w:t>
      </w:r>
      <w:r w:rsidR="00C21C25">
        <w:t xml:space="preserve">transportation cost, would ultimately </w:t>
      </w:r>
      <w:r w:rsidR="000D5E48">
        <w:t>encourage spatial concentration of production</w:t>
      </w:r>
      <w:r w:rsidR="00A36127">
        <w:t xml:space="preserve"> centers</w:t>
      </w:r>
      <w:r w:rsidR="000D5E48">
        <w:t xml:space="preserve">. </w:t>
      </w:r>
      <w:r w:rsidR="00C21C25">
        <w:t xml:space="preserve"> </w:t>
      </w:r>
      <w:r w:rsidR="000D5E48">
        <w:t xml:space="preserve">International experience </w:t>
      </w:r>
      <w:r w:rsidR="00E90906">
        <w:t xml:space="preserve">also </w:t>
      </w:r>
      <w:r w:rsidR="000D5E48">
        <w:t>suggests that this increases the economic weight of major cities</w:t>
      </w:r>
      <w:r w:rsidR="00C44A55">
        <w:t xml:space="preserve">, resulting </w:t>
      </w:r>
      <w:r w:rsidR="000D5E48">
        <w:t>in higher macroeconomic productivity.</w:t>
      </w:r>
      <w:r w:rsidRPr="005A76C7">
        <w:rPr>
          <w:vertAlign w:val="superscript"/>
        </w:rPr>
        <w:footnoteReference w:id="6"/>
      </w:r>
      <w:r w:rsidR="007B0537">
        <w:t xml:space="preserve"> </w:t>
      </w:r>
      <w:r w:rsidR="00C21C25">
        <w:t xml:space="preserve"> </w:t>
      </w:r>
      <w:r w:rsidR="002615EE">
        <w:t xml:space="preserve">Urban land-use policies in particular influence the choice of lower emission modes in a multi-modal transport system. </w:t>
      </w:r>
      <w:r w:rsidR="000D5E48">
        <w:t xml:space="preserve">Transport infrastructure has a long lifespan, thus its modal composition has a persistent effect on transport system emission intensity. </w:t>
      </w:r>
    </w:p>
    <w:tbl>
      <w:tblPr>
        <w:tblStyle w:val="TableGrid"/>
        <w:tblW w:w="9360" w:type="dxa"/>
        <w:tblLayout w:type="fixed"/>
        <w:tblCellMar>
          <w:left w:w="0" w:type="dxa"/>
          <w:right w:w="0" w:type="dxa"/>
        </w:tblCellMar>
        <w:tblLook w:val="04A0"/>
      </w:tblPr>
      <w:tblGrid>
        <w:gridCol w:w="9360"/>
      </w:tblGrid>
      <w:tr w:rsidR="00F83E99" w:rsidTr="002513E7">
        <w:trPr>
          <w:trHeight w:val="225"/>
        </w:trPr>
        <w:tc>
          <w:tcPr>
            <w:tcW w:w="9360" w:type="dxa"/>
            <w:tcBorders>
              <w:top w:val="nil"/>
              <w:left w:val="nil"/>
              <w:bottom w:val="single" w:sz="4" w:space="0" w:color="auto"/>
              <w:right w:val="nil"/>
            </w:tcBorders>
            <w:vAlign w:val="center"/>
          </w:tcPr>
          <w:p w:rsidR="00F83E99" w:rsidRPr="000029FF" w:rsidRDefault="00F83E99" w:rsidP="00F83E99">
            <w:pPr>
              <w:spacing w:after="0"/>
              <w:jc w:val="center"/>
              <w:rPr>
                <w:noProof/>
                <w:lang w:eastAsia="ko-KR" w:bidi="ar-SA"/>
              </w:rPr>
            </w:pPr>
            <w:bookmarkStart w:id="23" w:name="_Ref324332801"/>
            <w:bookmarkStart w:id="24" w:name="_Toc326892825"/>
            <w:r w:rsidRPr="00394B4B">
              <w:rPr>
                <w:b/>
                <w:sz w:val="20"/>
                <w:szCs w:val="20"/>
              </w:rPr>
              <w:t xml:space="preserve">Figure </w:t>
            </w:r>
            <w:r w:rsidR="001A7AF8" w:rsidRPr="00394B4B">
              <w:rPr>
                <w:b/>
                <w:sz w:val="20"/>
                <w:szCs w:val="20"/>
              </w:rPr>
              <w:fldChar w:fldCharType="begin"/>
            </w:r>
            <w:r w:rsidRPr="00394B4B">
              <w:rPr>
                <w:b/>
                <w:sz w:val="20"/>
                <w:szCs w:val="20"/>
              </w:rPr>
              <w:instrText xml:space="preserve"> SEQ Figure \* ARABIC </w:instrText>
            </w:r>
            <w:r w:rsidR="001A7AF8" w:rsidRPr="00394B4B">
              <w:rPr>
                <w:b/>
                <w:sz w:val="20"/>
                <w:szCs w:val="20"/>
              </w:rPr>
              <w:fldChar w:fldCharType="separate"/>
            </w:r>
            <w:r w:rsidR="00BA2792">
              <w:rPr>
                <w:b/>
                <w:noProof/>
                <w:sz w:val="20"/>
                <w:szCs w:val="20"/>
              </w:rPr>
              <w:t>4</w:t>
            </w:r>
            <w:r w:rsidR="001A7AF8" w:rsidRPr="00394B4B">
              <w:rPr>
                <w:b/>
                <w:sz w:val="20"/>
                <w:szCs w:val="20"/>
              </w:rPr>
              <w:fldChar w:fldCharType="end"/>
            </w:r>
            <w:bookmarkEnd w:id="23"/>
            <w:r w:rsidRPr="00394B4B">
              <w:rPr>
                <w:sz w:val="20"/>
                <w:szCs w:val="20"/>
              </w:rPr>
              <w:t xml:space="preserve">: </w:t>
            </w:r>
            <w:r>
              <w:rPr>
                <w:sz w:val="20"/>
                <w:szCs w:val="20"/>
                <w:lang w:eastAsia="ko-KR"/>
              </w:rPr>
              <w:t>Vehicle ownership growth trajectories vary greatly by country even at same income level</w:t>
            </w:r>
            <w:bookmarkEnd w:id="24"/>
          </w:p>
        </w:tc>
      </w:tr>
      <w:tr w:rsidR="00F83E99" w:rsidTr="00586244">
        <w:trPr>
          <w:trHeight w:val="5273"/>
        </w:trPr>
        <w:tc>
          <w:tcPr>
            <w:tcW w:w="9360" w:type="dxa"/>
            <w:tcBorders>
              <w:bottom w:val="single" w:sz="4" w:space="0" w:color="auto"/>
            </w:tcBorders>
          </w:tcPr>
          <w:p w:rsidR="00F83E99" w:rsidRDefault="001A7AF8" w:rsidP="00F83E99">
            <w:pPr>
              <w:spacing w:after="0"/>
              <w:jc w:val="center"/>
            </w:pPr>
            <w:r>
              <w:rPr>
                <w:noProof/>
                <w:lang w:eastAsia="ko-KR" w:bidi="ar-SA"/>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1135" type="#_x0000_t70" style="position:absolute;left:0;text-align:left;margin-left:127.6pt;margin-top:165.45pt;width:7.2pt;height:32.4pt;z-index:251684352;mso-position-horizontal-relative:text;mso-position-vertical-relative:text" fillcolor="#fabf8f [1945]" strokecolor="#f79646 [3209]" strokeweight="1pt">
                  <v:fill color2="#f79646 [3209]" focus="50%" type="gradient"/>
                  <v:shadow on="t" type="perspective" color="#974706 [1609]" offset="1pt" offset2="-3pt"/>
                  <v:textbox style="layout-flow:vertical-ideographic"/>
                </v:shape>
              </w:pict>
            </w:r>
            <w:r w:rsidR="00F83E99" w:rsidRPr="00EB5101">
              <w:rPr>
                <w:noProof/>
                <w:lang w:bidi="ar-SA"/>
              </w:rPr>
              <w:drawing>
                <wp:inline distT="0" distB="0" distL="0" distR="0">
                  <wp:extent cx="5577078" cy="3409892"/>
                  <wp:effectExtent l="19050" t="0" r="4572" b="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screen">
                            <a:lum bright="-10000" contrast="15000"/>
                          </a:blip>
                          <a:srcRect/>
                          <a:stretch>
                            <a:fillRect/>
                          </a:stretch>
                        </pic:blipFill>
                        <pic:spPr bwMode="auto">
                          <a:xfrm>
                            <a:off x="0" y="0"/>
                            <a:ext cx="5577078" cy="3409892"/>
                          </a:xfrm>
                          <a:prstGeom prst="rect">
                            <a:avLst/>
                          </a:prstGeom>
                          <a:noFill/>
                          <a:ln w="9525">
                            <a:noFill/>
                            <a:miter lim="800000"/>
                            <a:headEnd/>
                            <a:tailEnd/>
                          </a:ln>
                        </pic:spPr>
                      </pic:pic>
                    </a:graphicData>
                  </a:graphic>
                </wp:inline>
              </w:drawing>
            </w:r>
          </w:p>
        </w:tc>
      </w:tr>
      <w:tr w:rsidR="00F83E99" w:rsidTr="00586244">
        <w:trPr>
          <w:trHeight w:val="56"/>
        </w:trPr>
        <w:tc>
          <w:tcPr>
            <w:tcW w:w="9360" w:type="dxa"/>
            <w:tcBorders>
              <w:left w:val="nil"/>
              <w:bottom w:val="nil"/>
              <w:right w:val="nil"/>
            </w:tcBorders>
            <w:tcMar>
              <w:top w:w="14" w:type="dxa"/>
              <w:left w:w="43" w:type="dxa"/>
              <w:bottom w:w="14" w:type="dxa"/>
              <w:right w:w="43" w:type="dxa"/>
            </w:tcMar>
          </w:tcPr>
          <w:p w:rsidR="00F83E99" w:rsidRPr="00961A10" w:rsidRDefault="00F83E99" w:rsidP="00586244">
            <w:pPr>
              <w:spacing w:after="180"/>
              <w:jc w:val="center"/>
              <w:rPr>
                <w:i/>
                <w:sz w:val="18"/>
                <w:szCs w:val="18"/>
                <w:lang w:eastAsia="ko-KR"/>
              </w:rPr>
            </w:pPr>
            <w:r w:rsidRPr="00961A10">
              <w:rPr>
                <w:i/>
                <w:sz w:val="18"/>
                <w:szCs w:val="18"/>
              </w:rPr>
              <w:t xml:space="preserve">Source: </w:t>
            </w:r>
            <w:r w:rsidRPr="00961A10">
              <w:rPr>
                <w:i/>
                <w:sz w:val="18"/>
                <w:szCs w:val="18"/>
                <w:lang w:eastAsia="ko-KR"/>
              </w:rPr>
              <w:t>Argonne National Laboratory (2006)</w:t>
            </w:r>
          </w:p>
        </w:tc>
      </w:tr>
    </w:tbl>
    <w:p w:rsidR="002B3D10" w:rsidRDefault="009D10E2" w:rsidP="00353E27">
      <w:r>
        <w:rPr>
          <w:b/>
        </w:rPr>
        <w:t xml:space="preserve">High-income </w:t>
      </w:r>
      <w:r w:rsidR="0052585B">
        <w:rPr>
          <w:b/>
        </w:rPr>
        <w:t xml:space="preserve">countries have </w:t>
      </w:r>
      <w:r>
        <w:rPr>
          <w:b/>
        </w:rPr>
        <w:t xml:space="preserve">ended up at very different </w:t>
      </w:r>
      <w:r w:rsidR="0052585B">
        <w:rPr>
          <w:b/>
        </w:rPr>
        <w:t>levels of motorization rate</w:t>
      </w:r>
      <w:r w:rsidR="00C44A55">
        <w:rPr>
          <w:b/>
        </w:rPr>
        <w:t>s</w:t>
      </w:r>
      <w:r>
        <w:rPr>
          <w:b/>
        </w:rPr>
        <w:t>, suggesting that economic growth and motorization can be decoupled to a certain extent.</w:t>
      </w:r>
      <w:r w:rsidR="0052585B">
        <w:rPr>
          <w:b/>
        </w:rPr>
        <w:t xml:space="preserve"> </w:t>
      </w:r>
      <w:r w:rsidR="00353E27" w:rsidRPr="003E69DB">
        <w:rPr>
          <w:b/>
        </w:rPr>
        <w:t xml:space="preserve"> </w:t>
      </w:r>
      <w:fldSimple w:instr=" REF _Ref324332801 \h  \* MERGEFORMAT ">
        <w:r w:rsidR="00BA2792" w:rsidRPr="00BA2792">
          <w:t xml:space="preserve">Figure </w:t>
        </w:r>
        <w:r w:rsidR="00BA2792" w:rsidRPr="00BA2792">
          <w:rPr>
            <w:noProof/>
          </w:rPr>
          <w:t>4</w:t>
        </w:r>
      </w:fldSimple>
      <w:r>
        <w:t xml:space="preserve"> shows that</w:t>
      </w:r>
      <w:r w:rsidR="00BD6BA8">
        <w:t>, for example</w:t>
      </w:r>
      <w:r>
        <w:t xml:space="preserve"> at GDP of US</w:t>
      </w:r>
      <w:r w:rsidR="00C44A55">
        <w:t>$</w:t>
      </w:r>
      <w:r>
        <w:t xml:space="preserve"> </w:t>
      </w:r>
      <w:r w:rsidR="00BD6BA8">
        <w:t>7</w:t>
      </w:r>
      <w:r>
        <w:t>,</w:t>
      </w:r>
      <w:r w:rsidR="00BD6BA8">
        <w:t>5</w:t>
      </w:r>
      <w:r>
        <w:t>00 per capita</w:t>
      </w:r>
      <w:r w:rsidR="00353E27" w:rsidRPr="0052585B">
        <w:t xml:space="preserve">, </w:t>
      </w:r>
      <w:r>
        <w:t xml:space="preserve">car ownership of high-income countries ranged between </w:t>
      </w:r>
      <w:r w:rsidR="00BD6BA8">
        <w:t>1</w:t>
      </w:r>
      <w:r>
        <w:t xml:space="preserve">00 </w:t>
      </w:r>
      <w:r>
        <w:lastRenderedPageBreak/>
        <w:t xml:space="preserve">and </w:t>
      </w:r>
      <w:r w:rsidR="00BD6BA8">
        <w:t>3</w:t>
      </w:r>
      <w:r>
        <w:t xml:space="preserve">00 cars per one thousand people. </w:t>
      </w:r>
      <w:r w:rsidR="00BD6BA8">
        <w:t xml:space="preserve">East Asian countries are at the lower bound, North American countries at the upper bound, and Western European countries in between. </w:t>
      </w:r>
      <w:r w:rsidR="00353E27">
        <w:t>What set</w:t>
      </w:r>
      <w:r w:rsidR="00C44A55">
        <w:t>s</w:t>
      </w:r>
      <w:r w:rsidR="00353E27">
        <w:t xml:space="preserve"> them apart include</w:t>
      </w:r>
      <w:r>
        <w:t>s</w:t>
      </w:r>
      <w:r w:rsidR="00353E27">
        <w:t xml:space="preserve"> transport </w:t>
      </w:r>
      <w:r>
        <w:t xml:space="preserve">infrastructure </w:t>
      </w:r>
      <w:r w:rsidR="00353E27">
        <w:t xml:space="preserve">development, spatial development plans, </w:t>
      </w:r>
      <w:r w:rsidR="00BD6BA8">
        <w:t xml:space="preserve">and </w:t>
      </w:r>
      <w:r w:rsidR="00353E27">
        <w:t>fiscal policies on fuel use and transport</w:t>
      </w:r>
      <w:r w:rsidR="00BB3736">
        <w:t xml:space="preserve"> </w:t>
      </w:r>
      <w:r>
        <w:t>(see Section II for description of instruments and impacts)</w:t>
      </w:r>
      <w:r w:rsidR="00353E27">
        <w:t>.</w:t>
      </w:r>
      <w:r w:rsidR="00353E27" w:rsidRPr="003E69DB">
        <w:t xml:space="preserve"> </w:t>
      </w:r>
      <w:r w:rsidR="00353E27">
        <w:t xml:space="preserve"> </w:t>
      </w:r>
      <w:r w:rsidR="00BD6BA8">
        <w:t xml:space="preserve">This </w:t>
      </w:r>
      <w:r w:rsidR="00C44A55">
        <w:t xml:space="preserve">strongly </w:t>
      </w:r>
      <w:r w:rsidR="00BD6BA8">
        <w:t xml:space="preserve">implies </w:t>
      </w:r>
      <w:r>
        <w:t>that d</w:t>
      </w:r>
      <w:r w:rsidR="00353E27">
        <w:t>ecisions made now</w:t>
      </w:r>
      <w:r w:rsidR="00C44A55">
        <w:t xml:space="preserve"> in lower middle-income countries, such as Georgia,</w:t>
      </w:r>
      <w:r w:rsidR="00353E27">
        <w:t xml:space="preserve"> </w:t>
      </w:r>
      <w:r w:rsidR="00F33E06">
        <w:t>regardin</w:t>
      </w:r>
      <w:r w:rsidR="00C44A55">
        <w:t xml:space="preserve">g </w:t>
      </w:r>
      <w:r>
        <w:t>planning, infrastructure development,</w:t>
      </w:r>
      <w:r w:rsidR="00353E27">
        <w:t xml:space="preserve"> </w:t>
      </w:r>
      <w:r>
        <w:t xml:space="preserve">and policies </w:t>
      </w:r>
      <w:r w:rsidR="00353E27">
        <w:t xml:space="preserve">would </w:t>
      </w:r>
      <w:r w:rsidR="00C44A55">
        <w:t xml:space="preserve">establish the direction for </w:t>
      </w:r>
      <w:r w:rsidR="00353E27">
        <w:t xml:space="preserve">development </w:t>
      </w:r>
      <w:r w:rsidR="00F33E06">
        <w:t xml:space="preserve">over the </w:t>
      </w:r>
      <w:r w:rsidR="00353E27">
        <w:t>long</w:t>
      </w:r>
      <w:r w:rsidR="00F33E06">
        <w:t>er</w:t>
      </w:r>
      <w:r w:rsidR="00353E27">
        <w:t>-term.</w:t>
      </w:r>
    </w:p>
    <w:tbl>
      <w:tblPr>
        <w:tblStyle w:val="TableGrid"/>
        <w:tblpPr w:leftFromText="187" w:rightFromText="187" w:vertAnchor="text" w:horzAnchor="margin" w:tblpXSpec="right" w:tblpY="95"/>
        <w:tblW w:w="0" w:type="auto"/>
        <w:tblLayout w:type="fixed"/>
        <w:tblCellMar>
          <w:left w:w="0" w:type="dxa"/>
          <w:right w:w="0" w:type="dxa"/>
        </w:tblCellMar>
        <w:tblLook w:val="04A0"/>
      </w:tblPr>
      <w:tblGrid>
        <w:gridCol w:w="4590"/>
      </w:tblGrid>
      <w:tr w:rsidR="00185DA2" w:rsidTr="00BB3736">
        <w:tc>
          <w:tcPr>
            <w:tcW w:w="4590" w:type="dxa"/>
            <w:tcBorders>
              <w:top w:val="nil"/>
              <w:left w:val="nil"/>
              <w:bottom w:val="single" w:sz="4" w:space="0" w:color="auto"/>
              <w:right w:val="nil"/>
            </w:tcBorders>
          </w:tcPr>
          <w:p w:rsidR="00185DA2" w:rsidRPr="000029FF" w:rsidRDefault="00185DA2" w:rsidP="00A85E9D">
            <w:pPr>
              <w:spacing w:after="60"/>
              <w:jc w:val="center"/>
              <w:rPr>
                <w:noProof/>
                <w:lang w:eastAsia="ko-KR" w:bidi="ar-SA"/>
              </w:rPr>
            </w:pPr>
            <w:bookmarkStart w:id="25" w:name="_Ref324334922"/>
            <w:bookmarkStart w:id="26" w:name="_Toc326892826"/>
            <w:r w:rsidRPr="00394B4B">
              <w:rPr>
                <w:b/>
                <w:sz w:val="20"/>
                <w:szCs w:val="20"/>
              </w:rPr>
              <w:t xml:space="preserve">Figure </w:t>
            </w:r>
            <w:r w:rsidR="001A7AF8" w:rsidRPr="00394B4B">
              <w:rPr>
                <w:b/>
                <w:sz w:val="20"/>
                <w:szCs w:val="20"/>
              </w:rPr>
              <w:fldChar w:fldCharType="begin"/>
            </w:r>
            <w:r w:rsidRPr="00394B4B">
              <w:rPr>
                <w:b/>
                <w:sz w:val="20"/>
                <w:szCs w:val="20"/>
              </w:rPr>
              <w:instrText xml:space="preserve"> SEQ Figure \* ARABIC </w:instrText>
            </w:r>
            <w:r w:rsidR="001A7AF8" w:rsidRPr="00394B4B">
              <w:rPr>
                <w:b/>
                <w:sz w:val="20"/>
                <w:szCs w:val="20"/>
              </w:rPr>
              <w:fldChar w:fldCharType="separate"/>
            </w:r>
            <w:r w:rsidR="00BA2792">
              <w:rPr>
                <w:b/>
                <w:noProof/>
                <w:sz w:val="20"/>
                <w:szCs w:val="20"/>
              </w:rPr>
              <w:t>5</w:t>
            </w:r>
            <w:r w:rsidR="001A7AF8" w:rsidRPr="00394B4B">
              <w:rPr>
                <w:b/>
                <w:sz w:val="20"/>
                <w:szCs w:val="20"/>
              </w:rPr>
              <w:fldChar w:fldCharType="end"/>
            </w:r>
            <w:bookmarkEnd w:id="25"/>
            <w:r w:rsidRPr="00394B4B">
              <w:rPr>
                <w:sz w:val="20"/>
                <w:szCs w:val="20"/>
              </w:rPr>
              <w:t xml:space="preserve">: </w:t>
            </w:r>
            <w:r w:rsidR="002513E7">
              <w:rPr>
                <w:sz w:val="20"/>
                <w:szCs w:val="20"/>
              </w:rPr>
              <w:t xml:space="preserve">Possible trajectories of </w:t>
            </w:r>
            <w:r>
              <w:rPr>
                <w:sz w:val="20"/>
                <w:szCs w:val="20"/>
                <w:lang w:eastAsia="ko-KR"/>
              </w:rPr>
              <w:t xml:space="preserve">motorization </w:t>
            </w:r>
            <w:r w:rsidR="002513E7">
              <w:rPr>
                <w:sz w:val="20"/>
                <w:szCs w:val="20"/>
                <w:lang w:eastAsia="ko-KR"/>
              </w:rPr>
              <w:t>rate growth in Georgia</w:t>
            </w:r>
            <w:bookmarkEnd w:id="26"/>
          </w:p>
        </w:tc>
      </w:tr>
      <w:tr w:rsidR="00185DA2" w:rsidTr="00BB3736">
        <w:tc>
          <w:tcPr>
            <w:tcW w:w="4590" w:type="dxa"/>
            <w:tcBorders>
              <w:bottom w:val="single" w:sz="4" w:space="0" w:color="auto"/>
            </w:tcBorders>
          </w:tcPr>
          <w:p w:rsidR="00185DA2" w:rsidRDefault="00185DA2" w:rsidP="00185DA2">
            <w:pPr>
              <w:spacing w:after="0"/>
              <w:jc w:val="center"/>
            </w:pPr>
            <w:r w:rsidRPr="0052585B">
              <w:rPr>
                <w:noProof/>
                <w:lang w:bidi="ar-SA"/>
              </w:rPr>
              <w:drawing>
                <wp:inline distT="0" distB="0" distL="0" distR="0">
                  <wp:extent cx="2847975" cy="2152650"/>
                  <wp:effectExtent l="0" t="0" r="0" b="0"/>
                  <wp:docPr id="10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185DA2" w:rsidTr="00BB3736">
        <w:tc>
          <w:tcPr>
            <w:tcW w:w="4590" w:type="dxa"/>
            <w:tcBorders>
              <w:left w:val="nil"/>
              <w:bottom w:val="nil"/>
              <w:right w:val="nil"/>
            </w:tcBorders>
            <w:tcMar>
              <w:top w:w="14" w:type="dxa"/>
              <w:left w:w="43" w:type="dxa"/>
              <w:bottom w:w="14" w:type="dxa"/>
              <w:right w:w="43" w:type="dxa"/>
            </w:tcMar>
          </w:tcPr>
          <w:p w:rsidR="00185DA2" w:rsidRPr="00961A10" w:rsidRDefault="00185DA2" w:rsidP="00DE04D1">
            <w:pPr>
              <w:spacing w:after="60"/>
              <w:jc w:val="center"/>
              <w:rPr>
                <w:i/>
                <w:sz w:val="18"/>
                <w:szCs w:val="18"/>
                <w:lang w:eastAsia="ko-KR"/>
              </w:rPr>
            </w:pPr>
            <w:r w:rsidRPr="00961A10">
              <w:rPr>
                <w:i/>
                <w:sz w:val="18"/>
                <w:szCs w:val="18"/>
              </w:rPr>
              <w:t xml:space="preserve">Source: </w:t>
            </w:r>
            <w:r w:rsidRPr="00961A10">
              <w:rPr>
                <w:i/>
                <w:sz w:val="18"/>
                <w:szCs w:val="18"/>
                <w:lang w:eastAsia="ko-KR"/>
              </w:rPr>
              <w:t>World Bank staff estimation using Gompertz Function</w:t>
            </w:r>
            <w:r w:rsidR="00DE04D1">
              <w:rPr>
                <w:i/>
                <w:sz w:val="18"/>
                <w:szCs w:val="18"/>
                <w:lang w:eastAsia="ko-KR"/>
              </w:rPr>
              <w:t xml:space="preserve"> and </w:t>
            </w:r>
            <w:r w:rsidRPr="00961A10">
              <w:rPr>
                <w:rFonts w:hint="eastAsia"/>
                <w:i/>
                <w:sz w:val="18"/>
                <w:szCs w:val="18"/>
                <w:lang w:eastAsia="ko-KR"/>
              </w:rPr>
              <w:t>data provided by the Ministry of Internal Affairs</w:t>
            </w:r>
            <w:r w:rsidR="00A85E9D">
              <w:rPr>
                <w:i/>
                <w:sz w:val="18"/>
                <w:szCs w:val="18"/>
                <w:lang w:eastAsia="ko-KR"/>
              </w:rPr>
              <w:t>,</w:t>
            </w:r>
            <w:r w:rsidR="00A85E9D">
              <w:t xml:space="preserve"> </w:t>
            </w:r>
            <w:r w:rsidR="00A85E9D" w:rsidRPr="00A85E9D">
              <w:rPr>
                <w:i/>
                <w:sz w:val="18"/>
                <w:szCs w:val="18"/>
                <w:lang w:eastAsia="ko-KR"/>
              </w:rPr>
              <w:t>assuming GDP growth at 7% per year</w:t>
            </w:r>
          </w:p>
        </w:tc>
      </w:tr>
    </w:tbl>
    <w:p w:rsidR="0052585B" w:rsidRDefault="00F33E06" w:rsidP="00353E27">
      <w:r>
        <w:rPr>
          <w:b/>
        </w:rPr>
        <w:t>W</w:t>
      </w:r>
      <w:r w:rsidR="0052585B">
        <w:rPr>
          <w:b/>
        </w:rPr>
        <w:t xml:space="preserve">hen </w:t>
      </w:r>
      <w:r>
        <w:rPr>
          <w:b/>
        </w:rPr>
        <w:t xml:space="preserve">Georgia </w:t>
      </w:r>
      <w:r w:rsidR="0052585B">
        <w:rPr>
          <w:b/>
        </w:rPr>
        <w:t xml:space="preserve">reaches </w:t>
      </w:r>
      <w:r>
        <w:rPr>
          <w:b/>
        </w:rPr>
        <w:t>US$</w:t>
      </w:r>
      <w:r w:rsidR="00FC41B3">
        <w:rPr>
          <w:b/>
        </w:rPr>
        <w:t xml:space="preserve"> 7</w:t>
      </w:r>
      <w:r w:rsidR="0052585B" w:rsidRPr="003E69DB">
        <w:rPr>
          <w:b/>
        </w:rPr>
        <w:t>,</w:t>
      </w:r>
      <w:r w:rsidR="00FC41B3">
        <w:rPr>
          <w:b/>
        </w:rPr>
        <w:t>5</w:t>
      </w:r>
      <w:r w:rsidR="0052585B" w:rsidRPr="003E69DB">
        <w:rPr>
          <w:b/>
        </w:rPr>
        <w:t>00 per capita GDP</w:t>
      </w:r>
      <w:r>
        <w:rPr>
          <w:b/>
        </w:rPr>
        <w:t xml:space="preserve">, will there be </w:t>
      </w:r>
      <w:r w:rsidR="0052585B" w:rsidRPr="003E69DB">
        <w:rPr>
          <w:b/>
        </w:rPr>
        <w:t>low or high vehicle ownership, relative to income level?</w:t>
      </w:r>
      <w:r w:rsidR="00DE04D1">
        <w:rPr>
          <w:rStyle w:val="FootnoteReference"/>
          <w:b/>
        </w:rPr>
        <w:footnoteReference w:id="7"/>
      </w:r>
      <w:r w:rsidR="0052585B">
        <w:t xml:space="preserve">  </w:t>
      </w:r>
      <w:r w:rsidR="00BD6BA8">
        <w:t>Assuming an average growth rate at 7</w:t>
      </w:r>
      <w:r>
        <w:t>.0</w:t>
      </w:r>
      <w:r w:rsidR="00BD6BA8">
        <w:t xml:space="preserve"> percent per year, Georgia’s GDP per capita </w:t>
      </w:r>
      <w:r w:rsidR="00185DA2">
        <w:t xml:space="preserve">could </w:t>
      </w:r>
      <w:r w:rsidR="00BD6BA8">
        <w:t xml:space="preserve">be around </w:t>
      </w:r>
      <w:r>
        <w:t>US</w:t>
      </w:r>
      <w:r w:rsidR="00BD6BA8">
        <w:t xml:space="preserve">$7,500 in 2027. </w:t>
      </w:r>
      <w:fldSimple w:instr=" REF _Ref324334922 \h  \* MERGEFORMAT ">
        <w:r w:rsidR="00BA2792" w:rsidRPr="00BA2792">
          <w:t xml:space="preserve">Figure </w:t>
        </w:r>
        <w:r w:rsidR="00BA2792" w:rsidRPr="00BA2792">
          <w:rPr>
            <w:noProof/>
          </w:rPr>
          <w:t>5</w:t>
        </w:r>
      </w:fldSimple>
      <w:r w:rsidR="00BD6BA8" w:rsidRPr="00BD6BA8">
        <w:t xml:space="preserve"> </w:t>
      </w:r>
      <w:r w:rsidR="002B3D10" w:rsidRPr="00BD6BA8">
        <w:t>shows estimated motor</w:t>
      </w:r>
      <w:r w:rsidR="002B3D10">
        <w:t xml:space="preserve"> fuel consumption over the next 15 years by motorization scenario. Under a low motorization scenario, whereby Georgians in 202</w:t>
      </w:r>
      <w:r w:rsidR="00FC41B3">
        <w:t>7</w:t>
      </w:r>
      <w:r w:rsidR="002B3D10">
        <w:t xml:space="preserve"> own </w:t>
      </w:r>
      <w:r w:rsidR="00FC41B3">
        <w:t xml:space="preserve">fewer than </w:t>
      </w:r>
      <w:r w:rsidR="002B3D10">
        <w:t>200 vehicles per 1,000 inhabitants, the entire transport sector fuel consumption during 201</w:t>
      </w:r>
      <w:r w:rsidR="001C0F40">
        <w:t>2</w:t>
      </w:r>
      <w:r w:rsidR="002B3D10">
        <w:t>-202</w:t>
      </w:r>
      <w:r w:rsidR="00561696">
        <w:t>7</w:t>
      </w:r>
      <w:r w:rsidR="002B3D10">
        <w:t xml:space="preserve"> will be </w:t>
      </w:r>
      <w:r w:rsidR="007A7906">
        <w:t xml:space="preserve">22.6 </w:t>
      </w:r>
      <w:r w:rsidR="001C0F40">
        <w:t>m</w:t>
      </w:r>
      <w:r w:rsidR="002B3D10">
        <w:t>illion tons</w:t>
      </w:r>
      <w:r w:rsidR="006D76C0">
        <w:t>, and CO2 emissions will be 69.3 million tons</w:t>
      </w:r>
      <w:r w:rsidR="002B3D10">
        <w:t xml:space="preserve">. </w:t>
      </w:r>
      <w:r w:rsidR="007A7906">
        <w:t>In comparison, u</w:t>
      </w:r>
      <w:r w:rsidR="002B3D10">
        <w:t xml:space="preserve">nder a high motorization scenario, whereby Georgians own </w:t>
      </w:r>
      <w:r w:rsidR="00FC41B3">
        <w:t>more than 250</w:t>
      </w:r>
      <w:r w:rsidR="002B3D10">
        <w:t xml:space="preserve"> vehicles per 1,000 inhabitants, transport sector fuel consumption during the same period will be </w:t>
      </w:r>
      <w:r w:rsidR="007A7906">
        <w:t>24.4</w:t>
      </w:r>
      <w:r w:rsidR="002B3D10">
        <w:t xml:space="preserve"> </w:t>
      </w:r>
      <w:r w:rsidR="007A7906">
        <w:t>m</w:t>
      </w:r>
      <w:r w:rsidR="002B3D10">
        <w:t>illion tons</w:t>
      </w:r>
      <w:r w:rsidR="007A7906">
        <w:t xml:space="preserve">, </w:t>
      </w:r>
      <w:r w:rsidR="006D76C0">
        <w:t xml:space="preserve">and </w:t>
      </w:r>
      <w:r w:rsidR="007A7906">
        <w:t>CO2 emissions 74.3 million tons</w:t>
      </w:r>
      <w:r w:rsidR="002B3D10">
        <w:t xml:space="preserve">, </w:t>
      </w:r>
      <w:r w:rsidR="007A7906">
        <w:t xml:space="preserve">about </w:t>
      </w:r>
      <w:r w:rsidR="006D76C0">
        <w:t>7-</w:t>
      </w:r>
      <w:r w:rsidR="007A7906">
        <w:t xml:space="preserve">8 </w:t>
      </w:r>
      <w:r w:rsidR="002B3D10">
        <w:t>percent higher than the lower bound estimate.</w:t>
      </w:r>
      <w:r w:rsidR="007A7906">
        <w:rPr>
          <w:rStyle w:val="FootnoteReference"/>
        </w:rPr>
        <w:footnoteReference w:id="8"/>
      </w:r>
    </w:p>
    <w:p w:rsidR="00C139C5" w:rsidRDefault="000B0FA5" w:rsidP="000B0FA5">
      <w:r>
        <w:rPr>
          <w:b/>
        </w:rPr>
        <w:t xml:space="preserve">To improve </w:t>
      </w:r>
      <w:r w:rsidRPr="00CD1BD5">
        <w:rPr>
          <w:b/>
        </w:rPr>
        <w:t>transport sector</w:t>
      </w:r>
      <w:r>
        <w:rPr>
          <w:b/>
        </w:rPr>
        <w:t xml:space="preserve"> efficiency, Government</w:t>
      </w:r>
      <w:r w:rsidR="00F448E6">
        <w:rPr>
          <w:b/>
        </w:rPr>
        <w:t xml:space="preserve"> intervention is necessary </w:t>
      </w:r>
      <w:r w:rsidRPr="00CD1BD5">
        <w:rPr>
          <w:b/>
        </w:rPr>
        <w:t>to correct market failures</w:t>
      </w:r>
      <w:r>
        <w:rPr>
          <w:b/>
        </w:rPr>
        <w:t>.</w:t>
      </w:r>
      <w:r w:rsidRPr="005A76C7">
        <w:t xml:space="preserve"> </w:t>
      </w:r>
      <w:r w:rsidR="005A76C7" w:rsidRPr="005A76C7">
        <w:t xml:space="preserve">Market </w:t>
      </w:r>
      <w:r w:rsidR="005A76C7">
        <w:t xml:space="preserve">failure occurs </w:t>
      </w:r>
      <w:r w:rsidR="00F33E06">
        <w:t xml:space="preserve">when </w:t>
      </w:r>
      <w:r w:rsidR="005A76C7">
        <w:t xml:space="preserve">there </w:t>
      </w:r>
      <w:r w:rsidR="00F33E06">
        <w:t xml:space="preserve">are </w:t>
      </w:r>
      <w:r w:rsidR="005A76C7">
        <w:t xml:space="preserve">large negative externalities. </w:t>
      </w:r>
      <w:r>
        <w:t>As in any other sector,</w:t>
      </w:r>
      <w:r w:rsidRPr="00CD1BD5">
        <w:t xml:space="preserve"> efficiency in</w:t>
      </w:r>
      <w:r>
        <w:t xml:space="preserve"> </w:t>
      </w:r>
      <w:r w:rsidRPr="00CD1BD5">
        <w:t xml:space="preserve">transport </w:t>
      </w:r>
      <w:r>
        <w:t xml:space="preserve">is determined </w:t>
      </w:r>
      <w:r w:rsidRPr="00CD1BD5">
        <w:t xml:space="preserve">by service providers reacting </w:t>
      </w:r>
      <w:r>
        <w:t xml:space="preserve">to costs and profit opportunities, </w:t>
      </w:r>
      <w:r w:rsidRPr="00CD1BD5">
        <w:t>and user</w:t>
      </w:r>
      <w:r>
        <w:t>s reacting</w:t>
      </w:r>
      <w:r w:rsidRPr="00CD1BD5">
        <w:t xml:space="preserve"> </w:t>
      </w:r>
      <w:r>
        <w:t xml:space="preserve">to prices and benefits. In Georgia, large external costs associated with the transport sector exist but are not reflected in market prices; these include local air pollution, GHG emissions and </w:t>
      </w:r>
      <w:r w:rsidR="00C139C5">
        <w:t xml:space="preserve">negative impacts of </w:t>
      </w:r>
      <w:r>
        <w:t xml:space="preserve">climate change, traffic congestion, and </w:t>
      </w:r>
      <w:r w:rsidR="00C139C5">
        <w:t xml:space="preserve">deterioration of transport </w:t>
      </w:r>
      <w:r>
        <w:t xml:space="preserve">infrastructure. </w:t>
      </w:r>
      <w:r w:rsidR="00422A4E">
        <w:t xml:space="preserve"> </w:t>
      </w:r>
      <w:r w:rsidR="00C139C5">
        <w:t xml:space="preserve">Under the current </w:t>
      </w:r>
      <w:r w:rsidR="00EB5101">
        <w:t>market-based approach</w:t>
      </w:r>
      <w:r w:rsidR="00C139C5">
        <w:t xml:space="preserve">, transport service providers do not </w:t>
      </w:r>
      <w:r w:rsidR="00EB5101">
        <w:t xml:space="preserve">and will not </w:t>
      </w:r>
      <w:r w:rsidR="00C139C5">
        <w:t>the bear the cost of the negative externalities they generate</w:t>
      </w:r>
      <w:r w:rsidR="00EB5101">
        <w:t xml:space="preserve">—for instance, harmful gases emitted from minibuses—until government intervention forces them to reduce </w:t>
      </w:r>
      <w:r w:rsidR="00F33E06">
        <w:t xml:space="preserve">emissions </w:t>
      </w:r>
      <w:r w:rsidR="00EB5101">
        <w:t>or pay for the externalities.</w:t>
      </w:r>
    </w:p>
    <w:p w:rsidR="00FC41B3" w:rsidRDefault="002B3D10" w:rsidP="00586244">
      <w:pPr>
        <w:rPr>
          <w:rFonts w:eastAsiaTheme="majorEastAsia"/>
          <w:b/>
          <w:bCs/>
          <w:sz w:val="26"/>
          <w:szCs w:val="26"/>
        </w:rPr>
      </w:pPr>
      <w:r>
        <w:rPr>
          <w:b/>
        </w:rPr>
        <w:t>T</w:t>
      </w:r>
      <w:r w:rsidR="000B0FA5">
        <w:rPr>
          <w:b/>
        </w:rPr>
        <w:t xml:space="preserve">hese distortions </w:t>
      </w:r>
      <w:r w:rsidR="00C21C25">
        <w:rPr>
          <w:b/>
        </w:rPr>
        <w:t xml:space="preserve">are likely to </w:t>
      </w:r>
      <w:r w:rsidR="000B0FA5">
        <w:rPr>
          <w:b/>
        </w:rPr>
        <w:t xml:space="preserve">remain in </w:t>
      </w:r>
      <w:r w:rsidR="000B0FA5" w:rsidRPr="003A4075">
        <w:rPr>
          <w:b/>
        </w:rPr>
        <w:t xml:space="preserve">transport services </w:t>
      </w:r>
      <w:r w:rsidR="000B0FA5">
        <w:rPr>
          <w:b/>
        </w:rPr>
        <w:t>unless G</w:t>
      </w:r>
      <w:r w:rsidR="000B0FA5" w:rsidRPr="003A4075">
        <w:rPr>
          <w:b/>
        </w:rPr>
        <w:t xml:space="preserve">overnment </w:t>
      </w:r>
      <w:r w:rsidR="000B0FA5">
        <w:rPr>
          <w:b/>
        </w:rPr>
        <w:t>intervenes.</w:t>
      </w:r>
      <w:r w:rsidR="000B0FA5" w:rsidRPr="00267686">
        <w:t xml:space="preserve"> </w:t>
      </w:r>
      <w:r w:rsidR="000B0FA5">
        <w:t xml:space="preserve">Transport sector </w:t>
      </w:r>
      <w:r w:rsidR="000B0FA5" w:rsidRPr="00267686">
        <w:t xml:space="preserve">service providers </w:t>
      </w:r>
      <w:r w:rsidR="00C21C25">
        <w:t xml:space="preserve">need to </w:t>
      </w:r>
      <w:r w:rsidR="000B0FA5">
        <w:t>be guided to</w:t>
      </w:r>
      <w:r w:rsidR="000B0FA5" w:rsidRPr="00267686">
        <w:t xml:space="preserve"> reduce these costs</w:t>
      </w:r>
      <w:r w:rsidR="000B0FA5">
        <w:t xml:space="preserve"> through </w:t>
      </w:r>
      <w:r w:rsidR="000B0FA5" w:rsidRPr="00267686">
        <w:t xml:space="preserve">modal structure </w:t>
      </w:r>
      <w:r w:rsidR="000B0FA5">
        <w:t>choices</w:t>
      </w:r>
      <w:r w:rsidR="000B0FA5" w:rsidRPr="00267686">
        <w:t xml:space="preserve">. </w:t>
      </w:r>
      <w:r w:rsidR="000B0FA5">
        <w:t xml:space="preserve">Measures to correct market failures will be felt more strongly in sub-sectors with higher emissions because their market share will decline. </w:t>
      </w:r>
      <w:r w:rsidR="000B0FA5" w:rsidRPr="00CD1BD5">
        <w:t>In Georgia</w:t>
      </w:r>
      <w:r w:rsidR="000B0FA5">
        <w:t>’s urban sector</w:t>
      </w:r>
      <w:r w:rsidR="000B0FA5" w:rsidRPr="00CD1BD5">
        <w:t xml:space="preserve">, this </w:t>
      </w:r>
      <w:r w:rsidR="000B0FA5">
        <w:t>affects</w:t>
      </w:r>
      <w:r w:rsidR="000B0FA5" w:rsidRPr="00CD1BD5">
        <w:t xml:space="preserve"> </w:t>
      </w:r>
      <w:r w:rsidR="00F33E06">
        <w:t xml:space="preserve">primarily </w:t>
      </w:r>
      <w:r w:rsidR="000B0FA5" w:rsidRPr="00CD1BD5">
        <w:t xml:space="preserve">the supply structure </w:t>
      </w:r>
      <w:r w:rsidR="000B0FA5">
        <w:t xml:space="preserve">for </w:t>
      </w:r>
      <w:r w:rsidR="000B0FA5" w:rsidRPr="00CD1BD5">
        <w:t>passenger transport</w:t>
      </w:r>
      <w:r w:rsidR="000B0FA5" w:rsidRPr="00CD1BD5" w:rsidDel="0000417E">
        <w:t xml:space="preserve"> </w:t>
      </w:r>
      <w:r w:rsidR="000B0FA5">
        <w:t>among</w:t>
      </w:r>
      <w:r w:rsidR="000B0FA5" w:rsidRPr="00CD1BD5">
        <w:t xml:space="preserve"> light rail, buses, </w:t>
      </w:r>
      <w:r w:rsidR="000B0FA5">
        <w:t>and old and</w:t>
      </w:r>
      <w:r w:rsidR="000B0FA5" w:rsidRPr="00CD1BD5">
        <w:t xml:space="preserve"> new mini-buses</w:t>
      </w:r>
      <w:r w:rsidR="000B0FA5">
        <w:t xml:space="preserve">. </w:t>
      </w:r>
      <w:r w:rsidR="000B0FA5" w:rsidRPr="00CD1BD5">
        <w:t xml:space="preserve">In freight transport, </w:t>
      </w:r>
      <w:r w:rsidR="000B0FA5" w:rsidRPr="00CD1BD5">
        <w:lastRenderedPageBreak/>
        <w:t xml:space="preserve">it </w:t>
      </w:r>
      <w:r w:rsidR="000B0FA5">
        <w:t>affects</w:t>
      </w:r>
      <w:r w:rsidR="000B0FA5" w:rsidRPr="00CD1BD5">
        <w:t xml:space="preserve"> the mod</w:t>
      </w:r>
      <w:r w:rsidR="000B0FA5">
        <w:t>al</w:t>
      </w:r>
      <w:r w:rsidR="000B0FA5" w:rsidRPr="00CD1BD5">
        <w:t xml:space="preserve"> share between rail and road</w:t>
      </w:r>
      <w:r w:rsidR="000B0FA5">
        <w:t xml:space="preserve">. Corrections of externalities </w:t>
      </w:r>
      <w:r w:rsidR="00C21C25">
        <w:t xml:space="preserve">need to </w:t>
      </w:r>
      <w:r w:rsidR="000B0FA5">
        <w:t xml:space="preserve">be introduced as close </w:t>
      </w:r>
      <w:r w:rsidR="00F33E06">
        <w:t xml:space="preserve">as possible </w:t>
      </w:r>
      <w:r w:rsidR="000B0FA5">
        <w:t xml:space="preserve">to their source. Regulating external costs </w:t>
      </w:r>
      <w:r w:rsidR="00F33E06">
        <w:t xml:space="preserve">requires establishing </w:t>
      </w:r>
      <w:r w:rsidR="000B0FA5">
        <w:t>technical standards to implement technology substitution; local pollution should be reduced by charging for emissions of specific pollutants</w:t>
      </w:r>
      <w:r w:rsidR="000B0FA5">
        <w:sym w:font="Symbol" w:char="F0BE"/>
      </w:r>
      <w:r w:rsidR="000B0FA5">
        <w:t>for example, GHG emissions are addressed by fuel taxes</w:t>
      </w:r>
      <w:r w:rsidR="00C21C25">
        <w:t xml:space="preserve"> and other fiscal measures</w:t>
      </w:r>
      <w:r w:rsidR="000B0FA5">
        <w:t>. The ideal instruments are often proxied by other measures, which avoids high implementation</w:t>
      </w:r>
      <w:r w:rsidR="000B0FA5" w:rsidRPr="00974C38">
        <w:t xml:space="preserve"> </w:t>
      </w:r>
      <w:r w:rsidR="000B0FA5">
        <w:t>costs.</w:t>
      </w:r>
      <w:r w:rsidR="00C21C25">
        <w:t xml:space="preserve"> For instance, t</w:t>
      </w:r>
      <w:r w:rsidR="000B0FA5">
        <w:t>ailpipe pollutants are difficult to monitor, so charges for local emissions are usually approximated by charges per vehicle-km, differentiated by vehicle type.</w:t>
      </w:r>
      <w:r w:rsidR="00FC41B3">
        <w:rPr>
          <w:sz w:val="26"/>
          <w:szCs w:val="26"/>
        </w:rPr>
        <w:br w:type="page"/>
      </w:r>
    </w:p>
    <w:p w:rsidR="00B15156" w:rsidRPr="00477DD6" w:rsidRDefault="007F2695" w:rsidP="00BA2792">
      <w:pPr>
        <w:pStyle w:val="Heading1"/>
        <w:jc w:val="center"/>
        <w:rPr>
          <w:sz w:val="26"/>
          <w:szCs w:val="26"/>
        </w:rPr>
      </w:pPr>
      <w:bookmarkStart w:id="27" w:name="_Toc326892926"/>
      <w:r>
        <w:rPr>
          <w:sz w:val="26"/>
          <w:szCs w:val="26"/>
        </w:rPr>
        <w:lastRenderedPageBreak/>
        <w:t>Defining the Goal, Principle, Instruments and Scope</w:t>
      </w:r>
      <w:bookmarkEnd w:id="27"/>
    </w:p>
    <w:p w:rsidR="006F1790" w:rsidRDefault="006F1790" w:rsidP="00BA2792">
      <w:pPr>
        <w:pStyle w:val="Heading2"/>
      </w:pPr>
      <w:bookmarkStart w:id="28" w:name="_Toc326892927"/>
      <w:r>
        <w:t>Goal: Reduce Total Cost of Transportation</w:t>
      </w:r>
      <w:bookmarkEnd w:id="28"/>
    </w:p>
    <w:p w:rsidR="000B0FA5" w:rsidRDefault="000B0FA5" w:rsidP="000B0FA5">
      <w:r>
        <w:t xml:space="preserve">Rising demand for transport would increase local pollution from fuels, which would increase health costs </w:t>
      </w:r>
      <w:r w:rsidR="00B855BC">
        <w:t xml:space="preserve">and other environmental impacts </w:t>
      </w:r>
      <w:r>
        <w:t>for Georgian citizens. Rising levels of congestion would increase travel times and safety risks.</w:t>
      </w:r>
      <w:r w:rsidR="005A76C7" w:rsidRPr="005A76C7">
        <w:rPr>
          <w:vertAlign w:val="superscript"/>
        </w:rPr>
        <w:footnoteReference w:id="9"/>
      </w:r>
      <w:r w:rsidR="005A76C7">
        <w:t xml:space="preserve"> </w:t>
      </w:r>
      <w:r>
        <w:t xml:space="preserve"> If fossil fuels remain the dominant source of energy for transport, Georgia will continue to be dependent on energy imports and economic growth will be constrained by current account deficits. Finally, rising GHG emissions would continue to concentrate in the atmosphere, contributing to global warming.</w:t>
      </w:r>
    </w:p>
    <w:p w:rsidR="003253AC" w:rsidRDefault="000B0FA5" w:rsidP="000B0FA5">
      <w:pPr>
        <w:rPr>
          <w:bCs/>
        </w:rPr>
      </w:pPr>
      <w:r w:rsidRPr="00996935">
        <w:rPr>
          <w:bCs/>
        </w:rPr>
        <w:t xml:space="preserve">Therefore </w:t>
      </w:r>
      <w:r w:rsidRPr="008C74F2">
        <w:rPr>
          <w:b/>
          <w:bCs/>
        </w:rPr>
        <w:t>the primary goal of the green transport policy framework is to reduce the total cost of transportation including all direct and indirect costs, while maintaining total social welfare</w:t>
      </w:r>
      <w:r w:rsidR="00B855BC" w:rsidRPr="008C74F2">
        <w:rPr>
          <w:b/>
          <w:bCs/>
        </w:rPr>
        <w:t xml:space="preserve"> benefits</w:t>
      </w:r>
      <w:r w:rsidRPr="00996935">
        <w:rPr>
          <w:bCs/>
        </w:rPr>
        <w:t>.</w:t>
      </w:r>
      <w:r>
        <w:rPr>
          <w:b/>
          <w:bCs/>
        </w:rPr>
        <w:t xml:space="preserve"> </w:t>
      </w:r>
      <w:r>
        <w:rPr>
          <w:bCs/>
        </w:rPr>
        <w:t xml:space="preserve">Direct and indirect costs borne by </w:t>
      </w:r>
      <w:r w:rsidRPr="00996935">
        <w:rPr>
          <w:bCs/>
        </w:rPr>
        <w:t>private parties</w:t>
      </w:r>
      <w:r>
        <w:rPr>
          <w:bCs/>
        </w:rPr>
        <w:t xml:space="preserve"> would be lowered through fair competition among modes and operators. Indirect costs borne by </w:t>
      </w:r>
      <w:r w:rsidRPr="00996935">
        <w:rPr>
          <w:bCs/>
        </w:rPr>
        <w:t>society</w:t>
      </w:r>
      <w:r>
        <w:rPr>
          <w:bCs/>
        </w:rPr>
        <w:t xml:space="preserve"> would be reduced by mechanisms that internalize </w:t>
      </w:r>
      <w:r w:rsidR="00B855BC">
        <w:rPr>
          <w:bCs/>
        </w:rPr>
        <w:t xml:space="preserve">quantifiable </w:t>
      </w:r>
      <w:r>
        <w:rPr>
          <w:bCs/>
        </w:rPr>
        <w:t>external costs.</w:t>
      </w:r>
    </w:p>
    <w:p w:rsidR="00B15156" w:rsidRPr="00A24018" w:rsidRDefault="006F1790" w:rsidP="00BA2792">
      <w:pPr>
        <w:pStyle w:val="Heading2"/>
      </w:pPr>
      <w:bookmarkStart w:id="29" w:name="_Toc326892928"/>
      <w:r>
        <w:t xml:space="preserve">Principle: </w:t>
      </w:r>
      <w:r w:rsidR="0036441E">
        <w:t xml:space="preserve">Influence and Improve Transport </w:t>
      </w:r>
      <w:r w:rsidR="007E6CAE">
        <w:t xml:space="preserve">User </w:t>
      </w:r>
      <w:r w:rsidR="0036441E">
        <w:t>Choices</w:t>
      </w:r>
      <w:bookmarkEnd w:id="29"/>
    </w:p>
    <w:p w:rsidR="00491A62" w:rsidRDefault="009E06AA" w:rsidP="00C13E8E">
      <w:pPr>
        <w:rPr>
          <w:bCs/>
        </w:rPr>
      </w:pPr>
      <w:r w:rsidRPr="000A117E">
        <w:rPr>
          <w:b/>
          <w:bCs/>
        </w:rPr>
        <w:t>At the heart of green transportation is consumer choice—the choices each transport user faces</w:t>
      </w:r>
      <w:r w:rsidRPr="000A117E">
        <w:rPr>
          <w:b/>
          <w:bCs/>
        </w:rPr>
        <w:sym w:font="Symbol" w:char="F0BE"/>
      </w:r>
      <w:r w:rsidRPr="000A117E">
        <w:rPr>
          <w:b/>
          <w:bCs/>
        </w:rPr>
        <w:t>whether to move, when to move, which route to take, which mode and vehicle to use</w:t>
      </w:r>
      <w:r>
        <w:rPr>
          <w:bCs/>
        </w:rPr>
        <w:t xml:space="preserve"> and so forth. In the aggregate, transport user decisions determine how green transportation is, and affect environmental sustainability and economic development. In Georgia, these choices also affect </w:t>
      </w:r>
      <w:r w:rsidR="00F33E06">
        <w:rPr>
          <w:bCs/>
        </w:rPr>
        <w:t xml:space="preserve">the levels of </w:t>
      </w:r>
      <w:r>
        <w:rPr>
          <w:bCs/>
        </w:rPr>
        <w:t>national dependence on petroleum products, air pollution, transport costs, and labor productivity. Therefore the policy framework for green transportation must shape consumer choices by including factors that affect their decisions</w:t>
      </w:r>
      <w:r w:rsidR="00B64E0E">
        <w:rPr>
          <w:bCs/>
        </w:rPr>
        <w:t>.</w:t>
      </w:r>
    </w:p>
    <w:tbl>
      <w:tblPr>
        <w:tblStyle w:val="TableGrid"/>
        <w:tblpPr w:leftFromText="180" w:rightFromText="180" w:vertAnchor="text" w:horzAnchor="margin" w:tblpXSpec="right" w:tblpY="81"/>
        <w:tblOverlap w:val="never"/>
        <w:tblW w:w="0" w:type="auto"/>
        <w:tblLayout w:type="fixed"/>
        <w:tblCellMar>
          <w:top w:w="14" w:type="dxa"/>
          <w:left w:w="14" w:type="dxa"/>
          <w:bottom w:w="14" w:type="dxa"/>
          <w:right w:w="14" w:type="dxa"/>
        </w:tblCellMar>
        <w:tblLook w:val="04A0"/>
      </w:tblPr>
      <w:tblGrid>
        <w:gridCol w:w="3704"/>
      </w:tblGrid>
      <w:tr w:rsidR="009E06AA" w:rsidTr="000C5F22">
        <w:trPr>
          <w:trHeight w:val="2316"/>
        </w:trPr>
        <w:tc>
          <w:tcPr>
            <w:tcW w:w="3704" w:type="dxa"/>
          </w:tcPr>
          <w:p w:rsidR="009E06AA" w:rsidRDefault="009E06AA" w:rsidP="000C5F22">
            <w:pPr>
              <w:spacing w:after="0"/>
              <w:rPr>
                <w:bCs/>
              </w:rPr>
            </w:pPr>
            <w:r w:rsidRPr="00722E4E">
              <w:rPr>
                <w:bCs/>
                <w:noProof/>
                <w:lang w:bidi="ar-SA"/>
              </w:rPr>
              <w:drawing>
                <wp:inline distT="0" distB="0" distL="0" distR="0">
                  <wp:extent cx="2362200" cy="1504950"/>
                  <wp:effectExtent l="0" t="0" r="0" b="0"/>
                  <wp:docPr id="2"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tc>
      </w:tr>
    </w:tbl>
    <w:p w:rsidR="00EC5D49" w:rsidRDefault="009E06AA" w:rsidP="00C13E8E">
      <w:pPr>
        <w:rPr>
          <w:bCs/>
        </w:rPr>
      </w:pPr>
      <w:r w:rsidRPr="000A117E">
        <w:rPr>
          <w:b/>
          <w:bCs/>
        </w:rPr>
        <w:t xml:space="preserve">This paper proposes a policy framework that will influence and improve transport user choices in </w:t>
      </w:r>
      <w:r w:rsidR="00F33E06">
        <w:rPr>
          <w:b/>
          <w:bCs/>
        </w:rPr>
        <w:t xml:space="preserve">ways that </w:t>
      </w:r>
      <w:r w:rsidRPr="000A117E">
        <w:rPr>
          <w:b/>
          <w:bCs/>
        </w:rPr>
        <w:t>support environmental sustainability and economic development</w:t>
      </w:r>
      <w:r w:rsidRPr="00313DFE">
        <w:rPr>
          <w:bCs/>
        </w:rPr>
        <w:t>.</w:t>
      </w:r>
      <w:r>
        <w:rPr>
          <w:bCs/>
        </w:rPr>
        <w:t xml:space="preserve"> </w:t>
      </w:r>
      <w:r w:rsidRPr="00491A62">
        <w:rPr>
          <w:bCs/>
        </w:rPr>
        <w:t xml:space="preserve">Georgia has progressed </w:t>
      </w:r>
      <w:r>
        <w:rPr>
          <w:bCs/>
        </w:rPr>
        <w:t xml:space="preserve">admirably toward a </w:t>
      </w:r>
      <w:r w:rsidRPr="00491A62">
        <w:rPr>
          <w:bCs/>
        </w:rPr>
        <w:t>market economy</w:t>
      </w:r>
      <w:r>
        <w:rPr>
          <w:bCs/>
        </w:rPr>
        <w:t>, thus</w:t>
      </w:r>
      <w:r w:rsidRPr="00491A62">
        <w:rPr>
          <w:bCs/>
        </w:rPr>
        <w:t xml:space="preserve"> </w:t>
      </w:r>
      <w:r>
        <w:rPr>
          <w:bCs/>
        </w:rPr>
        <w:t xml:space="preserve">an important </w:t>
      </w:r>
      <w:r w:rsidRPr="00491A62">
        <w:rPr>
          <w:bCs/>
        </w:rPr>
        <w:t>policy goal would be to minimize negative impacts on the environment and the economy</w:t>
      </w:r>
      <w:r w:rsidRPr="00491A62" w:rsidDel="00313DFE">
        <w:rPr>
          <w:bCs/>
        </w:rPr>
        <w:t xml:space="preserve"> </w:t>
      </w:r>
      <w:r>
        <w:rPr>
          <w:bCs/>
        </w:rPr>
        <w:t>from</w:t>
      </w:r>
      <w:r w:rsidRPr="00491A62">
        <w:rPr>
          <w:bCs/>
        </w:rPr>
        <w:t xml:space="preserve"> transport choices</w:t>
      </w:r>
      <w:r w:rsidR="00B855BC">
        <w:rPr>
          <w:bCs/>
        </w:rPr>
        <w:t xml:space="preserve"> made by users</w:t>
      </w:r>
      <w:r w:rsidRPr="00491A62">
        <w:rPr>
          <w:bCs/>
        </w:rPr>
        <w:t xml:space="preserve">, </w:t>
      </w:r>
      <w:r>
        <w:rPr>
          <w:bCs/>
        </w:rPr>
        <w:t xml:space="preserve">but </w:t>
      </w:r>
      <w:r w:rsidRPr="00491A62">
        <w:rPr>
          <w:bCs/>
          <w:i/>
        </w:rPr>
        <w:t>without undermining the market economy</w:t>
      </w:r>
      <w:r>
        <w:rPr>
          <w:bCs/>
        </w:rPr>
        <w:t xml:space="preserve">. </w:t>
      </w:r>
      <w:r w:rsidRPr="00491A62">
        <w:rPr>
          <w:bCs/>
        </w:rPr>
        <w:t xml:space="preserve">This </w:t>
      </w:r>
      <w:r>
        <w:rPr>
          <w:bCs/>
        </w:rPr>
        <w:t>requires G</w:t>
      </w:r>
      <w:r w:rsidRPr="00491A62">
        <w:rPr>
          <w:bCs/>
        </w:rPr>
        <w:t xml:space="preserve">overnment </w:t>
      </w:r>
      <w:r>
        <w:rPr>
          <w:bCs/>
        </w:rPr>
        <w:t xml:space="preserve">to </w:t>
      </w:r>
      <w:r w:rsidRPr="00491A62">
        <w:rPr>
          <w:bCs/>
        </w:rPr>
        <w:t>interven</w:t>
      </w:r>
      <w:r>
        <w:rPr>
          <w:bCs/>
        </w:rPr>
        <w:t>e</w:t>
      </w:r>
      <w:r w:rsidRPr="00491A62">
        <w:rPr>
          <w:bCs/>
        </w:rPr>
        <w:t xml:space="preserve"> to correct market failures and inefficiency</w:t>
      </w:r>
      <w:r w:rsidR="00B855BC">
        <w:rPr>
          <w:bCs/>
        </w:rPr>
        <w:t xml:space="preserve"> by influencing choices</w:t>
      </w:r>
      <w:r>
        <w:rPr>
          <w:bCs/>
        </w:rPr>
        <w:sym w:font="Symbol" w:char="F0BE"/>
      </w:r>
      <w:r w:rsidR="00F33E06">
        <w:rPr>
          <w:bCs/>
        </w:rPr>
        <w:t xml:space="preserve">without </w:t>
      </w:r>
      <w:r>
        <w:rPr>
          <w:bCs/>
        </w:rPr>
        <w:t>i</w:t>
      </w:r>
      <w:r w:rsidRPr="00491A62">
        <w:rPr>
          <w:bCs/>
        </w:rPr>
        <w:t>mpos</w:t>
      </w:r>
      <w:r w:rsidR="00F33E06">
        <w:rPr>
          <w:bCs/>
        </w:rPr>
        <w:t>ing</w:t>
      </w:r>
      <w:r w:rsidRPr="00491A62">
        <w:rPr>
          <w:bCs/>
        </w:rPr>
        <w:t xml:space="preserve"> solutions.</w:t>
      </w:r>
      <w:r>
        <w:rPr>
          <w:bCs/>
        </w:rPr>
        <w:t xml:space="preserve"> </w:t>
      </w:r>
    </w:p>
    <w:p w:rsidR="00756E1B" w:rsidRDefault="009E06AA" w:rsidP="00C13E8E">
      <w:pPr>
        <w:rPr>
          <w:bCs/>
        </w:rPr>
      </w:pPr>
      <w:r w:rsidRPr="00C76D9E">
        <w:rPr>
          <w:b/>
          <w:bCs/>
        </w:rPr>
        <w:t>Influencing choices</w:t>
      </w:r>
      <w:r w:rsidR="000A117E" w:rsidRPr="000A117E">
        <w:rPr>
          <w:b/>
          <w:bCs/>
        </w:rPr>
        <w:t>:</w:t>
      </w:r>
      <w:r w:rsidRPr="000A117E">
        <w:rPr>
          <w:b/>
          <w:bCs/>
        </w:rPr>
        <w:t xml:space="preserve"> Government needs to implement demand-side measures that include incentives for transport users to choose greener transportation, principally by strengthening the regulatory and fiscal framework</w:t>
      </w:r>
      <w:r w:rsidRPr="003002E2">
        <w:rPr>
          <w:bCs/>
        </w:rPr>
        <w:t>.</w:t>
      </w:r>
      <w:r>
        <w:rPr>
          <w:bCs/>
        </w:rPr>
        <w:t xml:space="preserve"> Market inefficiencies are present in several subsectors, including urban transportation and freight transportation; these inefficiencies reward consumer choices that benefit individual transport users at the expense of overall society.  </w:t>
      </w:r>
      <w:r w:rsidR="00DE05FE">
        <w:rPr>
          <w:bCs/>
        </w:rPr>
        <w:t>For instance, a</w:t>
      </w:r>
      <w:r w:rsidR="00756E1B">
        <w:rPr>
          <w:bCs/>
        </w:rPr>
        <w:t xml:space="preserve"> transport service provider that operates old vehicles is likely to </w:t>
      </w:r>
      <w:r w:rsidR="006B6CFF">
        <w:rPr>
          <w:bCs/>
        </w:rPr>
        <w:t>incur low capital cost</w:t>
      </w:r>
      <w:r w:rsidR="00756E1B">
        <w:rPr>
          <w:bCs/>
        </w:rPr>
        <w:t xml:space="preserve"> </w:t>
      </w:r>
      <w:r w:rsidR="006B6CFF">
        <w:rPr>
          <w:bCs/>
        </w:rPr>
        <w:t xml:space="preserve">due to the low value of the vehicles.  However, </w:t>
      </w:r>
      <w:r w:rsidR="00296008">
        <w:rPr>
          <w:bCs/>
        </w:rPr>
        <w:lastRenderedPageBreak/>
        <w:t xml:space="preserve">services provided </w:t>
      </w:r>
      <w:r w:rsidR="00B26CDE">
        <w:rPr>
          <w:bCs/>
        </w:rPr>
        <w:t xml:space="preserve">by </w:t>
      </w:r>
      <w:r w:rsidR="006B6CFF">
        <w:rPr>
          <w:bCs/>
        </w:rPr>
        <w:t>such vehicles generate larger externalities</w:t>
      </w:r>
      <w:r w:rsidR="00CE0023">
        <w:rPr>
          <w:bCs/>
        </w:rPr>
        <w:t xml:space="preserve">, </w:t>
      </w:r>
      <w:r w:rsidR="00296008">
        <w:rPr>
          <w:bCs/>
        </w:rPr>
        <w:t xml:space="preserve">as they emit </w:t>
      </w:r>
      <w:r w:rsidR="00D73DEC">
        <w:rPr>
          <w:bCs/>
        </w:rPr>
        <w:t xml:space="preserve">a </w:t>
      </w:r>
      <w:r w:rsidR="00296008">
        <w:rPr>
          <w:bCs/>
        </w:rPr>
        <w:t xml:space="preserve">greater </w:t>
      </w:r>
      <w:r w:rsidR="00D73DEC">
        <w:rPr>
          <w:bCs/>
        </w:rPr>
        <w:t xml:space="preserve">amount of </w:t>
      </w:r>
      <w:r w:rsidR="00296008">
        <w:rPr>
          <w:bCs/>
        </w:rPr>
        <w:t xml:space="preserve">pollutants and have </w:t>
      </w:r>
      <w:r w:rsidR="00D73DEC">
        <w:rPr>
          <w:bCs/>
        </w:rPr>
        <w:t xml:space="preserve">a </w:t>
      </w:r>
      <w:r w:rsidR="00296008">
        <w:rPr>
          <w:bCs/>
        </w:rPr>
        <w:t>higher likelihood of vehicle breakdown that could threaten road safety</w:t>
      </w:r>
      <w:r w:rsidR="00B26CDE">
        <w:rPr>
          <w:bCs/>
        </w:rPr>
        <w:t xml:space="preserve">, compared to </w:t>
      </w:r>
      <w:r w:rsidR="00B64E0E">
        <w:rPr>
          <w:bCs/>
        </w:rPr>
        <w:t xml:space="preserve">those </w:t>
      </w:r>
      <w:r w:rsidR="00D73E3A">
        <w:rPr>
          <w:bCs/>
        </w:rPr>
        <w:t xml:space="preserve">by </w:t>
      </w:r>
      <w:r w:rsidR="00B26CDE">
        <w:rPr>
          <w:bCs/>
        </w:rPr>
        <w:t xml:space="preserve">newer </w:t>
      </w:r>
      <w:r w:rsidR="00B855BC">
        <w:rPr>
          <w:bCs/>
        </w:rPr>
        <w:t xml:space="preserve">vehicles </w:t>
      </w:r>
      <w:r w:rsidR="00B26CDE">
        <w:rPr>
          <w:bCs/>
        </w:rPr>
        <w:t>(hence cleaner and more fuel-efficient)</w:t>
      </w:r>
      <w:r w:rsidR="00CE0023">
        <w:rPr>
          <w:bCs/>
        </w:rPr>
        <w:t xml:space="preserve">. </w:t>
      </w:r>
      <w:r w:rsidR="00F33E06">
        <w:rPr>
          <w:bCs/>
        </w:rPr>
        <w:t xml:space="preserve"> </w:t>
      </w:r>
      <w:r w:rsidR="00DE05FE">
        <w:rPr>
          <w:bCs/>
        </w:rPr>
        <w:t xml:space="preserve">While savings in capital costs are enjoyed by transport users </w:t>
      </w:r>
      <w:r w:rsidR="00B26CDE">
        <w:rPr>
          <w:bCs/>
        </w:rPr>
        <w:t xml:space="preserve">who pay </w:t>
      </w:r>
      <w:r w:rsidR="00DE05FE">
        <w:rPr>
          <w:bCs/>
        </w:rPr>
        <w:t xml:space="preserve">low fares, </w:t>
      </w:r>
      <w:r w:rsidR="00FA0D8E">
        <w:rPr>
          <w:bCs/>
        </w:rPr>
        <w:t xml:space="preserve">the cost of externalities is </w:t>
      </w:r>
      <w:r w:rsidR="00F33E06">
        <w:rPr>
          <w:bCs/>
        </w:rPr>
        <w:t>borne</w:t>
      </w:r>
      <w:r w:rsidR="00FA0D8E">
        <w:rPr>
          <w:bCs/>
        </w:rPr>
        <w:t xml:space="preserve"> by society</w:t>
      </w:r>
      <w:r w:rsidR="00DE05FE">
        <w:rPr>
          <w:bCs/>
        </w:rPr>
        <w:t xml:space="preserve">—affected </w:t>
      </w:r>
      <w:r w:rsidR="00FA0D8E">
        <w:rPr>
          <w:bCs/>
        </w:rPr>
        <w:t>individuals and tax</w:t>
      </w:r>
      <w:r w:rsidR="00F33E06">
        <w:rPr>
          <w:bCs/>
        </w:rPr>
        <w:t>-</w:t>
      </w:r>
      <w:r w:rsidR="00FA0D8E">
        <w:rPr>
          <w:bCs/>
        </w:rPr>
        <w:t>payers</w:t>
      </w:r>
      <w:r w:rsidR="00DE05FE">
        <w:rPr>
          <w:bCs/>
        </w:rPr>
        <w:t>—</w:t>
      </w:r>
      <w:r w:rsidR="00D73DEC">
        <w:rPr>
          <w:bCs/>
        </w:rPr>
        <w:t xml:space="preserve">in </w:t>
      </w:r>
      <w:r w:rsidR="00F33E06">
        <w:rPr>
          <w:bCs/>
        </w:rPr>
        <w:t xml:space="preserve">the </w:t>
      </w:r>
      <w:r w:rsidR="00D73DEC">
        <w:rPr>
          <w:bCs/>
        </w:rPr>
        <w:t xml:space="preserve">form of </w:t>
      </w:r>
      <w:r w:rsidR="00FA0D8E">
        <w:rPr>
          <w:bCs/>
        </w:rPr>
        <w:t xml:space="preserve">health costs, discomfort, </w:t>
      </w:r>
      <w:r w:rsidR="00F33E06">
        <w:rPr>
          <w:bCs/>
        </w:rPr>
        <w:t xml:space="preserve">environmental </w:t>
      </w:r>
      <w:r w:rsidR="00FA0D8E">
        <w:rPr>
          <w:bCs/>
        </w:rPr>
        <w:t xml:space="preserve">deterioration, </w:t>
      </w:r>
      <w:r w:rsidR="00185BE3">
        <w:rPr>
          <w:bCs/>
        </w:rPr>
        <w:t xml:space="preserve">traffic </w:t>
      </w:r>
      <w:r w:rsidR="00F33E06">
        <w:rPr>
          <w:bCs/>
        </w:rPr>
        <w:t xml:space="preserve">collision </w:t>
      </w:r>
      <w:r w:rsidR="00185BE3">
        <w:rPr>
          <w:bCs/>
        </w:rPr>
        <w:t xml:space="preserve">injuries and casualties, </w:t>
      </w:r>
      <w:r w:rsidR="00FA0D8E">
        <w:rPr>
          <w:bCs/>
        </w:rPr>
        <w:t>and potential</w:t>
      </w:r>
      <w:r w:rsidR="00F33E06">
        <w:rPr>
          <w:bCs/>
        </w:rPr>
        <w:t xml:space="preserve">ly declining </w:t>
      </w:r>
      <w:r w:rsidR="00FA0D8E">
        <w:rPr>
          <w:bCs/>
        </w:rPr>
        <w:t>land values</w:t>
      </w:r>
      <w:r w:rsidR="00DB7723">
        <w:rPr>
          <w:bCs/>
        </w:rPr>
        <w:t>.</w:t>
      </w:r>
      <w:r w:rsidR="00ED6CC3">
        <w:rPr>
          <w:bCs/>
        </w:rPr>
        <w:t xml:space="preserve"> </w:t>
      </w:r>
      <w:r w:rsidR="00CE0023">
        <w:rPr>
          <w:bCs/>
        </w:rPr>
        <w:t>Th</w:t>
      </w:r>
      <w:r w:rsidR="00FA0D8E">
        <w:rPr>
          <w:bCs/>
        </w:rPr>
        <w:t>is</w:t>
      </w:r>
      <w:r w:rsidR="00CE0023">
        <w:rPr>
          <w:bCs/>
        </w:rPr>
        <w:t xml:space="preserve"> </w:t>
      </w:r>
      <w:r w:rsidR="00B26CDE">
        <w:rPr>
          <w:bCs/>
        </w:rPr>
        <w:t>discrepancy</w:t>
      </w:r>
      <w:r w:rsidR="00CE0023">
        <w:rPr>
          <w:bCs/>
        </w:rPr>
        <w:t xml:space="preserve"> between </w:t>
      </w:r>
      <w:r w:rsidR="00D73DEC">
        <w:rPr>
          <w:bCs/>
        </w:rPr>
        <w:t xml:space="preserve">the two </w:t>
      </w:r>
      <w:r w:rsidR="00CE0023">
        <w:rPr>
          <w:bCs/>
        </w:rPr>
        <w:t>marginal costs</w:t>
      </w:r>
      <w:r w:rsidR="00D73DEC">
        <w:rPr>
          <w:bCs/>
        </w:rPr>
        <w:t xml:space="preserve">—one borne by the society and </w:t>
      </w:r>
      <w:r w:rsidR="00CE0023">
        <w:rPr>
          <w:bCs/>
        </w:rPr>
        <w:t>higher</w:t>
      </w:r>
      <w:r w:rsidR="00D73DEC">
        <w:rPr>
          <w:bCs/>
        </w:rPr>
        <w:t xml:space="preserve">, </w:t>
      </w:r>
      <w:r w:rsidR="00CE0023">
        <w:rPr>
          <w:bCs/>
        </w:rPr>
        <w:t xml:space="preserve">and </w:t>
      </w:r>
      <w:r w:rsidR="00D73DEC">
        <w:rPr>
          <w:bCs/>
        </w:rPr>
        <w:t xml:space="preserve">the other borne by </w:t>
      </w:r>
      <w:r w:rsidR="00CE0023">
        <w:rPr>
          <w:bCs/>
        </w:rPr>
        <w:t>users</w:t>
      </w:r>
      <w:r w:rsidR="00D73DEC">
        <w:rPr>
          <w:bCs/>
        </w:rPr>
        <w:t xml:space="preserve"> and </w:t>
      </w:r>
      <w:r w:rsidR="00CE0023">
        <w:rPr>
          <w:bCs/>
        </w:rPr>
        <w:t>lower—</w:t>
      </w:r>
      <w:r w:rsidR="00D73DEC">
        <w:rPr>
          <w:bCs/>
        </w:rPr>
        <w:t xml:space="preserve">needs to be </w:t>
      </w:r>
      <w:r w:rsidR="00B26CDE">
        <w:rPr>
          <w:bCs/>
        </w:rPr>
        <w:t>narrowed</w:t>
      </w:r>
      <w:r w:rsidR="0041375E">
        <w:rPr>
          <w:bCs/>
        </w:rPr>
        <w:t xml:space="preserve">.  This would in effect make </w:t>
      </w:r>
      <w:r w:rsidR="00D73DEC">
        <w:rPr>
          <w:bCs/>
        </w:rPr>
        <w:t xml:space="preserve">users </w:t>
      </w:r>
      <w:r w:rsidR="00B26CDE">
        <w:rPr>
          <w:bCs/>
        </w:rPr>
        <w:t xml:space="preserve">consider </w:t>
      </w:r>
      <w:r w:rsidR="00D73DEC">
        <w:rPr>
          <w:bCs/>
        </w:rPr>
        <w:t xml:space="preserve">not only </w:t>
      </w:r>
      <w:r w:rsidR="00B26CDE">
        <w:rPr>
          <w:bCs/>
        </w:rPr>
        <w:t xml:space="preserve">their benefits </w:t>
      </w:r>
      <w:r w:rsidR="00D73DEC">
        <w:rPr>
          <w:bCs/>
        </w:rPr>
        <w:t xml:space="preserve">but also </w:t>
      </w:r>
      <w:r w:rsidR="00381CF4">
        <w:rPr>
          <w:bCs/>
        </w:rPr>
        <w:t>negative</w:t>
      </w:r>
      <w:r w:rsidR="00D73DEC">
        <w:rPr>
          <w:bCs/>
        </w:rPr>
        <w:t xml:space="preserve"> externalities</w:t>
      </w:r>
      <w:r w:rsidR="00B26CDE">
        <w:rPr>
          <w:bCs/>
        </w:rPr>
        <w:t xml:space="preserve"> to society </w:t>
      </w:r>
      <w:r w:rsidR="00381CF4">
        <w:rPr>
          <w:bCs/>
        </w:rPr>
        <w:t xml:space="preserve">that </w:t>
      </w:r>
      <w:r w:rsidR="00B26CDE">
        <w:rPr>
          <w:bCs/>
        </w:rPr>
        <w:t>their choice of transport options</w:t>
      </w:r>
      <w:r w:rsidR="00381CF4">
        <w:rPr>
          <w:bCs/>
        </w:rPr>
        <w:t xml:space="preserve"> may bring </w:t>
      </w:r>
      <w:r w:rsidR="00FF1748">
        <w:rPr>
          <w:bCs/>
        </w:rPr>
        <w:t>about</w:t>
      </w:r>
      <w:r w:rsidR="00FA0D8E">
        <w:rPr>
          <w:bCs/>
        </w:rPr>
        <w:t>.</w:t>
      </w:r>
      <w:r w:rsidR="00D73DEC">
        <w:rPr>
          <w:bCs/>
        </w:rPr>
        <w:t xml:space="preserve"> </w:t>
      </w:r>
    </w:p>
    <w:p w:rsidR="00B817B8" w:rsidRDefault="009E06AA" w:rsidP="00C13E8E">
      <w:pPr>
        <w:rPr>
          <w:bCs/>
        </w:rPr>
      </w:pPr>
      <w:r w:rsidRPr="00C76D9E">
        <w:rPr>
          <w:b/>
          <w:bCs/>
        </w:rPr>
        <w:t>Improv</w:t>
      </w:r>
      <w:r>
        <w:rPr>
          <w:b/>
          <w:bCs/>
        </w:rPr>
        <w:t>ing</w:t>
      </w:r>
      <w:r w:rsidRPr="00C76D9E">
        <w:rPr>
          <w:b/>
          <w:bCs/>
        </w:rPr>
        <w:t xml:space="preserve"> choices</w:t>
      </w:r>
      <w:r w:rsidR="000A117E" w:rsidRPr="000A117E">
        <w:rPr>
          <w:b/>
          <w:bCs/>
        </w:rPr>
        <w:t>:</w:t>
      </w:r>
      <w:r w:rsidRPr="000A117E">
        <w:rPr>
          <w:b/>
          <w:bCs/>
        </w:rPr>
        <w:t xml:space="preserve"> On the supply side, the Government role is critical to developing infrastructure, catalyzing innovation, and advancing technology that would provide more green transport options for users</w:t>
      </w:r>
      <w:r>
        <w:rPr>
          <w:bCs/>
        </w:rPr>
        <w:t>. First, how the transport network infrastructure is built up and connected determines how each transport mode performs and how transport services are provided. Long-term plans for transport network development and investment priorities need to factor in how they create and imp</w:t>
      </w:r>
      <w:r w:rsidR="00B855BC">
        <w:rPr>
          <w:bCs/>
        </w:rPr>
        <w:t>act</w:t>
      </w:r>
      <w:r>
        <w:rPr>
          <w:bCs/>
        </w:rPr>
        <w:t xml:space="preserve"> green transport options. For instance, good intermodal connections combined with an appropriate pricing policy to influence consumer and provider choices could offer multi-modal trans</w:t>
      </w:r>
      <w:r w:rsidR="00B855BC">
        <w:rPr>
          <w:bCs/>
        </w:rPr>
        <w:t>port</w:t>
      </w:r>
      <w:r>
        <w:rPr>
          <w:bCs/>
        </w:rPr>
        <w:t xml:space="preserve"> options that are cheaper and greener than single-modal options; high-quality well-connected public transportation services could compete favorably with private vehicle use. Second, innovation and technology such as new vehicle technologies, alternative fuels, new transportation modes, new urban development approaches, and transport logistics innovations contribute to fostering green transportation. Government can initiate and implement innovative measures. Perhaps more importantly, Government can be a catalyst for innovation and adoption by creating an enabling environment for industry and rewarding high-impact solutions and good practices. </w:t>
      </w:r>
    </w:p>
    <w:p w:rsidR="00B57D16" w:rsidRDefault="0079758C" w:rsidP="00BA2792">
      <w:pPr>
        <w:pStyle w:val="Heading2"/>
      </w:pPr>
      <w:bookmarkStart w:id="30" w:name="_Toc326892929"/>
      <w:r>
        <w:t>Instruments</w:t>
      </w:r>
      <w:r w:rsidR="00582D37">
        <w:t>:</w:t>
      </w:r>
      <w:r>
        <w:t xml:space="preserve"> </w:t>
      </w:r>
      <w:r w:rsidR="007729EC">
        <w:t xml:space="preserve">Tools </w:t>
      </w:r>
      <w:r>
        <w:t xml:space="preserve">to </w:t>
      </w:r>
      <w:r w:rsidR="004D3E53">
        <w:t xml:space="preserve">Influence and Improve Transport </w:t>
      </w:r>
      <w:r w:rsidR="00B26CDE">
        <w:t xml:space="preserve">User </w:t>
      </w:r>
      <w:r w:rsidR="004D3E53">
        <w:t>Choices</w:t>
      </w:r>
      <w:bookmarkEnd w:id="30"/>
    </w:p>
    <w:p w:rsidR="008C74F2" w:rsidRPr="008C74F2" w:rsidRDefault="008C74F2" w:rsidP="008C74F2">
      <w:r>
        <w:t>Under the principle laid out above</w:t>
      </w:r>
      <w:r w:rsidR="00E025A6">
        <w:t xml:space="preserve">, this study </w:t>
      </w:r>
      <w:r w:rsidR="00C438AE">
        <w:t>proposes a policy framework for green transportation that blends various individual measures, each of which falls under one of the following instruments: (i) institutions and planning, (ii) regulations and enforcement, (iii) fiscal policy and pricing, and (iv) technology and infrastructure.</w:t>
      </w:r>
    </w:p>
    <w:tbl>
      <w:tblPr>
        <w:tblStyle w:val="TableGrid"/>
        <w:tblW w:w="0" w:type="auto"/>
        <w:tblLook w:val="04A0"/>
      </w:tblPr>
      <w:tblGrid>
        <w:gridCol w:w="9576"/>
      </w:tblGrid>
      <w:tr w:rsidR="000C5F22" w:rsidTr="000C5F22">
        <w:tc>
          <w:tcPr>
            <w:tcW w:w="9576" w:type="dxa"/>
          </w:tcPr>
          <w:p w:rsidR="000C5F22" w:rsidRDefault="000C5F22" w:rsidP="000C5F22">
            <w:pPr>
              <w:spacing w:before="60" w:after="60"/>
              <w:jc w:val="center"/>
              <w:rPr>
                <w:rFonts w:asciiTheme="minorHAnsi" w:hAnsiTheme="minorHAnsi"/>
                <w:b/>
                <w:sz w:val="21"/>
                <w:szCs w:val="21"/>
              </w:rPr>
            </w:pPr>
            <w:r w:rsidRPr="000C5F22">
              <w:rPr>
                <w:rFonts w:asciiTheme="minorHAnsi" w:hAnsiTheme="minorHAnsi"/>
                <w:b/>
                <w:sz w:val="21"/>
                <w:szCs w:val="21"/>
              </w:rPr>
              <w:t>Instruments to influence and improve transport user choices</w:t>
            </w:r>
          </w:p>
          <w:p w:rsidR="000C5F22" w:rsidRPr="008C74F2" w:rsidRDefault="007F2695" w:rsidP="008C74F2">
            <w:pPr>
              <w:spacing w:before="60" w:after="60"/>
              <w:ind w:left="-90"/>
              <w:jc w:val="center"/>
              <w:rPr>
                <w:rFonts w:asciiTheme="minorHAnsi" w:hAnsiTheme="minorHAnsi"/>
                <w:b/>
                <w:sz w:val="21"/>
                <w:szCs w:val="21"/>
              </w:rPr>
            </w:pPr>
            <w:r>
              <w:rPr>
                <w:rFonts w:asciiTheme="minorHAnsi" w:hAnsiTheme="minorHAnsi"/>
                <w:b/>
                <w:noProof/>
                <w:sz w:val="21"/>
                <w:szCs w:val="21"/>
                <w:lang w:bidi="ar-SA"/>
              </w:rPr>
              <w:drawing>
                <wp:inline distT="0" distB="0" distL="0" distR="0">
                  <wp:extent cx="5934075" cy="2152650"/>
                  <wp:effectExtent l="57150" t="0" r="47625" b="0"/>
                  <wp:docPr id="106" name="Diagram 10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tc>
      </w:tr>
    </w:tbl>
    <w:p w:rsidR="008C74F2" w:rsidRDefault="00C438AE" w:rsidP="008C74F2">
      <w:r w:rsidRPr="00C438AE">
        <w:rPr>
          <w:b/>
        </w:rPr>
        <w:lastRenderedPageBreak/>
        <w:t>Institutions and Planning</w:t>
      </w:r>
      <w:r>
        <w:t xml:space="preserve">.  </w:t>
      </w:r>
      <w:r w:rsidR="008C74F2">
        <w:t xml:space="preserve">Strong institutions and good planning are </w:t>
      </w:r>
      <w:r w:rsidR="00543016">
        <w:t xml:space="preserve">the </w:t>
      </w:r>
      <w:r>
        <w:t xml:space="preserve">first-order necessary condition </w:t>
      </w:r>
      <w:r w:rsidR="008C74F2">
        <w:t xml:space="preserve">for successful policies.  </w:t>
      </w:r>
      <w:r w:rsidR="00543016">
        <w:t>Particularly relevant i</w:t>
      </w:r>
      <w:r w:rsidR="008C74F2">
        <w:t>n the context of green transportation</w:t>
      </w:r>
      <w:r w:rsidR="00543016">
        <w:t xml:space="preserve"> are the following areas.</w:t>
      </w:r>
    </w:p>
    <w:p w:rsidR="008C74F2" w:rsidRDefault="008C74F2" w:rsidP="00E025A6">
      <w:pPr>
        <w:pStyle w:val="ListParagraph"/>
        <w:numPr>
          <w:ilvl w:val="0"/>
          <w:numId w:val="29"/>
        </w:numPr>
        <w:spacing w:after="60"/>
        <w:contextualSpacing w:val="0"/>
      </w:pPr>
      <w:r w:rsidRPr="00C438AE">
        <w:rPr>
          <w:u w:val="single"/>
        </w:rPr>
        <w:t>High-level policy integration</w:t>
      </w:r>
      <w:r>
        <w:t xml:space="preserve">.  </w:t>
      </w:r>
      <w:r w:rsidR="00C438AE">
        <w:t xml:space="preserve">Greening agenda is highly inter-sectoral and interdisciplinary, encompassing policy issues of various sectors, including environment, energy, industry, </w:t>
      </w:r>
      <w:r w:rsidR="001C6636">
        <w:t xml:space="preserve">trade, </w:t>
      </w:r>
      <w:r w:rsidR="00C438AE">
        <w:t xml:space="preserve">and transport.  </w:t>
      </w:r>
      <w:r w:rsidR="00125DC5">
        <w:t xml:space="preserve">High-level policies </w:t>
      </w:r>
      <w:r w:rsidR="00591475">
        <w:t xml:space="preserve">that go beyond sectoral </w:t>
      </w:r>
      <w:r w:rsidR="00125DC5">
        <w:t xml:space="preserve">goals and interests </w:t>
      </w:r>
      <w:r w:rsidR="00591475">
        <w:t xml:space="preserve">would minimize redundancies and conflicts, while </w:t>
      </w:r>
      <w:r w:rsidR="00685C51">
        <w:t>maximiz</w:t>
      </w:r>
      <w:r w:rsidR="00591475">
        <w:t>ing</w:t>
      </w:r>
      <w:r w:rsidR="00685C51">
        <w:t xml:space="preserve"> the collective </w:t>
      </w:r>
      <w:r w:rsidR="00591475">
        <w:t>benefits.</w:t>
      </w:r>
    </w:p>
    <w:p w:rsidR="008C74F2" w:rsidRDefault="008C74F2" w:rsidP="00E025A6">
      <w:pPr>
        <w:pStyle w:val="ListParagraph"/>
        <w:numPr>
          <w:ilvl w:val="0"/>
          <w:numId w:val="29"/>
        </w:numPr>
        <w:spacing w:after="60"/>
        <w:contextualSpacing w:val="0"/>
      </w:pPr>
      <w:r w:rsidRPr="00C438AE">
        <w:rPr>
          <w:u w:val="single"/>
        </w:rPr>
        <w:t>Spatial planning</w:t>
      </w:r>
      <w:r w:rsidRPr="008C74F2">
        <w:t>.</w:t>
      </w:r>
      <w:r w:rsidR="001C6636">
        <w:t xml:space="preserve"> Spatial development</w:t>
      </w:r>
      <w:r w:rsidR="001C6636">
        <w:sym w:font="Symbol" w:char="F0BE"/>
      </w:r>
      <w:r w:rsidR="001C6636">
        <w:t>the location of agglomerations such as industries, tourism destinations, and human settlements and their interactions</w:t>
      </w:r>
      <w:r w:rsidR="001C6636">
        <w:sym w:font="Symbol" w:char="F0BE"/>
      </w:r>
      <w:r w:rsidR="008A56EF">
        <w:t xml:space="preserve">affects </w:t>
      </w:r>
      <w:r w:rsidR="001C6636">
        <w:t>travel patterns and intensity</w:t>
      </w:r>
      <w:r w:rsidR="008A56EF">
        <w:t xml:space="preserve">, and </w:t>
      </w:r>
      <w:r w:rsidR="008A56EF" w:rsidRPr="008A56EF">
        <w:rPr>
          <w:i/>
        </w:rPr>
        <w:t>vice versa</w:t>
      </w:r>
      <w:r w:rsidR="001C6636">
        <w:t xml:space="preserve">. In the context of </w:t>
      </w:r>
      <w:r w:rsidR="00125DC5" w:rsidRPr="00125DC5">
        <w:t>intercity</w:t>
      </w:r>
      <w:r w:rsidR="001C6636" w:rsidRPr="00125DC5">
        <w:t xml:space="preserve"> transport, the location of major industries and </w:t>
      </w:r>
      <w:r w:rsidR="008A56EF" w:rsidRPr="00125DC5">
        <w:t xml:space="preserve">cities </w:t>
      </w:r>
      <w:r w:rsidR="001C6636" w:rsidRPr="00125DC5">
        <w:t>and how logistics chains develop collectively determine overall transport costs and affect productivity. In the context of inner-city transport, physical layouts, land-use allocations, and development densities are key p</w:t>
      </w:r>
      <w:r w:rsidR="001C6636">
        <w:t>arameters that shape travel patterns.</w:t>
      </w:r>
    </w:p>
    <w:p w:rsidR="009E06AA" w:rsidRDefault="00C438AE" w:rsidP="009E06AA">
      <w:r w:rsidRPr="00C438AE">
        <w:rPr>
          <w:b/>
        </w:rPr>
        <w:t>Regulations</w:t>
      </w:r>
      <w:r>
        <w:t xml:space="preserve">.  </w:t>
      </w:r>
      <w:r w:rsidR="008C74F2">
        <w:t>R</w:t>
      </w:r>
      <w:r w:rsidR="009E06AA">
        <w:t xml:space="preserve">egulations are explicit legal instruments </w:t>
      </w:r>
      <w:r w:rsidR="00B855BC">
        <w:t xml:space="preserve">that </w:t>
      </w:r>
      <w:r w:rsidR="009E06AA">
        <w:t xml:space="preserve">public authorities can use to control supplier and consumer choices to achieve desired policy outcomes. </w:t>
      </w:r>
      <w:r w:rsidR="00543016">
        <w:t>While over-regulations are viewed to undermine market principle, when appropriately targeted and enforced, regulations are effective tools to correct excessive externalities</w:t>
      </w:r>
      <w:r w:rsidR="00DE3BCE">
        <w:t xml:space="preserve">. </w:t>
      </w:r>
      <w:r w:rsidR="009E06AA">
        <w:t>Examples of instruments specific to green transportation include the following:</w:t>
      </w:r>
    </w:p>
    <w:p w:rsidR="008C74F2" w:rsidRDefault="001C6636" w:rsidP="00E025A6">
      <w:pPr>
        <w:pStyle w:val="ListParagraph"/>
        <w:numPr>
          <w:ilvl w:val="0"/>
          <w:numId w:val="28"/>
        </w:numPr>
        <w:spacing w:after="60"/>
        <w:contextualSpacing w:val="0"/>
      </w:pPr>
      <w:r>
        <w:rPr>
          <w:u w:val="single"/>
        </w:rPr>
        <w:t>F</w:t>
      </w:r>
      <w:r w:rsidR="008C74F2" w:rsidRPr="001C6636">
        <w:rPr>
          <w:u w:val="single"/>
        </w:rPr>
        <w:t>uel quality</w:t>
      </w:r>
      <w:r>
        <w:rPr>
          <w:u w:val="single"/>
        </w:rPr>
        <w:t xml:space="preserve"> standards</w:t>
      </w:r>
      <w:r w:rsidR="008C74F2">
        <w:t xml:space="preserve">.  </w:t>
      </w:r>
      <w:r>
        <w:t xml:space="preserve">In many countries, </w:t>
      </w:r>
      <w:r w:rsidR="00CC6A80">
        <w:t xml:space="preserve">various </w:t>
      </w:r>
      <w:r>
        <w:t xml:space="preserve">chemical </w:t>
      </w:r>
      <w:r w:rsidR="00CC6A80">
        <w:t xml:space="preserve">characteristics </w:t>
      </w:r>
      <w:r>
        <w:t xml:space="preserve">of </w:t>
      </w:r>
      <w:r w:rsidR="00CC6A80">
        <w:t>motor fuels—lead, sulfur, oxygenates and aromatic content—are subject to government regulations.  Each of these chemicals affect</w:t>
      </w:r>
      <w:r w:rsidR="008A56EF">
        <w:t>s</w:t>
      </w:r>
      <w:r w:rsidR="00CC6A80">
        <w:t xml:space="preserve"> various aspects of pollutant emissions.</w:t>
      </w:r>
    </w:p>
    <w:p w:rsidR="008C74F2" w:rsidRDefault="00CC6A80" w:rsidP="00E025A6">
      <w:pPr>
        <w:pStyle w:val="ListParagraph"/>
        <w:numPr>
          <w:ilvl w:val="0"/>
          <w:numId w:val="28"/>
        </w:numPr>
        <w:spacing w:after="60"/>
        <w:contextualSpacing w:val="0"/>
      </w:pPr>
      <w:r>
        <w:rPr>
          <w:u w:val="single"/>
        </w:rPr>
        <w:t>Vehicle t</w:t>
      </w:r>
      <w:r w:rsidR="008C74F2" w:rsidRPr="001C6636">
        <w:rPr>
          <w:u w:val="single"/>
        </w:rPr>
        <w:t>echnical standards of vehicles</w:t>
      </w:r>
      <w:r w:rsidR="008C74F2" w:rsidRPr="008C74F2">
        <w:t>.</w:t>
      </w:r>
      <w:r w:rsidR="001C6636">
        <w:t xml:space="preserve"> </w:t>
      </w:r>
      <w:r w:rsidR="001C6636" w:rsidRPr="001C6636">
        <w:t xml:space="preserve"> </w:t>
      </w:r>
      <w:r w:rsidR="001C6636">
        <w:t>Many countries specify vehicle emission standards that define limits for exhaust emissions by pollutant type, and maximum fuel consumption rate by vehicle type (gasoline mileage), applied to all new vehicles sold nation-wide. Some countries rely on voluntary agreements with vehicle manufacturers (e.g., the European Union), other countries specify and enforce obligatory limits (e.g., the United States).</w:t>
      </w:r>
      <w:r w:rsidR="001C6636">
        <w:rPr>
          <w:rStyle w:val="FootnoteReference"/>
        </w:rPr>
        <w:footnoteReference w:id="10"/>
      </w:r>
    </w:p>
    <w:p w:rsidR="008C74F2" w:rsidRDefault="001C6636" w:rsidP="008C74F2">
      <w:pPr>
        <w:pStyle w:val="ListParagraph"/>
        <w:numPr>
          <w:ilvl w:val="0"/>
          <w:numId w:val="28"/>
        </w:numPr>
      </w:pPr>
      <w:r>
        <w:rPr>
          <w:u w:val="single"/>
        </w:rPr>
        <w:t>E</w:t>
      </w:r>
      <w:r w:rsidR="008C74F2" w:rsidRPr="001C6636">
        <w:rPr>
          <w:u w:val="single"/>
        </w:rPr>
        <w:t>nforcement</w:t>
      </w:r>
      <w:r w:rsidR="008C74F2">
        <w:t xml:space="preserve">.  </w:t>
      </w:r>
      <w:r w:rsidR="00653684">
        <w:t>Strong and cost-effective enforcement of s</w:t>
      </w:r>
      <w:r w:rsidR="00CC6A80">
        <w:t xml:space="preserve">tandards on fuels and vehicles </w:t>
      </w:r>
      <w:r w:rsidR="00653684">
        <w:t>is a critical element of any regulatory framework. Enforcement can be particularly challenging when the governance is weak, as the increased contact between public officials and citizens could spawn petty corruption.</w:t>
      </w:r>
    </w:p>
    <w:p w:rsidR="00042829" w:rsidRDefault="001C6636" w:rsidP="00516AA2">
      <w:r w:rsidRPr="001C6636">
        <w:rPr>
          <w:b/>
        </w:rPr>
        <w:t>Fiscal policy and pricing</w:t>
      </w:r>
      <w:r>
        <w:t xml:space="preserve">.  </w:t>
      </w:r>
      <w:r w:rsidR="00C32E62">
        <w:t xml:space="preserve">Often substituting </w:t>
      </w:r>
      <w:r w:rsidR="00BF3BAB">
        <w:t xml:space="preserve">or complementing </w:t>
      </w:r>
      <w:r w:rsidR="00C32E62">
        <w:t xml:space="preserve">regulatory measures, fiscal incentives can affect transport user behaviors through market mechanism. </w:t>
      </w:r>
      <w:r w:rsidR="00FD32B9" w:rsidRPr="00FD32B9">
        <w:t xml:space="preserve">Compared to regulatory </w:t>
      </w:r>
      <w:r w:rsidR="00FD32B9">
        <w:t>measures</w:t>
      </w:r>
      <w:r w:rsidR="00FD32B9" w:rsidRPr="00FD32B9">
        <w:t xml:space="preserve">, fiscal </w:t>
      </w:r>
      <w:r w:rsidR="00042829">
        <w:t xml:space="preserve">policies entail </w:t>
      </w:r>
      <w:r w:rsidR="00FD32B9">
        <w:t>lower administrative costs and governance risk</w:t>
      </w:r>
      <w:r w:rsidR="00042829">
        <w:t xml:space="preserve"> associated with enforcement</w:t>
      </w:r>
      <w:r w:rsidR="00FD32B9">
        <w:t xml:space="preserve">. </w:t>
      </w:r>
      <w:r w:rsidR="00042829">
        <w:t>On the other hand, the outcomes of fiscal policies are less certain than those of regulatory measures, since they depend on how tax payers and users respond to monetary incentives.</w:t>
      </w:r>
    </w:p>
    <w:p w:rsidR="00042829" w:rsidRPr="00042829" w:rsidRDefault="00042829" w:rsidP="00042829">
      <w:pPr>
        <w:pStyle w:val="ListParagraph"/>
        <w:numPr>
          <w:ilvl w:val="0"/>
          <w:numId w:val="28"/>
        </w:numPr>
        <w:spacing w:after="60"/>
        <w:contextualSpacing w:val="0"/>
      </w:pPr>
      <w:r w:rsidRPr="00042829">
        <w:rPr>
          <w:u w:val="single"/>
        </w:rPr>
        <w:t>Internalizing externalities</w:t>
      </w:r>
      <w:r>
        <w:t xml:space="preserve">.  </w:t>
      </w:r>
      <w:r w:rsidRPr="00042829">
        <w:t xml:space="preserve">Road users make a decision on trips based on the personal costs (e.g., </w:t>
      </w:r>
      <w:r>
        <w:t>depreciation</w:t>
      </w:r>
      <w:r w:rsidRPr="00042829">
        <w:t xml:space="preserve"> of their vehicles, cost of fuel and parking, value of their time), but not based on the impact of their trip</w:t>
      </w:r>
      <w:r>
        <w:t>s</w:t>
      </w:r>
      <w:r w:rsidRPr="00042829">
        <w:t xml:space="preserve"> on air pollution, congestion, or any other negative impacts on society as a whole.</w:t>
      </w:r>
      <w:r w:rsidR="00653684">
        <w:t xml:space="preserve"> </w:t>
      </w:r>
      <w:r>
        <w:t>Similarly, d</w:t>
      </w:r>
      <w:r w:rsidRPr="00042829">
        <w:t xml:space="preserve">rivers that use fuels with a high content of pollutants are unaware of, and not held accountable for, the health costs due to transport emissions.  As a result, road users tend to </w:t>
      </w:r>
      <w:r w:rsidRPr="00042829">
        <w:lastRenderedPageBreak/>
        <w:t>drive and pollute more than they would have if they were to bear the full cost of the transport services that includes the social costs of air pollution and congestion caused by them. This increases pollution and congestion</w:t>
      </w:r>
      <w:r w:rsidR="00842072">
        <w:t xml:space="preserve">, </w:t>
      </w:r>
      <w:r w:rsidRPr="00042829">
        <w:t>and consequently</w:t>
      </w:r>
      <w:r w:rsidR="00842072">
        <w:t>,</w:t>
      </w:r>
      <w:r w:rsidRPr="00042829">
        <w:t xml:space="preserve"> social costs in form of health costs and productivity loss. Pricing and charges, </w:t>
      </w:r>
      <w:r w:rsidR="00842072">
        <w:t xml:space="preserve">if </w:t>
      </w:r>
      <w:r w:rsidRPr="00042829">
        <w:t xml:space="preserve">set at rates that reflect the monetary value of damage to infrastructure assets and health costs caused by transport emissions and safety risks, </w:t>
      </w:r>
      <w:r w:rsidR="00842072">
        <w:t xml:space="preserve">would give incentives to </w:t>
      </w:r>
      <w:r w:rsidRPr="00042829">
        <w:t>transport users to make greener and safer choices</w:t>
      </w:r>
      <w:r w:rsidR="00842072">
        <w:t>, contributing to green transportation.</w:t>
      </w:r>
      <w:r w:rsidR="00F709C5">
        <w:t xml:space="preserve"> </w:t>
      </w:r>
      <w:r w:rsidRPr="00042829">
        <w:t>The pricing tool to correct externalities</w:t>
      </w:r>
      <w:r w:rsidRPr="00042829">
        <w:sym w:font="Symbol" w:char="F0BE"/>
      </w:r>
      <w:r w:rsidRPr="00042829">
        <w:t>internalization of external costs</w:t>
      </w:r>
      <w:r w:rsidRPr="00042829">
        <w:sym w:font="Symbol" w:char="F0BE"/>
      </w:r>
      <w:r w:rsidRPr="00042829">
        <w:t>is central to the European Commission strategy to achieve an efficient transport sector.</w:t>
      </w:r>
      <w:r w:rsidRPr="00042829">
        <w:rPr>
          <w:vertAlign w:val="superscript"/>
        </w:rPr>
        <w:footnoteReference w:id="11"/>
      </w:r>
      <w:r w:rsidRPr="00042829">
        <w:t xml:space="preserve">  </w:t>
      </w:r>
    </w:p>
    <w:p w:rsidR="00842072" w:rsidRDefault="00042829" w:rsidP="00042829">
      <w:pPr>
        <w:pStyle w:val="ListParagraph"/>
        <w:numPr>
          <w:ilvl w:val="0"/>
          <w:numId w:val="28"/>
        </w:numPr>
        <w:spacing w:after="60"/>
        <w:contextualSpacing w:val="0"/>
      </w:pPr>
      <w:r w:rsidRPr="001C6636">
        <w:rPr>
          <w:u w:val="single"/>
        </w:rPr>
        <w:t>Taxes and subsidies</w:t>
      </w:r>
      <w:r>
        <w:t xml:space="preserve">.  </w:t>
      </w:r>
      <w:r w:rsidRPr="00842072">
        <w:t>Taxes</w:t>
      </w:r>
      <w:r w:rsidR="00842072" w:rsidRPr="00842072">
        <w:t xml:space="preserve"> and subsidies</w:t>
      </w:r>
      <w:r w:rsidRPr="00842072">
        <w:t xml:space="preserve"> on fuels and vehicles that are designed to vary on the basis of their impacts on the environment can be a cost-effective tool to incentivize green transport behaviors</w:t>
      </w:r>
      <w:r w:rsidR="00842072" w:rsidRPr="00842072">
        <w:t xml:space="preserve">. Fiscal measures can be </w:t>
      </w:r>
      <w:r w:rsidR="00842072">
        <w:t xml:space="preserve">designed </w:t>
      </w:r>
      <w:r w:rsidR="00842072" w:rsidRPr="00842072">
        <w:t>revenue-neutral</w:t>
      </w:r>
      <w:r w:rsidR="00842072">
        <w:t xml:space="preserve"> and progressive</w:t>
      </w:r>
      <w:r w:rsidR="00842072" w:rsidRPr="00842072">
        <w:t>. For</w:t>
      </w:r>
      <w:r w:rsidR="00842072">
        <w:t xml:space="preserve"> instance, increased fuel tax revenues from lower quality fuels can </w:t>
      </w:r>
      <w:r w:rsidR="008B0AB3">
        <w:t xml:space="preserve">be used to reward greening behavior, in form of </w:t>
      </w:r>
      <w:r w:rsidR="00842072">
        <w:t xml:space="preserve">subsidies </w:t>
      </w:r>
      <w:r w:rsidR="008B0AB3">
        <w:t>or</w:t>
      </w:r>
      <w:r w:rsidR="00842072">
        <w:t xml:space="preserve"> tax breaks on vehicle retrofitting</w:t>
      </w:r>
      <w:r w:rsidR="008B0AB3">
        <w:t>.</w:t>
      </w:r>
    </w:p>
    <w:p w:rsidR="00042829" w:rsidRDefault="00042829" w:rsidP="00842072">
      <w:pPr>
        <w:pStyle w:val="ListParagraph"/>
        <w:numPr>
          <w:ilvl w:val="0"/>
          <w:numId w:val="28"/>
        </w:numPr>
        <w:contextualSpacing w:val="0"/>
      </w:pPr>
      <w:r>
        <w:rPr>
          <w:u w:val="single"/>
        </w:rPr>
        <w:t>Explicit p</w:t>
      </w:r>
      <w:r w:rsidRPr="001C6636">
        <w:rPr>
          <w:u w:val="single"/>
        </w:rPr>
        <w:t>ricing of externalities</w:t>
      </w:r>
      <w:r w:rsidRPr="008C74F2">
        <w:t>.</w:t>
      </w:r>
      <w:r>
        <w:t xml:space="preserve"> </w:t>
      </w:r>
      <w:r w:rsidR="00F904AC">
        <w:t xml:space="preserve"> To explicitly charge for externalities, m</w:t>
      </w:r>
      <w:r>
        <w:t xml:space="preserve">any countries </w:t>
      </w:r>
      <w:r w:rsidR="00F904AC">
        <w:t>implement</w:t>
      </w:r>
      <w:r>
        <w:t xml:space="preserve"> various forms of road user charges</w:t>
      </w:r>
      <w:r w:rsidR="00F904AC">
        <w:t>,</w:t>
      </w:r>
      <w:r>
        <w:t xml:space="preserve"> </w:t>
      </w:r>
      <w:r w:rsidR="00F904AC">
        <w:t xml:space="preserve">such as </w:t>
      </w:r>
      <w:r>
        <w:t>distance-based road user charges, road tolls, vignettes, congestion charges, and distance-based automobile insurance, among others (see Box 1).</w:t>
      </w:r>
    </w:p>
    <w:tbl>
      <w:tblPr>
        <w:tblStyle w:val="TableGrid"/>
        <w:tblW w:w="0" w:type="auto"/>
        <w:tblLook w:val="04A0"/>
      </w:tblPr>
      <w:tblGrid>
        <w:gridCol w:w="9576"/>
      </w:tblGrid>
      <w:tr w:rsidR="00F721C7" w:rsidTr="00F721C7">
        <w:tc>
          <w:tcPr>
            <w:tcW w:w="9576" w:type="dxa"/>
          </w:tcPr>
          <w:p w:rsidR="00F721C7" w:rsidRPr="00D24AAF" w:rsidRDefault="00F721C7" w:rsidP="00F721C7">
            <w:pPr>
              <w:pStyle w:val="Caption"/>
              <w:spacing w:after="120"/>
              <w:rPr>
                <w:rFonts w:asciiTheme="minorHAnsi" w:hAnsiTheme="minorHAnsi"/>
                <w:color w:val="000000"/>
                <w:sz w:val="20"/>
                <w:szCs w:val="20"/>
              </w:rPr>
            </w:pPr>
            <w:r w:rsidRPr="00D24AAF">
              <w:rPr>
                <w:rFonts w:asciiTheme="minorHAnsi" w:hAnsiTheme="minorHAnsi"/>
                <w:color w:val="000000"/>
                <w:sz w:val="20"/>
                <w:szCs w:val="20"/>
              </w:rPr>
              <w:t xml:space="preserve">Box </w:t>
            </w:r>
            <w:r w:rsidR="001A7AF8" w:rsidRPr="00D24AAF">
              <w:rPr>
                <w:rFonts w:asciiTheme="minorHAnsi" w:hAnsiTheme="minorHAnsi"/>
                <w:color w:val="000000"/>
                <w:sz w:val="20"/>
                <w:szCs w:val="20"/>
              </w:rPr>
              <w:fldChar w:fldCharType="begin"/>
            </w:r>
            <w:r w:rsidRPr="00D24AAF">
              <w:rPr>
                <w:rFonts w:asciiTheme="minorHAnsi" w:hAnsiTheme="minorHAnsi"/>
                <w:color w:val="000000"/>
                <w:sz w:val="20"/>
                <w:szCs w:val="20"/>
              </w:rPr>
              <w:instrText xml:space="preserve"> SEQ Box \* ARABIC </w:instrText>
            </w:r>
            <w:r w:rsidR="001A7AF8" w:rsidRPr="00D24AAF">
              <w:rPr>
                <w:rFonts w:asciiTheme="minorHAnsi" w:hAnsiTheme="minorHAnsi"/>
                <w:color w:val="000000"/>
                <w:sz w:val="20"/>
                <w:szCs w:val="20"/>
              </w:rPr>
              <w:fldChar w:fldCharType="separate"/>
            </w:r>
            <w:r w:rsidR="00BA2792">
              <w:rPr>
                <w:rFonts w:asciiTheme="minorHAnsi" w:hAnsiTheme="minorHAnsi"/>
                <w:noProof/>
                <w:color w:val="000000"/>
                <w:sz w:val="20"/>
                <w:szCs w:val="20"/>
              </w:rPr>
              <w:t>1</w:t>
            </w:r>
            <w:r w:rsidR="001A7AF8" w:rsidRPr="00D24AAF">
              <w:rPr>
                <w:rFonts w:asciiTheme="minorHAnsi" w:hAnsiTheme="minorHAnsi"/>
                <w:color w:val="000000"/>
                <w:sz w:val="20"/>
                <w:szCs w:val="20"/>
              </w:rPr>
              <w:fldChar w:fldCharType="end"/>
            </w:r>
            <w:r>
              <w:rPr>
                <w:rFonts w:asciiTheme="minorHAnsi" w:hAnsiTheme="minorHAnsi"/>
                <w:color w:val="000000"/>
                <w:sz w:val="20"/>
                <w:szCs w:val="20"/>
              </w:rPr>
              <w:t xml:space="preserve">. </w:t>
            </w:r>
            <w:r w:rsidRPr="00D24AAF">
              <w:rPr>
                <w:rFonts w:asciiTheme="minorHAnsi" w:hAnsiTheme="minorHAnsi"/>
                <w:color w:val="000000"/>
                <w:sz w:val="20"/>
                <w:szCs w:val="20"/>
              </w:rPr>
              <w:t xml:space="preserve"> A Typology of Road </w:t>
            </w:r>
            <w:r>
              <w:rPr>
                <w:rFonts w:asciiTheme="minorHAnsi" w:hAnsiTheme="minorHAnsi"/>
                <w:color w:val="000000"/>
                <w:sz w:val="20"/>
                <w:szCs w:val="20"/>
              </w:rPr>
              <w:t xml:space="preserve">Use </w:t>
            </w:r>
            <w:r w:rsidRPr="00D24AAF">
              <w:rPr>
                <w:rFonts w:asciiTheme="minorHAnsi" w:hAnsiTheme="minorHAnsi"/>
                <w:color w:val="000000"/>
                <w:sz w:val="20"/>
                <w:szCs w:val="20"/>
              </w:rPr>
              <w:t>Charging Principles</w:t>
            </w:r>
          </w:p>
          <w:p w:rsidR="00F721C7" w:rsidRPr="001E7EF5" w:rsidRDefault="00F721C7" w:rsidP="001E7EF5">
            <w:pPr>
              <w:spacing w:after="60"/>
              <w:rPr>
                <w:rFonts w:ascii="Calibri" w:hAnsi="Calibri"/>
                <w:bCs/>
                <w:sz w:val="18"/>
                <w:szCs w:val="18"/>
              </w:rPr>
            </w:pPr>
            <w:r w:rsidRPr="001E7EF5">
              <w:rPr>
                <w:rFonts w:ascii="Calibri" w:hAnsi="Calibri"/>
                <w:bCs/>
                <w:sz w:val="18"/>
                <w:szCs w:val="18"/>
              </w:rPr>
              <w:t xml:space="preserve">Road use charging (RUC) </w:t>
            </w:r>
            <w:r w:rsidR="009316E1">
              <w:rPr>
                <w:rFonts w:ascii="Calibri" w:hAnsi="Calibri"/>
                <w:bCs/>
                <w:sz w:val="18"/>
                <w:szCs w:val="18"/>
              </w:rPr>
              <w:t xml:space="preserve">is </w:t>
            </w:r>
            <w:r w:rsidRPr="001E7EF5">
              <w:rPr>
                <w:rFonts w:ascii="Calibri" w:hAnsi="Calibri"/>
                <w:bCs/>
                <w:sz w:val="18"/>
                <w:szCs w:val="18"/>
              </w:rPr>
              <w:t>a mechanism where</w:t>
            </w:r>
            <w:r w:rsidR="009316E1">
              <w:rPr>
                <w:rFonts w:ascii="Calibri" w:hAnsi="Calibri"/>
                <w:bCs/>
                <w:sz w:val="18"/>
                <w:szCs w:val="18"/>
              </w:rPr>
              <w:t>by</w:t>
            </w:r>
            <w:r w:rsidRPr="001E7EF5">
              <w:rPr>
                <w:rFonts w:ascii="Calibri" w:hAnsi="Calibri"/>
                <w:bCs/>
                <w:sz w:val="18"/>
                <w:szCs w:val="18"/>
              </w:rPr>
              <w:t xml:space="preserve"> charges are directly linked to the actual use of road infrastructure.  RUC can be used </w:t>
            </w:r>
            <w:r w:rsidR="009316E1">
              <w:rPr>
                <w:rFonts w:ascii="Calibri" w:hAnsi="Calibri"/>
                <w:bCs/>
                <w:sz w:val="18"/>
                <w:szCs w:val="18"/>
              </w:rPr>
              <w:t xml:space="preserve">solely </w:t>
            </w:r>
            <w:r w:rsidRPr="001E7EF5">
              <w:rPr>
                <w:rFonts w:ascii="Calibri" w:hAnsi="Calibri"/>
                <w:bCs/>
                <w:sz w:val="18"/>
                <w:szCs w:val="18"/>
              </w:rPr>
              <w:t xml:space="preserve">to raise revenues, or </w:t>
            </w:r>
            <w:r w:rsidR="009316E1">
              <w:rPr>
                <w:rFonts w:ascii="Calibri" w:hAnsi="Calibri"/>
                <w:bCs/>
                <w:sz w:val="18"/>
                <w:szCs w:val="18"/>
              </w:rPr>
              <w:t xml:space="preserve">it can be </w:t>
            </w:r>
            <w:r w:rsidRPr="001E7EF5">
              <w:rPr>
                <w:rFonts w:ascii="Calibri" w:hAnsi="Calibri"/>
                <w:bCs/>
                <w:sz w:val="18"/>
                <w:szCs w:val="18"/>
              </w:rPr>
              <w:t xml:space="preserve">a more sophisticated mechanism to influence user behavior. </w:t>
            </w:r>
            <w:r w:rsidR="009316E1">
              <w:rPr>
                <w:rFonts w:ascii="Calibri" w:hAnsi="Calibri"/>
                <w:bCs/>
                <w:sz w:val="18"/>
                <w:szCs w:val="18"/>
              </w:rPr>
              <w:t>I</w:t>
            </w:r>
            <w:r w:rsidRPr="001E7EF5">
              <w:rPr>
                <w:rFonts w:ascii="Calibri" w:hAnsi="Calibri"/>
                <w:bCs/>
                <w:sz w:val="18"/>
                <w:szCs w:val="18"/>
              </w:rPr>
              <w:t xml:space="preserve">t is useful to differentiate between the two situations </w:t>
            </w:r>
            <w:r w:rsidR="009316E1">
              <w:rPr>
                <w:rFonts w:ascii="Calibri" w:hAnsi="Calibri"/>
                <w:bCs/>
                <w:sz w:val="18"/>
                <w:szCs w:val="18"/>
              </w:rPr>
              <w:t xml:space="preserve">in which </w:t>
            </w:r>
            <w:r w:rsidRPr="001E7EF5">
              <w:rPr>
                <w:rFonts w:ascii="Calibri" w:hAnsi="Calibri"/>
                <w:bCs/>
                <w:sz w:val="18"/>
                <w:szCs w:val="18"/>
              </w:rPr>
              <w:t>R</w:t>
            </w:r>
            <w:r w:rsidR="009316E1">
              <w:rPr>
                <w:rFonts w:ascii="Calibri" w:hAnsi="Calibri"/>
                <w:bCs/>
                <w:sz w:val="18"/>
                <w:szCs w:val="18"/>
              </w:rPr>
              <w:t>UC is applied: (i) Road segment</w:t>
            </w:r>
            <w:r w:rsidRPr="001E7EF5">
              <w:rPr>
                <w:rFonts w:ascii="Calibri" w:hAnsi="Calibri"/>
                <w:bCs/>
                <w:sz w:val="18"/>
                <w:szCs w:val="18"/>
              </w:rPr>
              <w:t xml:space="preserve"> based charges, for travelling on specific segments of the road network, such as tunnels or along motorways; and, (ii) Zone-based charges that are imposed over a</w:t>
            </w:r>
            <w:r w:rsidR="009316E1">
              <w:rPr>
                <w:rFonts w:ascii="Calibri" w:hAnsi="Calibri"/>
                <w:bCs/>
                <w:sz w:val="18"/>
                <w:szCs w:val="18"/>
              </w:rPr>
              <w:t xml:space="preserve"> specified</w:t>
            </w:r>
            <w:r w:rsidRPr="001E7EF5">
              <w:rPr>
                <w:rFonts w:ascii="Calibri" w:hAnsi="Calibri"/>
                <w:bCs/>
                <w:sz w:val="18"/>
                <w:szCs w:val="18"/>
              </w:rPr>
              <w:t xml:space="preserve"> area, for example portions of a city or even an entire country.</w:t>
            </w:r>
          </w:p>
          <w:p w:rsidR="00F721C7" w:rsidRPr="001E7EF5" w:rsidRDefault="00F721C7" w:rsidP="001E7EF5">
            <w:pPr>
              <w:spacing w:after="60"/>
              <w:rPr>
                <w:rFonts w:ascii="Calibri" w:hAnsi="Calibri"/>
                <w:bCs/>
                <w:sz w:val="18"/>
                <w:szCs w:val="18"/>
              </w:rPr>
            </w:pPr>
            <w:r w:rsidRPr="001E7EF5">
              <w:rPr>
                <w:rFonts w:ascii="Calibri" w:hAnsi="Calibri"/>
                <w:b/>
                <w:bCs/>
                <w:sz w:val="18"/>
                <w:szCs w:val="18"/>
              </w:rPr>
              <w:t>Area Licensing</w:t>
            </w:r>
            <w:r w:rsidRPr="001E7EF5">
              <w:rPr>
                <w:rFonts w:ascii="Calibri" w:hAnsi="Calibri"/>
                <w:bCs/>
                <w:sz w:val="18"/>
                <w:szCs w:val="18"/>
              </w:rPr>
              <w:t>: License</w:t>
            </w:r>
            <w:r w:rsidRPr="001E7EF5" w:rsidDel="00521B54">
              <w:rPr>
                <w:rFonts w:ascii="Calibri" w:hAnsi="Calibri"/>
                <w:bCs/>
                <w:sz w:val="18"/>
                <w:szCs w:val="18"/>
              </w:rPr>
              <w:t xml:space="preserve"> </w:t>
            </w:r>
            <w:r w:rsidRPr="001E7EF5">
              <w:rPr>
                <w:rFonts w:ascii="Calibri" w:hAnsi="Calibri"/>
                <w:bCs/>
                <w:sz w:val="18"/>
                <w:szCs w:val="18"/>
              </w:rPr>
              <w:t>provision enables users to enter a defined area; the license can be paper or electronic and is linked to a registration number. It does not restrict the number of journeys within the charging area so its usefulness as a congestion or GHG-reducing tool is limited. It is, however, easy to set up and maintain.</w:t>
            </w:r>
          </w:p>
          <w:p w:rsidR="00F721C7" w:rsidRPr="001E7EF5" w:rsidRDefault="00F721C7" w:rsidP="001E7EF5">
            <w:pPr>
              <w:spacing w:after="60"/>
              <w:rPr>
                <w:rFonts w:ascii="Calibri" w:hAnsi="Calibri"/>
                <w:bCs/>
                <w:sz w:val="18"/>
                <w:szCs w:val="18"/>
              </w:rPr>
            </w:pPr>
            <w:r w:rsidRPr="001E7EF5">
              <w:rPr>
                <w:rFonts w:ascii="Calibri" w:hAnsi="Calibri"/>
                <w:b/>
                <w:bCs/>
                <w:sz w:val="18"/>
                <w:szCs w:val="18"/>
              </w:rPr>
              <w:t>Cordon/zone charging</w:t>
            </w:r>
            <w:r w:rsidRPr="001E7EF5">
              <w:rPr>
                <w:rFonts w:ascii="Calibri" w:hAnsi="Calibri"/>
                <w:bCs/>
                <w:sz w:val="18"/>
                <w:szCs w:val="18"/>
              </w:rPr>
              <w:t xml:space="preserve">: A linear cordon is set up and charges occur at access points to the zone. The user pays a charge per crossing into the zone, or time-based charges for being in the zone. This road charge is versatile and can incorporate variables such as vehicle type, time of day, etc. However, one disadvantage is that road users can avoid paying the charges by traveling the perimeter of the zone, thereby increasing congestion </w:t>
            </w:r>
            <w:r w:rsidRPr="001E7EF5">
              <w:rPr>
                <w:rFonts w:ascii="Calibri" w:hAnsi="Calibri"/>
                <w:bCs/>
                <w:i/>
                <w:sz w:val="18"/>
                <w:szCs w:val="18"/>
              </w:rPr>
              <w:t>outside</w:t>
            </w:r>
            <w:r w:rsidRPr="001E7EF5">
              <w:rPr>
                <w:rFonts w:ascii="Calibri" w:hAnsi="Calibri"/>
                <w:bCs/>
                <w:sz w:val="18"/>
                <w:szCs w:val="18"/>
              </w:rPr>
              <w:t xml:space="preserve"> the zone.</w:t>
            </w:r>
          </w:p>
          <w:p w:rsidR="00F721C7" w:rsidRPr="001E7EF5" w:rsidRDefault="00F721C7" w:rsidP="001E7EF5">
            <w:pPr>
              <w:spacing w:after="60"/>
              <w:rPr>
                <w:rFonts w:ascii="Calibri" w:hAnsi="Calibri"/>
                <w:bCs/>
                <w:sz w:val="18"/>
                <w:szCs w:val="18"/>
              </w:rPr>
            </w:pPr>
            <w:r w:rsidRPr="001E7EF5">
              <w:rPr>
                <w:rFonts w:ascii="Calibri" w:hAnsi="Calibri"/>
                <w:b/>
                <w:bCs/>
                <w:sz w:val="18"/>
                <w:szCs w:val="18"/>
              </w:rPr>
              <w:t>Distance-based charging</w:t>
            </w:r>
            <w:r w:rsidRPr="001E7EF5">
              <w:rPr>
                <w:rFonts w:ascii="Calibri" w:hAnsi="Calibri"/>
                <w:bCs/>
                <w:sz w:val="18"/>
                <w:szCs w:val="18"/>
              </w:rPr>
              <w:t>: The fee levied is proportional to distance travelled, and in simple terms, fees more accurately reflect pollution costs. An urban cordon could be defined and charges levied according to distance travelled within the cordon.</w:t>
            </w:r>
          </w:p>
          <w:p w:rsidR="00F721C7" w:rsidRPr="001E7EF5" w:rsidRDefault="00F721C7" w:rsidP="001E7EF5">
            <w:pPr>
              <w:spacing w:after="60"/>
              <w:rPr>
                <w:rFonts w:ascii="Calibri" w:hAnsi="Calibri"/>
                <w:bCs/>
                <w:sz w:val="18"/>
                <w:szCs w:val="18"/>
              </w:rPr>
            </w:pPr>
            <w:r w:rsidRPr="001E7EF5">
              <w:rPr>
                <w:rFonts w:ascii="Calibri" w:hAnsi="Calibri"/>
                <w:b/>
                <w:bCs/>
                <w:sz w:val="18"/>
                <w:szCs w:val="18"/>
              </w:rPr>
              <w:t>Time-based charging</w:t>
            </w:r>
            <w:r w:rsidRPr="001E7EF5">
              <w:rPr>
                <w:rFonts w:ascii="Calibri" w:hAnsi="Calibri"/>
                <w:bCs/>
                <w:sz w:val="18"/>
                <w:szCs w:val="18"/>
              </w:rPr>
              <w:t xml:space="preserve">: Drivers are charged based on time spent on specified roads, or in an urban area within a cordon. During periods of higher traffic congestion drivers would pay more so this would provide an incentive to enter the zone at less congested/costly times. Time-based charges can </w:t>
            </w:r>
            <w:r w:rsidR="009316E1">
              <w:rPr>
                <w:rFonts w:ascii="Calibri" w:hAnsi="Calibri"/>
                <w:bCs/>
                <w:sz w:val="18"/>
                <w:szCs w:val="18"/>
              </w:rPr>
              <w:t xml:space="preserve">result in undesirable </w:t>
            </w:r>
            <w:r w:rsidRPr="001E7EF5">
              <w:rPr>
                <w:rFonts w:ascii="Calibri" w:hAnsi="Calibri"/>
                <w:bCs/>
                <w:sz w:val="18"/>
                <w:szCs w:val="18"/>
              </w:rPr>
              <w:t>outcome</w:t>
            </w:r>
            <w:r w:rsidR="009316E1">
              <w:rPr>
                <w:rFonts w:ascii="Calibri" w:hAnsi="Calibri"/>
                <w:bCs/>
                <w:sz w:val="18"/>
                <w:szCs w:val="18"/>
              </w:rPr>
              <w:t>s</w:t>
            </w:r>
            <w:r w:rsidRPr="001E7EF5">
              <w:rPr>
                <w:rFonts w:ascii="Calibri" w:hAnsi="Calibri"/>
                <w:bCs/>
                <w:sz w:val="18"/>
                <w:szCs w:val="18"/>
              </w:rPr>
              <w:t xml:space="preserve"> </w:t>
            </w:r>
            <w:r w:rsidR="009316E1">
              <w:rPr>
                <w:rFonts w:ascii="Calibri" w:hAnsi="Calibri"/>
                <w:bCs/>
                <w:sz w:val="18"/>
                <w:szCs w:val="18"/>
              </w:rPr>
              <w:t xml:space="preserve">such as </w:t>
            </w:r>
            <w:r w:rsidRPr="001E7EF5">
              <w:rPr>
                <w:rFonts w:ascii="Calibri" w:hAnsi="Calibri"/>
                <w:bCs/>
                <w:sz w:val="18"/>
                <w:szCs w:val="18"/>
              </w:rPr>
              <w:t>encouraging drivers to speed to reduce the time spent in charging zone.</w:t>
            </w:r>
          </w:p>
          <w:p w:rsidR="00F721C7" w:rsidRPr="001E7EF5" w:rsidRDefault="00F721C7" w:rsidP="001E7EF5">
            <w:pPr>
              <w:spacing w:after="60"/>
              <w:rPr>
                <w:rFonts w:asciiTheme="minorHAnsi" w:hAnsiTheme="minorHAnsi"/>
                <w:bCs/>
                <w:sz w:val="18"/>
                <w:szCs w:val="18"/>
              </w:rPr>
            </w:pPr>
            <w:r w:rsidRPr="001E7EF5">
              <w:rPr>
                <w:rFonts w:ascii="Calibri" w:hAnsi="Calibri"/>
                <w:b/>
                <w:bCs/>
                <w:sz w:val="18"/>
                <w:szCs w:val="18"/>
              </w:rPr>
              <w:t>Congestion charging</w:t>
            </w:r>
            <w:r w:rsidRPr="001E7EF5">
              <w:rPr>
                <w:rFonts w:ascii="Calibri" w:hAnsi="Calibri"/>
                <w:bCs/>
                <w:sz w:val="18"/>
                <w:szCs w:val="18"/>
              </w:rPr>
              <w:t xml:space="preserve">: It is generally accepted that congestion is undesirable. Satellite positioning and roadside sensors make it possible to detect whether a particular vehicle is contributing to congestion and assign charges to the owner. </w:t>
            </w:r>
            <w:r w:rsidRPr="001E7EF5">
              <w:rPr>
                <w:rFonts w:ascii="Calibri" w:hAnsi="Calibri"/>
                <w:bCs/>
                <w:iCs/>
                <w:sz w:val="18"/>
                <w:szCs w:val="18"/>
              </w:rPr>
              <w:t>Congestion charges are</w:t>
            </w:r>
            <w:r w:rsidRPr="001E7EF5">
              <w:rPr>
                <w:rFonts w:ascii="Calibri" w:hAnsi="Calibri"/>
                <w:bCs/>
                <w:sz w:val="18"/>
                <w:szCs w:val="18"/>
              </w:rPr>
              <w:t xml:space="preserve"> levied according to traffic conditions and defining what constitutes congestion is critical to scheme implementation and levying user charges.</w:t>
            </w:r>
          </w:p>
          <w:p w:rsidR="00F721C7" w:rsidRDefault="00F721C7" w:rsidP="001E7EF5">
            <w:pPr>
              <w:spacing w:after="60"/>
            </w:pPr>
            <w:r w:rsidRPr="001E7EF5">
              <w:rPr>
                <w:rFonts w:asciiTheme="minorHAnsi" w:hAnsiTheme="minorHAnsi"/>
                <w:bCs/>
                <w:i/>
                <w:sz w:val="18"/>
                <w:szCs w:val="18"/>
              </w:rPr>
              <w:t>Sources</w:t>
            </w:r>
            <w:r w:rsidRPr="001E7EF5">
              <w:rPr>
                <w:rFonts w:asciiTheme="minorHAnsi" w:hAnsiTheme="minorHAnsi"/>
                <w:bCs/>
                <w:sz w:val="18"/>
                <w:szCs w:val="18"/>
              </w:rPr>
              <w:t>: Oh et al (2009); Un</w:t>
            </w:r>
            <w:r w:rsidRPr="00B93FAD">
              <w:rPr>
                <w:rFonts w:asciiTheme="minorHAnsi" w:hAnsiTheme="minorHAnsi"/>
                <w:bCs/>
                <w:sz w:val="18"/>
                <w:szCs w:val="18"/>
              </w:rPr>
              <w:t xml:space="preserve">iversity of Nottingham </w:t>
            </w:r>
            <w:r w:rsidR="001E7EF5" w:rsidRPr="00B93FAD">
              <w:rPr>
                <w:rFonts w:asciiTheme="minorHAnsi" w:hAnsiTheme="minorHAnsi"/>
                <w:bCs/>
                <w:sz w:val="18"/>
                <w:szCs w:val="18"/>
              </w:rPr>
              <w:t>(</w:t>
            </w:r>
            <w:hyperlink r:id="rId35" w:history="1">
              <w:r w:rsidRPr="00B93FAD">
                <w:rPr>
                  <w:rStyle w:val="Hyperlink"/>
                  <w:rFonts w:asciiTheme="minorHAnsi" w:hAnsiTheme="minorHAnsi"/>
                  <w:sz w:val="18"/>
                  <w:szCs w:val="18"/>
                </w:rPr>
                <w:t>http://www.nottingham.ac.uk/transportissues/cong_roadcharging.shtml</w:t>
              </w:r>
            </w:hyperlink>
            <w:r w:rsidR="001E7EF5" w:rsidRPr="00B93FAD">
              <w:rPr>
                <w:rFonts w:asciiTheme="minorHAnsi" w:hAnsiTheme="minorHAnsi"/>
                <w:sz w:val="18"/>
                <w:szCs w:val="18"/>
              </w:rPr>
              <w:t>)</w:t>
            </w:r>
            <w:r w:rsidR="00B93FAD">
              <w:rPr>
                <w:rFonts w:asciiTheme="minorHAnsi" w:hAnsiTheme="minorHAnsi"/>
                <w:sz w:val="18"/>
                <w:szCs w:val="18"/>
              </w:rPr>
              <w:t>, re-quoted from Monsalve (2012)</w:t>
            </w:r>
          </w:p>
        </w:tc>
      </w:tr>
    </w:tbl>
    <w:p w:rsidR="00B05E65" w:rsidRDefault="00B05E65" w:rsidP="00C91C8A">
      <w:pPr>
        <w:rPr>
          <w:b/>
        </w:rPr>
      </w:pPr>
    </w:p>
    <w:p w:rsidR="00C91C8A" w:rsidRDefault="00B05E65" w:rsidP="00C91C8A">
      <w:r w:rsidRPr="00B05E65">
        <w:rPr>
          <w:b/>
        </w:rPr>
        <w:t>Technologies and infrastructure</w:t>
      </w:r>
      <w:r>
        <w:t xml:space="preserve">. </w:t>
      </w:r>
      <w:r w:rsidR="00C91C8A">
        <w:t xml:space="preserve">Globally, vehicle technologies, transport infrastructure and operating systems are </w:t>
      </w:r>
      <w:r w:rsidR="00585D99">
        <w:t xml:space="preserve">rapidly </w:t>
      </w:r>
      <w:r w:rsidR="00C91C8A">
        <w:t xml:space="preserve">advancing in response to </w:t>
      </w:r>
      <w:r w:rsidR="009316E1">
        <w:t xml:space="preserve">rising </w:t>
      </w:r>
      <w:r w:rsidR="00C91C8A">
        <w:t xml:space="preserve">demand for high-quality transport services and </w:t>
      </w:r>
      <w:r w:rsidR="00F904AC">
        <w:t>f</w:t>
      </w:r>
      <w:r w:rsidR="009316E1">
        <w:t xml:space="preserve">ewer </w:t>
      </w:r>
      <w:r w:rsidR="00C91C8A">
        <w:t>harmful effects on quality of life.</w:t>
      </w:r>
    </w:p>
    <w:p w:rsidR="00E025A6" w:rsidRDefault="00C438AE" w:rsidP="00E025A6">
      <w:pPr>
        <w:pStyle w:val="ListParagraph"/>
        <w:numPr>
          <w:ilvl w:val="0"/>
          <w:numId w:val="28"/>
        </w:numPr>
        <w:spacing w:after="60"/>
        <w:contextualSpacing w:val="0"/>
      </w:pPr>
      <w:r w:rsidRPr="00B05E65">
        <w:rPr>
          <w:u w:val="single"/>
        </w:rPr>
        <w:lastRenderedPageBreak/>
        <w:t xml:space="preserve">Greener modes of </w:t>
      </w:r>
      <w:r w:rsidR="00E025A6" w:rsidRPr="00B05E65">
        <w:rPr>
          <w:u w:val="single"/>
        </w:rPr>
        <w:t>transport</w:t>
      </w:r>
      <w:r w:rsidR="00E025A6">
        <w:t xml:space="preserve">. </w:t>
      </w:r>
      <w:r w:rsidR="001064A4">
        <w:t xml:space="preserve">Many cities have succeeded in developing and implementing modern, high-speed, high-capacity and high-quality </w:t>
      </w:r>
      <w:r w:rsidR="009316E1">
        <w:t>public transportation systems.</w:t>
      </w:r>
      <w:r w:rsidR="001064A4">
        <w:t xml:space="preserve"> </w:t>
      </w:r>
    </w:p>
    <w:p w:rsidR="00E025A6" w:rsidRDefault="00C438AE" w:rsidP="00E025A6">
      <w:pPr>
        <w:pStyle w:val="ListParagraph"/>
        <w:numPr>
          <w:ilvl w:val="0"/>
          <w:numId w:val="28"/>
        </w:numPr>
        <w:spacing w:after="60"/>
        <w:contextualSpacing w:val="0"/>
      </w:pPr>
      <w:r w:rsidRPr="00B05E65">
        <w:rPr>
          <w:u w:val="single"/>
        </w:rPr>
        <w:t xml:space="preserve">Infrastructure network and </w:t>
      </w:r>
      <w:r w:rsidR="00E025A6" w:rsidRPr="00B05E65">
        <w:rPr>
          <w:u w:val="single"/>
        </w:rPr>
        <w:t>connectivity</w:t>
      </w:r>
      <w:r w:rsidR="00E025A6">
        <w:t xml:space="preserve">. </w:t>
      </w:r>
      <w:r w:rsidR="00B05E65">
        <w:t xml:space="preserve">Well-developed transport network and advanced </w:t>
      </w:r>
      <w:r w:rsidR="001064A4">
        <w:t xml:space="preserve">transshipment technologies can improve </w:t>
      </w:r>
      <w:r w:rsidR="00B05E65">
        <w:t xml:space="preserve">overall throughput and </w:t>
      </w:r>
      <w:r w:rsidR="001064A4">
        <w:t>intermodal connectivity at key transport hubs and junctions, both in terms of capacity, time and costs. Improved connectivity between modes can induce modal shift from highly flexible modes (such as road transport) to less-flexible but lower-cost modes (possibly railway), especially for long-distance trips.</w:t>
      </w:r>
    </w:p>
    <w:p w:rsidR="008C74F2" w:rsidRPr="001C3C71" w:rsidRDefault="00C438AE" w:rsidP="00E025A6">
      <w:pPr>
        <w:pStyle w:val="ListParagraph"/>
        <w:numPr>
          <w:ilvl w:val="0"/>
          <w:numId w:val="28"/>
        </w:numPr>
      </w:pPr>
      <w:r w:rsidRPr="00B05E65">
        <w:rPr>
          <w:u w:val="single"/>
        </w:rPr>
        <w:t>Advanced vehicle technologies</w:t>
      </w:r>
      <w:r w:rsidR="001064A4">
        <w:t>. Mechanical improvements have contributed to better fuel efficiency of internal combustion engine vehicles: tires with low rolling resistance, improved aerodynamics, decreased vehicle weight, and energy</w:t>
      </w:r>
      <w:r w:rsidR="009316E1">
        <w:t>-efficient</w:t>
      </w:r>
      <w:r w:rsidR="001064A4">
        <w:t xml:space="preserve"> electric components.</w:t>
      </w:r>
      <w:r w:rsidR="001064A4" w:rsidRPr="001064A4">
        <w:t xml:space="preserve"> </w:t>
      </w:r>
      <w:r w:rsidR="001064A4">
        <w:t>Facing stricter standards, vehicle manufacturers are likely to continue improving fuel efficiency and emissions of internal combustion engine vehicles. In the future, wider introduction of hybrid engines coupled with electric technologies</w:t>
      </w:r>
      <w:r w:rsidR="00815176">
        <w:t xml:space="preserve"> is expect to contribute to substantial improvements in fuel economy</w:t>
      </w:r>
      <w:r w:rsidR="001064A4">
        <w:t>.</w:t>
      </w:r>
      <w:r w:rsidR="001064A4">
        <w:rPr>
          <w:rStyle w:val="FootnoteReference"/>
        </w:rPr>
        <w:footnoteReference w:id="12"/>
      </w:r>
    </w:p>
    <w:p w:rsidR="007F2695" w:rsidRPr="00A24018" w:rsidRDefault="007F2695" w:rsidP="007F2695">
      <w:pPr>
        <w:pStyle w:val="Heading2"/>
      </w:pPr>
      <w:bookmarkStart w:id="31" w:name="_Toc326892930"/>
      <w:r>
        <w:t xml:space="preserve">Scope: Transport </w:t>
      </w:r>
      <w:r w:rsidR="00DD57DD">
        <w:t>Network and Key Sub-s</w:t>
      </w:r>
      <w:r>
        <w:t>ector</w:t>
      </w:r>
      <w:r w:rsidR="00DD57DD">
        <w:t>s</w:t>
      </w:r>
      <w:r>
        <w:t xml:space="preserve"> in Georgia</w:t>
      </w:r>
      <w:bookmarkEnd w:id="31"/>
    </w:p>
    <w:p w:rsidR="00F145EC" w:rsidRDefault="00F145EC" w:rsidP="00E81A26">
      <w:r>
        <w:t>This study covers the overall transport network development and demand, as well as specific issues of key sub-sectors, including international freight transport, interurban passenger transport, and urban transport. Overview of the transport sector is as follows:</w:t>
      </w:r>
    </w:p>
    <w:p w:rsidR="00F145EC" w:rsidRDefault="00F145EC" w:rsidP="00F145EC">
      <w:r w:rsidRPr="00F145EC">
        <w:rPr>
          <w:b/>
        </w:rPr>
        <w:t>Georgia’s transport network</w:t>
      </w:r>
      <w:r>
        <w:rPr>
          <w:b/>
        </w:rPr>
        <w:t xml:space="preserve"> and </w:t>
      </w:r>
      <w:r w:rsidR="00340001">
        <w:rPr>
          <w:b/>
        </w:rPr>
        <w:t>modal share</w:t>
      </w:r>
      <w:r>
        <w:t xml:space="preserve">. </w:t>
      </w:r>
      <w:r w:rsidR="00340001">
        <w:t xml:space="preserve">Roads and railway are the backbone of Georgia’s transport network.  </w:t>
      </w:r>
      <w:r>
        <w:t xml:space="preserve">The </w:t>
      </w:r>
      <w:r w:rsidR="00036C75">
        <w:t xml:space="preserve">total length of </w:t>
      </w:r>
      <w:r>
        <w:t xml:space="preserve">road network </w:t>
      </w:r>
      <w:r w:rsidR="00036C75">
        <w:t xml:space="preserve">in Georgia </w:t>
      </w:r>
      <w:r>
        <w:t>is over 20,000 km, of which about 1,500 km are international roads</w:t>
      </w:r>
      <w:r w:rsidR="00036C75">
        <w:t>.</w:t>
      </w:r>
      <w:r>
        <w:t xml:space="preserve"> </w:t>
      </w:r>
      <w:r w:rsidR="00036C75">
        <w:t>T</w:t>
      </w:r>
      <w:r>
        <w:t xml:space="preserve">he </w:t>
      </w:r>
      <w:r w:rsidR="00036C75">
        <w:t xml:space="preserve">operational length of </w:t>
      </w:r>
      <w:r>
        <w:t xml:space="preserve">railway network is </w:t>
      </w:r>
      <w:r w:rsidR="00036C75">
        <w:t xml:space="preserve">about </w:t>
      </w:r>
      <w:r>
        <w:t>1</w:t>
      </w:r>
      <w:r w:rsidR="00340001">
        <w:t>,</w:t>
      </w:r>
      <w:r>
        <w:t>3</w:t>
      </w:r>
      <w:r w:rsidR="00036C75">
        <w:t>26 km, of which about 293 km is double-tracked and 1</w:t>
      </w:r>
      <w:r w:rsidR="00340001">
        <w:t>,</w:t>
      </w:r>
      <w:r w:rsidR="00036C75">
        <w:t xml:space="preserve">251 km is electrified.  There are four seaports in Poti, Batumi, Kulevi and Supsa, which together handled about 23 million tons of dry and liquid cargo and about 226,000 TEU of container cargo in 2010.  </w:t>
      </w:r>
      <w:r w:rsidR="00340001">
        <w:t xml:space="preserve">Civil aviation carries marginal share of total transport but its volume is growing rapidly.  </w:t>
      </w:r>
      <w:r w:rsidR="00036C75">
        <w:t xml:space="preserve">Modal share of passenger and freight transport is shown in </w:t>
      </w:r>
      <w:fldSimple w:instr=" REF _Ref326878150 \h  \* MERGEFORMAT ">
        <w:r w:rsidR="00340001" w:rsidRPr="00340001">
          <w:t xml:space="preserve">Table </w:t>
        </w:r>
        <w:r w:rsidR="00340001" w:rsidRPr="00340001">
          <w:rPr>
            <w:noProof/>
          </w:rPr>
          <w:t>1</w:t>
        </w:r>
      </w:fldSimple>
      <w:r w:rsidR="00340001">
        <w:t>.</w:t>
      </w:r>
    </w:p>
    <w:p w:rsidR="00036C75" w:rsidRPr="00624B2C" w:rsidRDefault="00036C75" w:rsidP="00036C75">
      <w:pPr>
        <w:pStyle w:val="Caption"/>
        <w:keepNext/>
        <w:spacing w:before="120" w:after="120"/>
        <w:rPr>
          <w:b w:val="0"/>
          <w:color w:val="auto"/>
          <w:sz w:val="20"/>
          <w:szCs w:val="20"/>
        </w:rPr>
      </w:pPr>
      <w:bookmarkStart w:id="32" w:name="_Ref326878150"/>
      <w:bookmarkStart w:id="33" w:name="_Toc326892892"/>
      <w:r w:rsidRPr="00F74881">
        <w:rPr>
          <w:color w:val="auto"/>
          <w:sz w:val="20"/>
          <w:szCs w:val="20"/>
        </w:rPr>
        <w:t xml:space="preserve">Table </w:t>
      </w:r>
      <w:r w:rsidR="001A7AF8" w:rsidRPr="00F74881">
        <w:rPr>
          <w:color w:val="auto"/>
          <w:sz w:val="20"/>
          <w:szCs w:val="20"/>
        </w:rPr>
        <w:fldChar w:fldCharType="begin"/>
      </w:r>
      <w:r w:rsidRPr="00F74881">
        <w:rPr>
          <w:color w:val="auto"/>
          <w:sz w:val="20"/>
          <w:szCs w:val="20"/>
        </w:rPr>
        <w:instrText xml:space="preserve"> SEQ Table \* ARABIC </w:instrText>
      </w:r>
      <w:r w:rsidR="001A7AF8" w:rsidRPr="00F74881">
        <w:rPr>
          <w:color w:val="auto"/>
          <w:sz w:val="20"/>
          <w:szCs w:val="20"/>
        </w:rPr>
        <w:fldChar w:fldCharType="separate"/>
      </w:r>
      <w:r>
        <w:rPr>
          <w:noProof/>
          <w:color w:val="auto"/>
          <w:sz w:val="20"/>
          <w:szCs w:val="20"/>
        </w:rPr>
        <w:t>1</w:t>
      </w:r>
      <w:r w:rsidR="001A7AF8" w:rsidRPr="00F74881">
        <w:rPr>
          <w:color w:val="auto"/>
          <w:sz w:val="20"/>
          <w:szCs w:val="20"/>
        </w:rPr>
        <w:fldChar w:fldCharType="end"/>
      </w:r>
      <w:bookmarkEnd w:id="32"/>
      <w:r w:rsidRPr="00F74881">
        <w:rPr>
          <w:color w:val="auto"/>
          <w:sz w:val="20"/>
          <w:szCs w:val="20"/>
        </w:rPr>
        <w:t xml:space="preserve">: </w:t>
      </w:r>
      <w:r w:rsidR="00340001">
        <w:rPr>
          <w:b w:val="0"/>
          <w:color w:val="auto"/>
          <w:sz w:val="20"/>
          <w:szCs w:val="20"/>
        </w:rPr>
        <w:t>Transport modal share in Georgia</w:t>
      </w:r>
      <w:bookmarkEnd w:id="33"/>
    </w:p>
    <w:tbl>
      <w:tblPr>
        <w:tblW w:w="9375" w:type="dxa"/>
        <w:jc w:val="center"/>
        <w:tblLayout w:type="fixed"/>
        <w:tblCellMar>
          <w:top w:w="14" w:type="dxa"/>
          <w:left w:w="101" w:type="dxa"/>
          <w:bottom w:w="14" w:type="dxa"/>
          <w:right w:w="101" w:type="dxa"/>
        </w:tblCellMar>
        <w:tblLook w:val="04A0"/>
      </w:tblPr>
      <w:tblGrid>
        <w:gridCol w:w="2258"/>
        <w:gridCol w:w="1186"/>
        <w:gridCol w:w="1186"/>
        <w:gridCol w:w="1186"/>
        <w:gridCol w:w="1186"/>
        <w:gridCol w:w="1186"/>
        <w:gridCol w:w="1187"/>
      </w:tblGrid>
      <w:tr w:rsidR="00036C75" w:rsidRPr="00036C75" w:rsidTr="00340001">
        <w:trPr>
          <w:trHeight w:val="254"/>
          <w:jc w:val="center"/>
        </w:trPr>
        <w:tc>
          <w:tcPr>
            <w:tcW w:w="2258" w:type="dxa"/>
            <w:vMerge w:val="restart"/>
            <w:tcBorders>
              <w:top w:val="single" w:sz="12"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36C75" w:rsidRPr="00036C75" w:rsidRDefault="00036C75" w:rsidP="00036C75">
            <w:pPr>
              <w:spacing w:after="0" w:line="240" w:lineRule="auto"/>
              <w:ind w:left="83" w:right="82"/>
              <w:jc w:val="left"/>
              <w:rPr>
                <w:sz w:val="20"/>
                <w:szCs w:val="20"/>
              </w:rPr>
            </w:pPr>
            <w:r w:rsidRPr="00036C75">
              <w:rPr>
                <w:b/>
                <w:bCs/>
                <w:sz w:val="20"/>
                <w:szCs w:val="20"/>
              </w:rPr>
              <w:t>Transportation Mode</w:t>
            </w:r>
          </w:p>
        </w:tc>
        <w:tc>
          <w:tcPr>
            <w:tcW w:w="3558" w:type="dxa"/>
            <w:gridSpan w:val="3"/>
            <w:tcBorders>
              <w:top w:val="single" w:sz="12"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36C75" w:rsidRPr="00036C75" w:rsidRDefault="00036C75" w:rsidP="00036C75">
            <w:pPr>
              <w:spacing w:after="0" w:line="240" w:lineRule="auto"/>
              <w:jc w:val="center"/>
              <w:rPr>
                <w:sz w:val="20"/>
                <w:szCs w:val="20"/>
              </w:rPr>
            </w:pPr>
            <w:r w:rsidRPr="00036C75">
              <w:rPr>
                <w:b/>
                <w:bCs/>
                <w:sz w:val="20"/>
                <w:szCs w:val="20"/>
              </w:rPr>
              <w:t>Cargo Transportation  (</w:t>
            </w:r>
            <w:r>
              <w:rPr>
                <w:b/>
                <w:bCs/>
                <w:sz w:val="20"/>
                <w:szCs w:val="20"/>
              </w:rPr>
              <w:t>million t</w:t>
            </w:r>
            <w:r w:rsidRPr="00036C75">
              <w:rPr>
                <w:b/>
                <w:bCs/>
                <w:sz w:val="20"/>
                <w:szCs w:val="20"/>
              </w:rPr>
              <w:t>ons)</w:t>
            </w:r>
          </w:p>
        </w:tc>
        <w:tc>
          <w:tcPr>
            <w:tcW w:w="3559" w:type="dxa"/>
            <w:gridSpan w:val="3"/>
            <w:tcBorders>
              <w:top w:val="single" w:sz="12" w:space="0" w:color="auto"/>
              <w:left w:val="single" w:sz="4" w:space="0" w:color="auto"/>
              <w:bottom w:val="single" w:sz="4" w:space="0" w:color="auto"/>
              <w:right w:val="nil"/>
            </w:tcBorders>
            <w:shd w:val="clear" w:color="auto" w:fill="auto"/>
            <w:tcMar>
              <w:top w:w="15" w:type="dxa"/>
              <w:left w:w="15" w:type="dxa"/>
              <w:bottom w:w="0" w:type="dxa"/>
              <w:right w:w="15" w:type="dxa"/>
            </w:tcMar>
            <w:vAlign w:val="center"/>
            <w:hideMark/>
          </w:tcPr>
          <w:p w:rsidR="00036C75" w:rsidRPr="00036C75" w:rsidRDefault="00036C75" w:rsidP="00036C75">
            <w:pPr>
              <w:spacing w:after="0" w:line="240" w:lineRule="auto"/>
              <w:jc w:val="center"/>
              <w:rPr>
                <w:sz w:val="20"/>
                <w:szCs w:val="20"/>
              </w:rPr>
            </w:pPr>
            <w:r w:rsidRPr="00036C75">
              <w:rPr>
                <w:b/>
                <w:bCs/>
                <w:sz w:val="20"/>
                <w:szCs w:val="20"/>
              </w:rPr>
              <w:t>Passenger  (</w:t>
            </w:r>
            <w:r>
              <w:rPr>
                <w:b/>
                <w:bCs/>
                <w:sz w:val="20"/>
                <w:szCs w:val="20"/>
              </w:rPr>
              <w:t>million</w:t>
            </w:r>
            <w:r w:rsidRPr="00036C75">
              <w:rPr>
                <w:b/>
                <w:bCs/>
                <w:sz w:val="20"/>
                <w:szCs w:val="20"/>
              </w:rPr>
              <w:t>)</w:t>
            </w:r>
          </w:p>
        </w:tc>
      </w:tr>
      <w:tr w:rsidR="00036C75" w:rsidRPr="00036C75" w:rsidTr="00340001">
        <w:trPr>
          <w:trHeight w:val="254"/>
          <w:jc w:val="center"/>
        </w:trPr>
        <w:tc>
          <w:tcPr>
            <w:tcW w:w="2258" w:type="dxa"/>
            <w:vMerge/>
            <w:tcBorders>
              <w:top w:val="single" w:sz="4" w:space="0" w:color="auto"/>
              <w:left w:val="nil"/>
              <w:bottom w:val="single" w:sz="4" w:space="0" w:color="auto"/>
              <w:right w:val="single" w:sz="4" w:space="0" w:color="auto"/>
            </w:tcBorders>
            <w:shd w:val="clear" w:color="auto" w:fill="auto"/>
            <w:vAlign w:val="center"/>
            <w:hideMark/>
          </w:tcPr>
          <w:p w:rsidR="00036C75" w:rsidRPr="00036C75" w:rsidRDefault="00036C75" w:rsidP="00036C75">
            <w:pPr>
              <w:spacing w:after="0" w:line="240" w:lineRule="auto"/>
              <w:ind w:left="83" w:right="82"/>
              <w:jc w:val="left"/>
              <w:rPr>
                <w:sz w:val="20"/>
                <w:szCs w:val="20"/>
              </w:rPr>
            </w:pPr>
          </w:p>
        </w:tc>
        <w:tc>
          <w:tcPr>
            <w:tcW w:w="1186" w:type="dxa"/>
            <w:tcBorders>
              <w:top w:val="single" w:sz="4" w:space="0" w:color="auto"/>
              <w:left w:val="single" w:sz="4" w:space="0" w:color="auto"/>
              <w:bottom w:val="single" w:sz="4" w:space="0" w:color="auto"/>
            </w:tcBorders>
            <w:shd w:val="clear" w:color="auto" w:fill="auto"/>
            <w:tcMar>
              <w:top w:w="15" w:type="dxa"/>
              <w:left w:w="15" w:type="dxa"/>
              <w:bottom w:w="0" w:type="dxa"/>
              <w:right w:w="15" w:type="dxa"/>
            </w:tcMar>
            <w:vAlign w:val="center"/>
            <w:hideMark/>
          </w:tcPr>
          <w:p w:rsidR="00036C75" w:rsidRPr="00036C75" w:rsidRDefault="00036C75" w:rsidP="00340001">
            <w:pPr>
              <w:spacing w:after="0" w:line="240" w:lineRule="auto"/>
              <w:ind w:left="68" w:right="52"/>
              <w:jc w:val="center"/>
              <w:rPr>
                <w:sz w:val="20"/>
                <w:szCs w:val="20"/>
              </w:rPr>
            </w:pPr>
            <w:r w:rsidRPr="00036C75">
              <w:rPr>
                <w:b/>
                <w:bCs/>
                <w:sz w:val="20"/>
                <w:szCs w:val="20"/>
              </w:rPr>
              <w:t>2009</w:t>
            </w:r>
          </w:p>
        </w:tc>
        <w:tc>
          <w:tcPr>
            <w:tcW w:w="1186" w:type="dxa"/>
            <w:tcBorders>
              <w:top w:val="single" w:sz="4" w:space="0" w:color="auto"/>
              <w:bottom w:val="single" w:sz="4" w:space="0" w:color="auto"/>
            </w:tcBorders>
            <w:shd w:val="clear" w:color="auto" w:fill="auto"/>
            <w:tcMar>
              <w:top w:w="15" w:type="dxa"/>
              <w:left w:w="15" w:type="dxa"/>
              <w:bottom w:w="0" w:type="dxa"/>
              <w:right w:w="15" w:type="dxa"/>
            </w:tcMar>
            <w:vAlign w:val="center"/>
            <w:hideMark/>
          </w:tcPr>
          <w:p w:rsidR="00036C75" w:rsidRPr="00036C75" w:rsidRDefault="00036C75" w:rsidP="00340001">
            <w:pPr>
              <w:spacing w:after="0" w:line="240" w:lineRule="auto"/>
              <w:ind w:left="8"/>
              <w:jc w:val="center"/>
              <w:rPr>
                <w:sz w:val="20"/>
                <w:szCs w:val="20"/>
              </w:rPr>
            </w:pPr>
            <w:r w:rsidRPr="00036C75">
              <w:rPr>
                <w:b/>
                <w:bCs/>
                <w:sz w:val="20"/>
                <w:szCs w:val="20"/>
              </w:rPr>
              <w:t>2010</w:t>
            </w:r>
          </w:p>
        </w:tc>
        <w:tc>
          <w:tcPr>
            <w:tcW w:w="1186" w:type="dxa"/>
            <w:tcBorders>
              <w:top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36C75" w:rsidRPr="00036C75" w:rsidRDefault="00036C75" w:rsidP="00340001">
            <w:pPr>
              <w:spacing w:after="0" w:line="240" w:lineRule="auto"/>
              <w:jc w:val="center"/>
              <w:rPr>
                <w:sz w:val="20"/>
                <w:szCs w:val="20"/>
              </w:rPr>
            </w:pPr>
            <w:r w:rsidRPr="00036C75">
              <w:rPr>
                <w:b/>
                <w:bCs/>
                <w:sz w:val="20"/>
                <w:szCs w:val="20"/>
              </w:rPr>
              <w:t>Change (%)</w:t>
            </w:r>
          </w:p>
        </w:tc>
        <w:tc>
          <w:tcPr>
            <w:tcW w:w="1186" w:type="dxa"/>
            <w:tcBorders>
              <w:top w:val="single" w:sz="4" w:space="0" w:color="auto"/>
              <w:left w:val="single" w:sz="4" w:space="0" w:color="auto"/>
              <w:bottom w:val="single" w:sz="4" w:space="0" w:color="auto"/>
            </w:tcBorders>
            <w:shd w:val="clear" w:color="auto" w:fill="auto"/>
            <w:tcMar>
              <w:top w:w="15" w:type="dxa"/>
              <w:left w:w="15" w:type="dxa"/>
              <w:bottom w:w="0" w:type="dxa"/>
              <w:right w:w="15" w:type="dxa"/>
            </w:tcMar>
            <w:vAlign w:val="center"/>
            <w:hideMark/>
          </w:tcPr>
          <w:p w:rsidR="00036C75" w:rsidRPr="00036C75" w:rsidRDefault="00036C75" w:rsidP="00340001">
            <w:pPr>
              <w:spacing w:after="0" w:line="240" w:lineRule="auto"/>
              <w:jc w:val="center"/>
              <w:rPr>
                <w:sz w:val="20"/>
                <w:szCs w:val="20"/>
              </w:rPr>
            </w:pPr>
            <w:r w:rsidRPr="00036C75">
              <w:rPr>
                <w:b/>
                <w:bCs/>
                <w:sz w:val="20"/>
                <w:szCs w:val="20"/>
              </w:rPr>
              <w:t>2009</w:t>
            </w:r>
          </w:p>
        </w:tc>
        <w:tc>
          <w:tcPr>
            <w:tcW w:w="1186" w:type="dxa"/>
            <w:tcBorders>
              <w:top w:val="single" w:sz="4" w:space="0" w:color="auto"/>
              <w:bottom w:val="single" w:sz="4" w:space="0" w:color="auto"/>
            </w:tcBorders>
            <w:shd w:val="clear" w:color="auto" w:fill="auto"/>
            <w:tcMar>
              <w:top w:w="15" w:type="dxa"/>
              <w:left w:w="15" w:type="dxa"/>
              <w:bottom w:w="0" w:type="dxa"/>
              <w:right w:w="15" w:type="dxa"/>
            </w:tcMar>
            <w:vAlign w:val="center"/>
            <w:hideMark/>
          </w:tcPr>
          <w:p w:rsidR="00036C75" w:rsidRPr="00036C75" w:rsidRDefault="00036C75" w:rsidP="00340001">
            <w:pPr>
              <w:spacing w:after="0" w:line="240" w:lineRule="auto"/>
              <w:jc w:val="center"/>
              <w:rPr>
                <w:sz w:val="20"/>
                <w:szCs w:val="20"/>
              </w:rPr>
            </w:pPr>
            <w:r w:rsidRPr="00036C75">
              <w:rPr>
                <w:b/>
                <w:bCs/>
                <w:sz w:val="20"/>
                <w:szCs w:val="20"/>
              </w:rPr>
              <w:t>2010</w:t>
            </w:r>
          </w:p>
        </w:tc>
        <w:tc>
          <w:tcPr>
            <w:tcW w:w="1187" w:type="dxa"/>
            <w:tcBorders>
              <w:top w:val="single" w:sz="4" w:space="0" w:color="auto"/>
              <w:bottom w:val="single" w:sz="4" w:space="0" w:color="auto"/>
              <w:right w:val="nil"/>
            </w:tcBorders>
            <w:shd w:val="clear" w:color="auto" w:fill="auto"/>
            <w:tcMar>
              <w:top w:w="15" w:type="dxa"/>
              <w:left w:w="15" w:type="dxa"/>
              <w:bottom w:w="0" w:type="dxa"/>
              <w:right w:w="15" w:type="dxa"/>
            </w:tcMar>
            <w:vAlign w:val="center"/>
            <w:hideMark/>
          </w:tcPr>
          <w:p w:rsidR="00036C75" w:rsidRPr="00036C75" w:rsidRDefault="00036C75" w:rsidP="00340001">
            <w:pPr>
              <w:spacing w:after="0" w:line="240" w:lineRule="auto"/>
              <w:jc w:val="center"/>
              <w:rPr>
                <w:sz w:val="20"/>
                <w:szCs w:val="20"/>
              </w:rPr>
            </w:pPr>
            <w:r w:rsidRPr="00036C75">
              <w:rPr>
                <w:b/>
                <w:bCs/>
                <w:sz w:val="20"/>
                <w:szCs w:val="20"/>
              </w:rPr>
              <w:t>Change (%)</w:t>
            </w:r>
          </w:p>
        </w:tc>
      </w:tr>
      <w:tr w:rsidR="00036C75" w:rsidRPr="00036C75" w:rsidTr="00340001">
        <w:trPr>
          <w:trHeight w:val="193"/>
          <w:jc w:val="center"/>
        </w:trPr>
        <w:tc>
          <w:tcPr>
            <w:tcW w:w="2258" w:type="dxa"/>
            <w:tcBorders>
              <w:top w:val="single" w:sz="4" w:space="0" w:color="auto"/>
              <w:left w:val="nil"/>
              <w:right w:val="single" w:sz="4" w:space="0" w:color="auto"/>
            </w:tcBorders>
            <w:shd w:val="clear" w:color="auto" w:fill="auto"/>
            <w:tcMar>
              <w:top w:w="15" w:type="dxa"/>
              <w:left w:w="15" w:type="dxa"/>
              <w:bottom w:w="0" w:type="dxa"/>
              <w:right w:w="15" w:type="dxa"/>
            </w:tcMar>
            <w:vAlign w:val="center"/>
            <w:hideMark/>
          </w:tcPr>
          <w:p w:rsidR="00036C75" w:rsidRPr="00036C75" w:rsidRDefault="00036C75" w:rsidP="00036C75">
            <w:pPr>
              <w:spacing w:after="0" w:line="240" w:lineRule="auto"/>
              <w:ind w:left="83" w:right="82"/>
              <w:jc w:val="left"/>
              <w:rPr>
                <w:sz w:val="20"/>
                <w:szCs w:val="20"/>
              </w:rPr>
            </w:pPr>
            <w:r w:rsidRPr="00036C75">
              <w:rPr>
                <w:b/>
                <w:bCs/>
                <w:sz w:val="20"/>
                <w:szCs w:val="20"/>
              </w:rPr>
              <w:t>Railway</w:t>
            </w:r>
          </w:p>
        </w:tc>
        <w:tc>
          <w:tcPr>
            <w:tcW w:w="1186" w:type="dxa"/>
            <w:tcBorders>
              <w:top w:val="single" w:sz="4" w:space="0" w:color="auto"/>
              <w:left w:val="single" w:sz="4" w:space="0" w:color="auto"/>
            </w:tcBorders>
            <w:shd w:val="clear" w:color="auto" w:fill="auto"/>
            <w:tcMar>
              <w:top w:w="15" w:type="dxa"/>
              <w:left w:w="15" w:type="dxa"/>
              <w:bottom w:w="0" w:type="dxa"/>
              <w:right w:w="15" w:type="dxa"/>
            </w:tcMar>
            <w:vAlign w:val="bottom"/>
            <w:hideMark/>
          </w:tcPr>
          <w:p w:rsidR="00036C75" w:rsidRPr="00036C75" w:rsidRDefault="00036C75" w:rsidP="00340001">
            <w:pPr>
              <w:spacing w:after="0" w:line="240" w:lineRule="auto"/>
              <w:ind w:left="68" w:right="52"/>
              <w:jc w:val="center"/>
              <w:rPr>
                <w:sz w:val="20"/>
                <w:szCs w:val="20"/>
              </w:rPr>
            </w:pPr>
            <w:r w:rsidRPr="00036C75">
              <w:rPr>
                <w:sz w:val="20"/>
                <w:szCs w:val="20"/>
              </w:rPr>
              <w:t>17</w:t>
            </w:r>
            <w:r>
              <w:rPr>
                <w:sz w:val="20"/>
                <w:szCs w:val="20"/>
              </w:rPr>
              <w:t>.</w:t>
            </w:r>
            <w:r w:rsidRPr="00036C75">
              <w:rPr>
                <w:sz w:val="20"/>
                <w:szCs w:val="20"/>
              </w:rPr>
              <w:t>1</w:t>
            </w:r>
          </w:p>
        </w:tc>
        <w:tc>
          <w:tcPr>
            <w:tcW w:w="1186" w:type="dxa"/>
            <w:tcBorders>
              <w:top w:val="single" w:sz="4" w:space="0" w:color="auto"/>
            </w:tcBorders>
            <w:shd w:val="clear" w:color="auto" w:fill="auto"/>
            <w:tcMar>
              <w:top w:w="15" w:type="dxa"/>
              <w:left w:w="15" w:type="dxa"/>
              <w:bottom w:w="0" w:type="dxa"/>
              <w:right w:w="15" w:type="dxa"/>
            </w:tcMar>
            <w:vAlign w:val="bottom"/>
            <w:hideMark/>
          </w:tcPr>
          <w:p w:rsidR="00036C75" w:rsidRPr="00036C75" w:rsidRDefault="00036C75" w:rsidP="00340001">
            <w:pPr>
              <w:spacing w:after="0" w:line="240" w:lineRule="auto"/>
              <w:ind w:left="8"/>
              <w:jc w:val="center"/>
              <w:rPr>
                <w:sz w:val="20"/>
                <w:szCs w:val="20"/>
              </w:rPr>
            </w:pPr>
            <w:r w:rsidRPr="00036C75">
              <w:rPr>
                <w:sz w:val="20"/>
                <w:szCs w:val="20"/>
              </w:rPr>
              <w:t>19</w:t>
            </w:r>
            <w:r>
              <w:rPr>
                <w:sz w:val="20"/>
                <w:szCs w:val="20"/>
              </w:rPr>
              <w:t>.</w:t>
            </w:r>
            <w:r w:rsidRPr="00036C75">
              <w:rPr>
                <w:sz w:val="20"/>
                <w:szCs w:val="20"/>
              </w:rPr>
              <w:t>9</w:t>
            </w:r>
          </w:p>
        </w:tc>
        <w:tc>
          <w:tcPr>
            <w:tcW w:w="1186" w:type="dxa"/>
            <w:tcBorders>
              <w:top w:val="single" w:sz="4" w:space="0" w:color="auto"/>
              <w:right w:val="single" w:sz="4" w:space="0" w:color="auto"/>
            </w:tcBorders>
            <w:shd w:val="clear" w:color="auto" w:fill="auto"/>
            <w:tcMar>
              <w:top w:w="15" w:type="dxa"/>
              <w:left w:w="15" w:type="dxa"/>
              <w:bottom w:w="0" w:type="dxa"/>
              <w:right w:w="15" w:type="dxa"/>
            </w:tcMar>
            <w:vAlign w:val="center"/>
            <w:hideMark/>
          </w:tcPr>
          <w:p w:rsidR="00036C75" w:rsidRPr="00036C75" w:rsidRDefault="00036C75" w:rsidP="00340001">
            <w:pPr>
              <w:spacing w:after="0" w:line="240" w:lineRule="auto"/>
              <w:jc w:val="center"/>
              <w:rPr>
                <w:sz w:val="20"/>
                <w:szCs w:val="20"/>
              </w:rPr>
            </w:pPr>
            <w:r w:rsidRPr="00036C75">
              <w:rPr>
                <w:sz w:val="20"/>
                <w:szCs w:val="20"/>
              </w:rPr>
              <w:t>16%</w:t>
            </w:r>
          </w:p>
        </w:tc>
        <w:tc>
          <w:tcPr>
            <w:tcW w:w="1186" w:type="dxa"/>
            <w:vMerge w:val="restart"/>
            <w:tcBorders>
              <w:top w:val="single" w:sz="4" w:space="0" w:color="auto"/>
              <w:left w:val="single" w:sz="4" w:space="0" w:color="auto"/>
              <w:bottom w:val="single" w:sz="4" w:space="0" w:color="auto"/>
            </w:tcBorders>
            <w:shd w:val="clear" w:color="auto" w:fill="auto"/>
            <w:tcMar>
              <w:top w:w="15" w:type="dxa"/>
              <w:left w:w="15" w:type="dxa"/>
              <w:bottom w:w="0" w:type="dxa"/>
              <w:right w:w="15" w:type="dxa"/>
            </w:tcMar>
            <w:vAlign w:val="center"/>
            <w:hideMark/>
          </w:tcPr>
          <w:p w:rsidR="00036C75" w:rsidRPr="00036C75" w:rsidRDefault="00036C75" w:rsidP="00340001">
            <w:pPr>
              <w:spacing w:after="0" w:line="240" w:lineRule="auto"/>
              <w:jc w:val="center"/>
              <w:rPr>
                <w:sz w:val="20"/>
                <w:szCs w:val="20"/>
              </w:rPr>
            </w:pPr>
            <w:r w:rsidRPr="00036C75">
              <w:rPr>
                <w:sz w:val="20"/>
                <w:szCs w:val="20"/>
              </w:rPr>
              <w:t>3</w:t>
            </w:r>
            <w:r>
              <w:rPr>
                <w:sz w:val="20"/>
                <w:szCs w:val="20"/>
              </w:rPr>
              <w:t>.</w:t>
            </w:r>
            <w:r w:rsidRPr="00036C75">
              <w:rPr>
                <w:sz w:val="20"/>
                <w:szCs w:val="20"/>
              </w:rPr>
              <w:t>1</w:t>
            </w:r>
          </w:p>
        </w:tc>
        <w:tc>
          <w:tcPr>
            <w:tcW w:w="1186" w:type="dxa"/>
            <w:vMerge w:val="restart"/>
            <w:tcBorders>
              <w:top w:val="single" w:sz="4" w:space="0" w:color="auto"/>
              <w:bottom w:val="single" w:sz="4" w:space="0" w:color="auto"/>
            </w:tcBorders>
            <w:shd w:val="clear" w:color="auto" w:fill="auto"/>
            <w:tcMar>
              <w:top w:w="15" w:type="dxa"/>
              <w:left w:w="15" w:type="dxa"/>
              <w:bottom w:w="0" w:type="dxa"/>
              <w:right w:w="15" w:type="dxa"/>
            </w:tcMar>
            <w:vAlign w:val="center"/>
            <w:hideMark/>
          </w:tcPr>
          <w:p w:rsidR="00036C75" w:rsidRPr="00036C75" w:rsidRDefault="00036C75" w:rsidP="00340001">
            <w:pPr>
              <w:spacing w:after="0" w:line="240" w:lineRule="auto"/>
              <w:jc w:val="center"/>
              <w:rPr>
                <w:sz w:val="20"/>
                <w:szCs w:val="20"/>
              </w:rPr>
            </w:pPr>
            <w:r w:rsidRPr="00036C75">
              <w:rPr>
                <w:sz w:val="20"/>
                <w:szCs w:val="20"/>
              </w:rPr>
              <w:t>3</w:t>
            </w:r>
            <w:r>
              <w:rPr>
                <w:sz w:val="20"/>
                <w:szCs w:val="20"/>
              </w:rPr>
              <w:t>.</w:t>
            </w:r>
            <w:r w:rsidRPr="00036C75">
              <w:rPr>
                <w:sz w:val="20"/>
                <w:szCs w:val="20"/>
              </w:rPr>
              <w:t>2</w:t>
            </w:r>
          </w:p>
        </w:tc>
        <w:tc>
          <w:tcPr>
            <w:tcW w:w="1187" w:type="dxa"/>
            <w:vMerge w:val="restart"/>
            <w:tcBorders>
              <w:top w:val="single" w:sz="4" w:space="0" w:color="auto"/>
              <w:bottom w:val="single" w:sz="4" w:space="0" w:color="auto"/>
            </w:tcBorders>
            <w:shd w:val="clear" w:color="auto" w:fill="auto"/>
            <w:tcMar>
              <w:top w:w="15" w:type="dxa"/>
              <w:left w:w="15" w:type="dxa"/>
              <w:bottom w:w="0" w:type="dxa"/>
              <w:right w:w="15" w:type="dxa"/>
            </w:tcMar>
            <w:vAlign w:val="center"/>
            <w:hideMark/>
          </w:tcPr>
          <w:p w:rsidR="00036C75" w:rsidRPr="00036C75" w:rsidRDefault="00036C75" w:rsidP="00340001">
            <w:pPr>
              <w:spacing w:after="0" w:line="240" w:lineRule="auto"/>
              <w:jc w:val="center"/>
              <w:rPr>
                <w:sz w:val="20"/>
                <w:szCs w:val="20"/>
              </w:rPr>
            </w:pPr>
            <w:r w:rsidRPr="00036C75">
              <w:rPr>
                <w:sz w:val="20"/>
                <w:szCs w:val="20"/>
              </w:rPr>
              <w:t>3%</w:t>
            </w:r>
          </w:p>
        </w:tc>
      </w:tr>
      <w:tr w:rsidR="00036C75" w:rsidRPr="00036C75" w:rsidTr="00340001">
        <w:trPr>
          <w:trHeight w:val="183"/>
          <w:jc w:val="center"/>
        </w:trPr>
        <w:tc>
          <w:tcPr>
            <w:tcW w:w="2258" w:type="dxa"/>
            <w:tcBorders>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36C75" w:rsidRPr="00036C75" w:rsidRDefault="00036C75" w:rsidP="00036C75">
            <w:pPr>
              <w:spacing w:after="0" w:line="240" w:lineRule="auto"/>
              <w:ind w:left="83" w:right="82"/>
              <w:jc w:val="left"/>
              <w:rPr>
                <w:sz w:val="20"/>
                <w:szCs w:val="20"/>
              </w:rPr>
            </w:pPr>
            <w:r w:rsidRPr="00036C75">
              <w:rPr>
                <w:b/>
                <w:bCs/>
                <w:i/>
                <w:iCs/>
                <w:sz w:val="20"/>
                <w:szCs w:val="20"/>
              </w:rPr>
              <w:t>o/w Liquid cargo</w:t>
            </w:r>
          </w:p>
        </w:tc>
        <w:tc>
          <w:tcPr>
            <w:tcW w:w="1186" w:type="dxa"/>
            <w:tcBorders>
              <w:left w:val="single" w:sz="4" w:space="0" w:color="auto"/>
              <w:bottom w:val="single" w:sz="4" w:space="0" w:color="auto"/>
            </w:tcBorders>
            <w:shd w:val="clear" w:color="auto" w:fill="auto"/>
            <w:tcMar>
              <w:top w:w="15" w:type="dxa"/>
              <w:left w:w="15" w:type="dxa"/>
              <w:bottom w:w="0" w:type="dxa"/>
              <w:right w:w="15" w:type="dxa"/>
            </w:tcMar>
            <w:vAlign w:val="center"/>
            <w:hideMark/>
          </w:tcPr>
          <w:p w:rsidR="00036C75" w:rsidRPr="00036C75" w:rsidRDefault="00036C75" w:rsidP="00340001">
            <w:pPr>
              <w:spacing w:after="0" w:line="240" w:lineRule="auto"/>
              <w:ind w:left="68" w:right="52"/>
              <w:jc w:val="center"/>
              <w:rPr>
                <w:sz w:val="20"/>
                <w:szCs w:val="20"/>
              </w:rPr>
            </w:pPr>
            <w:r w:rsidRPr="00036C75">
              <w:rPr>
                <w:i/>
                <w:iCs/>
                <w:sz w:val="20"/>
                <w:szCs w:val="20"/>
              </w:rPr>
              <w:t>9</w:t>
            </w:r>
            <w:r>
              <w:rPr>
                <w:i/>
                <w:iCs/>
                <w:sz w:val="20"/>
                <w:szCs w:val="20"/>
              </w:rPr>
              <w:t>.</w:t>
            </w:r>
            <w:r w:rsidRPr="00036C75">
              <w:rPr>
                <w:i/>
                <w:iCs/>
                <w:sz w:val="20"/>
                <w:szCs w:val="20"/>
              </w:rPr>
              <w:t>7</w:t>
            </w:r>
          </w:p>
        </w:tc>
        <w:tc>
          <w:tcPr>
            <w:tcW w:w="1186" w:type="dxa"/>
            <w:tcBorders>
              <w:bottom w:val="single" w:sz="4" w:space="0" w:color="auto"/>
            </w:tcBorders>
            <w:shd w:val="clear" w:color="auto" w:fill="auto"/>
            <w:tcMar>
              <w:top w:w="15" w:type="dxa"/>
              <w:left w:w="15" w:type="dxa"/>
              <w:bottom w:w="0" w:type="dxa"/>
              <w:right w:w="15" w:type="dxa"/>
            </w:tcMar>
            <w:vAlign w:val="center"/>
            <w:hideMark/>
          </w:tcPr>
          <w:p w:rsidR="00036C75" w:rsidRPr="00036C75" w:rsidRDefault="00036C75" w:rsidP="00340001">
            <w:pPr>
              <w:spacing w:after="0" w:line="240" w:lineRule="auto"/>
              <w:ind w:left="8"/>
              <w:jc w:val="center"/>
              <w:rPr>
                <w:sz w:val="20"/>
                <w:szCs w:val="20"/>
              </w:rPr>
            </w:pPr>
            <w:r w:rsidRPr="00036C75">
              <w:rPr>
                <w:i/>
                <w:iCs/>
                <w:sz w:val="20"/>
                <w:szCs w:val="20"/>
              </w:rPr>
              <w:t>11</w:t>
            </w:r>
            <w:r>
              <w:rPr>
                <w:i/>
                <w:iCs/>
                <w:sz w:val="20"/>
                <w:szCs w:val="20"/>
              </w:rPr>
              <w:t>.</w:t>
            </w:r>
            <w:r w:rsidRPr="00036C75">
              <w:rPr>
                <w:i/>
                <w:iCs/>
                <w:sz w:val="20"/>
                <w:szCs w:val="20"/>
              </w:rPr>
              <w:t>5</w:t>
            </w:r>
          </w:p>
        </w:tc>
        <w:tc>
          <w:tcPr>
            <w:tcW w:w="1186" w:type="dxa"/>
            <w:tcBorders>
              <w:bottom w:val="single" w:sz="4" w:space="0" w:color="auto"/>
              <w:right w:val="single" w:sz="4" w:space="0" w:color="auto"/>
            </w:tcBorders>
            <w:shd w:val="clear" w:color="auto" w:fill="auto"/>
            <w:tcMar>
              <w:top w:w="15" w:type="dxa"/>
              <w:left w:w="15" w:type="dxa"/>
              <w:bottom w:w="0" w:type="dxa"/>
              <w:right w:w="15" w:type="dxa"/>
            </w:tcMar>
            <w:vAlign w:val="center"/>
            <w:hideMark/>
          </w:tcPr>
          <w:p w:rsidR="00036C75" w:rsidRPr="00036C75" w:rsidRDefault="00036C75" w:rsidP="00340001">
            <w:pPr>
              <w:spacing w:after="0" w:line="240" w:lineRule="auto"/>
              <w:jc w:val="center"/>
              <w:rPr>
                <w:sz w:val="20"/>
                <w:szCs w:val="20"/>
              </w:rPr>
            </w:pPr>
            <w:r w:rsidRPr="00036C75">
              <w:rPr>
                <w:i/>
                <w:iCs/>
                <w:sz w:val="20"/>
                <w:szCs w:val="20"/>
              </w:rPr>
              <w:t>19%</w:t>
            </w:r>
          </w:p>
        </w:tc>
        <w:tc>
          <w:tcPr>
            <w:tcW w:w="1186" w:type="dxa"/>
            <w:vMerge/>
            <w:tcBorders>
              <w:top w:val="single" w:sz="4" w:space="0" w:color="auto"/>
              <w:left w:val="single" w:sz="4" w:space="0" w:color="auto"/>
              <w:bottom w:val="single" w:sz="4" w:space="0" w:color="auto"/>
            </w:tcBorders>
            <w:shd w:val="clear" w:color="auto" w:fill="auto"/>
            <w:vAlign w:val="center"/>
            <w:hideMark/>
          </w:tcPr>
          <w:p w:rsidR="00036C75" w:rsidRPr="00036C75" w:rsidRDefault="00036C75" w:rsidP="00340001">
            <w:pPr>
              <w:spacing w:after="0" w:line="240" w:lineRule="auto"/>
              <w:jc w:val="center"/>
              <w:rPr>
                <w:sz w:val="20"/>
                <w:szCs w:val="20"/>
              </w:rPr>
            </w:pPr>
          </w:p>
        </w:tc>
        <w:tc>
          <w:tcPr>
            <w:tcW w:w="1186" w:type="dxa"/>
            <w:vMerge/>
            <w:tcBorders>
              <w:top w:val="single" w:sz="4" w:space="0" w:color="auto"/>
              <w:bottom w:val="single" w:sz="4" w:space="0" w:color="auto"/>
            </w:tcBorders>
            <w:shd w:val="clear" w:color="auto" w:fill="auto"/>
            <w:vAlign w:val="center"/>
            <w:hideMark/>
          </w:tcPr>
          <w:p w:rsidR="00036C75" w:rsidRPr="00036C75" w:rsidRDefault="00036C75" w:rsidP="00340001">
            <w:pPr>
              <w:spacing w:after="0" w:line="240" w:lineRule="auto"/>
              <w:jc w:val="center"/>
              <w:rPr>
                <w:sz w:val="20"/>
                <w:szCs w:val="20"/>
              </w:rPr>
            </w:pPr>
          </w:p>
        </w:tc>
        <w:tc>
          <w:tcPr>
            <w:tcW w:w="1187" w:type="dxa"/>
            <w:vMerge/>
            <w:tcBorders>
              <w:top w:val="single" w:sz="4" w:space="0" w:color="auto"/>
              <w:bottom w:val="single" w:sz="4" w:space="0" w:color="auto"/>
            </w:tcBorders>
            <w:shd w:val="clear" w:color="auto" w:fill="auto"/>
            <w:vAlign w:val="center"/>
            <w:hideMark/>
          </w:tcPr>
          <w:p w:rsidR="00036C75" w:rsidRPr="00036C75" w:rsidRDefault="00036C75" w:rsidP="00340001">
            <w:pPr>
              <w:spacing w:after="0" w:line="240" w:lineRule="auto"/>
              <w:jc w:val="center"/>
              <w:rPr>
                <w:sz w:val="20"/>
                <w:szCs w:val="20"/>
              </w:rPr>
            </w:pPr>
          </w:p>
        </w:tc>
      </w:tr>
      <w:tr w:rsidR="00036C75" w:rsidRPr="00036C75" w:rsidTr="00340001">
        <w:trPr>
          <w:trHeight w:val="183"/>
          <w:jc w:val="center"/>
        </w:trPr>
        <w:tc>
          <w:tcPr>
            <w:tcW w:w="2258"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36C75" w:rsidRPr="00036C75" w:rsidRDefault="00036C75" w:rsidP="00036C75">
            <w:pPr>
              <w:spacing w:after="0" w:line="240" w:lineRule="auto"/>
              <w:ind w:left="83" w:right="82"/>
              <w:jc w:val="left"/>
              <w:rPr>
                <w:sz w:val="20"/>
                <w:szCs w:val="20"/>
              </w:rPr>
            </w:pPr>
            <w:r w:rsidRPr="00036C75">
              <w:rPr>
                <w:b/>
                <w:bCs/>
                <w:sz w:val="20"/>
                <w:szCs w:val="20"/>
              </w:rPr>
              <w:t xml:space="preserve">Road </w:t>
            </w:r>
          </w:p>
        </w:tc>
        <w:tc>
          <w:tcPr>
            <w:tcW w:w="1186" w:type="dxa"/>
            <w:tcBorders>
              <w:top w:val="single" w:sz="4" w:space="0" w:color="auto"/>
              <w:left w:val="single" w:sz="4" w:space="0" w:color="auto"/>
              <w:bottom w:val="single" w:sz="4" w:space="0" w:color="auto"/>
            </w:tcBorders>
            <w:shd w:val="clear" w:color="auto" w:fill="auto"/>
            <w:tcMar>
              <w:top w:w="15" w:type="dxa"/>
              <w:left w:w="15" w:type="dxa"/>
              <w:bottom w:w="0" w:type="dxa"/>
              <w:right w:w="15" w:type="dxa"/>
            </w:tcMar>
            <w:vAlign w:val="bottom"/>
            <w:hideMark/>
          </w:tcPr>
          <w:p w:rsidR="00036C75" w:rsidRPr="00036C75" w:rsidRDefault="00036C75" w:rsidP="00340001">
            <w:pPr>
              <w:spacing w:after="0" w:line="240" w:lineRule="auto"/>
              <w:ind w:left="68" w:right="52"/>
              <w:jc w:val="center"/>
              <w:rPr>
                <w:sz w:val="20"/>
                <w:szCs w:val="20"/>
              </w:rPr>
            </w:pPr>
            <w:r w:rsidRPr="00036C75">
              <w:rPr>
                <w:sz w:val="20"/>
                <w:szCs w:val="20"/>
              </w:rPr>
              <w:t>28</w:t>
            </w:r>
            <w:r>
              <w:rPr>
                <w:sz w:val="20"/>
                <w:szCs w:val="20"/>
              </w:rPr>
              <w:t>.</w:t>
            </w:r>
            <w:r w:rsidRPr="00036C75">
              <w:rPr>
                <w:sz w:val="20"/>
                <w:szCs w:val="20"/>
              </w:rPr>
              <w:t>2</w:t>
            </w:r>
          </w:p>
        </w:tc>
        <w:tc>
          <w:tcPr>
            <w:tcW w:w="1186" w:type="dxa"/>
            <w:tcBorders>
              <w:top w:val="single" w:sz="4" w:space="0" w:color="auto"/>
              <w:bottom w:val="single" w:sz="4" w:space="0" w:color="auto"/>
            </w:tcBorders>
            <w:shd w:val="clear" w:color="auto" w:fill="auto"/>
            <w:tcMar>
              <w:top w:w="15" w:type="dxa"/>
              <w:left w:w="15" w:type="dxa"/>
              <w:bottom w:w="0" w:type="dxa"/>
              <w:right w:w="15" w:type="dxa"/>
            </w:tcMar>
            <w:vAlign w:val="bottom"/>
            <w:hideMark/>
          </w:tcPr>
          <w:p w:rsidR="00036C75" w:rsidRPr="00036C75" w:rsidRDefault="00036C75" w:rsidP="00340001">
            <w:pPr>
              <w:spacing w:after="0" w:line="240" w:lineRule="auto"/>
              <w:ind w:left="8"/>
              <w:jc w:val="center"/>
              <w:rPr>
                <w:sz w:val="20"/>
                <w:szCs w:val="20"/>
              </w:rPr>
            </w:pPr>
            <w:r w:rsidRPr="00036C75">
              <w:rPr>
                <w:sz w:val="20"/>
                <w:szCs w:val="20"/>
              </w:rPr>
              <w:t>28</w:t>
            </w:r>
            <w:r>
              <w:rPr>
                <w:sz w:val="20"/>
                <w:szCs w:val="20"/>
              </w:rPr>
              <w:t>.</w:t>
            </w:r>
            <w:r w:rsidRPr="00036C75">
              <w:rPr>
                <w:sz w:val="20"/>
                <w:szCs w:val="20"/>
              </w:rPr>
              <w:t>5</w:t>
            </w:r>
          </w:p>
        </w:tc>
        <w:tc>
          <w:tcPr>
            <w:tcW w:w="1186" w:type="dxa"/>
            <w:tcBorders>
              <w:top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36C75" w:rsidRPr="00036C75" w:rsidRDefault="00036C75" w:rsidP="00340001">
            <w:pPr>
              <w:spacing w:after="0" w:line="240" w:lineRule="auto"/>
              <w:jc w:val="center"/>
              <w:rPr>
                <w:sz w:val="20"/>
                <w:szCs w:val="20"/>
              </w:rPr>
            </w:pPr>
            <w:r w:rsidRPr="00036C75">
              <w:rPr>
                <w:sz w:val="20"/>
                <w:szCs w:val="20"/>
              </w:rPr>
              <w:t>1%</w:t>
            </w:r>
          </w:p>
        </w:tc>
        <w:tc>
          <w:tcPr>
            <w:tcW w:w="1186" w:type="dxa"/>
            <w:tcBorders>
              <w:top w:val="single" w:sz="4" w:space="0" w:color="auto"/>
              <w:left w:val="single" w:sz="4" w:space="0" w:color="auto"/>
              <w:bottom w:val="single" w:sz="4" w:space="0" w:color="auto"/>
            </w:tcBorders>
            <w:shd w:val="clear" w:color="auto" w:fill="auto"/>
            <w:tcMar>
              <w:top w:w="15" w:type="dxa"/>
              <w:left w:w="15" w:type="dxa"/>
              <w:bottom w:w="0" w:type="dxa"/>
              <w:right w:w="15" w:type="dxa"/>
            </w:tcMar>
            <w:vAlign w:val="bottom"/>
            <w:hideMark/>
          </w:tcPr>
          <w:p w:rsidR="00036C75" w:rsidRPr="00036C75" w:rsidRDefault="00036C75" w:rsidP="00340001">
            <w:pPr>
              <w:spacing w:after="0" w:line="240" w:lineRule="auto"/>
              <w:jc w:val="center"/>
              <w:rPr>
                <w:sz w:val="20"/>
                <w:szCs w:val="20"/>
              </w:rPr>
            </w:pPr>
            <w:r w:rsidRPr="00036C75">
              <w:rPr>
                <w:sz w:val="20"/>
                <w:szCs w:val="20"/>
              </w:rPr>
              <w:t>309</w:t>
            </w:r>
            <w:r>
              <w:rPr>
                <w:sz w:val="20"/>
                <w:szCs w:val="20"/>
              </w:rPr>
              <w:t>.</w:t>
            </w:r>
            <w:r w:rsidRPr="00036C75">
              <w:rPr>
                <w:sz w:val="20"/>
                <w:szCs w:val="20"/>
              </w:rPr>
              <w:t>5</w:t>
            </w:r>
          </w:p>
        </w:tc>
        <w:tc>
          <w:tcPr>
            <w:tcW w:w="1186" w:type="dxa"/>
            <w:tcBorders>
              <w:top w:val="single" w:sz="4" w:space="0" w:color="auto"/>
              <w:bottom w:val="single" w:sz="4" w:space="0" w:color="auto"/>
            </w:tcBorders>
            <w:shd w:val="clear" w:color="auto" w:fill="auto"/>
            <w:tcMar>
              <w:top w:w="15" w:type="dxa"/>
              <w:left w:w="15" w:type="dxa"/>
              <w:bottom w:w="0" w:type="dxa"/>
              <w:right w:w="15" w:type="dxa"/>
            </w:tcMar>
            <w:vAlign w:val="bottom"/>
            <w:hideMark/>
          </w:tcPr>
          <w:p w:rsidR="00036C75" w:rsidRPr="00036C75" w:rsidRDefault="00036C75" w:rsidP="00340001">
            <w:pPr>
              <w:spacing w:after="0" w:line="240" w:lineRule="auto"/>
              <w:jc w:val="center"/>
              <w:rPr>
                <w:sz w:val="20"/>
                <w:szCs w:val="20"/>
              </w:rPr>
            </w:pPr>
            <w:r w:rsidRPr="00036C75">
              <w:rPr>
                <w:sz w:val="20"/>
                <w:szCs w:val="20"/>
              </w:rPr>
              <w:t>317</w:t>
            </w:r>
            <w:r>
              <w:rPr>
                <w:sz w:val="20"/>
                <w:szCs w:val="20"/>
              </w:rPr>
              <w:t>.</w:t>
            </w:r>
            <w:r w:rsidRPr="00036C75">
              <w:rPr>
                <w:sz w:val="20"/>
                <w:szCs w:val="20"/>
              </w:rPr>
              <w:t>9</w:t>
            </w:r>
          </w:p>
        </w:tc>
        <w:tc>
          <w:tcPr>
            <w:tcW w:w="1187" w:type="dxa"/>
            <w:tcBorders>
              <w:top w:val="single" w:sz="4" w:space="0" w:color="auto"/>
              <w:bottom w:val="single" w:sz="4" w:space="0" w:color="auto"/>
            </w:tcBorders>
            <w:shd w:val="clear" w:color="auto" w:fill="auto"/>
            <w:tcMar>
              <w:top w:w="15" w:type="dxa"/>
              <w:left w:w="15" w:type="dxa"/>
              <w:bottom w:w="0" w:type="dxa"/>
              <w:right w:w="15" w:type="dxa"/>
            </w:tcMar>
            <w:vAlign w:val="center"/>
            <w:hideMark/>
          </w:tcPr>
          <w:p w:rsidR="00036C75" w:rsidRPr="00036C75" w:rsidRDefault="00036C75" w:rsidP="00340001">
            <w:pPr>
              <w:spacing w:after="0" w:line="240" w:lineRule="auto"/>
              <w:jc w:val="center"/>
              <w:rPr>
                <w:sz w:val="20"/>
                <w:szCs w:val="20"/>
              </w:rPr>
            </w:pPr>
            <w:r w:rsidRPr="00036C75">
              <w:rPr>
                <w:sz w:val="20"/>
                <w:szCs w:val="20"/>
              </w:rPr>
              <w:t>3%</w:t>
            </w:r>
          </w:p>
        </w:tc>
      </w:tr>
      <w:tr w:rsidR="00036C75" w:rsidRPr="00036C75" w:rsidTr="00340001">
        <w:trPr>
          <w:trHeight w:val="183"/>
          <w:jc w:val="center"/>
        </w:trPr>
        <w:tc>
          <w:tcPr>
            <w:tcW w:w="2258"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36C75" w:rsidRPr="00036C75" w:rsidRDefault="00036C75" w:rsidP="00036C75">
            <w:pPr>
              <w:spacing w:after="0" w:line="240" w:lineRule="auto"/>
              <w:ind w:left="83" w:right="82"/>
              <w:jc w:val="left"/>
              <w:rPr>
                <w:sz w:val="20"/>
                <w:szCs w:val="20"/>
              </w:rPr>
            </w:pPr>
            <w:r w:rsidRPr="00036C75">
              <w:rPr>
                <w:b/>
                <w:bCs/>
                <w:sz w:val="20"/>
                <w:szCs w:val="20"/>
              </w:rPr>
              <w:t>Civil Aviation</w:t>
            </w:r>
          </w:p>
        </w:tc>
        <w:tc>
          <w:tcPr>
            <w:tcW w:w="1186" w:type="dxa"/>
            <w:tcBorders>
              <w:top w:val="single" w:sz="4" w:space="0" w:color="auto"/>
              <w:left w:val="single" w:sz="4" w:space="0" w:color="auto"/>
              <w:bottom w:val="single" w:sz="4" w:space="0" w:color="auto"/>
            </w:tcBorders>
            <w:shd w:val="clear" w:color="auto" w:fill="auto"/>
            <w:tcMar>
              <w:top w:w="15" w:type="dxa"/>
              <w:left w:w="15" w:type="dxa"/>
              <w:bottom w:w="0" w:type="dxa"/>
              <w:right w:w="15" w:type="dxa"/>
            </w:tcMar>
            <w:vAlign w:val="center"/>
            <w:hideMark/>
          </w:tcPr>
          <w:p w:rsidR="00036C75" w:rsidRPr="00036C75" w:rsidRDefault="00036C75" w:rsidP="00340001">
            <w:pPr>
              <w:spacing w:after="0" w:line="240" w:lineRule="auto"/>
              <w:ind w:left="68" w:right="52"/>
              <w:jc w:val="center"/>
              <w:rPr>
                <w:sz w:val="20"/>
                <w:szCs w:val="20"/>
              </w:rPr>
            </w:pPr>
            <w:r w:rsidRPr="00036C75">
              <w:rPr>
                <w:sz w:val="20"/>
                <w:szCs w:val="20"/>
              </w:rPr>
              <w:t>0</w:t>
            </w:r>
            <w:r>
              <w:rPr>
                <w:sz w:val="20"/>
                <w:szCs w:val="20"/>
              </w:rPr>
              <w:t>.</w:t>
            </w:r>
            <w:r w:rsidRPr="00036C75">
              <w:rPr>
                <w:sz w:val="20"/>
                <w:szCs w:val="20"/>
              </w:rPr>
              <w:t>0122</w:t>
            </w:r>
          </w:p>
        </w:tc>
        <w:tc>
          <w:tcPr>
            <w:tcW w:w="1186" w:type="dxa"/>
            <w:tcBorders>
              <w:top w:val="single" w:sz="4" w:space="0" w:color="auto"/>
              <w:bottom w:val="single" w:sz="4" w:space="0" w:color="auto"/>
            </w:tcBorders>
            <w:shd w:val="clear" w:color="auto" w:fill="auto"/>
            <w:tcMar>
              <w:top w:w="15" w:type="dxa"/>
              <w:left w:w="15" w:type="dxa"/>
              <w:bottom w:w="0" w:type="dxa"/>
              <w:right w:w="15" w:type="dxa"/>
            </w:tcMar>
            <w:vAlign w:val="center"/>
            <w:hideMark/>
          </w:tcPr>
          <w:p w:rsidR="00036C75" w:rsidRPr="00036C75" w:rsidRDefault="00036C75" w:rsidP="00340001">
            <w:pPr>
              <w:spacing w:after="0" w:line="240" w:lineRule="auto"/>
              <w:ind w:left="8"/>
              <w:jc w:val="center"/>
              <w:rPr>
                <w:sz w:val="20"/>
                <w:szCs w:val="20"/>
              </w:rPr>
            </w:pPr>
            <w:r w:rsidRPr="00036C75">
              <w:rPr>
                <w:sz w:val="20"/>
                <w:szCs w:val="20"/>
              </w:rPr>
              <w:t>0</w:t>
            </w:r>
            <w:r>
              <w:rPr>
                <w:sz w:val="20"/>
                <w:szCs w:val="20"/>
              </w:rPr>
              <w:t>.</w:t>
            </w:r>
            <w:r w:rsidRPr="00036C75">
              <w:rPr>
                <w:sz w:val="20"/>
                <w:szCs w:val="20"/>
              </w:rPr>
              <w:t>0154</w:t>
            </w:r>
          </w:p>
        </w:tc>
        <w:tc>
          <w:tcPr>
            <w:tcW w:w="1186" w:type="dxa"/>
            <w:tcBorders>
              <w:top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36C75" w:rsidRPr="00036C75" w:rsidRDefault="00036C75" w:rsidP="00340001">
            <w:pPr>
              <w:spacing w:after="0" w:line="240" w:lineRule="auto"/>
              <w:jc w:val="center"/>
              <w:rPr>
                <w:sz w:val="20"/>
                <w:szCs w:val="20"/>
              </w:rPr>
            </w:pPr>
            <w:r w:rsidRPr="00036C75">
              <w:rPr>
                <w:sz w:val="20"/>
                <w:szCs w:val="20"/>
              </w:rPr>
              <w:t>26%</w:t>
            </w:r>
          </w:p>
        </w:tc>
        <w:tc>
          <w:tcPr>
            <w:tcW w:w="1186" w:type="dxa"/>
            <w:tcBorders>
              <w:top w:val="single" w:sz="4" w:space="0" w:color="auto"/>
              <w:left w:val="single" w:sz="4" w:space="0" w:color="auto"/>
              <w:bottom w:val="single" w:sz="4" w:space="0" w:color="auto"/>
            </w:tcBorders>
            <w:shd w:val="clear" w:color="auto" w:fill="auto"/>
            <w:tcMar>
              <w:top w:w="15" w:type="dxa"/>
              <w:left w:w="15" w:type="dxa"/>
              <w:bottom w:w="0" w:type="dxa"/>
              <w:right w:w="15" w:type="dxa"/>
            </w:tcMar>
            <w:vAlign w:val="center"/>
            <w:hideMark/>
          </w:tcPr>
          <w:p w:rsidR="00036C75" w:rsidRPr="00036C75" w:rsidRDefault="00036C75" w:rsidP="00340001">
            <w:pPr>
              <w:spacing w:after="0" w:line="240" w:lineRule="auto"/>
              <w:jc w:val="center"/>
              <w:rPr>
                <w:sz w:val="20"/>
                <w:szCs w:val="20"/>
              </w:rPr>
            </w:pPr>
            <w:r w:rsidRPr="00036C75">
              <w:rPr>
                <w:sz w:val="20"/>
                <w:szCs w:val="20"/>
              </w:rPr>
              <w:t>0</w:t>
            </w:r>
            <w:r>
              <w:rPr>
                <w:sz w:val="20"/>
                <w:szCs w:val="20"/>
              </w:rPr>
              <w:t>.</w:t>
            </w:r>
            <w:r w:rsidRPr="00036C75">
              <w:rPr>
                <w:sz w:val="20"/>
                <w:szCs w:val="20"/>
              </w:rPr>
              <w:t>772</w:t>
            </w:r>
          </w:p>
        </w:tc>
        <w:tc>
          <w:tcPr>
            <w:tcW w:w="1186" w:type="dxa"/>
            <w:tcBorders>
              <w:top w:val="single" w:sz="4" w:space="0" w:color="auto"/>
              <w:bottom w:val="single" w:sz="4" w:space="0" w:color="auto"/>
            </w:tcBorders>
            <w:shd w:val="clear" w:color="auto" w:fill="auto"/>
            <w:tcMar>
              <w:top w:w="15" w:type="dxa"/>
              <w:left w:w="15" w:type="dxa"/>
              <w:bottom w:w="0" w:type="dxa"/>
              <w:right w:w="15" w:type="dxa"/>
            </w:tcMar>
            <w:vAlign w:val="center"/>
            <w:hideMark/>
          </w:tcPr>
          <w:p w:rsidR="00036C75" w:rsidRPr="00036C75" w:rsidRDefault="00036C75" w:rsidP="00340001">
            <w:pPr>
              <w:spacing w:after="0" w:line="240" w:lineRule="auto"/>
              <w:jc w:val="center"/>
              <w:rPr>
                <w:sz w:val="20"/>
                <w:szCs w:val="20"/>
              </w:rPr>
            </w:pPr>
            <w:r w:rsidRPr="00036C75">
              <w:rPr>
                <w:sz w:val="20"/>
                <w:szCs w:val="20"/>
              </w:rPr>
              <w:t>0</w:t>
            </w:r>
            <w:r>
              <w:rPr>
                <w:sz w:val="20"/>
                <w:szCs w:val="20"/>
              </w:rPr>
              <w:t>.</w:t>
            </w:r>
            <w:r w:rsidRPr="00036C75">
              <w:rPr>
                <w:sz w:val="20"/>
                <w:szCs w:val="20"/>
              </w:rPr>
              <w:t>918</w:t>
            </w:r>
          </w:p>
        </w:tc>
        <w:tc>
          <w:tcPr>
            <w:tcW w:w="1187" w:type="dxa"/>
            <w:tcBorders>
              <w:top w:val="single" w:sz="4" w:space="0" w:color="auto"/>
              <w:bottom w:val="single" w:sz="4" w:space="0" w:color="auto"/>
            </w:tcBorders>
            <w:shd w:val="clear" w:color="auto" w:fill="auto"/>
            <w:tcMar>
              <w:top w:w="15" w:type="dxa"/>
              <w:left w:w="15" w:type="dxa"/>
              <w:bottom w:w="0" w:type="dxa"/>
              <w:right w:w="15" w:type="dxa"/>
            </w:tcMar>
            <w:vAlign w:val="center"/>
            <w:hideMark/>
          </w:tcPr>
          <w:p w:rsidR="00036C75" w:rsidRPr="00036C75" w:rsidRDefault="00036C75" w:rsidP="00340001">
            <w:pPr>
              <w:spacing w:after="0" w:line="240" w:lineRule="auto"/>
              <w:jc w:val="center"/>
              <w:rPr>
                <w:sz w:val="20"/>
                <w:szCs w:val="20"/>
              </w:rPr>
            </w:pPr>
            <w:r w:rsidRPr="00036C75">
              <w:rPr>
                <w:sz w:val="20"/>
                <w:szCs w:val="20"/>
              </w:rPr>
              <w:t>19%</w:t>
            </w:r>
          </w:p>
        </w:tc>
      </w:tr>
      <w:tr w:rsidR="00036C75" w:rsidRPr="00036C75" w:rsidTr="00340001">
        <w:trPr>
          <w:trHeight w:val="193"/>
          <w:jc w:val="center"/>
        </w:trPr>
        <w:tc>
          <w:tcPr>
            <w:tcW w:w="2258" w:type="dxa"/>
            <w:tcBorders>
              <w:top w:val="single" w:sz="4" w:space="0" w:color="auto"/>
              <w:left w:val="nil"/>
              <w:bottom w:val="single" w:sz="12" w:space="0" w:color="auto"/>
              <w:right w:val="single" w:sz="4" w:space="0" w:color="auto"/>
            </w:tcBorders>
            <w:shd w:val="clear" w:color="auto" w:fill="auto"/>
            <w:tcMar>
              <w:top w:w="15" w:type="dxa"/>
              <w:left w:w="15" w:type="dxa"/>
              <w:bottom w:w="0" w:type="dxa"/>
              <w:right w:w="15" w:type="dxa"/>
            </w:tcMar>
            <w:vAlign w:val="center"/>
            <w:hideMark/>
          </w:tcPr>
          <w:p w:rsidR="00036C75" w:rsidRPr="00036C75" w:rsidRDefault="00036C75" w:rsidP="00036C75">
            <w:pPr>
              <w:spacing w:after="0" w:line="240" w:lineRule="auto"/>
              <w:ind w:left="83" w:right="82"/>
              <w:jc w:val="left"/>
              <w:rPr>
                <w:sz w:val="20"/>
                <w:szCs w:val="20"/>
              </w:rPr>
            </w:pPr>
            <w:r w:rsidRPr="00036C75">
              <w:rPr>
                <w:b/>
                <w:bCs/>
                <w:sz w:val="20"/>
                <w:szCs w:val="20"/>
              </w:rPr>
              <w:t>Total</w:t>
            </w:r>
          </w:p>
        </w:tc>
        <w:tc>
          <w:tcPr>
            <w:tcW w:w="1186" w:type="dxa"/>
            <w:tcBorders>
              <w:top w:val="single" w:sz="4" w:space="0" w:color="auto"/>
              <w:left w:val="single" w:sz="4" w:space="0" w:color="auto"/>
              <w:bottom w:val="single" w:sz="12" w:space="0" w:color="auto"/>
            </w:tcBorders>
            <w:shd w:val="clear" w:color="auto" w:fill="auto"/>
            <w:tcMar>
              <w:top w:w="15" w:type="dxa"/>
              <w:left w:w="15" w:type="dxa"/>
              <w:bottom w:w="0" w:type="dxa"/>
              <w:right w:w="15" w:type="dxa"/>
            </w:tcMar>
            <w:vAlign w:val="center"/>
            <w:hideMark/>
          </w:tcPr>
          <w:p w:rsidR="00036C75" w:rsidRPr="00036C75" w:rsidRDefault="00036C75" w:rsidP="00340001">
            <w:pPr>
              <w:spacing w:after="0" w:line="240" w:lineRule="auto"/>
              <w:ind w:left="68" w:right="52"/>
              <w:jc w:val="center"/>
              <w:rPr>
                <w:sz w:val="20"/>
                <w:szCs w:val="20"/>
              </w:rPr>
            </w:pPr>
            <w:r w:rsidRPr="00036C75">
              <w:rPr>
                <w:b/>
                <w:bCs/>
                <w:sz w:val="20"/>
                <w:szCs w:val="20"/>
              </w:rPr>
              <w:t>45</w:t>
            </w:r>
            <w:r>
              <w:rPr>
                <w:b/>
                <w:bCs/>
                <w:sz w:val="20"/>
                <w:szCs w:val="20"/>
              </w:rPr>
              <w:t>.</w:t>
            </w:r>
            <w:r w:rsidRPr="00036C75">
              <w:rPr>
                <w:b/>
                <w:bCs/>
                <w:sz w:val="20"/>
                <w:szCs w:val="20"/>
              </w:rPr>
              <w:t>3</w:t>
            </w:r>
          </w:p>
        </w:tc>
        <w:tc>
          <w:tcPr>
            <w:tcW w:w="1186" w:type="dxa"/>
            <w:tcBorders>
              <w:top w:val="single" w:sz="4" w:space="0" w:color="auto"/>
              <w:bottom w:val="single" w:sz="12" w:space="0" w:color="auto"/>
            </w:tcBorders>
            <w:shd w:val="clear" w:color="auto" w:fill="auto"/>
            <w:tcMar>
              <w:top w:w="15" w:type="dxa"/>
              <w:left w:w="15" w:type="dxa"/>
              <w:bottom w:w="0" w:type="dxa"/>
              <w:right w:w="15" w:type="dxa"/>
            </w:tcMar>
            <w:vAlign w:val="center"/>
            <w:hideMark/>
          </w:tcPr>
          <w:p w:rsidR="00036C75" w:rsidRPr="00036C75" w:rsidRDefault="00036C75" w:rsidP="00340001">
            <w:pPr>
              <w:spacing w:after="0" w:line="240" w:lineRule="auto"/>
              <w:ind w:left="8"/>
              <w:jc w:val="center"/>
              <w:rPr>
                <w:sz w:val="20"/>
                <w:szCs w:val="20"/>
              </w:rPr>
            </w:pPr>
            <w:r w:rsidRPr="00036C75">
              <w:rPr>
                <w:b/>
                <w:bCs/>
                <w:sz w:val="20"/>
                <w:szCs w:val="20"/>
              </w:rPr>
              <w:t>48</w:t>
            </w:r>
            <w:r>
              <w:rPr>
                <w:b/>
                <w:bCs/>
                <w:sz w:val="20"/>
                <w:szCs w:val="20"/>
              </w:rPr>
              <w:t>.</w:t>
            </w:r>
            <w:r w:rsidRPr="00036C75">
              <w:rPr>
                <w:b/>
                <w:bCs/>
                <w:sz w:val="20"/>
                <w:szCs w:val="20"/>
              </w:rPr>
              <w:t>4</w:t>
            </w:r>
          </w:p>
        </w:tc>
        <w:tc>
          <w:tcPr>
            <w:tcW w:w="1186" w:type="dxa"/>
            <w:tcBorders>
              <w:top w:val="single" w:sz="4" w:space="0" w:color="auto"/>
              <w:bottom w:val="single" w:sz="12" w:space="0" w:color="auto"/>
              <w:right w:val="single" w:sz="4" w:space="0" w:color="auto"/>
            </w:tcBorders>
            <w:shd w:val="clear" w:color="auto" w:fill="auto"/>
            <w:tcMar>
              <w:top w:w="15" w:type="dxa"/>
              <w:left w:w="15" w:type="dxa"/>
              <w:bottom w:w="0" w:type="dxa"/>
              <w:right w:w="15" w:type="dxa"/>
            </w:tcMar>
            <w:vAlign w:val="center"/>
            <w:hideMark/>
          </w:tcPr>
          <w:p w:rsidR="00036C75" w:rsidRPr="00036C75" w:rsidRDefault="00036C75" w:rsidP="00340001">
            <w:pPr>
              <w:spacing w:after="0" w:line="240" w:lineRule="auto"/>
              <w:jc w:val="center"/>
              <w:rPr>
                <w:sz w:val="20"/>
                <w:szCs w:val="20"/>
              </w:rPr>
            </w:pPr>
            <w:r w:rsidRPr="00036C75">
              <w:rPr>
                <w:b/>
                <w:bCs/>
                <w:sz w:val="20"/>
                <w:szCs w:val="20"/>
              </w:rPr>
              <w:t>7%</w:t>
            </w:r>
          </w:p>
        </w:tc>
        <w:tc>
          <w:tcPr>
            <w:tcW w:w="1186" w:type="dxa"/>
            <w:tcBorders>
              <w:top w:val="single" w:sz="4" w:space="0" w:color="auto"/>
              <w:left w:val="single" w:sz="4" w:space="0" w:color="auto"/>
              <w:bottom w:val="single" w:sz="12" w:space="0" w:color="auto"/>
            </w:tcBorders>
            <w:shd w:val="clear" w:color="auto" w:fill="auto"/>
            <w:tcMar>
              <w:top w:w="15" w:type="dxa"/>
              <w:left w:w="15" w:type="dxa"/>
              <w:bottom w:w="0" w:type="dxa"/>
              <w:right w:w="15" w:type="dxa"/>
            </w:tcMar>
            <w:vAlign w:val="center"/>
            <w:hideMark/>
          </w:tcPr>
          <w:p w:rsidR="00036C75" w:rsidRPr="00036C75" w:rsidRDefault="00036C75" w:rsidP="00340001">
            <w:pPr>
              <w:spacing w:after="0" w:line="240" w:lineRule="auto"/>
              <w:jc w:val="center"/>
              <w:rPr>
                <w:sz w:val="20"/>
                <w:szCs w:val="20"/>
              </w:rPr>
            </w:pPr>
            <w:r w:rsidRPr="00036C75">
              <w:rPr>
                <w:b/>
                <w:bCs/>
                <w:sz w:val="20"/>
                <w:szCs w:val="20"/>
              </w:rPr>
              <w:t>313</w:t>
            </w:r>
            <w:r>
              <w:rPr>
                <w:b/>
                <w:bCs/>
                <w:sz w:val="20"/>
                <w:szCs w:val="20"/>
              </w:rPr>
              <w:t>.</w:t>
            </w:r>
            <w:r w:rsidRPr="00036C75">
              <w:rPr>
                <w:b/>
                <w:bCs/>
                <w:sz w:val="20"/>
                <w:szCs w:val="20"/>
              </w:rPr>
              <w:t>4</w:t>
            </w:r>
          </w:p>
        </w:tc>
        <w:tc>
          <w:tcPr>
            <w:tcW w:w="1186" w:type="dxa"/>
            <w:tcBorders>
              <w:top w:val="single" w:sz="4" w:space="0" w:color="auto"/>
              <w:bottom w:val="single" w:sz="12" w:space="0" w:color="auto"/>
            </w:tcBorders>
            <w:shd w:val="clear" w:color="auto" w:fill="auto"/>
            <w:tcMar>
              <w:top w:w="15" w:type="dxa"/>
              <w:left w:w="15" w:type="dxa"/>
              <w:bottom w:w="0" w:type="dxa"/>
              <w:right w:w="15" w:type="dxa"/>
            </w:tcMar>
            <w:vAlign w:val="center"/>
            <w:hideMark/>
          </w:tcPr>
          <w:p w:rsidR="00036C75" w:rsidRPr="00036C75" w:rsidRDefault="00036C75" w:rsidP="00340001">
            <w:pPr>
              <w:spacing w:after="0" w:line="240" w:lineRule="auto"/>
              <w:jc w:val="center"/>
              <w:rPr>
                <w:sz w:val="20"/>
                <w:szCs w:val="20"/>
              </w:rPr>
            </w:pPr>
            <w:r w:rsidRPr="00036C75">
              <w:rPr>
                <w:b/>
                <w:bCs/>
                <w:sz w:val="20"/>
                <w:szCs w:val="20"/>
              </w:rPr>
              <w:t>322</w:t>
            </w:r>
            <w:r>
              <w:rPr>
                <w:b/>
                <w:bCs/>
                <w:sz w:val="20"/>
                <w:szCs w:val="20"/>
              </w:rPr>
              <w:t>.</w:t>
            </w:r>
            <w:r w:rsidRPr="00036C75">
              <w:rPr>
                <w:b/>
                <w:bCs/>
                <w:sz w:val="20"/>
                <w:szCs w:val="20"/>
              </w:rPr>
              <w:t>0</w:t>
            </w:r>
          </w:p>
        </w:tc>
        <w:tc>
          <w:tcPr>
            <w:tcW w:w="1187" w:type="dxa"/>
            <w:tcBorders>
              <w:top w:val="single" w:sz="4" w:space="0" w:color="auto"/>
              <w:bottom w:val="single" w:sz="12" w:space="0" w:color="auto"/>
            </w:tcBorders>
            <w:shd w:val="clear" w:color="auto" w:fill="auto"/>
            <w:tcMar>
              <w:top w:w="15" w:type="dxa"/>
              <w:left w:w="15" w:type="dxa"/>
              <w:bottom w:w="0" w:type="dxa"/>
              <w:right w:w="15" w:type="dxa"/>
            </w:tcMar>
            <w:vAlign w:val="center"/>
            <w:hideMark/>
          </w:tcPr>
          <w:p w:rsidR="00036C75" w:rsidRPr="00036C75" w:rsidRDefault="00036C75" w:rsidP="00340001">
            <w:pPr>
              <w:spacing w:after="0" w:line="240" w:lineRule="auto"/>
              <w:jc w:val="center"/>
              <w:rPr>
                <w:sz w:val="20"/>
                <w:szCs w:val="20"/>
              </w:rPr>
            </w:pPr>
            <w:r w:rsidRPr="00036C75">
              <w:rPr>
                <w:b/>
                <w:bCs/>
                <w:sz w:val="20"/>
                <w:szCs w:val="20"/>
              </w:rPr>
              <w:t>3%</w:t>
            </w:r>
          </w:p>
        </w:tc>
      </w:tr>
    </w:tbl>
    <w:p w:rsidR="00036C75" w:rsidRDefault="00340001" w:rsidP="00340001">
      <w:pPr>
        <w:spacing w:before="40" w:after="240"/>
      </w:pPr>
      <w:r w:rsidRPr="00961A10">
        <w:rPr>
          <w:i/>
          <w:sz w:val="18"/>
          <w:szCs w:val="18"/>
        </w:rPr>
        <w:t xml:space="preserve">Source:  </w:t>
      </w:r>
      <w:r>
        <w:rPr>
          <w:i/>
          <w:sz w:val="18"/>
          <w:szCs w:val="18"/>
        </w:rPr>
        <w:t xml:space="preserve">The </w:t>
      </w:r>
      <w:r w:rsidRPr="00961A10">
        <w:rPr>
          <w:i/>
          <w:sz w:val="18"/>
          <w:szCs w:val="18"/>
        </w:rPr>
        <w:t>Georgian Ministry of Economy and Sustainable Development</w:t>
      </w:r>
      <w:r>
        <w:rPr>
          <w:i/>
          <w:sz w:val="18"/>
          <w:szCs w:val="18"/>
        </w:rPr>
        <w:t xml:space="preserve"> (2011)</w:t>
      </w:r>
    </w:p>
    <w:p w:rsidR="008D557F" w:rsidRDefault="00F145EC" w:rsidP="00E81A26">
      <w:r w:rsidRPr="00F145EC">
        <w:rPr>
          <w:b/>
        </w:rPr>
        <w:t>Transit corridor</w:t>
      </w:r>
      <w:r>
        <w:t xml:space="preserve">.  </w:t>
      </w:r>
      <w:r w:rsidR="003B6ED9">
        <w:t>Georgia is located along an important international and regional corridor, Transport Corridor Europe – Caucasus – Asia (TRACECA), and well placed to absorb growing transport demands.  TRACECA corridor through Georgia is the shortest route between Europe and Azerbaijan, Armenia and the Central Asian Republics through its Black Sea ports (</w:t>
      </w:r>
      <w:fldSimple w:instr=" REF _Ref324691702 \h  \* MERGEFORMAT ">
        <w:r w:rsidR="003B6ED9" w:rsidRPr="003B6ED9">
          <w:t xml:space="preserve">Figure </w:t>
        </w:r>
        <w:r w:rsidR="003B6ED9" w:rsidRPr="003B6ED9">
          <w:rPr>
            <w:noProof/>
          </w:rPr>
          <w:t>6</w:t>
        </w:r>
      </w:fldSimple>
      <w:r w:rsidR="00DC4AAC">
        <w:t xml:space="preserve">). </w:t>
      </w:r>
      <w:r w:rsidR="003B6ED9">
        <w:t>The TRACECA corridor includes roads, railways, pipeline infrastructure and shipping routes</w:t>
      </w:r>
      <w:r w:rsidR="00DC4AAC">
        <w:t>, and connectivity and t</w:t>
      </w:r>
      <w:r w:rsidR="00E81A26">
        <w:t xml:space="preserve">rading with its </w:t>
      </w:r>
      <w:r w:rsidR="00E81A26">
        <w:lastRenderedPageBreak/>
        <w:t>neighbors, both transit and bilateral, is important to Georgia's economy.</w:t>
      </w:r>
      <w:r w:rsidR="00FD32B9">
        <w:rPr>
          <w:rStyle w:val="FootnoteReference"/>
        </w:rPr>
        <w:footnoteReference w:id="13"/>
      </w:r>
      <w:r w:rsidR="00E81A26">
        <w:t xml:space="preserve"> </w:t>
      </w:r>
      <w:r w:rsidR="00DC4AAC">
        <w:t xml:space="preserve"> </w:t>
      </w:r>
      <w:r w:rsidR="008D557F">
        <w:t>The Government recognizes that in order to realize this potential, significant investment is required to rehabilitate and modernize aging infrastructure, including rail, roads and port.</w:t>
      </w:r>
      <w:r w:rsidR="00036C75">
        <w:rPr>
          <w:rStyle w:val="FootnoteReference"/>
        </w:rPr>
        <w:footnoteReference w:id="14"/>
      </w:r>
      <w:r w:rsidR="008D557F">
        <w:t xml:space="preserve">  </w:t>
      </w:r>
      <w:r w:rsidR="00DC4AAC">
        <w:t xml:space="preserve">The </w:t>
      </w:r>
      <w:r>
        <w:t xml:space="preserve">Ministry of Economy and Sustainable Development </w:t>
      </w:r>
      <w:r w:rsidR="00DC4AAC">
        <w:t xml:space="preserve">through its Transport Policy Department formulates main directions </w:t>
      </w:r>
      <w:r>
        <w:t>of the transport sector policy.</w:t>
      </w:r>
    </w:p>
    <w:tbl>
      <w:tblPr>
        <w:tblStyle w:val="TableGrid"/>
        <w:tblW w:w="0" w:type="auto"/>
        <w:jc w:val="center"/>
        <w:tblCellMar>
          <w:left w:w="0" w:type="dxa"/>
          <w:right w:w="0" w:type="dxa"/>
        </w:tblCellMar>
        <w:tblLook w:val="04A0"/>
      </w:tblPr>
      <w:tblGrid>
        <w:gridCol w:w="8325"/>
      </w:tblGrid>
      <w:tr w:rsidR="003B6ED9" w:rsidTr="00036C75">
        <w:trPr>
          <w:jc w:val="center"/>
        </w:trPr>
        <w:tc>
          <w:tcPr>
            <w:tcW w:w="8325" w:type="dxa"/>
            <w:tcBorders>
              <w:top w:val="nil"/>
              <w:left w:val="nil"/>
              <w:bottom w:val="single" w:sz="4" w:space="0" w:color="auto"/>
              <w:right w:val="nil"/>
            </w:tcBorders>
          </w:tcPr>
          <w:p w:rsidR="003B6ED9" w:rsidRPr="005631F9" w:rsidRDefault="003B6ED9" w:rsidP="00036C75">
            <w:pPr>
              <w:spacing w:before="120" w:after="60"/>
              <w:jc w:val="center"/>
              <w:rPr>
                <w:sz w:val="20"/>
                <w:szCs w:val="20"/>
              </w:rPr>
            </w:pPr>
            <w:bookmarkStart w:id="34" w:name="_Ref324691702"/>
            <w:bookmarkStart w:id="35" w:name="_Toc326892827"/>
            <w:r w:rsidRPr="00394B4B">
              <w:rPr>
                <w:b/>
                <w:sz w:val="20"/>
                <w:szCs w:val="20"/>
              </w:rPr>
              <w:t xml:space="preserve">Figure </w:t>
            </w:r>
            <w:r w:rsidR="001A7AF8" w:rsidRPr="00394B4B">
              <w:rPr>
                <w:b/>
                <w:sz w:val="20"/>
                <w:szCs w:val="20"/>
              </w:rPr>
              <w:fldChar w:fldCharType="begin"/>
            </w:r>
            <w:r w:rsidRPr="00394B4B">
              <w:rPr>
                <w:b/>
                <w:sz w:val="20"/>
                <w:szCs w:val="20"/>
              </w:rPr>
              <w:instrText xml:space="preserve"> SEQ Figure \* ARABIC </w:instrText>
            </w:r>
            <w:r w:rsidR="001A7AF8" w:rsidRPr="00394B4B">
              <w:rPr>
                <w:b/>
                <w:sz w:val="20"/>
                <w:szCs w:val="20"/>
              </w:rPr>
              <w:fldChar w:fldCharType="separate"/>
            </w:r>
            <w:r>
              <w:rPr>
                <w:b/>
                <w:noProof/>
                <w:sz w:val="20"/>
                <w:szCs w:val="20"/>
              </w:rPr>
              <w:t>6</w:t>
            </w:r>
            <w:r w:rsidR="001A7AF8" w:rsidRPr="00394B4B">
              <w:rPr>
                <w:b/>
                <w:sz w:val="20"/>
                <w:szCs w:val="20"/>
              </w:rPr>
              <w:fldChar w:fldCharType="end"/>
            </w:r>
            <w:bookmarkEnd w:id="34"/>
            <w:r w:rsidRPr="00394B4B">
              <w:rPr>
                <w:sz w:val="20"/>
                <w:szCs w:val="20"/>
              </w:rPr>
              <w:t xml:space="preserve">: </w:t>
            </w:r>
            <w:r>
              <w:rPr>
                <w:sz w:val="20"/>
                <w:szCs w:val="20"/>
              </w:rPr>
              <w:t>International Transport Corridors and Major Intermodal Junctions in Georgia</w:t>
            </w:r>
            <w:bookmarkEnd w:id="35"/>
          </w:p>
        </w:tc>
      </w:tr>
      <w:tr w:rsidR="003B6ED9" w:rsidTr="00036C75">
        <w:trPr>
          <w:jc w:val="center"/>
        </w:trPr>
        <w:tc>
          <w:tcPr>
            <w:tcW w:w="8325" w:type="dxa"/>
            <w:tcBorders>
              <w:bottom w:val="single" w:sz="4" w:space="0" w:color="auto"/>
            </w:tcBorders>
          </w:tcPr>
          <w:p w:rsidR="003B6ED9" w:rsidRDefault="003B6ED9" w:rsidP="00036C75">
            <w:pPr>
              <w:spacing w:after="0"/>
              <w:jc w:val="center"/>
            </w:pPr>
            <w:r>
              <w:rPr>
                <w:noProof/>
                <w:lang w:bidi="ar-SA"/>
              </w:rPr>
              <w:drawing>
                <wp:inline distT="0" distB="0" distL="0" distR="0">
                  <wp:extent cx="4552950" cy="3215721"/>
                  <wp:effectExtent l="19050" t="0" r="0" b="0"/>
                  <wp:docPr id="22" name="Picture 0" descr="GEORGIA_07_11_2011_300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RGIA_07_11_2011_300DPI.png"/>
                          <pic:cNvPicPr/>
                        </pic:nvPicPr>
                        <pic:blipFill>
                          <a:blip r:embed="rId36" cstate="screen">
                            <a:lum bright="-15000" contrast="21000"/>
                          </a:blip>
                          <a:stretch>
                            <a:fillRect/>
                          </a:stretch>
                        </pic:blipFill>
                        <pic:spPr>
                          <a:xfrm>
                            <a:off x="0" y="0"/>
                            <a:ext cx="4551934" cy="3215003"/>
                          </a:xfrm>
                          <a:prstGeom prst="rect">
                            <a:avLst/>
                          </a:prstGeom>
                        </pic:spPr>
                      </pic:pic>
                    </a:graphicData>
                  </a:graphic>
                </wp:inline>
              </w:drawing>
            </w:r>
          </w:p>
        </w:tc>
      </w:tr>
      <w:tr w:rsidR="003B6ED9" w:rsidRPr="00961A10" w:rsidTr="00036C75">
        <w:trPr>
          <w:jc w:val="center"/>
        </w:trPr>
        <w:tc>
          <w:tcPr>
            <w:tcW w:w="8325" w:type="dxa"/>
            <w:tcBorders>
              <w:left w:val="nil"/>
              <w:bottom w:val="nil"/>
              <w:right w:val="nil"/>
            </w:tcBorders>
            <w:tcMar>
              <w:top w:w="14" w:type="dxa"/>
              <w:left w:w="43" w:type="dxa"/>
              <w:bottom w:w="14" w:type="dxa"/>
              <w:right w:w="43" w:type="dxa"/>
            </w:tcMar>
          </w:tcPr>
          <w:p w:rsidR="003B6ED9" w:rsidRPr="00961A10" w:rsidRDefault="003B6ED9" w:rsidP="00036C75">
            <w:pPr>
              <w:spacing w:after="0"/>
              <w:jc w:val="center"/>
              <w:rPr>
                <w:i/>
                <w:sz w:val="18"/>
                <w:szCs w:val="18"/>
              </w:rPr>
            </w:pPr>
            <w:r w:rsidRPr="00961A10">
              <w:rPr>
                <w:i/>
                <w:sz w:val="18"/>
                <w:szCs w:val="18"/>
              </w:rPr>
              <w:t xml:space="preserve">Source:  </w:t>
            </w:r>
            <w:r>
              <w:rPr>
                <w:i/>
                <w:sz w:val="18"/>
                <w:szCs w:val="18"/>
              </w:rPr>
              <w:t>TRACECA Website (</w:t>
            </w:r>
            <w:hyperlink r:id="rId37" w:history="1">
              <w:r w:rsidRPr="003F7067">
                <w:rPr>
                  <w:rStyle w:val="Hyperlink"/>
                  <w:i/>
                  <w:sz w:val="18"/>
                  <w:szCs w:val="18"/>
                </w:rPr>
                <w:t>www.traceca-org.org</w:t>
              </w:r>
            </w:hyperlink>
            <w:r>
              <w:rPr>
                <w:i/>
                <w:sz w:val="18"/>
                <w:szCs w:val="18"/>
              </w:rPr>
              <w:t xml:space="preserve">) </w:t>
            </w:r>
          </w:p>
        </w:tc>
      </w:tr>
    </w:tbl>
    <w:p w:rsidR="003B6ED9" w:rsidRDefault="003B6ED9" w:rsidP="00E81A26"/>
    <w:p w:rsidR="005631F9" w:rsidRPr="00332962" w:rsidRDefault="005631F9" w:rsidP="00332962">
      <w:r>
        <w:rPr>
          <w:sz w:val="26"/>
          <w:szCs w:val="26"/>
        </w:rPr>
        <w:br w:type="page"/>
      </w:r>
    </w:p>
    <w:p w:rsidR="0079758C" w:rsidRPr="00477DD6" w:rsidRDefault="00F83E99" w:rsidP="00BA2792">
      <w:pPr>
        <w:pStyle w:val="Heading1"/>
        <w:jc w:val="center"/>
        <w:rPr>
          <w:sz w:val="26"/>
          <w:szCs w:val="26"/>
        </w:rPr>
      </w:pPr>
      <w:bookmarkStart w:id="36" w:name="_Toc326892931"/>
      <w:r>
        <w:rPr>
          <w:sz w:val="26"/>
          <w:szCs w:val="26"/>
        </w:rPr>
        <w:lastRenderedPageBreak/>
        <w:t xml:space="preserve">Policy </w:t>
      </w:r>
      <w:r w:rsidR="00420278">
        <w:rPr>
          <w:sz w:val="26"/>
          <w:szCs w:val="26"/>
        </w:rPr>
        <w:t>Framework for Green</w:t>
      </w:r>
      <w:r w:rsidR="008219F1">
        <w:rPr>
          <w:sz w:val="26"/>
          <w:szCs w:val="26"/>
        </w:rPr>
        <w:t xml:space="preserve"> Transportation in </w:t>
      </w:r>
      <w:r w:rsidR="00451EF5" w:rsidRPr="00477DD6">
        <w:rPr>
          <w:sz w:val="26"/>
          <w:szCs w:val="26"/>
        </w:rPr>
        <w:t>Georgia</w:t>
      </w:r>
      <w:bookmarkEnd w:id="36"/>
    </w:p>
    <w:p w:rsidR="00352665" w:rsidRDefault="00D35973" w:rsidP="00AD1FA8">
      <w:r>
        <w:t>This paper propose</w:t>
      </w:r>
      <w:r w:rsidR="00631FE6">
        <w:t>s</w:t>
      </w:r>
      <w:r>
        <w:t xml:space="preserve"> a policy framework </w:t>
      </w:r>
      <w:r w:rsidR="00420278">
        <w:t xml:space="preserve">for green transportation </w:t>
      </w:r>
      <w:r w:rsidR="009316E1">
        <w:t xml:space="preserve">comprising </w:t>
      </w:r>
      <w:r w:rsidR="006F1A2C">
        <w:t>six</w:t>
      </w:r>
      <w:r>
        <w:t xml:space="preserve"> </w:t>
      </w:r>
      <w:r w:rsidR="00420278">
        <w:t>major measures that would require legal/regulatory reforms</w:t>
      </w:r>
      <w:r w:rsidR="00F05DC6">
        <w:t>,</w:t>
      </w:r>
      <w:r w:rsidR="00420278">
        <w:t xml:space="preserve"> institutional changes</w:t>
      </w:r>
      <w:r w:rsidR="00F05DC6">
        <w:t xml:space="preserve"> and capital investments</w:t>
      </w:r>
      <w:r w:rsidR="00740DB0">
        <w:t>:</w:t>
      </w:r>
      <w:r w:rsidR="003A237B">
        <w:t xml:space="preserve"> (i) Integrate </w:t>
      </w:r>
      <w:r w:rsidR="009316E1">
        <w:t>environmental concerns into transport policy</w:t>
      </w:r>
      <w:r w:rsidR="003A237B">
        <w:t xml:space="preserve">; (ii) </w:t>
      </w:r>
      <w:r w:rsidR="00712C17">
        <w:t xml:space="preserve">Achieve and </w:t>
      </w:r>
      <w:r w:rsidR="009316E1">
        <w:t>maintain a greener vehicle fleet</w:t>
      </w:r>
      <w:r w:rsidR="003A237B">
        <w:t>; (</w:t>
      </w:r>
      <w:r w:rsidR="006F1A2C">
        <w:t>iii</w:t>
      </w:r>
      <w:r w:rsidR="003A237B">
        <w:t xml:space="preserve">) </w:t>
      </w:r>
      <w:r w:rsidR="00071B36">
        <w:t xml:space="preserve">Promote </w:t>
      </w:r>
      <w:r w:rsidR="009316E1">
        <w:t>low emission freight transport modes through intermodal connectivity</w:t>
      </w:r>
      <w:r w:rsidR="006F1A2C">
        <w:t xml:space="preserve">; (iv) Support </w:t>
      </w:r>
      <w:r w:rsidR="009316E1">
        <w:t>commercial development of intercity passenger transport services</w:t>
      </w:r>
      <w:r w:rsidR="006F1A2C">
        <w:t>;</w:t>
      </w:r>
      <w:r w:rsidR="006F1A2C" w:rsidRPr="006F1A2C">
        <w:t xml:space="preserve"> </w:t>
      </w:r>
      <w:r w:rsidR="006F1A2C">
        <w:t xml:space="preserve">(v) Transform </w:t>
      </w:r>
      <w:r w:rsidR="009316E1">
        <w:t>minibuses and taxis into modern urban transport modes</w:t>
      </w:r>
      <w:r w:rsidR="006F1A2C">
        <w:t xml:space="preserve">; and (vi) Support </w:t>
      </w:r>
      <w:r w:rsidR="009316E1">
        <w:t>sustainable development of urban transport</w:t>
      </w:r>
      <w:r w:rsidR="006F1A2C">
        <w:t>.</w:t>
      </w:r>
    </w:p>
    <w:p w:rsidR="0079758C" w:rsidRPr="00A24018" w:rsidRDefault="00A5237B" w:rsidP="00BA2792">
      <w:pPr>
        <w:pStyle w:val="Heading2"/>
      </w:pPr>
      <w:bookmarkStart w:id="37" w:name="_Ref307415904"/>
      <w:bookmarkStart w:id="38" w:name="_Toc326892932"/>
      <w:r>
        <w:t>Integrate Environment</w:t>
      </w:r>
      <w:r w:rsidR="00740DB0">
        <w:t>al Concerns</w:t>
      </w:r>
      <w:r>
        <w:t xml:space="preserve"> into Transport Policy</w:t>
      </w:r>
      <w:bookmarkEnd w:id="37"/>
      <w:bookmarkEnd w:id="38"/>
    </w:p>
    <w:p w:rsidR="00137B12" w:rsidRPr="00E046E9" w:rsidRDefault="00137B12" w:rsidP="00525183">
      <w:pPr>
        <w:spacing w:after="80"/>
        <w:rPr>
          <w:b/>
          <w:i/>
        </w:rPr>
      </w:pPr>
      <w:r w:rsidRPr="00E046E9">
        <w:rPr>
          <w:b/>
          <w:i/>
        </w:rPr>
        <w:t>Why this measure?</w:t>
      </w:r>
    </w:p>
    <w:p w:rsidR="00752530" w:rsidRDefault="005A1C7C" w:rsidP="00A01D95">
      <w:r w:rsidRPr="005A1C7C">
        <w:rPr>
          <w:b/>
        </w:rPr>
        <w:t>Current condition</w:t>
      </w:r>
      <w:r w:rsidR="004B31A4">
        <w:rPr>
          <w:b/>
        </w:rPr>
        <w:t xml:space="preserve">: no environmental objectives </w:t>
      </w:r>
      <w:r w:rsidR="00DB7723">
        <w:rPr>
          <w:b/>
        </w:rPr>
        <w:t xml:space="preserve">are </w:t>
      </w:r>
      <w:r w:rsidR="004B31A4">
        <w:rPr>
          <w:b/>
        </w:rPr>
        <w:t>reflected in transport policies</w:t>
      </w:r>
      <w:r w:rsidR="00DB7723">
        <w:rPr>
          <w:b/>
        </w:rPr>
        <w:t xml:space="preserve"> and a regulatory framework exists only on paper without being enforced</w:t>
      </w:r>
      <w:r>
        <w:t xml:space="preserve">. </w:t>
      </w:r>
      <w:r w:rsidR="0083585F">
        <w:t xml:space="preserve"> </w:t>
      </w:r>
      <w:r w:rsidR="00740DB0">
        <w:t xml:space="preserve">Government </w:t>
      </w:r>
      <w:r w:rsidR="009316E1">
        <w:t xml:space="preserve">aspires </w:t>
      </w:r>
      <w:r w:rsidR="00740DB0">
        <w:t xml:space="preserve">to achieve green transportation, </w:t>
      </w:r>
      <w:r w:rsidR="009316E1">
        <w:t xml:space="preserve">but </w:t>
      </w:r>
      <w:r w:rsidR="00740DB0">
        <w:t xml:space="preserve">the existing transport policy </w:t>
      </w:r>
      <w:r w:rsidR="00D2036C">
        <w:t xml:space="preserve">in Georgia </w:t>
      </w:r>
      <w:r w:rsidR="00740DB0">
        <w:t xml:space="preserve">is silent about the growing impact of the transport sector on the environment. The Ministry of Environment Protection assessment of </w:t>
      </w:r>
      <w:r w:rsidR="00740DB0" w:rsidRPr="00BF7C3B">
        <w:t>national environment</w:t>
      </w:r>
      <w:r w:rsidR="00740DB0">
        <w:t>al</w:t>
      </w:r>
      <w:r w:rsidR="00740DB0" w:rsidRPr="00BF7C3B">
        <w:t xml:space="preserve"> status</w:t>
      </w:r>
      <w:r w:rsidR="00740DB0">
        <w:t xml:space="preserve"> revealed the critical link between road transport and compromised air quality</w:t>
      </w:r>
      <w:r w:rsidR="00A01D95">
        <w:t xml:space="preserve"> (</w:t>
      </w:r>
      <w:fldSimple w:instr=" REF _Ref306789259 \h  \* MERGEFORMAT ">
        <w:r w:rsidR="00AA3F1A" w:rsidRPr="00AA3F1A">
          <w:t xml:space="preserve">Figure </w:t>
        </w:r>
        <w:r w:rsidR="00AA3F1A" w:rsidRPr="00AA3F1A">
          <w:rPr>
            <w:noProof/>
          </w:rPr>
          <w:t>3</w:t>
        </w:r>
      </w:fldSimple>
      <w:r w:rsidR="00A01D95" w:rsidRPr="00A01D95">
        <w:t>)</w:t>
      </w:r>
      <w:r w:rsidR="00740DB0" w:rsidRPr="00A01D95">
        <w:t>,</w:t>
      </w:r>
      <w:r w:rsidR="00740DB0">
        <w:t xml:space="preserve"> but so far these findings have not </w:t>
      </w:r>
      <w:r w:rsidR="00740DB0" w:rsidRPr="00BF7C3B">
        <w:t>influence</w:t>
      </w:r>
      <w:r w:rsidR="00740DB0">
        <w:t>d</w:t>
      </w:r>
      <w:r w:rsidR="00740DB0" w:rsidRPr="00BF7C3B">
        <w:t xml:space="preserve"> </w:t>
      </w:r>
      <w:r w:rsidR="00740DB0">
        <w:t xml:space="preserve">transport sector policies or regulations. </w:t>
      </w:r>
      <w:r w:rsidR="00A01D95">
        <w:t xml:space="preserve"> </w:t>
      </w:r>
      <w:r w:rsidR="00740DB0">
        <w:t>D</w:t>
      </w:r>
      <w:r w:rsidR="00740DB0" w:rsidRPr="00BF7C3B">
        <w:t>uring the reform</w:t>
      </w:r>
      <w:r w:rsidR="00740DB0">
        <w:t>s,</w:t>
      </w:r>
      <w:r w:rsidR="00740DB0" w:rsidRPr="00BF7C3B">
        <w:t xml:space="preserve"> </w:t>
      </w:r>
      <w:r w:rsidR="00740DB0">
        <w:t>m</w:t>
      </w:r>
      <w:r w:rsidR="00740DB0" w:rsidRPr="00BF7C3B">
        <w:t>andatory inspection</w:t>
      </w:r>
      <w:r w:rsidR="00740DB0">
        <w:t>s</w:t>
      </w:r>
      <w:r w:rsidR="00740DB0" w:rsidRPr="00BF7C3B">
        <w:t xml:space="preserve"> of </w:t>
      </w:r>
      <w:r w:rsidR="00A01D95">
        <w:t xml:space="preserve">motor vehicles and </w:t>
      </w:r>
      <w:r w:rsidR="00740DB0" w:rsidRPr="00BF7C3B">
        <w:t>fuel quality</w:t>
      </w:r>
      <w:r w:rsidR="009316E1">
        <w:t xml:space="preserve"> and the </w:t>
      </w:r>
      <w:r w:rsidR="006F1A2C">
        <w:t>entire agency responsible for vehicle inspections</w:t>
      </w:r>
      <w:r w:rsidR="009316E1">
        <w:t xml:space="preserve"> were </w:t>
      </w:r>
      <w:r w:rsidR="00740DB0">
        <w:t xml:space="preserve">all but </w:t>
      </w:r>
      <w:r w:rsidR="00740DB0" w:rsidRPr="00BF7C3B">
        <w:t xml:space="preserve">eliminated to </w:t>
      </w:r>
      <w:r w:rsidR="00740DB0">
        <w:t>end</w:t>
      </w:r>
      <w:r w:rsidR="00740DB0" w:rsidRPr="00BF7C3B">
        <w:t xml:space="preserve"> petty corruption</w:t>
      </w:r>
      <w:r w:rsidR="00740DB0">
        <w:t>.</w:t>
      </w:r>
      <w:r w:rsidR="00A01D95">
        <w:rPr>
          <w:rStyle w:val="FootnoteReference"/>
        </w:rPr>
        <w:footnoteReference w:id="15"/>
      </w:r>
      <w:r w:rsidR="00740DB0">
        <w:t xml:space="preserve"> </w:t>
      </w:r>
      <w:r w:rsidR="006F1A2C">
        <w:t xml:space="preserve"> </w:t>
      </w:r>
      <w:r w:rsidR="00740DB0">
        <w:t>Now</w:t>
      </w:r>
      <w:r w:rsidR="00740DB0" w:rsidRPr="00BF7C3B">
        <w:t xml:space="preserve"> </w:t>
      </w:r>
      <w:r w:rsidR="00740DB0">
        <w:t xml:space="preserve">fuel quality </w:t>
      </w:r>
      <w:r w:rsidR="00740DB0" w:rsidRPr="00BF7C3B">
        <w:t xml:space="preserve">inspection </w:t>
      </w:r>
      <w:r w:rsidR="00740DB0">
        <w:t xml:space="preserve">and certification </w:t>
      </w:r>
      <w:r w:rsidR="00740DB0" w:rsidRPr="00BF7C3B">
        <w:t>is voluntary</w:t>
      </w:r>
      <w:r w:rsidR="00740DB0" w:rsidRPr="00FF505A">
        <w:t xml:space="preserve"> </w:t>
      </w:r>
      <w:r w:rsidR="00740DB0">
        <w:t xml:space="preserve">and </w:t>
      </w:r>
      <w:r w:rsidR="00740DB0" w:rsidRPr="00BF7C3B">
        <w:t xml:space="preserve">about half of total </w:t>
      </w:r>
      <w:r w:rsidR="00740DB0">
        <w:t xml:space="preserve">motor fuel consumption consists of </w:t>
      </w:r>
      <w:r w:rsidR="00740DB0" w:rsidRPr="00BF7C3B">
        <w:t>cheaper</w:t>
      </w:r>
      <w:r w:rsidR="00740DB0">
        <w:t xml:space="preserve"> r</w:t>
      </w:r>
      <w:r w:rsidR="00740DB0" w:rsidRPr="00BF7C3B">
        <w:t>elatively lower</w:t>
      </w:r>
      <w:r w:rsidR="00740DB0">
        <w:t>-</w:t>
      </w:r>
      <w:r w:rsidR="00740DB0" w:rsidRPr="00BF7C3B">
        <w:t>quality petroleum products from Azerbaijan</w:t>
      </w:r>
      <w:r w:rsidR="00740DB0">
        <w:t xml:space="preserve">. </w:t>
      </w:r>
      <w:r w:rsidR="00752530">
        <w:t xml:space="preserve"> </w:t>
      </w:r>
      <w:r w:rsidR="009316E1">
        <w:t xml:space="preserve">Because car owners have </w:t>
      </w:r>
      <w:r w:rsidR="00AF0195">
        <w:t xml:space="preserve">access to cheaper, </w:t>
      </w:r>
      <w:r w:rsidR="003B124E">
        <w:t xml:space="preserve">low-grade </w:t>
      </w:r>
      <w:r w:rsidR="00AF0195">
        <w:t>petroleum</w:t>
      </w:r>
      <w:r w:rsidR="003B124E">
        <w:t>,</w:t>
      </w:r>
      <w:r w:rsidR="00AF0195">
        <w:t xml:space="preserve"> </w:t>
      </w:r>
      <w:r w:rsidR="003B124E">
        <w:t>s</w:t>
      </w:r>
      <w:r w:rsidR="00AF0195">
        <w:t xml:space="preserve">ome </w:t>
      </w:r>
      <w:r w:rsidR="009316E1">
        <w:t xml:space="preserve">disabled </w:t>
      </w:r>
      <w:r w:rsidR="00AF0195">
        <w:t xml:space="preserve">the catalytic converters </w:t>
      </w:r>
      <w:r w:rsidR="009316E1">
        <w:t xml:space="preserve">in </w:t>
      </w:r>
      <w:r w:rsidR="00AF0195">
        <w:t xml:space="preserve">newer </w:t>
      </w:r>
      <w:r w:rsidR="009316E1">
        <w:t xml:space="preserve">vehicle imported </w:t>
      </w:r>
      <w:r w:rsidR="00AF0195">
        <w:t xml:space="preserve">from Europe in order to run on </w:t>
      </w:r>
      <w:r w:rsidR="009316E1">
        <w:t xml:space="preserve">lower-quality </w:t>
      </w:r>
      <w:r w:rsidR="00AF0195">
        <w:t>fuels.</w:t>
      </w:r>
      <w:r w:rsidR="00AF0195">
        <w:rPr>
          <w:rStyle w:val="FootnoteReference"/>
        </w:rPr>
        <w:footnoteReference w:id="16"/>
      </w:r>
      <w:r w:rsidR="00AF0195">
        <w:t xml:space="preserve">  </w:t>
      </w:r>
      <w:r w:rsidR="006F1A2C">
        <w:t>V</w:t>
      </w:r>
      <w:r w:rsidR="00740DB0">
        <w:t xml:space="preserve">ehicle emission standards are </w:t>
      </w:r>
      <w:r w:rsidR="009316E1">
        <w:t xml:space="preserve">now </w:t>
      </w:r>
      <w:r w:rsidR="00740DB0">
        <w:t xml:space="preserve">enforced </w:t>
      </w:r>
      <w:r w:rsidR="006F1A2C">
        <w:t xml:space="preserve">only for </w:t>
      </w:r>
      <w:r w:rsidR="005543E8">
        <w:t xml:space="preserve">vehicles operated by </w:t>
      </w:r>
      <w:r w:rsidR="006F1A2C">
        <w:t xml:space="preserve">international </w:t>
      </w:r>
      <w:r w:rsidR="005543E8">
        <w:t xml:space="preserve">transport </w:t>
      </w:r>
      <w:r w:rsidR="006F1A2C">
        <w:t>service</w:t>
      </w:r>
      <w:r w:rsidR="005543E8">
        <w:t xml:space="preserve"> providers</w:t>
      </w:r>
      <w:r w:rsidR="006F1A2C">
        <w:t xml:space="preserve">, which are a fraction of </w:t>
      </w:r>
      <w:r w:rsidR="009316E1">
        <w:t xml:space="preserve">Georgia’s </w:t>
      </w:r>
      <w:r w:rsidR="006F1A2C">
        <w:t xml:space="preserve">entire vehicle fleet </w:t>
      </w:r>
      <w:r w:rsidR="005543E8">
        <w:t>(</w:t>
      </w:r>
      <w:r w:rsidR="0008759D">
        <w:t>se</w:t>
      </w:r>
      <w:r w:rsidR="009316E1">
        <w:t>e</w:t>
      </w:r>
      <w:r w:rsidR="0008759D">
        <w:t xml:space="preserve"> Section III.B for detail</w:t>
      </w:r>
      <w:r w:rsidR="005543E8">
        <w:t>)</w:t>
      </w:r>
      <w:r w:rsidR="006F1A2C">
        <w:t xml:space="preserve">. Presidential Decree No. 302 issued in 2001 laid out a </w:t>
      </w:r>
      <w:r w:rsidR="00AF0195">
        <w:t xml:space="preserve">regulatory </w:t>
      </w:r>
      <w:r w:rsidR="006F1A2C">
        <w:t xml:space="preserve">framework </w:t>
      </w:r>
      <w:r w:rsidR="006F1A2C" w:rsidRPr="006F1A2C">
        <w:t xml:space="preserve">to </w:t>
      </w:r>
      <w:r w:rsidR="006F1A2C">
        <w:t>reduce negative environmental impact</w:t>
      </w:r>
      <w:r w:rsidR="009316E1">
        <w:t>s</w:t>
      </w:r>
      <w:r w:rsidR="006F1A2C">
        <w:t xml:space="preserve"> of motor transport</w:t>
      </w:r>
      <w:r w:rsidR="000E1F6C">
        <w:t>;</w:t>
      </w:r>
      <w:r w:rsidR="00402CF1">
        <w:rPr>
          <w:rStyle w:val="FootnoteReference"/>
        </w:rPr>
        <w:footnoteReference w:id="17"/>
      </w:r>
      <w:r w:rsidR="006F1A2C">
        <w:t xml:space="preserve"> </w:t>
      </w:r>
      <w:r w:rsidR="000E1F6C">
        <w:t>h</w:t>
      </w:r>
      <w:r w:rsidR="006F1A2C">
        <w:t xml:space="preserve">owever, </w:t>
      </w:r>
      <w:r w:rsidR="000E1F6C">
        <w:t xml:space="preserve">it was </w:t>
      </w:r>
      <w:r w:rsidR="009316E1">
        <w:t xml:space="preserve">never </w:t>
      </w:r>
      <w:r w:rsidR="000E1F6C">
        <w:t xml:space="preserve">implemented and was </w:t>
      </w:r>
      <w:r w:rsidR="009316E1">
        <w:t xml:space="preserve">later </w:t>
      </w:r>
      <w:r w:rsidR="000E1F6C">
        <w:t>annulled in 2006</w:t>
      </w:r>
      <w:r w:rsidR="006F1A2C">
        <w:t>.</w:t>
      </w:r>
    </w:p>
    <w:p w:rsidR="00740DB0" w:rsidRDefault="00740DB0" w:rsidP="00740DB0">
      <w:r w:rsidRPr="00932B7D">
        <w:rPr>
          <w:b/>
        </w:rPr>
        <w:t>Rationale for change</w:t>
      </w:r>
      <w:r w:rsidR="004B31A4">
        <w:rPr>
          <w:b/>
        </w:rPr>
        <w:t>: need for government intervention to change consumer choices</w:t>
      </w:r>
      <w:r>
        <w:t>. Higher-income countries with greater motorization rates have learned that transport sector environmental issues cannot be addressed simply by retrofits or technological fixes</w:t>
      </w:r>
      <w:r w:rsidR="009D7576">
        <w:t>, but only by influencing choices and behaviors of transport users</w:t>
      </w:r>
      <w:r w:rsidRPr="00BF7C3B">
        <w:t>.</w:t>
      </w:r>
      <w:r w:rsidRPr="00BF7C3B">
        <w:rPr>
          <w:rStyle w:val="FootnoteReference"/>
        </w:rPr>
        <w:footnoteReference w:id="18"/>
      </w:r>
      <w:r w:rsidRPr="00BF7C3B">
        <w:t xml:space="preserve">  Unlike</w:t>
      </w:r>
      <w:r>
        <w:t xml:space="preserve"> other sectors, transport sector environmental impacts result from aggregated consumer choices</w:t>
      </w:r>
      <w:r w:rsidR="00196FDA">
        <w:t xml:space="preserve">, for instance, </w:t>
      </w:r>
      <w:r>
        <w:t>millions of urban dwellers who face the daily decision of whether to drive or use public transport</w:t>
      </w:r>
      <w:r w:rsidR="005543E8">
        <w:t xml:space="preserve"> and </w:t>
      </w:r>
      <w:r w:rsidR="003002E2">
        <w:t xml:space="preserve">a number of </w:t>
      </w:r>
      <w:r w:rsidR="005543E8">
        <w:t xml:space="preserve">freight forwarding companies that choose their routes among </w:t>
      </w:r>
      <w:r w:rsidR="00AF0195">
        <w:t xml:space="preserve">alternative </w:t>
      </w:r>
      <w:r w:rsidR="005543E8">
        <w:t>corridors and modes</w:t>
      </w:r>
      <w:r>
        <w:t>.</w:t>
      </w:r>
      <w:r>
        <w:rPr>
          <w:rStyle w:val="FootnoteReference"/>
        </w:rPr>
        <w:footnoteReference w:id="19"/>
      </w:r>
      <w:r>
        <w:t xml:space="preserve"> The need to influence decisions of many constituencies on a massive scale requires a comprehensive framework for greening transportation that integrates environmental </w:t>
      </w:r>
      <w:r>
        <w:lastRenderedPageBreak/>
        <w:t>concerns into transport policy.</w:t>
      </w:r>
      <w:r w:rsidR="005543E8">
        <w:t xml:space="preserve">  This </w:t>
      </w:r>
      <w:r w:rsidR="00AF0195">
        <w:t xml:space="preserve">framework then needs to be implemented and enforced, which </w:t>
      </w:r>
      <w:r w:rsidR="005543E8">
        <w:t xml:space="preserve">cannot be left to the </w:t>
      </w:r>
      <w:r w:rsidR="00D476AB">
        <w:t>market</w:t>
      </w:r>
      <w:r w:rsidR="00AF0195">
        <w:t>.  A</w:t>
      </w:r>
      <w:r w:rsidR="00D476AB">
        <w:t>ppropriate government intervention is necessary</w:t>
      </w:r>
      <w:r w:rsidR="005543E8">
        <w:t>.</w:t>
      </w:r>
    </w:p>
    <w:tbl>
      <w:tblPr>
        <w:tblStyle w:val="TableGrid"/>
        <w:tblpPr w:leftFromText="180" w:rightFromText="180" w:vertAnchor="text" w:horzAnchor="margin" w:tblpXSpec="right" w:tblpY="110"/>
        <w:tblW w:w="0" w:type="auto"/>
        <w:tblLayout w:type="fixed"/>
        <w:tblCellMar>
          <w:left w:w="0" w:type="dxa"/>
          <w:right w:w="0" w:type="dxa"/>
        </w:tblCellMar>
        <w:tblLook w:val="04A0"/>
      </w:tblPr>
      <w:tblGrid>
        <w:gridCol w:w="4590"/>
      </w:tblGrid>
      <w:tr w:rsidR="00655E90" w:rsidTr="008E076F">
        <w:tc>
          <w:tcPr>
            <w:tcW w:w="4590" w:type="dxa"/>
            <w:tcBorders>
              <w:top w:val="nil"/>
              <w:left w:val="nil"/>
              <w:bottom w:val="single" w:sz="4" w:space="0" w:color="auto"/>
              <w:right w:val="nil"/>
            </w:tcBorders>
          </w:tcPr>
          <w:p w:rsidR="00655E90" w:rsidRPr="005631F9" w:rsidRDefault="00655E90" w:rsidP="00655E90">
            <w:pPr>
              <w:spacing w:after="60"/>
              <w:jc w:val="center"/>
              <w:rPr>
                <w:sz w:val="20"/>
                <w:szCs w:val="20"/>
              </w:rPr>
            </w:pPr>
            <w:bookmarkStart w:id="39" w:name="_Ref324602306"/>
            <w:bookmarkStart w:id="40" w:name="_Toc326892828"/>
            <w:r w:rsidRPr="00394B4B">
              <w:rPr>
                <w:b/>
                <w:sz w:val="20"/>
                <w:szCs w:val="20"/>
              </w:rPr>
              <w:t xml:space="preserve">Figure </w:t>
            </w:r>
            <w:r w:rsidR="001A7AF8" w:rsidRPr="00394B4B">
              <w:rPr>
                <w:b/>
                <w:sz w:val="20"/>
                <w:szCs w:val="20"/>
              </w:rPr>
              <w:fldChar w:fldCharType="begin"/>
            </w:r>
            <w:r w:rsidRPr="00394B4B">
              <w:rPr>
                <w:b/>
                <w:sz w:val="20"/>
                <w:szCs w:val="20"/>
              </w:rPr>
              <w:instrText xml:space="preserve"> SEQ Figure \* ARABIC </w:instrText>
            </w:r>
            <w:r w:rsidR="001A7AF8" w:rsidRPr="00394B4B">
              <w:rPr>
                <w:b/>
                <w:sz w:val="20"/>
                <w:szCs w:val="20"/>
              </w:rPr>
              <w:fldChar w:fldCharType="separate"/>
            </w:r>
            <w:r w:rsidR="00AA3F1A">
              <w:rPr>
                <w:b/>
                <w:noProof/>
                <w:sz w:val="20"/>
                <w:szCs w:val="20"/>
              </w:rPr>
              <w:t>7</w:t>
            </w:r>
            <w:r w:rsidR="001A7AF8" w:rsidRPr="00394B4B">
              <w:rPr>
                <w:b/>
                <w:sz w:val="20"/>
                <w:szCs w:val="20"/>
              </w:rPr>
              <w:fldChar w:fldCharType="end"/>
            </w:r>
            <w:bookmarkEnd w:id="39"/>
            <w:r w:rsidRPr="00394B4B">
              <w:rPr>
                <w:sz w:val="20"/>
                <w:szCs w:val="20"/>
              </w:rPr>
              <w:t xml:space="preserve">: </w:t>
            </w:r>
            <w:r>
              <w:rPr>
                <w:sz w:val="20"/>
                <w:szCs w:val="20"/>
              </w:rPr>
              <w:t>E</w:t>
            </w:r>
            <w:r w:rsidR="00253CD3">
              <w:rPr>
                <w:sz w:val="20"/>
                <w:szCs w:val="20"/>
              </w:rPr>
              <w:t xml:space="preserve">uropean </w:t>
            </w:r>
            <w:r>
              <w:rPr>
                <w:sz w:val="20"/>
                <w:szCs w:val="20"/>
              </w:rPr>
              <w:t>U</w:t>
            </w:r>
            <w:r w:rsidR="00253CD3">
              <w:rPr>
                <w:sz w:val="20"/>
                <w:szCs w:val="20"/>
              </w:rPr>
              <w:t>nion</w:t>
            </w:r>
            <w:r>
              <w:rPr>
                <w:sz w:val="20"/>
                <w:szCs w:val="20"/>
              </w:rPr>
              <w:t xml:space="preserve"> </w:t>
            </w:r>
            <w:r w:rsidR="00253CD3">
              <w:rPr>
                <w:sz w:val="20"/>
                <w:szCs w:val="20"/>
              </w:rPr>
              <w:t xml:space="preserve">Vehicle </w:t>
            </w:r>
            <w:r>
              <w:rPr>
                <w:sz w:val="20"/>
                <w:szCs w:val="20"/>
              </w:rPr>
              <w:t>Emission Standards for HC and NOx</w:t>
            </w:r>
            <w:bookmarkEnd w:id="40"/>
          </w:p>
        </w:tc>
      </w:tr>
      <w:tr w:rsidR="00655E90" w:rsidTr="008E076F">
        <w:tc>
          <w:tcPr>
            <w:tcW w:w="4590" w:type="dxa"/>
            <w:tcBorders>
              <w:bottom w:val="single" w:sz="4" w:space="0" w:color="auto"/>
            </w:tcBorders>
          </w:tcPr>
          <w:p w:rsidR="00655E90" w:rsidRDefault="00655E90" w:rsidP="00655E90">
            <w:pPr>
              <w:spacing w:after="0"/>
              <w:jc w:val="center"/>
            </w:pPr>
            <w:r w:rsidRPr="00655E90">
              <w:rPr>
                <w:noProof/>
                <w:lang w:bidi="ar-SA"/>
              </w:rPr>
              <w:drawing>
                <wp:inline distT="0" distB="0" distL="0" distR="0">
                  <wp:extent cx="2876550" cy="2219325"/>
                  <wp:effectExtent l="0" t="0" r="0" b="0"/>
                  <wp:docPr id="1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r w:rsidR="00655E90" w:rsidTr="008E076F">
        <w:tc>
          <w:tcPr>
            <w:tcW w:w="4590" w:type="dxa"/>
            <w:tcBorders>
              <w:left w:val="nil"/>
              <w:bottom w:val="nil"/>
              <w:right w:val="nil"/>
            </w:tcBorders>
            <w:tcMar>
              <w:top w:w="14" w:type="dxa"/>
              <w:left w:w="43" w:type="dxa"/>
              <w:bottom w:w="14" w:type="dxa"/>
              <w:right w:w="43" w:type="dxa"/>
            </w:tcMar>
          </w:tcPr>
          <w:p w:rsidR="00655E90" w:rsidRDefault="00655E90" w:rsidP="00C85AA5">
            <w:pPr>
              <w:spacing w:after="0"/>
              <w:jc w:val="center"/>
              <w:rPr>
                <w:i/>
                <w:sz w:val="18"/>
                <w:szCs w:val="18"/>
              </w:rPr>
            </w:pPr>
            <w:r w:rsidRPr="00961A10">
              <w:rPr>
                <w:i/>
                <w:sz w:val="18"/>
                <w:szCs w:val="18"/>
              </w:rPr>
              <w:t xml:space="preserve">Source: </w:t>
            </w:r>
            <w:r>
              <w:rPr>
                <w:i/>
                <w:sz w:val="18"/>
                <w:szCs w:val="18"/>
              </w:rPr>
              <w:t>Relevant EC Directives</w:t>
            </w:r>
          </w:p>
          <w:p w:rsidR="00655E90" w:rsidRPr="00961A10" w:rsidRDefault="00655E90" w:rsidP="00C85AA5">
            <w:pPr>
              <w:spacing w:after="60"/>
              <w:jc w:val="center"/>
              <w:rPr>
                <w:i/>
                <w:sz w:val="18"/>
                <w:szCs w:val="18"/>
              </w:rPr>
            </w:pPr>
            <w:r>
              <w:rPr>
                <w:i/>
                <w:sz w:val="18"/>
                <w:szCs w:val="18"/>
              </w:rPr>
              <w:t>Note: PC means passenger cars, LCV light-duty commercial vehicles</w:t>
            </w:r>
            <w:r w:rsidR="00253CD3">
              <w:rPr>
                <w:i/>
                <w:sz w:val="18"/>
                <w:szCs w:val="18"/>
              </w:rPr>
              <w:t xml:space="preserve"> weighing between </w:t>
            </w:r>
            <w:r w:rsidRPr="00655E90">
              <w:rPr>
                <w:i/>
                <w:sz w:val="18"/>
                <w:szCs w:val="18"/>
              </w:rPr>
              <w:t>1305-1760 kg</w:t>
            </w:r>
          </w:p>
        </w:tc>
      </w:tr>
    </w:tbl>
    <w:p w:rsidR="00A36902" w:rsidRPr="00277AA5" w:rsidRDefault="00A36902" w:rsidP="00A36902">
      <w:r>
        <w:rPr>
          <w:b/>
        </w:rPr>
        <w:t xml:space="preserve">Rationale for change: local emissions vary greatly by </w:t>
      </w:r>
      <w:r w:rsidR="00336C60">
        <w:rPr>
          <w:b/>
        </w:rPr>
        <w:t xml:space="preserve">fuel </w:t>
      </w:r>
      <w:r>
        <w:rPr>
          <w:b/>
        </w:rPr>
        <w:t xml:space="preserve">quality and </w:t>
      </w:r>
      <w:r w:rsidR="00253CD3">
        <w:rPr>
          <w:b/>
        </w:rPr>
        <w:t xml:space="preserve">vehicle </w:t>
      </w:r>
      <w:r>
        <w:rPr>
          <w:b/>
        </w:rPr>
        <w:t>standards</w:t>
      </w:r>
      <w:r w:rsidR="00E54F90">
        <w:rPr>
          <w:b/>
        </w:rPr>
        <w:t>; therefore, environmental policies should target them to effectively curtail emissions at source</w:t>
      </w:r>
      <w:r w:rsidRPr="00277AA5">
        <w:t xml:space="preserve">. </w:t>
      </w:r>
      <w:r w:rsidR="00E54F90">
        <w:t xml:space="preserve"> </w:t>
      </w:r>
      <w:r w:rsidR="00720D43">
        <w:t xml:space="preserve">Recently, </w:t>
      </w:r>
      <w:r w:rsidR="007B42CF">
        <w:t xml:space="preserve">Georgia </w:t>
      </w:r>
      <w:r w:rsidR="00720D43">
        <w:t xml:space="preserve">raised </w:t>
      </w:r>
      <w:r w:rsidR="007B42CF">
        <w:t>fuel standards</w:t>
      </w:r>
      <w:r w:rsidR="00253CD3">
        <w:rPr>
          <w:rStyle w:val="FootnoteReference"/>
        </w:rPr>
        <w:footnoteReference w:id="20"/>
      </w:r>
      <w:r w:rsidR="007B42CF">
        <w:t xml:space="preserve"> </w:t>
      </w:r>
      <w:r w:rsidR="00720D43">
        <w:t>and enforcing</w:t>
      </w:r>
      <w:r w:rsidR="00253CD3">
        <w:t xml:space="preserve"> </w:t>
      </w:r>
      <w:r w:rsidR="00720D43">
        <w:t xml:space="preserve">them </w:t>
      </w:r>
      <w:r w:rsidR="00253CD3">
        <w:t>would greatly improve ambient air quality.</w:t>
      </w:r>
      <w:r w:rsidR="00E54F90">
        <w:t xml:space="preserve"> </w:t>
      </w:r>
      <w:r w:rsidR="00253CD3">
        <w:t xml:space="preserve"> </w:t>
      </w:r>
      <w:r w:rsidR="00336C60">
        <w:t>The U</w:t>
      </w:r>
      <w:r w:rsidR="00720D43">
        <w:t>.</w:t>
      </w:r>
      <w:r w:rsidR="00336C60">
        <w:t>S</w:t>
      </w:r>
      <w:r w:rsidR="00720D43">
        <w:t>.</w:t>
      </w:r>
      <w:r w:rsidR="00336C60">
        <w:t xml:space="preserve"> Environmental Protection Agency (EPA) tests showed that </w:t>
      </w:r>
      <w:r w:rsidR="00720D43">
        <w:t>when the sulfur content</w:t>
      </w:r>
      <w:r w:rsidR="00336C60">
        <w:t xml:space="preserve"> of </w:t>
      </w:r>
      <w:r w:rsidR="00E54F90">
        <w:t>gasoline</w:t>
      </w:r>
      <w:r w:rsidR="00336C60">
        <w:t xml:space="preserve"> </w:t>
      </w:r>
      <w:r w:rsidR="00720D43">
        <w:t xml:space="preserve">is increased </w:t>
      </w:r>
      <w:r w:rsidR="00336C60">
        <w:t>from 30 to 330 ppm</w:t>
      </w:r>
      <w:r w:rsidR="00720D43">
        <w:t xml:space="preserve">, </w:t>
      </w:r>
      <w:r w:rsidR="00336C60">
        <w:t>emissions</w:t>
      </w:r>
      <w:r w:rsidR="00720D43">
        <w:t xml:space="preserve"> rise substantially</w:t>
      </w:r>
      <w:r w:rsidR="00336C60">
        <w:t>, ranging 14-40 percent increase of HC and 8-134 percent increase of NOx</w:t>
      </w:r>
      <w:r w:rsidR="00336C60">
        <w:rPr>
          <w:rStyle w:val="FootnoteReference"/>
        </w:rPr>
        <w:footnoteReference w:id="21"/>
      </w:r>
      <w:r w:rsidR="00336C60">
        <w:t>.</w:t>
      </w:r>
      <w:r w:rsidR="00E54F90">
        <w:t xml:space="preserve"> </w:t>
      </w:r>
      <w:r w:rsidR="007B42CF">
        <w:t>Reducing sulfur levels in diesel fuel reduces PM emissions greatly.  Tests on Japanese diesel trucks showed that by reducing sulfur content from 400 to 2 ppm, the PM emissions would be halved.  Similarly in the US, a reduction of diesel sulfur content from 368 to 54 ppm resulted in a 14 percent reduction of PM emissions.</w:t>
      </w:r>
      <w:r w:rsidR="007B42CF">
        <w:rPr>
          <w:rStyle w:val="FootnoteReference"/>
        </w:rPr>
        <w:footnoteReference w:id="22"/>
      </w:r>
      <w:r w:rsidR="007B42CF">
        <w:t xml:space="preserve">  </w:t>
      </w:r>
      <w:r w:rsidR="00253CD3">
        <w:t xml:space="preserve">European Union standards on vehicle emissions have been </w:t>
      </w:r>
      <w:r w:rsidR="00720D43">
        <w:t xml:space="preserve">cut </w:t>
      </w:r>
      <w:r w:rsidR="00253CD3">
        <w:t>drastically since early 199</w:t>
      </w:r>
      <w:r w:rsidR="00E54F90">
        <w:t xml:space="preserve">0 when Euro 1 standards were first defined.  The Euro 4 standards that took effect in 2004 specified </w:t>
      </w:r>
      <w:r w:rsidR="00720D43">
        <w:t xml:space="preserve">that the </w:t>
      </w:r>
      <w:r w:rsidR="00E54F90">
        <w:t xml:space="preserve">maximum allowed level of combined HC and NOx emissions </w:t>
      </w:r>
      <w:r w:rsidR="00720D43">
        <w:t xml:space="preserve">is to be reduced </w:t>
      </w:r>
      <w:r w:rsidR="00E54F90">
        <w:t>by a third for diesel vehicles, and less than a quarter for gasoline vehicles (</w:t>
      </w:r>
      <w:fldSimple w:instr=" REF _Ref324602306 \h  \* MERGEFORMAT ">
        <w:r w:rsidR="00AA3F1A" w:rsidRPr="00AA3F1A">
          <w:t xml:space="preserve">Figure </w:t>
        </w:r>
        <w:r w:rsidR="00AA3F1A" w:rsidRPr="00AA3F1A">
          <w:rPr>
            <w:noProof/>
          </w:rPr>
          <w:t>7</w:t>
        </w:r>
      </w:fldSimple>
      <w:r w:rsidR="00E54F90">
        <w:t>).</w:t>
      </w:r>
    </w:p>
    <w:p w:rsidR="00137B12" w:rsidRPr="00E046E9" w:rsidRDefault="008219F1" w:rsidP="00525183">
      <w:pPr>
        <w:spacing w:after="80"/>
        <w:rPr>
          <w:b/>
          <w:i/>
        </w:rPr>
      </w:pPr>
      <w:r w:rsidRPr="00E046E9">
        <w:rPr>
          <w:b/>
          <w:i/>
        </w:rPr>
        <w:t>How can this be done</w:t>
      </w:r>
      <w:r w:rsidR="00137B12" w:rsidRPr="00E046E9">
        <w:rPr>
          <w:b/>
          <w:i/>
        </w:rPr>
        <w:t>?</w:t>
      </w:r>
    </w:p>
    <w:p w:rsidR="00CE51B8" w:rsidRPr="008E6F10" w:rsidRDefault="002F0776" w:rsidP="00137B12">
      <w:r w:rsidRPr="002F0776">
        <w:rPr>
          <w:b/>
        </w:rPr>
        <w:t>Institution</w:t>
      </w:r>
      <w:r w:rsidR="001C7608">
        <w:rPr>
          <w:b/>
        </w:rPr>
        <w:t>al</w:t>
      </w:r>
      <w:r w:rsidR="0023152B">
        <w:rPr>
          <w:b/>
        </w:rPr>
        <w:t>: integrating transport policy</w:t>
      </w:r>
      <w:r w:rsidR="0009251C">
        <w:rPr>
          <w:b/>
        </w:rPr>
        <w:t xml:space="preserve"> and</w:t>
      </w:r>
      <w:r w:rsidR="0023152B">
        <w:rPr>
          <w:b/>
        </w:rPr>
        <w:t xml:space="preserve"> environmental monitoring</w:t>
      </w:r>
      <w:r>
        <w:t xml:space="preserve">.  </w:t>
      </w:r>
      <w:r w:rsidR="00720D43">
        <w:t>Georgia can foster p</w:t>
      </w:r>
      <w:r w:rsidR="00740DB0">
        <w:t xml:space="preserve">olicy integration by lowering institutional barriers among sectors and sub-sectors within government. The Ministry of Environment Protection is the logical choice to remain responsible for regular monitoring and assessment of national environmental status. </w:t>
      </w:r>
      <w:r w:rsidR="00740DB0" w:rsidRPr="008E6F10">
        <w:t>Government should initiate a formal process to integrate environmental assessment results with transport sector</w:t>
      </w:r>
      <w:r w:rsidR="00740DB0" w:rsidRPr="008E6F10" w:rsidDel="00797CC4">
        <w:t xml:space="preserve"> </w:t>
      </w:r>
      <w:r w:rsidR="00740DB0" w:rsidRPr="008E6F10">
        <w:t>policy-making at the level of central government</w:t>
      </w:r>
      <w:r w:rsidR="00720D43">
        <w:t xml:space="preserve"> and city administration</w:t>
      </w:r>
      <w:r w:rsidR="00740DB0" w:rsidRPr="008E6F10">
        <w:rPr>
          <w:rStyle w:val="FootnoteReference"/>
        </w:rPr>
        <w:footnoteReference w:id="23"/>
      </w:r>
      <w:r w:rsidR="00740DB0" w:rsidRPr="008E6F10">
        <w:t xml:space="preserve">. An integrated transport policy should specify </w:t>
      </w:r>
      <w:r w:rsidR="00720D43">
        <w:t xml:space="preserve">that </w:t>
      </w:r>
      <w:r w:rsidR="00740DB0" w:rsidRPr="008E6F10">
        <w:t xml:space="preserve">air pollution reduction </w:t>
      </w:r>
      <w:r w:rsidR="00720D43">
        <w:t xml:space="preserve">is </w:t>
      </w:r>
      <w:r w:rsidR="00740DB0" w:rsidRPr="008E6F10">
        <w:t>an objective and set realistic target emission levels that can be achieved by a budget-constrained action plan against the baseline. Inter-ministerial collaboration is critical for data sharing, knowledge exchange, policy-making and implementation. Potential collaboration methods include consulting with the environment ministry or environmental experts to ensure that transport policy and action plans are technically feasibility and consistent with other elements of environment policies.</w:t>
      </w:r>
    </w:p>
    <w:p w:rsidR="007C753E" w:rsidRDefault="00CE3B94" w:rsidP="00A930B0">
      <w:r w:rsidRPr="008E6F10">
        <w:rPr>
          <w:b/>
        </w:rPr>
        <w:lastRenderedPageBreak/>
        <w:t>R</w:t>
      </w:r>
      <w:r w:rsidR="00CE51B8" w:rsidRPr="008E6F10">
        <w:rPr>
          <w:b/>
        </w:rPr>
        <w:t>egulations</w:t>
      </w:r>
      <w:r w:rsidR="00125901">
        <w:rPr>
          <w:b/>
        </w:rPr>
        <w:t xml:space="preserve"> and enforcement: </w:t>
      </w:r>
      <w:r w:rsidR="00200EB2">
        <w:rPr>
          <w:b/>
        </w:rPr>
        <w:t>reinstat</w:t>
      </w:r>
      <w:r w:rsidR="00A930B0">
        <w:rPr>
          <w:b/>
        </w:rPr>
        <w:t>ing</w:t>
      </w:r>
      <w:r w:rsidR="00200EB2">
        <w:rPr>
          <w:b/>
        </w:rPr>
        <w:t xml:space="preserve"> fuel quality inspection</w:t>
      </w:r>
      <w:r w:rsidR="00A930B0">
        <w:t xml:space="preserve">. </w:t>
      </w:r>
      <w:r w:rsidR="00D8242B">
        <w:t xml:space="preserve"> </w:t>
      </w:r>
      <w:r w:rsidR="00720D43">
        <w:t>To control the quality of motor fuels, s</w:t>
      </w:r>
      <w:r w:rsidR="00DB7723">
        <w:t xml:space="preserve">everal </w:t>
      </w:r>
      <w:r w:rsidR="00D8242B">
        <w:t>other former Soviet Union countries</w:t>
      </w:r>
      <w:r w:rsidR="00DB7723">
        <w:t xml:space="preserve"> have employed </w:t>
      </w:r>
      <w:r w:rsidR="00720D43">
        <w:t>regulatory and fiscal measures that are more strict</w:t>
      </w:r>
      <w:r w:rsidR="00DB7723">
        <w:t xml:space="preserve"> and comprehensive than </w:t>
      </w:r>
      <w:r w:rsidR="00720D43">
        <w:t xml:space="preserve">those in </w:t>
      </w:r>
      <w:r w:rsidR="00DB7723">
        <w:t xml:space="preserve">Georgia, as summarized in </w:t>
      </w:r>
      <w:fldSimple w:instr=" REF _Ref324605144 \h  \* MERGEFORMAT ">
        <w:r w:rsidR="00AA3F1A" w:rsidRPr="00AA3F1A">
          <w:t xml:space="preserve">Table </w:t>
        </w:r>
        <w:r w:rsidR="00AA3F1A" w:rsidRPr="00AA3F1A">
          <w:rPr>
            <w:noProof/>
          </w:rPr>
          <w:t>2</w:t>
        </w:r>
      </w:fldSimple>
      <w:r w:rsidR="00D8242B">
        <w:t xml:space="preserve">.  </w:t>
      </w:r>
      <w:r w:rsidR="00DB7723">
        <w:t xml:space="preserve">The </w:t>
      </w:r>
      <w:r w:rsidR="00DD27EA">
        <w:t>Presidential Decree 302 (2001), which envisaged upgrading motor fuel</w:t>
      </w:r>
      <w:r w:rsidR="00720D43">
        <w:t xml:space="preserve"> quality</w:t>
      </w:r>
      <w:r w:rsidR="00DD27EA">
        <w:t xml:space="preserve"> in Georgia to European standards</w:t>
      </w:r>
      <w:r w:rsidR="00DB7723">
        <w:t>, needs to be revisited</w:t>
      </w:r>
      <w:r w:rsidR="00DD27EA">
        <w:t xml:space="preserve">.  </w:t>
      </w:r>
      <w:r w:rsidR="00720D43">
        <w:t>G</w:t>
      </w:r>
      <w:r w:rsidR="0001018D" w:rsidRPr="007C753E">
        <w:t>uidelines and regulations on quality norms</w:t>
      </w:r>
      <w:r w:rsidR="00200EB2">
        <w:t xml:space="preserve"> on motor fuels</w:t>
      </w:r>
      <w:r w:rsidR="003745EC">
        <w:t xml:space="preserve"> </w:t>
      </w:r>
      <w:r w:rsidR="0001018D" w:rsidRPr="007C753E">
        <w:t xml:space="preserve">should be </w:t>
      </w:r>
      <w:r w:rsidR="003745EC">
        <w:t xml:space="preserve">strictly </w:t>
      </w:r>
      <w:r w:rsidR="0001018D" w:rsidRPr="007C753E">
        <w:t xml:space="preserve">enforced, rather than </w:t>
      </w:r>
      <w:r w:rsidR="00740DB0" w:rsidRPr="007C753E">
        <w:t xml:space="preserve">relying on </w:t>
      </w:r>
      <w:r w:rsidR="0001018D" w:rsidRPr="007C753E">
        <w:t xml:space="preserve">the current </w:t>
      </w:r>
      <w:r w:rsidR="00740DB0" w:rsidRPr="007C753E">
        <w:t>voluntary agreements.</w:t>
      </w:r>
      <w:r w:rsidR="00A930B0">
        <w:rPr>
          <w:rStyle w:val="FootnoteReference"/>
        </w:rPr>
        <w:footnoteReference w:id="24"/>
      </w:r>
      <w:r w:rsidR="00740DB0" w:rsidRPr="007C753E">
        <w:t xml:space="preserve"> </w:t>
      </w:r>
      <w:r w:rsidR="00A930B0">
        <w:t xml:space="preserve"> </w:t>
      </w:r>
      <w:r w:rsidR="00720D43">
        <w:t>It should be feasible to implement</w:t>
      </w:r>
      <w:r w:rsidR="00740DB0" w:rsidRPr="007C753E">
        <w:t xml:space="preserve"> this policy at low transaction costs because only a few companies in Georgia import petroleum products. Tighter regulations </w:t>
      </w:r>
      <w:r w:rsidR="00D476AB" w:rsidRPr="007C753E">
        <w:t xml:space="preserve">are </w:t>
      </w:r>
      <w:r w:rsidR="00720D43">
        <w:t>un</w:t>
      </w:r>
      <w:r w:rsidR="00D476AB" w:rsidRPr="007C753E">
        <w:t xml:space="preserve">likely to </w:t>
      </w:r>
      <w:r w:rsidR="00740DB0" w:rsidRPr="007C753E">
        <w:t>result in supply shortages; in fact worldwide, most countries enforce strict standards on pollutants per unit of gasoline or diesel, including European countries from which Georgia imports about half of its petroleum demand.</w:t>
      </w:r>
    </w:p>
    <w:p w:rsidR="00EC2918" w:rsidRPr="00624B2C" w:rsidRDefault="00F74881" w:rsidP="008E076F">
      <w:pPr>
        <w:pStyle w:val="Caption"/>
        <w:keepNext/>
        <w:spacing w:before="120" w:after="120"/>
        <w:rPr>
          <w:b w:val="0"/>
          <w:color w:val="auto"/>
          <w:sz w:val="20"/>
          <w:szCs w:val="20"/>
        </w:rPr>
      </w:pPr>
      <w:bookmarkStart w:id="41" w:name="_Ref324605144"/>
      <w:bookmarkStart w:id="42" w:name="_Toc324684701"/>
      <w:bookmarkStart w:id="43" w:name="_Toc326892893"/>
      <w:r w:rsidRPr="00F74881">
        <w:rPr>
          <w:color w:val="auto"/>
          <w:sz w:val="20"/>
          <w:szCs w:val="20"/>
        </w:rPr>
        <w:t xml:space="preserve">Table </w:t>
      </w:r>
      <w:r w:rsidR="001A7AF8" w:rsidRPr="00F74881">
        <w:rPr>
          <w:color w:val="auto"/>
          <w:sz w:val="20"/>
          <w:szCs w:val="20"/>
        </w:rPr>
        <w:fldChar w:fldCharType="begin"/>
      </w:r>
      <w:r w:rsidRPr="00F74881">
        <w:rPr>
          <w:color w:val="auto"/>
          <w:sz w:val="20"/>
          <w:szCs w:val="20"/>
        </w:rPr>
        <w:instrText xml:space="preserve"> SEQ Table \* ARABIC </w:instrText>
      </w:r>
      <w:r w:rsidR="001A7AF8" w:rsidRPr="00F74881">
        <w:rPr>
          <w:color w:val="auto"/>
          <w:sz w:val="20"/>
          <w:szCs w:val="20"/>
        </w:rPr>
        <w:fldChar w:fldCharType="separate"/>
      </w:r>
      <w:r w:rsidR="00FD595C">
        <w:rPr>
          <w:noProof/>
          <w:color w:val="auto"/>
          <w:sz w:val="20"/>
          <w:szCs w:val="20"/>
        </w:rPr>
        <w:t>2</w:t>
      </w:r>
      <w:r w:rsidR="001A7AF8" w:rsidRPr="00F74881">
        <w:rPr>
          <w:color w:val="auto"/>
          <w:sz w:val="20"/>
          <w:szCs w:val="20"/>
        </w:rPr>
        <w:fldChar w:fldCharType="end"/>
      </w:r>
      <w:bookmarkEnd w:id="41"/>
      <w:r w:rsidR="00AA3F1A">
        <w:rPr>
          <w:color w:val="auto"/>
          <w:sz w:val="20"/>
          <w:szCs w:val="20"/>
        </w:rPr>
        <w:t xml:space="preserve">: </w:t>
      </w:r>
      <w:r w:rsidR="00D8242B" w:rsidRPr="00624B2C">
        <w:rPr>
          <w:b w:val="0"/>
          <w:color w:val="auto"/>
          <w:sz w:val="20"/>
          <w:szCs w:val="20"/>
        </w:rPr>
        <w:t>Measures that promote cleaner fuels in Eastern Europe, South Caucasus and Central Asia</w:t>
      </w:r>
      <w:bookmarkEnd w:id="42"/>
      <w:bookmarkEnd w:id="43"/>
    </w:p>
    <w:tbl>
      <w:tblPr>
        <w:tblStyle w:val="TableGrid"/>
        <w:tblW w:w="9434" w:type="dxa"/>
        <w:jc w:val="center"/>
        <w:tblBorders>
          <w:top w:val="single" w:sz="12" w:space="0" w:color="auto"/>
          <w:left w:val="none" w:sz="0" w:space="0" w:color="auto"/>
          <w:bottom w:val="single" w:sz="12" w:space="0" w:color="auto"/>
          <w:right w:val="none" w:sz="0" w:space="0" w:color="auto"/>
          <w:insideV w:val="none" w:sz="0" w:space="0" w:color="auto"/>
        </w:tblBorders>
        <w:tblLayout w:type="fixed"/>
        <w:tblCellMar>
          <w:left w:w="72" w:type="dxa"/>
          <w:right w:w="72" w:type="dxa"/>
        </w:tblCellMar>
        <w:tblLook w:val="04A0"/>
      </w:tblPr>
      <w:tblGrid>
        <w:gridCol w:w="1117"/>
        <w:gridCol w:w="8317"/>
      </w:tblGrid>
      <w:tr w:rsidR="00EC2918" w:rsidRPr="00645874" w:rsidTr="00CA14FB">
        <w:trPr>
          <w:trHeight w:val="70"/>
          <w:jc w:val="center"/>
        </w:trPr>
        <w:tc>
          <w:tcPr>
            <w:tcW w:w="1117" w:type="dxa"/>
            <w:noWrap/>
            <w:vAlign w:val="center"/>
            <w:hideMark/>
          </w:tcPr>
          <w:p w:rsidR="00EC2918" w:rsidRPr="00B36079" w:rsidRDefault="00D8242B" w:rsidP="00EC2918">
            <w:pPr>
              <w:spacing w:after="0"/>
              <w:jc w:val="left"/>
              <w:rPr>
                <w:b/>
                <w:sz w:val="20"/>
                <w:szCs w:val="20"/>
              </w:rPr>
            </w:pPr>
            <w:r>
              <w:rPr>
                <w:b/>
                <w:sz w:val="20"/>
                <w:szCs w:val="20"/>
              </w:rPr>
              <w:t>Country</w:t>
            </w:r>
          </w:p>
        </w:tc>
        <w:tc>
          <w:tcPr>
            <w:tcW w:w="8317" w:type="dxa"/>
            <w:noWrap/>
            <w:vAlign w:val="center"/>
            <w:hideMark/>
          </w:tcPr>
          <w:p w:rsidR="00EC2918" w:rsidRPr="00B36079" w:rsidRDefault="00D8242B" w:rsidP="00EC2918">
            <w:pPr>
              <w:spacing w:after="0"/>
              <w:jc w:val="left"/>
              <w:rPr>
                <w:b/>
                <w:sz w:val="20"/>
                <w:szCs w:val="20"/>
              </w:rPr>
            </w:pPr>
            <w:r>
              <w:rPr>
                <w:b/>
                <w:sz w:val="20"/>
                <w:szCs w:val="20"/>
              </w:rPr>
              <w:t>Measures</w:t>
            </w:r>
          </w:p>
        </w:tc>
      </w:tr>
      <w:tr w:rsidR="00EC2918" w:rsidRPr="00645874" w:rsidTr="00CA14FB">
        <w:trPr>
          <w:trHeight w:val="125"/>
          <w:jc w:val="center"/>
        </w:trPr>
        <w:tc>
          <w:tcPr>
            <w:tcW w:w="1117" w:type="dxa"/>
            <w:noWrap/>
            <w:vAlign w:val="center"/>
            <w:hideMark/>
          </w:tcPr>
          <w:p w:rsidR="00EC2918" w:rsidRPr="00A4257F" w:rsidRDefault="00D8242B" w:rsidP="00EC2918">
            <w:pPr>
              <w:spacing w:after="0"/>
              <w:jc w:val="left"/>
              <w:rPr>
                <w:sz w:val="20"/>
                <w:szCs w:val="20"/>
              </w:rPr>
            </w:pPr>
            <w:r>
              <w:rPr>
                <w:sz w:val="20"/>
                <w:szCs w:val="20"/>
              </w:rPr>
              <w:t>Armenia</w:t>
            </w:r>
          </w:p>
        </w:tc>
        <w:tc>
          <w:tcPr>
            <w:tcW w:w="8317" w:type="dxa"/>
            <w:noWrap/>
            <w:vAlign w:val="center"/>
            <w:hideMark/>
          </w:tcPr>
          <w:p w:rsidR="00D8242B" w:rsidRDefault="00D8242B" w:rsidP="00197EC3">
            <w:pPr>
              <w:pStyle w:val="ListParagraph"/>
              <w:numPr>
                <w:ilvl w:val="0"/>
                <w:numId w:val="7"/>
              </w:numPr>
              <w:spacing w:after="0"/>
              <w:ind w:left="198" w:hanging="180"/>
              <w:jc w:val="left"/>
              <w:rPr>
                <w:sz w:val="20"/>
                <w:szCs w:val="20"/>
              </w:rPr>
            </w:pPr>
            <w:r w:rsidRPr="00D8242B">
              <w:rPr>
                <w:sz w:val="20"/>
                <w:szCs w:val="20"/>
              </w:rPr>
              <w:t>Production and importation of leaded petrol banned from September 29, 2001</w:t>
            </w:r>
          </w:p>
          <w:p w:rsidR="00D8242B" w:rsidRPr="00D8242B" w:rsidRDefault="00D8242B" w:rsidP="00197EC3">
            <w:pPr>
              <w:pStyle w:val="ListParagraph"/>
              <w:numPr>
                <w:ilvl w:val="0"/>
                <w:numId w:val="7"/>
              </w:numPr>
              <w:spacing w:after="0"/>
              <w:ind w:left="198" w:hanging="180"/>
              <w:jc w:val="left"/>
              <w:rPr>
                <w:sz w:val="20"/>
                <w:szCs w:val="20"/>
              </w:rPr>
            </w:pPr>
            <w:r>
              <w:rPr>
                <w:sz w:val="20"/>
                <w:szCs w:val="20"/>
              </w:rPr>
              <w:t xml:space="preserve">Rates </w:t>
            </w:r>
            <w:r w:rsidRPr="00D8242B">
              <w:rPr>
                <w:sz w:val="20"/>
                <w:szCs w:val="20"/>
              </w:rPr>
              <w:t>of envir</w:t>
            </w:r>
            <w:r>
              <w:rPr>
                <w:sz w:val="20"/>
                <w:szCs w:val="20"/>
              </w:rPr>
              <w:t>onmental tax of vehicles depend</w:t>
            </w:r>
            <w:r w:rsidRPr="00D8242B">
              <w:rPr>
                <w:sz w:val="20"/>
                <w:szCs w:val="20"/>
              </w:rPr>
              <w:t xml:space="preserve"> on type of fuel used;</w:t>
            </w:r>
          </w:p>
          <w:p w:rsidR="00EC2918" w:rsidRPr="00D8242B" w:rsidRDefault="00D8242B" w:rsidP="00197EC3">
            <w:pPr>
              <w:pStyle w:val="ListParagraph"/>
              <w:numPr>
                <w:ilvl w:val="0"/>
                <w:numId w:val="7"/>
              </w:numPr>
              <w:spacing w:after="0"/>
              <w:ind w:left="198" w:hanging="180"/>
              <w:jc w:val="left"/>
              <w:rPr>
                <w:sz w:val="20"/>
                <w:szCs w:val="20"/>
              </w:rPr>
            </w:pPr>
            <w:r w:rsidRPr="00D8242B">
              <w:rPr>
                <w:sz w:val="20"/>
                <w:szCs w:val="20"/>
              </w:rPr>
              <w:t>Possibilities and potential of bio</w:t>
            </w:r>
            <w:r>
              <w:rPr>
                <w:sz w:val="20"/>
                <w:szCs w:val="20"/>
              </w:rPr>
              <w:t>-</w:t>
            </w:r>
            <w:r w:rsidRPr="00D8242B">
              <w:rPr>
                <w:sz w:val="20"/>
                <w:szCs w:val="20"/>
              </w:rPr>
              <w:t>fuel production being considered.</w:t>
            </w:r>
          </w:p>
        </w:tc>
      </w:tr>
      <w:tr w:rsidR="00EC2918" w:rsidRPr="00645874" w:rsidTr="00CA14FB">
        <w:trPr>
          <w:trHeight w:val="98"/>
          <w:jc w:val="center"/>
        </w:trPr>
        <w:tc>
          <w:tcPr>
            <w:tcW w:w="1117" w:type="dxa"/>
            <w:noWrap/>
            <w:vAlign w:val="center"/>
            <w:hideMark/>
          </w:tcPr>
          <w:p w:rsidR="00EC2918" w:rsidRPr="00A4257F" w:rsidRDefault="00D8242B" w:rsidP="00EC2918">
            <w:pPr>
              <w:spacing w:after="0"/>
              <w:jc w:val="left"/>
              <w:rPr>
                <w:sz w:val="20"/>
                <w:szCs w:val="20"/>
              </w:rPr>
            </w:pPr>
            <w:r>
              <w:rPr>
                <w:sz w:val="20"/>
                <w:szCs w:val="20"/>
              </w:rPr>
              <w:t>Azerbaijan</w:t>
            </w:r>
          </w:p>
        </w:tc>
        <w:tc>
          <w:tcPr>
            <w:tcW w:w="8317" w:type="dxa"/>
            <w:noWrap/>
            <w:vAlign w:val="center"/>
            <w:hideMark/>
          </w:tcPr>
          <w:p w:rsidR="00D8242B" w:rsidRDefault="00D8242B" w:rsidP="00197EC3">
            <w:pPr>
              <w:pStyle w:val="ListParagraph"/>
              <w:numPr>
                <w:ilvl w:val="0"/>
                <w:numId w:val="7"/>
              </w:numPr>
              <w:spacing w:after="0"/>
              <w:ind w:left="198" w:hanging="180"/>
              <w:jc w:val="left"/>
              <w:rPr>
                <w:sz w:val="20"/>
                <w:szCs w:val="20"/>
              </w:rPr>
            </w:pPr>
            <w:r w:rsidRPr="00D8242B">
              <w:rPr>
                <w:sz w:val="20"/>
                <w:szCs w:val="20"/>
              </w:rPr>
              <w:t>Leaded gasoline production stopped since 1995;</w:t>
            </w:r>
          </w:p>
          <w:p w:rsidR="00D8242B" w:rsidRPr="00D8242B" w:rsidRDefault="00D8242B" w:rsidP="00197EC3">
            <w:pPr>
              <w:pStyle w:val="ListParagraph"/>
              <w:numPr>
                <w:ilvl w:val="0"/>
                <w:numId w:val="7"/>
              </w:numPr>
              <w:spacing w:after="0"/>
              <w:ind w:left="198" w:hanging="180"/>
              <w:jc w:val="left"/>
              <w:rPr>
                <w:sz w:val="20"/>
                <w:szCs w:val="20"/>
              </w:rPr>
            </w:pPr>
            <w:r w:rsidRPr="00D8242B">
              <w:rPr>
                <w:sz w:val="20"/>
                <w:szCs w:val="20"/>
              </w:rPr>
              <w:t xml:space="preserve">Harmonization with </w:t>
            </w:r>
            <w:r>
              <w:rPr>
                <w:sz w:val="20"/>
                <w:szCs w:val="20"/>
              </w:rPr>
              <w:t>EU</w:t>
            </w:r>
            <w:r w:rsidRPr="00D8242B">
              <w:rPr>
                <w:sz w:val="20"/>
                <w:szCs w:val="20"/>
              </w:rPr>
              <w:t xml:space="preserve"> requirements of standards for diesel fuel</w:t>
            </w:r>
            <w:r w:rsidR="00720D43">
              <w:rPr>
                <w:sz w:val="20"/>
                <w:szCs w:val="20"/>
              </w:rPr>
              <w:t>;</w:t>
            </w:r>
          </w:p>
          <w:p w:rsidR="00EC2918" w:rsidRPr="00D8242B" w:rsidRDefault="00D8242B" w:rsidP="00197EC3">
            <w:pPr>
              <w:pStyle w:val="ListParagraph"/>
              <w:numPr>
                <w:ilvl w:val="0"/>
                <w:numId w:val="7"/>
              </w:numPr>
              <w:spacing w:after="0"/>
              <w:ind w:left="198" w:hanging="180"/>
              <w:jc w:val="left"/>
              <w:rPr>
                <w:sz w:val="20"/>
                <w:szCs w:val="20"/>
              </w:rPr>
            </w:pPr>
            <w:r w:rsidRPr="00D8242B">
              <w:rPr>
                <w:sz w:val="20"/>
                <w:szCs w:val="20"/>
              </w:rPr>
              <w:t>Imported fuel-lubrication materials planned for 2008-2012</w:t>
            </w:r>
          </w:p>
        </w:tc>
      </w:tr>
      <w:tr w:rsidR="00EC2918" w:rsidRPr="00645874" w:rsidTr="00CA14FB">
        <w:trPr>
          <w:trHeight w:val="70"/>
          <w:jc w:val="center"/>
        </w:trPr>
        <w:tc>
          <w:tcPr>
            <w:tcW w:w="1117" w:type="dxa"/>
            <w:noWrap/>
            <w:vAlign w:val="center"/>
            <w:hideMark/>
          </w:tcPr>
          <w:p w:rsidR="00EC2918" w:rsidRDefault="00D8242B" w:rsidP="00EC2918">
            <w:pPr>
              <w:spacing w:after="0"/>
              <w:jc w:val="left"/>
              <w:rPr>
                <w:sz w:val="20"/>
                <w:szCs w:val="20"/>
              </w:rPr>
            </w:pPr>
            <w:r>
              <w:rPr>
                <w:sz w:val="20"/>
                <w:szCs w:val="20"/>
              </w:rPr>
              <w:t>Moldova</w:t>
            </w:r>
          </w:p>
        </w:tc>
        <w:tc>
          <w:tcPr>
            <w:tcW w:w="8317" w:type="dxa"/>
            <w:noWrap/>
            <w:vAlign w:val="center"/>
            <w:hideMark/>
          </w:tcPr>
          <w:p w:rsidR="00D8242B" w:rsidRDefault="00D8242B" w:rsidP="00197EC3">
            <w:pPr>
              <w:pStyle w:val="ListParagraph"/>
              <w:numPr>
                <w:ilvl w:val="0"/>
                <w:numId w:val="7"/>
              </w:numPr>
              <w:spacing w:after="0"/>
              <w:ind w:left="198" w:hanging="180"/>
              <w:jc w:val="left"/>
              <w:rPr>
                <w:sz w:val="20"/>
                <w:szCs w:val="20"/>
              </w:rPr>
            </w:pPr>
            <w:r w:rsidRPr="00D8242B">
              <w:rPr>
                <w:sz w:val="20"/>
                <w:szCs w:val="20"/>
              </w:rPr>
              <w:t>Use of leaded petrol banned from September 1, 1998</w:t>
            </w:r>
          </w:p>
          <w:p w:rsidR="00D8242B" w:rsidRDefault="00D8242B" w:rsidP="00197EC3">
            <w:pPr>
              <w:pStyle w:val="ListParagraph"/>
              <w:numPr>
                <w:ilvl w:val="0"/>
                <w:numId w:val="7"/>
              </w:numPr>
              <w:spacing w:after="0"/>
              <w:ind w:left="198" w:hanging="180"/>
              <w:jc w:val="left"/>
              <w:rPr>
                <w:sz w:val="20"/>
                <w:szCs w:val="20"/>
              </w:rPr>
            </w:pPr>
            <w:r w:rsidRPr="00D8242B">
              <w:rPr>
                <w:sz w:val="20"/>
                <w:szCs w:val="20"/>
              </w:rPr>
              <w:t>Importation, storage and trade of leaded petrol prohibited in 2002</w:t>
            </w:r>
          </w:p>
          <w:p w:rsidR="00D8242B" w:rsidRPr="00D8242B" w:rsidRDefault="00D8242B" w:rsidP="00197EC3">
            <w:pPr>
              <w:pStyle w:val="ListParagraph"/>
              <w:numPr>
                <w:ilvl w:val="0"/>
                <w:numId w:val="7"/>
              </w:numPr>
              <w:spacing w:after="0"/>
              <w:ind w:left="198" w:hanging="180"/>
              <w:jc w:val="left"/>
              <w:rPr>
                <w:sz w:val="20"/>
                <w:szCs w:val="20"/>
              </w:rPr>
            </w:pPr>
            <w:r w:rsidRPr="00D8242B">
              <w:rPr>
                <w:sz w:val="20"/>
                <w:szCs w:val="20"/>
              </w:rPr>
              <w:t xml:space="preserve">Environment pollution tax for leaded petrol and diesel fuel </w:t>
            </w:r>
            <w:r w:rsidR="00720D43">
              <w:rPr>
                <w:sz w:val="20"/>
                <w:szCs w:val="20"/>
              </w:rPr>
              <w:t xml:space="preserve">double that of </w:t>
            </w:r>
            <w:r w:rsidRPr="00D8242B">
              <w:rPr>
                <w:sz w:val="20"/>
                <w:szCs w:val="20"/>
              </w:rPr>
              <w:t>unleaded petrol</w:t>
            </w:r>
          </w:p>
          <w:p w:rsidR="00D8242B" w:rsidRDefault="00720D43" w:rsidP="00197EC3">
            <w:pPr>
              <w:pStyle w:val="ListParagraph"/>
              <w:numPr>
                <w:ilvl w:val="0"/>
                <w:numId w:val="7"/>
              </w:numPr>
              <w:spacing w:after="0"/>
              <w:ind w:left="198" w:hanging="180"/>
              <w:jc w:val="left"/>
              <w:rPr>
                <w:sz w:val="20"/>
                <w:szCs w:val="20"/>
              </w:rPr>
            </w:pPr>
            <w:r>
              <w:rPr>
                <w:sz w:val="20"/>
                <w:szCs w:val="20"/>
              </w:rPr>
              <w:t>Planned r</w:t>
            </w:r>
            <w:r w:rsidR="00D8242B" w:rsidRPr="00D8242B">
              <w:rPr>
                <w:sz w:val="20"/>
                <w:szCs w:val="20"/>
              </w:rPr>
              <w:t>eduction of sul</w:t>
            </w:r>
            <w:r w:rsidR="00D8242B">
              <w:rPr>
                <w:sz w:val="20"/>
                <w:szCs w:val="20"/>
              </w:rPr>
              <w:t>f</w:t>
            </w:r>
            <w:r>
              <w:rPr>
                <w:sz w:val="20"/>
                <w:szCs w:val="20"/>
              </w:rPr>
              <w:t>ur content in fuel</w:t>
            </w:r>
          </w:p>
          <w:p w:rsidR="00D8242B" w:rsidRDefault="00D8242B" w:rsidP="00197EC3">
            <w:pPr>
              <w:pStyle w:val="ListParagraph"/>
              <w:numPr>
                <w:ilvl w:val="0"/>
                <w:numId w:val="7"/>
              </w:numPr>
              <w:spacing w:after="0"/>
              <w:ind w:left="198" w:hanging="180"/>
              <w:jc w:val="left"/>
              <w:rPr>
                <w:sz w:val="20"/>
                <w:szCs w:val="20"/>
              </w:rPr>
            </w:pPr>
            <w:r w:rsidRPr="00D8242B">
              <w:rPr>
                <w:sz w:val="20"/>
                <w:szCs w:val="20"/>
              </w:rPr>
              <w:t>State stimulation of bio</w:t>
            </w:r>
            <w:r>
              <w:rPr>
                <w:sz w:val="20"/>
                <w:szCs w:val="20"/>
              </w:rPr>
              <w:t>-</w:t>
            </w:r>
            <w:r w:rsidRPr="00D8242B">
              <w:rPr>
                <w:sz w:val="20"/>
                <w:szCs w:val="20"/>
              </w:rPr>
              <w:t>fuel indicated in law</w:t>
            </w:r>
          </w:p>
          <w:p w:rsidR="00EC2918" w:rsidRPr="00AC3FFC" w:rsidRDefault="00D8242B" w:rsidP="00720D43">
            <w:pPr>
              <w:pStyle w:val="ListParagraph"/>
              <w:numPr>
                <w:ilvl w:val="0"/>
                <w:numId w:val="7"/>
              </w:numPr>
              <w:spacing w:after="0"/>
              <w:ind w:left="198" w:hanging="180"/>
              <w:jc w:val="left"/>
              <w:rPr>
                <w:sz w:val="20"/>
                <w:szCs w:val="20"/>
              </w:rPr>
            </w:pPr>
            <w:r w:rsidRPr="00D8242B">
              <w:rPr>
                <w:sz w:val="20"/>
                <w:szCs w:val="20"/>
              </w:rPr>
              <w:t xml:space="preserve">State energy strategy implies transposition of directive 2003/30/ЕС into national legislation by </w:t>
            </w:r>
            <w:r w:rsidRPr="00AC3FFC">
              <w:rPr>
                <w:sz w:val="20"/>
                <w:szCs w:val="20"/>
              </w:rPr>
              <w:t>2020 and increase</w:t>
            </w:r>
            <w:r w:rsidR="00720D43">
              <w:rPr>
                <w:sz w:val="20"/>
                <w:szCs w:val="20"/>
              </w:rPr>
              <w:t>d</w:t>
            </w:r>
            <w:r w:rsidRPr="00AC3FFC">
              <w:rPr>
                <w:sz w:val="20"/>
                <w:szCs w:val="20"/>
              </w:rPr>
              <w:t xml:space="preserve"> use of cleaner fuels including gaseous motor fuel.</w:t>
            </w:r>
          </w:p>
        </w:tc>
      </w:tr>
      <w:tr w:rsidR="00EC2918" w:rsidRPr="00645874" w:rsidTr="00CA14FB">
        <w:trPr>
          <w:trHeight w:val="70"/>
          <w:jc w:val="center"/>
        </w:trPr>
        <w:tc>
          <w:tcPr>
            <w:tcW w:w="1117" w:type="dxa"/>
            <w:noWrap/>
            <w:vAlign w:val="center"/>
            <w:hideMark/>
          </w:tcPr>
          <w:p w:rsidR="00EC2918" w:rsidRPr="00A4257F" w:rsidRDefault="00D8242B" w:rsidP="00EC2918">
            <w:pPr>
              <w:spacing w:after="0"/>
              <w:jc w:val="left"/>
              <w:rPr>
                <w:sz w:val="20"/>
                <w:szCs w:val="20"/>
              </w:rPr>
            </w:pPr>
            <w:r>
              <w:rPr>
                <w:sz w:val="20"/>
                <w:szCs w:val="20"/>
              </w:rPr>
              <w:t>Russia</w:t>
            </w:r>
          </w:p>
        </w:tc>
        <w:tc>
          <w:tcPr>
            <w:tcW w:w="8317" w:type="dxa"/>
            <w:noWrap/>
            <w:vAlign w:val="center"/>
            <w:hideMark/>
          </w:tcPr>
          <w:p w:rsidR="00D8242B" w:rsidRDefault="00D8242B" w:rsidP="00197EC3">
            <w:pPr>
              <w:pStyle w:val="ListParagraph"/>
              <w:numPr>
                <w:ilvl w:val="0"/>
                <w:numId w:val="7"/>
              </w:numPr>
              <w:spacing w:after="0"/>
              <w:ind w:left="198" w:hanging="180"/>
              <w:jc w:val="left"/>
              <w:rPr>
                <w:sz w:val="20"/>
                <w:szCs w:val="20"/>
              </w:rPr>
            </w:pPr>
            <w:r w:rsidRPr="00D8242B">
              <w:rPr>
                <w:sz w:val="20"/>
                <w:szCs w:val="20"/>
              </w:rPr>
              <w:t>Production and use of leaded gasoline is banned by federal law of 22.03.2003</w:t>
            </w:r>
          </w:p>
          <w:p w:rsidR="00D8242B" w:rsidRPr="00D8242B" w:rsidRDefault="00CA14FB" w:rsidP="00197EC3">
            <w:pPr>
              <w:pStyle w:val="ListParagraph"/>
              <w:numPr>
                <w:ilvl w:val="0"/>
                <w:numId w:val="7"/>
              </w:numPr>
              <w:spacing w:after="0"/>
              <w:ind w:left="198" w:hanging="180"/>
              <w:jc w:val="left"/>
              <w:rPr>
                <w:sz w:val="20"/>
                <w:szCs w:val="20"/>
              </w:rPr>
            </w:pPr>
            <w:r>
              <w:rPr>
                <w:sz w:val="20"/>
                <w:szCs w:val="20"/>
              </w:rPr>
              <w:t>S</w:t>
            </w:r>
            <w:r w:rsidR="00D8242B" w:rsidRPr="00D8242B">
              <w:rPr>
                <w:sz w:val="20"/>
                <w:szCs w:val="20"/>
              </w:rPr>
              <w:t xml:space="preserve">tricter </w:t>
            </w:r>
            <w:r w:rsidR="00720D43">
              <w:rPr>
                <w:sz w:val="20"/>
                <w:szCs w:val="20"/>
              </w:rPr>
              <w:t xml:space="preserve">limits </w:t>
            </w:r>
            <w:r w:rsidR="00D8242B" w:rsidRPr="00D8242B">
              <w:rPr>
                <w:sz w:val="20"/>
                <w:szCs w:val="20"/>
              </w:rPr>
              <w:t>for sul</w:t>
            </w:r>
            <w:r w:rsidR="00D8242B">
              <w:rPr>
                <w:sz w:val="20"/>
                <w:szCs w:val="20"/>
              </w:rPr>
              <w:t>f</w:t>
            </w:r>
            <w:r w:rsidR="00D8242B" w:rsidRPr="00D8242B">
              <w:rPr>
                <w:sz w:val="20"/>
                <w:szCs w:val="20"/>
              </w:rPr>
              <w:t xml:space="preserve">ur, benzene, aromatic hydrocarbons contents </w:t>
            </w:r>
            <w:r w:rsidR="00720D43">
              <w:rPr>
                <w:sz w:val="20"/>
                <w:szCs w:val="20"/>
              </w:rPr>
              <w:t xml:space="preserve">set </w:t>
            </w:r>
            <w:r w:rsidR="00D8242B" w:rsidRPr="00D8242B">
              <w:rPr>
                <w:sz w:val="20"/>
                <w:szCs w:val="20"/>
              </w:rPr>
              <w:t xml:space="preserve">for </w:t>
            </w:r>
            <w:r w:rsidR="00D8242B">
              <w:rPr>
                <w:sz w:val="20"/>
                <w:szCs w:val="20"/>
              </w:rPr>
              <w:t>f</w:t>
            </w:r>
            <w:r w:rsidR="00D8242B" w:rsidRPr="00D8242B">
              <w:rPr>
                <w:sz w:val="20"/>
                <w:szCs w:val="20"/>
              </w:rPr>
              <w:t>uels sold in Moscow</w:t>
            </w:r>
          </w:p>
          <w:p w:rsidR="00D8242B" w:rsidRPr="00D8242B" w:rsidRDefault="00720D43" w:rsidP="00197EC3">
            <w:pPr>
              <w:pStyle w:val="ListParagraph"/>
              <w:numPr>
                <w:ilvl w:val="0"/>
                <w:numId w:val="7"/>
              </w:numPr>
              <w:spacing w:after="0"/>
              <w:ind w:left="198" w:hanging="180"/>
              <w:jc w:val="left"/>
              <w:rPr>
                <w:sz w:val="20"/>
                <w:szCs w:val="20"/>
              </w:rPr>
            </w:pPr>
            <w:r>
              <w:rPr>
                <w:sz w:val="20"/>
                <w:szCs w:val="20"/>
              </w:rPr>
              <w:t>Implementing Moscow government p</w:t>
            </w:r>
            <w:r w:rsidR="00D8242B" w:rsidRPr="00D8242B">
              <w:rPr>
                <w:sz w:val="20"/>
                <w:szCs w:val="20"/>
              </w:rPr>
              <w:t xml:space="preserve">rogram </w:t>
            </w:r>
            <w:r>
              <w:rPr>
                <w:sz w:val="20"/>
                <w:szCs w:val="20"/>
              </w:rPr>
              <w:t xml:space="preserve">to </w:t>
            </w:r>
            <w:r w:rsidR="00D8242B" w:rsidRPr="00D8242B">
              <w:rPr>
                <w:sz w:val="20"/>
                <w:szCs w:val="20"/>
              </w:rPr>
              <w:t>use alternative fuels (natural gas, synthetic, etc.)</w:t>
            </w:r>
          </w:p>
          <w:p w:rsidR="00EC2918" w:rsidRPr="00D8242B" w:rsidRDefault="00D8242B" w:rsidP="00720D43">
            <w:pPr>
              <w:pStyle w:val="ListParagraph"/>
              <w:numPr>
                <w:ilvl w:val="0"/>
                <w:numId w:val="7"/>
              </w:numPr>
              <w:spacing w:after="0"/>
              <w:ind w:left="198" w:hanging="180"/>
              <w:jc w:val="left"/>
              <w:rPr>
                <w:sz w:val="20"/>
                <w:szCs w:val="20"/>
              </w:rPr>
            </w:pPr>
            <w:r>
              <w:rPr>
                <w:sz w:val="20"/>
                <w:szCs w:val="20"/>
              </w:rPr>
              <w:t>D</w:t>
            </w:r>
            <w:r w:rsidRPr="00D8242B">
              <w:rPr>
                <w:sz w:val="20"/>
                <w:szCs w:val="20"/>
              </w:rPr>
              <w:t xml:space="preserve">raft technical regulations developed </w:t>
            </w:r>
            <w:r w:rsidR="00720D43">
              <w:rPr>
                <w:sz w:val="20"/>
                <w:szCs w:val="20"/>
              </w:rPr>
              <w:t>to introduce</w:t>
            </w:r>
            <w:r w:rsidRPr="00D8242B">
              <w:rPr>
                <w:sz w:val="20"/>
                <w:szCs w:val="20"/>
              </w:rPr>
              <w:t xml:space="preserve"> </w:t>
            </w:r>
            <w:r w:rsidR="00AC3FFC">
              <w:rPr>
                <w:sz w:val="20"/>
                <w:szCs w:val="20"/>
              </w:rPr>
              <w:t>E</w:t>
            </w:r>
            <w:r w:rsidRPr="00D8242B">
              <w:rPr>
                <w:sz w:val="20"/>
                <w:szCs w:val="20"/>
              </w:rPr>
              <w:t xml:space="preserve">uro-2, </w:t>
            </w:r>
            <w:r w:rsidR="00AC3FFC">
              <w:rPr>
                <w:sz w:val="20"/>
                <w:szCs w:val="20"/>
              </w:rPr>
              <w:t>E</w:t>
            </w:r>
            <w:r w:rsidRPr="00D8242B">
              <w:rPr>
                <w:sz w:val="20"/>
                <w:szCs w:val="20"/>
              </w:rPr>
              <w:t xml:space="preserve">uro-3 and </w:t>
            </w:r>
            <w:r w:rsidR="00AC3FFC">
              <w:rPr>
                <w:sz w:val="20"/>
                <w:szCs w:val="20"/>
              </w:rPr>
              <w:t>E</w:t>
            </w:r>
            <w:r w:rsidRPr="00D8242B">
              <w:rPr>
                <w:sz w:val="20"/>
                <w:szCs w:val="20"/>
              </w:rPr>
              <w:t xml:space="preserve">uro-4 standards for </w:t>
            </w:r>
            <w:r>
              <w:rPr>
                <w:sz w:val="20"/>
                <w:szCs w:val="20"/>
              </w:rPr>
              <w:t>a</w:t>
            </w:r>
            <w:r w:rsidRPr="00D8242B">
              <w:rPr>
                <w:sz w:val="20"/>
                <w:szCs w:val="20"/>
              </w:rPr>
              <w:t>utomobile fuel production and use.</w:t>
            </w:r>
          </w:p>
        </w:tc>
      </w:tr>
      <w:tr w:rsidR="00EC2918" w:rsidRPr="00645874" w:rsidTr="00CA14FB">
        <w:trPr>
          <w:trHeight w:val="70"/>
          <w:jc w:val="center"/>
        </w:trPr>
        <w:tc>
          <w:tcPr>
            <w:tcW w:w="1117" w:type="dxa"/>
            <w:noWrap/>
            <w:vAlign w:val="center"/>
            <w:hideMark/>
          </w:tcPr>
          <w:p w:rsidR="00EC2918" w:rsidRDefault="00D8242B" w:rsidP="00EC2918">
            <w:pPr>
              <w:spacing w:after="0"/>
              <w:jc w:val="left"/>
              <w:rPr>
                <w:sz w:val="20"/>
                <w:szCs w:val="20"/>
              </w:rPr>
            </w:pPr>
            <w:r>
              <w:rPr>
                <w:sz w:val="20"/>
                <w:szCs w:val="20"/>
              </w:rPr>
              <w:t>Uzbekistan</w:t>
            </w:r>
          </w:p>
        </w:tc>
        <w:tc>
          <w:tcPr>
            <w:tcW w:w="8317" w:type="dxa"/>
            <w:noWrap/>
            <w:vAlign w:val="center"/>
            <w:hideMark/>
          </w:tcPr>
          <w:p w:rsidR="00D8242B" w:rsidRDefault="00720D43" w:rsidP="00197EC3">
            <w:pPr>
              <w:pStyle w:val="ListParagraph"/>
              <w:numPr>
                <w:ilvl w:val="0"/>
                <w:numId w:val="7"/>
              </w:numPr>
              <w:spacing w:after="0"/>
              <w:ind w:left="198" w:hanging="180"/>
              <w:jc w:val="left"/>
              <w:rPr>
                <w:sz w:val="20"/>
                <w:szCs w:val="20"/>
              </w:rPr>
            </w:pPr>
            <w:r>
              <w:rPr>
                <w:sz w:val="20"/>
                <w:szCs w:val="20"/>
              </w:rPr>
              <w:t>Elaborated n</w:t>
            </w:r>
            <w:r w:rsidR="00D8242B" w:rsidRPr="00D8242B">
              <w:rPr>
                <w:sz w:val="20"/>
                <w:szCs w:val="20"/>
              </w:rPr>
              <w:t>ational program of phasing out leaded petrol</w:t>
            </w:r>
          </w:p>
          <w:p w:rsidR="00D8242B" w:rsidRPr="00D8242B" w:rsidRDefault="00D8242B" w:rsidP="00197EC3">
            <w:pPr>
              <w:pStyle w:val="ListParagraph"/>
              <w:numPr>
                <w:ilvl w:val="0"/>
                <w:numId w:val="7"/>
              </w:numPr>
              <w:spacing w:after="0"/>
              <w:ind w:left="198" w:hanging="180"/>
              <w:jc w:val="left"/>
              <w:rPr>
                <w:sz w:val="20"/>
                <w:szCs w:val="20"/>
              </w:rPr>
            </w:pPr>
            <w:r>
              <w:rPr>
                <w:sz w:val="20"/>
                <w:szCs w:val="20"/>
              </w:rPr>
              <w:t>F</w:t>
            </w:r>
            <w:r w:rsidR="00720D43">
              <w:rPr>
                <w:sz w:val="20"/>
                <w:szCs w:val="20"/>
              </w:rPr>
              <w:t>ergana refinery eliminated</w:t>
            </w:r>
            <w:r w:rsidRPr="00D8242B">
              <w:rPr>
                <w:sz w:val="20"/>
                <w:szCs w:val="20"/>
              </w:rPr>
              <w:t xml:space="preserve"> use of lead additives </w:t>
            </w:r>
            <w:r w:rsidR="00720D43">
              <w:rPr>
                <w:sz w:val="20"/>
                <w:szCs w:val="20"/>
              </w:rPr>
              <w:t xml:space="preserve">for </w:t>
            </w:r>
            <w:r w:rsidRPr="00D8242B">
              <w:rPr>
                <w:sz w:val="20"/>
                <w:szCs w:val="20"/>
              </w:rPr>
              <w:t xml:space="preserve">petrol </w:t>
            </w:r>
            <w:r w:rsidR="00720D43">
              <w:rPr>
                <w:sz w:val="20"/>
                <w:szCs w:val="20"/>
              </w:rPr>
              <w:t xml:space="preserve">in </w:t>
            </w:r>
            <w:r w:rsidRPr="00D8242B">
              <w:rPr>
                <w:sz w:val="20"/>
                <w:szCs w:val="20"/>
              </w:rPr>
              <w:t xml:space="preserve">2008 and is working </w:t>
            </w:r>
            <w:r w:rsidR="00720D43">
              <w:rPr>
                <w:sz w:val="20"/>
                <w:szCs w:val="20"/>
              </w:rPr>
              <w:t>to reduce</w:t>
            </w:r>
            <w:r w:rsidRPr="00D8242B">
              <w:rPr>
                <w:sz w:val="20"/>
                <w:szCs w:val="20"/>
              </w:rPr>
              <w:t xml:space="preserve"> sulfur content in diesel to 0.5</w:t>
            </w:r>
          </w:p>
          <w:p w:rsidR="00EC2918" w:rsidRPr="00D8242B" w:rsidRDefault="00720D43" w:rsidP="00720D43">
            <w:pPr>
              <w:pStyle w:val="ListParagraph"/>
              <w:numPr>
                <w:ilvl w:val="0"/>
                <w:numId w:val="7"/>
              </w:numPr>
              <w:spacing w:after="0"/>
              <w:ind w:left="198" w:hanging="180"/>
              <w:jc w:val="left"/>
              <w:rPr>
                <w:sz w:val="20"/>
                <w:szCs w:val="20"/>
              </w:rPr>
            </w:pPr>
            <w:r>
              <w:rPr>
                <w:sz w:val="20"/>
                <w:szCs w:val="20"/>
              </w:rPr>
              <w:t>Developing s</w:t>
            </w:r>
            <w:r w:rsidR="00D8242B" w:rsidRPr="00D8242B">
              <w:rPr>
                <w:sz w:val="20"/>
                <w:szCs w:val="20"/>
              </w:rPr>
              <w:t>ystem of differentiated compensatory environmental payments for production and use of leaded petrol</w:t>
            </w:r>
          </w:p>
        </w:tc>
      </w:tr>
    </w:tbl>
    <w:p w:rsidR="00EC2918" w:rsidRDefault="00EC2918" w:rsidP="00DB7723">
      <w:pPr>
        <w:spacing w:before="60" w:after="180"/>
      </w:pPr>
      <w:r w:rsidRPr="00961A10">
        <w:rPr>
          <w:i/>
          <w:sz w:val="18"/>
          <w:szCs w:val="18"/>
        </w:rPr>
        <w:t>Source:</w:t>
      </w:r>
      <w:r w:rsidR="00D8242B" w:rsidRPr="00D8242B">
        <w:t xml:space="preserve"> </w:t>
      </w:r>
      <w:r w:rsidR="00D8242B" w:rsidRPr="00D8242B">
        <w:rPr>
          <w:i/>
          <w:sz w:val="18"/>
          <w:szCs w:val="18"/>
        </w:rPr>
        <w:t>The Regional Environmental Center for the Caucasus (2008</w:t>
      </w:r>
      <w:r w:rsidR="00D8242B">
        <w:rPr>
          <w:i/>
          <w:sz w:val="18"/>
          <w:szCs w:val="18"/>
        </w:rPr>
        <w:t>)</w:t>
      </w:r>
    </w:p>
    <w:p w:rsidR="003745EC" w:rsidRPr="00F721C7" w:rsidRDefault="003745EC" w:rsidP="003745EC">
      <w:pPr>
        <w:rPr>
          <w:highlight w:val="yellow"/>
        </w:rPr>
      </w:pPr>
      <w:r w:rsidRPr="007C753E">
        <w:rPr>
          <w:b/>
        </w:rPr>
        <w:t>Fiscal policy and pricing</w:t>
      </w:r>
      <w:r>
        <w:rPr>
          <w:b/>
        </w:rPr>
        <w:t xml:space="preserve">: </w:t>
      </w:r>
      <w:r w:rsidR="009F218A">
        <w:rPr>
          <w:b/>
        </w:rPr>
        <w:t xml:space="preserve">tax on motor fuels </w:t>
      </w:r>
      <w:r w:rsidR="00720D43">
        <w:rPr>
          <w:b/>
        </w:rPr>
        <w:t xml:space="preserve">according to </w:t>
      </w:r>
      <w:r w:rsidR="009F218A">
        <w:rPr>
          <w:b/>
        </w:rPr>
        <w:t xml:space="preserve">quality </w:t>
      </w:r>
      <w:r w:rsidR="00720D43">
        <w:rPr>
          <w:b/>
        </w:rPr>
        <w:t xml:space="preserve">to provide </w:t>
      </w:r>
      <w:r>
        <w:rPr>
          <w:b/>
        </w:rPr>
        <w:t>incentives to use cleaner fuels</w:t>
      </w:r>
      <w:r w:rsidRPr="003745EC">
        <w:t xml:space="preserve">.  </w:t>
      </w:r>
      <w:r>
        <w:t>A</w:t>
      </w:r>
      <w:r w:rsidR="00720D43">
        <w:t xml:space="preserve">nother effective measure might be to </w:t>
      </w:r>
      <w:r>
        <w:t xml:space="preserve">institute a targeted fiscal/pricing measure to </w:t>
      </w:r>
      <w:r w:rsidR="00720D43">
        <w:t xml:space="preserve">influence </w:t>
      </w:r>
      <w:r>
        <w:t>consumer choices on fuel type and quality</w:t>
      </w:r>
      <w:r w:rsidR="00720D43">
        <w:t xml:space="preserve">; this could replace </w:t>
      </w:r>
      <w:r w:rsidRPr="007C753E">
        <w:t xml:space="preserve">or complement regulatory measures. </w:t>
      </w:r>
      <w:r>
        <w:t xml:space="preserve"> </w:t>
      </w:r>
      <w:r w:rsidRPr="007C753E">
        <w:t>For instance, instead of banning motor fuels</w:t>
      </w:r>
      <w:r w:rsidR="00720D43">
        <w:t xml:space="preserve"> with high sulfur content</w:t>
      </w:r>
      <w:r>
        <w:t xml:space="preserve">, higher excise tax rates </w:t>
      </w:r>
      <w:r w:rsidR="00720D43">
        <w:t xml:space="preserve">could </w:t>
      </w:r>
      <w:r>
        <w:t xml:space="preserve">be applied to certain classes of fuels. At </w:t>
      </w:r>
      <w:r w:rsidR="00720D43">
        <w:t xml:space="preserve">the </w:t>
      </w:r>
      <w:r>
        <w:t xml:space="preserve">appropriate level, targeted taxes would internalize the </w:t>
      </w:r>
      <w:r w:rsidRPr="0023319A">
        <w:t xml:space="preserve">externalities caused by road transport—pollutant emissions. The outcomes of such measures are less </w:t>
      </w:r>
      <w:r w:rsidRPr="0023319A">
        <w:lastRenderedPageBreak/>
        <w:t xml:space="preserve">certain </w:t>
      </w:r>
      <w:r w:rsidR="00643D10">
        <w:t xml:space="preserve">than </w:t>
      </w:r>
      <w:r w:rsidRPr="0023319A">
        <w:t>regulatory measures</w:t>
      </w:r>
      <w:r>
        <w:t xml:space="preserve">, which control outcomes but offer </w:t>
      </w:r>
      <w:r w:rsidR="00643D10">
        <w:t xml:space="preserve">no </w:t>
      </w:r>
      <w:r>
        <w:t>incentives</w:t>
      </w:r>
      <w:r w:rsidRPr="0023319A">
        <w:t xml:space="preserve">, and would depend on fuel prices and </w:t>
      </w:r>
      <w:r w:rsidR="00643D10">
        <w:t>how sensitive</w:t>
      </w:r>
      <w:r>
        <w:t xml:space="preserve"> Georgian consumers </w:t>
      </w:r>
      <w:r w:rsidR="00643D10">
        <w:t xml:space="preserve">are </w:t>
      </w:r>
      <w:r>
        <w:t>to price changes</w:t>
      </w:r>
      <w:r w:rsidRPr="0023319A">
        <w:t>.</w:t>
      </w:r>
    </w:p>
    <w:tbl>
      <w:tblPr>
        <w:tblStyle w:val="TableGrid"/>
        <w:tblpPr w:leftFromText="187" w:rightFromText="187" w:vertAnchor="text" w:horzAnchor="margin" w:tblpXSpec="right" w:tblpY="65"/>
        <w:tblW w:w="0" w:type="auto"/>
        <w:tblLayout w:type="fixed"/>
        <w:tblCellMar>
          <w:left w:w="0" w:type="dxa"/>
          <w:right w:w="0" w:type="dxa"/>
        </w:tblCellMar>
        <w:tblLook w:val="04A0"/>
      </w:tblPr>
      <w:tblGrid>
        <w:gridCol w:w="4860"/>
      </w:tblGrid>
      <w:tr w:rsidR="000474F7" w:rsidTr="00F74DCE">
        <w:tc>
          <w:tcPr>
            <w:tcW w:w="4860" w:type="dxa"/>
            <w:tcBorders>
              <w:top w:val="nil"/>
              <w:left w:val="nil"/>
              <w:bottom w:val="single" w:sz="4" w:space="0" w:color="auto"/>
              <w:right w:val="nil"/>
            </w:tcBorders>
          </w:tcPr>
          <w:p w:rsidR="000474F7" w:rsidRPr="000029FF" w:rsidRDefault="000474F7" w:rsidP="00C13431">
            <w:pPr>
              <w:spacing w:after="0"/>
              <w:jc w:val="center"/>
              <w:rPr>
                <w:noProof/>
                <w:lang w:eastAsia="ko-KR" w:bidi="ar-SA"/>
              </w:rPr>
            </w:pPr>
            <w:bookmarkStart w:id="44" w:name="_Ref307400884"/>
            <w:bookmarkStart w:id="45" w:name="_Toc326892829"/>
            <w:r w:rsidRPr="00394B4B">
              <w:rPr>
                <w:b/>
                <w:sz w:val="20"/>
                <w:szCs w:val="20"/>
              </w:rPr>
              <w:t xml:space="preserve">Figure </w:t>
            </w:r>
            <w:r w:rsidR="001A7AF8" w:rsidRPr="00394B4B">
              <w:rPr>
                <w:b/>
                <w:sz w:val="20"/>
                <w:szCs w:val="20"/>
              </w:rPr>
              <w:fldChar w:fldCharType="begin"/>
            </w:r>
            <w:r w:rsidRPr="00394B4B">
              <w:rPr>
                <w:b/>
                <w:sz w:val="20"/>
                <w:szCs w:val="20"/>
              </w:rPr>
              <w:instrText xml:space="preserve"> SEQ Figure \* ARABIC </w:instrText>
            </w:r>
            <w:r w:rsidR="001A7AF8" w:rsidRPr="00394B4B">
              <w:rPr>
                <w:b/>
                <w:sz w:val="20"/>
                <w:szCs w:val="20"/>
              </w:rPr>
              <w:fldChar w:fldCharType="separate"/>
            </w:r>
            <w:r w:rsidR="00AA3F1A">
              <w:rPr>
                <w:b/>
                <w:noProof/>
                <w:sz w:val="20"/>
                <w:szCs w:val="20"/>
              </w:rPr>
              <w:t>8</w:t>
            </w:r>
            <w:r w:rsidR="001A7AF8" w:rsidRPr="00394B4B">
              <w:rPr>
                <w:b/>
                <w:sz w:val="20"/>
                <w:szCs w:val="20"/>
              </w:rPr>
              <w:fldChar w:fldCharType="end"/>
            </w:r>
            <w:bookmarkEnd w:id="44"/>
            <w:r w:rsidRPr="00394B4B">
              <w:rPr>
                <w:sz w:val="20"/>
                <w:szCs w:val="20"/>
              </w:rPr>
              <w:t xml:space="preserve">: Correlation between </w:t>
            </w:r>
            <w:r>
              <w:rPr>
                <w:sz w:val="20"/>
                <w:szCs w:val="20"/>
              </w:rPr>
              <w:t>fuel prices and transport fuel consumption in OECD countries</w:t>
            </w:r>
            <w:bookmarkEnd w:id="45"/>
          </w:p>
        </w:tc>
      </w:tr>
      <w:tr w:rsidR="000474F7" w:rsidTr="00F74DCE">
        <w:trPr>
          <w:trHeight w:val="3302"/>
        </w:trPr>
        <w:tc>
          <w:tcPr>
            <w:tcW w:w="4860" w:type="dxa"/>
            <w:tcBorders>
              <w:bottom w:val="single" w:sz="4" w:space="0" w:color="auto"/>
            </w:tcBorders>
          </w:tcPr>
          <w:p w:rsidR="000474F7" w:rsidRDefault="000474F7" w:rsidP="00CA14FB">
            <w:pPr>
              <w:spacing w:after="0" w:line="276" w:lineRule="auto"/>
              <w:jc w:val="center"/>
            </w:pPr>
            <w:r w:rsidRPr="000029FF">
              <w:rPr>
                <w:noProof/>
                <w:lang w:bidi="ar-SA"/>
              </w:rPr>
              <w:drawing>
                <wp:inline distT="0" distB="0" distL="0" distR="0">
                  <wp:extent cx="3048000" cy="2238375"/>
                  <wp:effectExtent l="0" t="0" r="0" b="0"/>
                  <wp:docPr id="11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r w:rsidR="000474F7" w:rsidTr="00F74DCE">
        <w:tc>
          <w:tcPr>
            <w:tcW w:w="4860" w:type="dxa"/>
            <w:tcBorders>
              <w:left w:val="nil"/>
              <w:bottom w:val="nil"/>
              <w:right w:val="nil"/>
            </w:tcBorders>
            <w:tcMar>
              <w:top w:w="14" w:type="dxa"/>
              <w:left w:w="43" w:type="dxa"/>
              <w:bottom w:w="14" w:type="dxa"/>
              <w:right w:w="43" w:type="dxa"/>
            </w:tcMar>
          </w:tcPr>
          <w:p w:rsidR="000474F7" w:rsidRPr="00961A10" w:rsidRDefault="000474F7" w:rsidP="00CA14FB">
            <w:pPr>
              <w:spacing w:after="0" w:line="276" w:lineRule="auto"/>
              <w:jc w:val="center"/>
              <w:rPr>
                <w:i/>
                <w:sz w:val="18"/>
                <w:szCs w:val="18"/>
              </w:rPr>
            </w:pPr>
            <w:r w:rsidRPr="00961A10">
              <w:rPr>
                <w:i/>
                <w:sz w:val="18"/>
                <w:szCs w:val="18"/>
              </w:rPr>
              <w:t>Source: Victoria Transport Policy Institute</w:t>
            </w:r>
            <w:r w:rsidR="00C13431">
              <w:rPr>
                <w:i/>
                <w:sz w:val="18"/>
                <w:szCs w:val="18"/>
              </w:rPr>
              <w:t>, data from 2007</w:t>
            </w:r>
          </w:p>
        </w:tc>
      </w:tr>
    </w:tbl>
    <w:p w:rsidR="00F721C7" w:rsidRDefault="00DB7723" w:rsidP="00740DB0">
      <w:r>
        <w:rPr>
          <w:b/>
        </w:rPr>
        <w:t xml:space="preserve">Long-term policy on fuel </w:t>
      </w:r>
      <w:r w:rsidR="00740DB0" w:rsidRPr="007C753E">
        <w:rPr>
          <w:b/>
        </w:rPr>
        <w:t>pricing</w:t>
      </w:r>
      <w:r w:rsidR="004B31A4">
        <w:rPr>
          <w:b/>
        </w:rPr>
        <w:t xml:space="preserve">: </w:t>
      </w:r>
      <w:r w:rsidR="003745EC">
        <w:rPr>
          <w:b/>
        </w:rPr>
        <w:t xml:space="preserve">maintain </w:t>
      </w:r>
      <w:r w:rsidR="007F48D0">
        <w:rPr>
          <w:b/>
        </w:rPr>
        <w:t xml:space="preserve">high fuel prices relative to income level as a </w:t>
      </w:r>
      <w:r w:rsidR="003745EC">
        <w:rPr>
          <w:b/>
        </w:rPr>
        <w:t xml:space="preserve">long-term </w:t>
      </w:r>
      <w:r w:rsidR="007F48D0">
        <w:rPr>
          <w:b/>
        </w:rPr>
        <w:t xml:space="preserve">strategy </w:t>
      </w:r>
      <w:r w:rsidR="004B31A4">
        <w:rPr>
          <w:b/>
        </w:rPr>
        <w:t xml:space="preserve">to </w:t>
      </w:r>
      <w:r w:rsidR="00643D10">
        <w:rPr>
          <w:b/>
        </w:rPr>
        <w:t>reduce dependence</w:t>
      </w:r>
      <w:r w:rsidR="00304866">
        <w:rPr>
          <w:b/>
        </w:rPr>
        <w:t xml:space="preserve"> on fossil</w:t>
      </w:r>
      <w:r w:rsidR="004B31A4">
        <w:rPr>
          <w:b/>
        </w:rPr>
        <w:t xml:space="preserve"> fuels</w:t>
      </w:r>
      <w:r w:rsidR="00740DB0" w:rsidRPr="007C753E">
        <w:t xml:space="preserve">. </w:t>
      </w:r>
      <w:r w:rsidR="000034E0">
        <w:t xml:space="preserve"> </w:t>
      </w:r>
      <w:r w:rsidR="000474F7">
        <w:t>Among high-income countries, there is strong negative correlation between prices and per capita consumptions of motor fuel (</w:t>
      </w:r>
      <w:fldSimple w:instr=" REF _Ref307400884 \h  \* MERGEFORMAT ">
        <w:r w:rsidR="00AA3F1A" w:rsidRPr="00AA3F1A">
          <w:t>Figure 8</w:t>
        </w:r>
      </w:fldSimple>
      <w:r w:rsidR="000474F7">
        <w:t>). High fuel prices discourage vehicle usage in the short-term, and encourage structural changes in the longer term</w:t>
      </w:r>
      <w:r w:rsidR="00F52B0A">
        <w:t>—e.g., switch to fuel-efficient vehicles, relocation of residents and businesses to public transport accessible areas, and rearrangement of logistics chains</w:t>
      </w:r>
      <w:r w:rsidR="000474F7">
        <w:t>.</w:t>
      </w:r>
      <w:r w:rsidR="000474F7">
        <w:rPr>
          <w:rStyle w:val="FootnoteReference"/>
        </w:rPr>
        <w:footnoteReference w:id="25"/>
      </w:r>
      <w:r w:rsidR="000474F7">
        <w:t xml:space="preserve"> </w:t>
      </w:r>
      <w:r w:rsidR="00F52B0A">
        <w:t>Currently, m</w:t>
      </w:r>
      <w:r w:rsidR="000034E0">
        <w:t xml:space="preserve">otor </w:t>
      </w:r>
      <w:r w:rsidR="00F721C7" w:rsidRPr="00A5419F">
        <w:t xml:space="preserve">fuel prices </w:t>
      </w:r>
      <w:r w:rsidR="000034E0">
        <w:t xml:space="preserve">in Georgia </w:t>
      </w:r>
      <w:r w:rsidR="00F721C7" w:rsidRPr="00A5419F">
        <w:t xml:space="preserve">are </w:t>
      </w:r>
      <w:r w:rsidR="00F52B0A">
        <w:t xml:space="preserve">relatively </w:t>
      </w:r>
      <w:r w:rsidR="00F721C7" w:rsidRPr="00A5419F">
        <w:t xml:space="preserve">higher than </w:t>
      </w:r>
      <w:r w:rsidR="00643D10">
        <w:t xml:space="preserve">prices in </w:t>
      </w:r>
      <w:r w:rsidR="00F721C7" w:rsidRPr="00A5419F">
        <w:t xml:space="preserve">most other oil-producing countries, </w:t>
      </w:r>
      <w:r w:rsidR="000034E0">
        <w:t>and</w:t>
      </w:r>
      <w:r w:rsidR="00F721C7" w:rsidRPr="00A5419F">
        <w:t xml:space="preserve"> lower than many European non oil-producing countries (</w:t>
      </w:r>
      <w:fldSimple w:instr=" REF _Ref309149728 \h  \* MERGEFORMAT ">
        <w:r w:rsidR="00AA3F1A" w:rsidRPr="00AA3F1A">
          <w:t>Figure 9</w:t>
        </w:r>
      </w:fldSimple>
      <w:r w:rsidR="00F721C7" w:rsidRPr="00A5419F">
        <w:t>).</w:t>
      </w:r>
      <w:r w:rsidR="000034E0">
        <w:t xml:space="preserve"> </w:t>
      </w:r>
      <w:r w:rsidR="00F721C7" w:rsidRPr="00A5419F">
        <w:t>As a share of monthly per capita</w:t>
      </w:r>
      <w:r w:rsidR="00643D10" w:rsidRPr="00643D10">
        <w:t xml:space="preserve"> </w:t>
      </w:r>
      <w:r w:rsidR="00643D10" w:rsidRPr="00A5419F">
        <w:t>income</w:t>
      </w:r>
      <w:r w:rsidR="00F721C7" w:rsidRPr="00A5419F">
        <w:t xml:space="preserve">, Georgia’s fuel price is higher than </w:t>
      </w:r>
      <w:r w:rsidR="003D4967">
        <w:t xml:space="preserve">fuel prices </w:t>
      </w:r>
      <w:r w:rsidR="00F721C7" w:rsidRPr="00A5419F">
        <w:t>in most countries with similar income</w:t>
      </w:r>
      <w:r w:rsidR="003D4967">
        <w:t xml:space="preserve"> levels</w:t>
      </w:r>
      <w:r w:rsidR="00F721C7" w:rsidRPr="00A5419F">
        <w:t xml:space="preserve">, and lower than </w:t>
      </w:r>
      <w:r w:rsidR="003D4967">
        <w:t xml:space="preserve">prices in </w:t>
      </w:r>
      <w:r w:rsidR="00F721C7" w:rsidRPr="00A5419F">
        <w:t xml:space="preserve">a few countries with lower income </w:t>
      </w:r>
      <w:r w:rsidR="003D4967">
        <w:t xml:space="preserve">levels </w:t>
      </w:r>
      <w:r w:rsidR="00F721C7" w:rsidRPr="00A5419F">
        <w:t>(</w:t>
      </w:r>
      <w:fldSimple w:instr=" REF _Ref309151666 \h  \* MERGEFORMAT ">
        <w:r w:rsidR="00AA3F1A" w:rsidRPr="00AA3F1A">
          <w:t>Figure 10</w:t>
        </w:r>
      </w:fldSimple>
      <w:r w:rsidR="00F721C7" w:rsidRPr="00A5419F">
        <w:t xml:space="preserve">). </w:t>
      </w:r>
      <w:r w:rsidR="00A5419F" w:rsidRPr="00A5419F">
        <w:t>Given the scarcity of the fossil fuel (no domestic production) and the known long-term effect of cheap fuel prices on transport sector energy consumption trajectory, the long-term f</w:t>
      </w:r>
      <w:r w:rsidR="00F721C7" w:rsidRPr="00A5419F">
        <w:t xml:space="preserve">iscal policy should </w:t>
      </w:r>
      <w:r w:rsidR="00A5419F" w:rsidRPr="00A5419F">
        <w:t xml:space="preserve">aim to </w:t>
      </w:r>
      <w:r w:rsidR="00F721C7" w:rsidRPr="00A5419F">
        <w:t>maintain this relatively high ratio of fuel price to income.</w:t>
      </w:r>
    </w:p>
    <w:tbl>
      <w:tblPr>
        <w:tblStyle w:val="TableGrid"/>
        <w:tblW w:w="9638" w:type="dxa"/>
        <w:jc w:val="center"/>
        <w:tblLayout w:type="fixed"/>
        <w:tblCellMar>
          <w:left w:w="0" w:type="dxa"/>
          <w:right w:w="0" w:type="dxa"/>
        </w:tblCellMar>
        <w:tblLook w:val="04A0"/>
      </w:tblPr>
      <w:tblGrid>
        <w:gridCol w:w="4766"/>
        <w:gridCol w:w="4758"/>
        <w:gridCol w:w="114"/>
      </w:tblGrid>
      <w:tr w:rsidR="00F721C7" w:rsidTr="00CA14FB">
        <w:trPr>
          <w:jc w:val="center"/>
        </w:trPr>
        <w:tc>
          <w:tcPr>
            <w:tcW w:w="4766" w:type="dxa"/>
            <w:tcBorders>
              <w:top w:val="nil"/>
              <w:left w:val="nil"/>
              <w:bottom w:val="single" w:sz="4" w:space="0" w:color="auto"/>
              <w:right w:val="nil"/>
            </w:tcBorders>
          </w:tcPr>
          <w:p w:rsidR="00F721C7" w:rsidRPr="000029FF" w:rsidRDefault="00F721C7" w:rsidP="00A85E9D">
            <w:pPr>
              <w:spacing w:before="60" w:after="60"/>
              <w:ind w:left="139" w:right="130"/>
              <w:jc w:val="center"/>
              <w:rPr>
                <w:noProof/>
                <w:lang w:eastAsia="ko-KR" w:bidi="ar-SA"/>
              </w:rPr>
            </w:pPr>
            <w:bookmarkStart w:id="46" w:name="_Ref309149728"/>
            <w:bookmarkStart w:id="47" w:name="_Toc326892830"/>
            <w:r w:rsidRPr="00394B4B">
              <w:rPr>
                <w:b/>
                <w:sz w:val="20"/>
                <w:szCs w:val="20"/>
              </w:rPr>
              <w:t xml:space="preserve">Figure </w:t>
            </w:r>
            <w:r w:rsidR="001A7AF8" w:rsidRPr="00394B4B">
              <w:rPr>
                <w:b/>
                <w:sz w:val="20"/>
                <w:szCs w:val="20"/>
              </w:rPr>
              <w:fldChar w:fldCharType="begin"/>
            </w:r>
            <w:r w:rsidRPr="00394B4B">
              <w:rPr>
                <w:b/>
                <w:sz w:val="20"/>
                <w:szCs w:val="20"/>
              </w:rPr>
              <w:instrText xml:space="preserve"> SEQ Figure \* ARABIC </w:instrText>
            </w:r>
            <w:r w:rsidR="001A7AF8" w:rsidRPr="00394B4B">
              <w:rPr>
                <w:b/>
                <w:sz w:val="20"/>
                <w:szCs w:val="20"/>
              </w:rPr>
              <w:fldChar w:fldCharType="separate"/>
            </w:r>
            <w:r w:rsidR="00AA3F1A">
              <w:rPr>
                <w:b/>
                <w:noProof/>
                <w:sz w:val="20"/>
                <w:szCs w:val="20"/>
              </w:rPr>
              <w:t>9</w:t>
            </w:r>
            <w:r w:rsidR="001A7AF8" w:rsidRPr="00394B4B">
              <w:rPr>
                <w:b/>
                <w:sz w:val="20"/>
                <w:szCs w:val="20"/>
              </w:rPr>
              <w:fldChar w:fldCharType="end"/>
            </w:r>
            <w:bookmarkEnd w:id="46"/>
            <w:r w:rsidR="00D05459">
              <w:rPr>
                <w:sz w:val="20"/>
                <w:szCs w:val="20"/>
              </w:rPr>
              <w:t xml:space="preserve">: </w:t>
            </w:r>
            <w:r>
              <w:rPr>
                <w:sz w:val="20"/>
                <w:szCs w:val="20"/>
              </w:rPr>
              <w:t>Gasoline prices in Georgia</w:t>
            </w:r>
            <w:r w:rsidR="00A85E9D">
              <w:rPr>
                <w:sz w:val="20"/>
                <w:szCs w:val="20"/>
              </w:rPr>
              <w:t xml:space="preserve"> </w:t>
            </w:r>
            <w:r>
              <w:rPr>
                <w:sz w:val="20"/>
                <w:szCs w:val="20"/>
              </w:rPr>
              <w:t xml:space="preserve">lower than </w:t>
            </w:r>
            <w:r w:rsidR="001C7608">
              <w:rPr>
                <w:sz w:val="20"/>
                <w:szCs w:val="20"/>
              </w:rPr>
              <w:t xml:space="preserve">the </w:t>
            </w:r>
            <w:r w:rsidR="00A85E9D">
              <w:rPr>
                <w:sz w:val="20"/>
                <w:szCs w:val="20"/>
              </w:rPr>
              <w:t xml:space="preserve">Region’s </w:t>
            </w:r>
            <w:r>
              <w:rPr>
                <w:sz w:val="20"/>
                <w:szCs w:val="20"/>
              </w:rPr>
              <w:t>median</w:t>
            </w:r>
            <w:bookmarkEnd w:id="47"/>
          </w:p>
        </w:tc>
        <w:tc>
          <w:tcPr>
            <w:tcW w:w="4872" w:type="dxa"/>
            <w:gridSpan w:val="2"/>
            <w:tcBorders>
              <w:top w:val="nil"/>
              <w:left w:val="nil"/>
              <w:bottom w:val="single" w:sz="4" w:space="0" w:color="auto"/>
              <w:right w:val="nil"/>
            </w:tcBorders>
          </w:tcPr>
          <w:p w:rsidR="00F721C7" w:rsidRPr="00394B4B" w:rsidRDefault="00F721C7" w:rsidP="003D4967">
            <w:pPr>
              <w:spacing w:before="60" w:after="60"/>
              <w:jc w:val="center"/>
              <w:rPr>
                <w:b/>
                <w:sz w:val="20"/>
                <w:szCs w:val="20"/>
              </w:rPr>
            </w:pPr>
            <w:bookmarkStart w:id="48" w:name="_Ref309151666"/>
            <w:bookmarkStart w:id="49" w:name="_Toc326892831"/>
            <w:r w:rsidRPr="00394B4B">
              <w:rPr>
                <w:b/>
                <w:sz w:val="20"/>
                <w:szCs w:val="20"/>
              </w:rPr>
              <w:t xml:space="preserve">Figure </w:t>
            </w:r>
            <w:r w:rsidR="001A7AF8" w:rsidRPr="00394B4B">
              <w:rPr>
                <w:b/>
                <w:sz w:val="20"/>
                <w:szCs w:val="20"/>
              </w:rPr>
              <w:fldChar w:fldCharType="begin"/>
            </w:r>
            <w:r w:rsidRPr="00394B4B">
              <w:rPr>
                <w:b/>
                <w:sz w:val="20"/>
                <w:szCs w:val="20"/>
              </w:rPr>
              <w:instrText xml:space="preserve"> SEQ Figure \* ARABIC </w:instrText>
            </w:r>
            <w:r w:rsidR="001A7AF8" w:rsidRPr="00394B4B">
              <w:rPr>
                <w:b/>
                <w:sz w:val="20"/>
                <w:szCs w:val="20"/>
              </w:rPr>
              <w:fldChar w:fldCharType="separate"/>
            </w:r>
            <w:r w:rsidR="00AA3F1A">
              <w:rPr>
                <w:b/>
                <w:noProof/>
                <w:sz w:val="20"/>
                <w:szCs w:val="20"/>
              </w:rPr>
              <w:t>10</w:t>
            </w:r>
            <w:r w:rsidR="001A7AF8" w:rsidRPr="00394B4B">
              <w:rPr>
                <w:b/>
                <w:sz w:val="20"/>
                <w:szCs w:val="20"/>
              </w:rPr>
              <w:fldChar w:fldCharType="end"/>
            </w:r>
            <w:bookmarkEnd w:id="48"/>
            <w:r w:rsidRPr="00394B4B">
              <w:rPr>
                <w:sz w:val="20"/>
                <w:szCs w:val="20"/>
              </w:rPr>
              <w:t xml:space="preserve">: </w:t>
            </w:r>
            <w:r w:rsidR="00A85E9D">
              <w:rPr>
                <w:sz w:val="20"/>
                <w:szCs w:val="20"/>
              </w:rPr>
              <w:t xml:space="preserve">Relatively high </w:t>
            </w:r>
            <w:r w:rsidR="003D4967">
              <w:rPr>
                <w:sz w:val="20"/>
                <w:szCs w:val="20"/>
              </w:rPr>
              <w:t>g</w:t>
            </w:r>
            <w:r>
              <w:rPr>
                <w:sz w:val="20"/>
                <w:szCs w:val="20"/>
              </w:rPr>
              <w:t xml:space="preserve">asoline prices </w:t>
            </w:r>
            <w:r w:rsidR="00A85E9D">
              <w:rPr>
                <w:sz w:val="20"/>
                <w:szCs w:val="20"/>
              </w:rPr>
              <w:t xml:space="preserve">in Georgia </w:t>
            </w:r>
            <w:r>
              <w:rPr>
                <w:sz w:val="20"/>
                <w:szCs w:val="20"/>
              </w:rPr>
              <w:t xml:space="preserve">as </w:t>
            </w:r>
            <w:r w:rsidR="001C7608">
              <w:rPr>
                <w:sz w:val="20"/>
                <w:szCs w:val="20"/>
              </w:rPr>
              <w:t xml:space="preserve">a </w:t>
            </w:r>
            <w:r>
              <w:rPr>
                <w:sz w:val="20"/>
                <w:szCs w:val="20"/>
              </w:rPr>
              <w:t>share of monthly income per capita</w:t>
            </w:r>
            <w:bookmarkEnd w:id="49"/>
          </w:p>
        </w:tc>
      </w:tr>
      <w:tr w:rsidR="00F721C7" w:rsidTr="00CA14FB">
        <w:trPr>
          <w:gridAfter w:val="1"/>
          <w:wAfter w:w="114" w:type="dxa"/>
          <w:jc w:val="center"/>
        </w:trPr>
        <w:tc>
          <w:tcPr>
            <w:tcW w:w="4766" w:type="dxa"/>
            <w:tcBorders>
              <w:bottom w:val="single" w:sz="4" w:space="0" w:color="auto"/>
            </w:tcBorders>
          </w:tcPr>
          <w:p w:rsidR="00F721C7" w:rsidRDefault="00F721C7" w:rsidP="00741B1D">
            <w:pPr>
              <w:spacing w:after="0"/>
              <w:jc w:val="center"/>
            </w:pPr>
            <w:r w:rsidRPr="006B03F8">
              <w:rPr>
                <w:noProof/>
                <w:lang w:bidi="ar-SA"/>
              </w:rPr>
              <w:drawing>
                <wp:inline distT="0" distB="0" distL="0" distR="0">
                  <wp:extent cx="3105150" cy="2000250"/>
                  <wp:effectExtent l="0" t="0" r="0" b="0"/>
                  <wp:docPr id="10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c>
          <w:tcPr>
            <w:tcW w:w="4758" w:type="dxa"/>
            <w:tcBorders>
              <w:bottom w:val="single" w:sz="4" w:space="0" w:color="auto"/>
            </w:tcBorders>
          </w:tcPr>
          <w:p w:rsidR="00F721C7" w:rsidRPr="00D6153D" w:rsidRDefault="00F721C7" w:rsidP="00741B1D">
            <w:pPr>
              <w:spacing w:after="0"/>
              <w:jc w:val="center"/>
              <w:rPr>
                <w:noProof/>
                <w:lang w:eastAsia="ko-KR" w:bidi="ar-SA"/>
              </w:rPr>
            </w:pPr>
            <w:r w:rsidRPr="007C6E99">
              <w:rPr>
                <w:noProof/>
                <w:lang w:bidi="ar-SA"/>
              </w:rPr>
              <w:drawing>
                <wp:inline distT="0" distB="0" distL="0" distR="0">
                  <wp:extent cx="3048000" cy="2000250"/>
                  <wp:effectExtent l="0" t="0" r="0" b="0"/>
                  <wp:docPr id="10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r w:rsidR="00F721C7" w:rsidTr="00CA14FB">
        <w:trPr>
          <w:gridAfter w:val="1"/>
          <w:wAfter w:w="114" w:type="dxa"/>
          <w:jc w:val="center"/>
        </w:trPr>
        <w:tc>
          <w:tcPr>
            <w:tcW w:w="4766" w:type="dxa"/>
            <w:tcBorders>
              <w:left w:val="nil"/>
              <w:bottom w:val="nil"/>
              <w:right w:val="nil"/>
            </w:tcBorders>
            <w:tcMar>
              <w:top w:w="14" w:type="dxa"/>
              <w:left w:w="43" w:type="dxa"/>
              <w:bottom w:w="14" w:type="dxa"/>
              <w:right w:w="43" w:type="dxa"/>
            </w:tcMar>
          </w:tcPr>
          <w:p w:rsidR="00F721C7" w:rsidRPr="00961A10" w:rsidRDefault="00F721C7" w:rsidP="00C85AA5">
            <w:pPr>
              <w:jc w:val="center"/>
              <w:rPr>
                <w:i/>
                <w:sz w:val="18"/>
                <w:szCs w:val="18"/>
              </w:rPr>
            </w:pPr>
            <w:r w:rsidRPr="00961A10">
              <w:rPr>
                <w:i/>
                <w:sz w:val="18"/>
                <w:szCs w:val="18"/>
              </w:rPr>
              <w:t>Source: GIZ (2011)</w:t>
            </w:r>
          </w:p>
        </w:tc>
        <w:tc>
          <w:tcPr>
            <w:tcW w:w="4758" w:type="dxa"/>
            <w:tcBorders>
              <w:left w:val="nil"/>
              <w:bottom w:val="nil"/>
              <w:right w:val="nil"/>
            </w:tcBorders>
          </w:tcPr>
          <w:p w:rsidR="00F721C7" w:rsidRPr="00961A10" w:rsidRDefault="00F721C7" w:rsidP="00C85AA5">
            <w:pPr>
              <w:jc w:val="center"/>
              <w:rPr>
                <w:i/>
                <w:sz w:val="18"/>
                <w:szCs w:val="18"/>
              </w:rPr>
            </w:pPr>
            <w:r w:rsidRPr="00961A10">
              <w:rPr>
                <w:i/>
                <w:sz w:val="18"/>
                <w:szCs w:val="18"/>
              </w:rPr>
              <w:t>Source: UN Stats; GIZ (2011)</w:t>
            </w:r>
          </w:p>
        </w:tc>
      </w:tr>
    </w:tbl>
    <w:p w:rsidR="008219F1" w:rsidRPr="00A24018" w:rsidRDefault="00712C17" w:rsidP="00BA2792">
      <w:pPr>
        <w:pStyle w:val="Heading2"/>
      </w:pPr>
      <w:bookmarkStart w:id="50" w:name="_Ref307415946"/>
      <w:bookmarkStart w:id="51" w:name="_Toc326892933"/>
      <w:r>
        <w:lastRenderedPageBreak/>
        <w:t>Achieve and Maintain a Greener Vehicle Fleet</w:t>
      </w:r>
      <w:bookmarkEnd w:id="50"/>
      <w:bookmarkEnd w:id="51"/>
    </w:p>
    <w:p w:rsidR="008219F1" w:rsidRPr="00E046E9" w:rsidRDefault="008219F1" w:rsidP="00525183">
      <w:pPr>
        <w:spacing w:after="80"/>
        <w:rPr>
          <w:b/>
          <w:i/>
        </w:rPr>
      </w:pPr>
      <w:r w:rsidRPr="00E046E9">
        <w:rPr>
          <w:b/>
          <w:i/>
        </w:rPr>
        <w:t>Why this measure?</w:t>
      </w:r>
    </w:p>
    <w:tbl>
      <w:tblPr>
        <w:tblStyle w:val="TableGrid"/>
        <w:tblpPr w:leftFromText="180" w:rightFromText="180" w:vertAnchor="text" w:horzAnchor="margin" w:tblpXSpec="right" w:tblpY="54"/>
        <w:tblW w:w="0" w:type="auto"/>
        <w:tblLayout w:type="fixed"/>
        <w:tblCellMar>
          <w:left w:w="0" w:type="dxa"/>
          <w:right w:w="0" w:type="dxa"/>
        </w:tblCellMar>
        <w:tblLook w:val="04A0"/>
      </w:tblPr>
      <w:tblGrid>
        <w:gridCol w:w="4410"/>
      </w:tblGrid>
      <w:tr w:rsidR="00C70B4F" w:rsidTr="00F22066">
        <w:tc>
          <w:tcPr>
            <w:tcW w:w="4410" w:type="dxa"/>
            <w:tcBorders>
              <w:top w:val="nil"/>
              <w:left w:val="nil"/>
              <w:bottom w:val="single" w:sz="4" w:space="0" w:color="auto"/>
              <w:right w:val="nil"/>
            </w:tcBorders>
          </w:tcPr>
          <w:p w:rsidR="00C70B4F" w:rsidRPr="005631F9" w:rsidRDefault="00C70B4F" w:rsidP="00A85E9D">
            <w:pPr>
              <w:spacing w:after="40"/>
              <w:jc w:val="center"/>
              <w:rPr>
                <w:sz w:val="20"/>
                <w:szCs w:val="20"/>
              </w:rPr>
            </w:pPr>
            <w:bookmarkStart w:id="52" w:name="_Ref324249439"/>
            <w:bookmarkStart w:id="53" w:name="_Toc326892832"/>
            <w:r w:rsidRPr="00394B4B">
              <w:rPr>
                <w:b/>
                <w:sz w:val="20"/>
                <w:szCs w:val="20"/>
              </w:rPr>
              <w:t xml:space="preserve">Figure </w:t>
            </w:r>
            <w:r w:rsidR="001A7AF8" w:rsidRPr="00394B4B">
              <w:rPr>
                <w:b/>
                <w:sz w:val="20"/>
                <w:szCs w:val="20"/>
              </w:rPr>
              <w:fldChar w:fldCharType="begin"/>
            </w:r>
            <w:r w:rsidRPr="00394B4B">
              <w:rPr>
                <w:b/>
                <w:sz w:val="20"/>
                <w:szCs w:val="20"/>
              </w:rPr>
              <w:instrText xml:space="preserve"> SEQ Figure \* ARABIC </w:instrText>
            </w:r>
            <w:r w:rsidR="001A7AF8" w:rsidRPr="00394B4B">
              <w:rPr>
                <w:b/>
                <w:sz w:val="20"/>
                <w:szCs w:val="20"/>
              </w:rPr>
              <w:fldChar w:fldCharType="separate"/>
            </w:r>
            <w:r w:rsidR="00AA3F1A">
              <w:rPr>
                <w:b/>
                <w:noProof/>
                <w:sz w:val="20"/>
                <w:szCs w:val="20"/>
              </w:rPr>
              <w:t>11</w:t>
            </w:r>
            <w:r w:rsidR="001A7AF8" w:rsidRPr="00394B4B">
              <w:rPr>
                <w:b/>
                <w:sz w:val="20"/>
                <w:szCs w:val="20"/>
              </w:rPr>
              <w:fldChar w:fldCharType="end"/>
            </w:r>
            <w:bookmarkEnd w:id="52"/>
            <w:r w:rsidRPr="00394B4B">
              <w:rPr>
                <w:sz w:val="20"/>
                <w:szCs w:val="20"/>
              </w:rPr>
              <w:t>:</w:t>
            </w:r>
            <w:r>
              <w:rPr>
                <w:sz w:val="20"/>
                <w:szCs w:val="20"/>
              </w:rPr>
              <w:t xml:space="preserve"> </w:t>
            </w:r>
            <w:r w:rsidR="00A85E9D">
              <w:rPr>
                <w:sz w:val="20"/>
                <w:szCs w:val="20"/>
              </w:rPr>
              <w:t>Significantly higher a</w:t>
            </w:r>
            <w:r>
              <w:rPr>
                <w:sz w:val="20"/>
                <w:szCs w:val="20"/>
              </w:rPr>
              <w:t xml:space="preserve">verage age of vehicle fleet in Georgia </w:t>
            </w:r>
            <w:r w:rsidR="00A85E9D">
              <w:rPr>
                <w:sz w:val="20"/>
                <w:szCs w:val="20"/>
              </w:rPr>
              <w:t xml:space="preserve">comparing to </w:t>
            </w:r>
            <w:r>
              <w:rPr>
                <w:sz w:val="20"/>
                <w:szCs w:val="20"/>
              </w:rPr>
              <w:t>EU-27 countries</w:t>
            </w:r>
            <w:bookmarkEnd w:id="53"/>
          </w:p>
        </w:tc>
      </w:tr>
      <w:tr w:rsidR="00C70B4F" w:rsidTr="00F22066">
        <w:tc>
          <w:tcPr>
            <w:tcW w:w="4410" w:type="dxa"/>
            <w:tcBorders>
              <w:bottom w:val="single" w:sz="4" w:space="0" w:color="auto"/>
            </w:tcBorders>
          </w:tcPr>
          <w:p w:rsidR="00C70B4F" w:rsidRDefault="00C70B4F" w:rsidP="00C70B4F">
            <w:pPr>
              <w:spacing w:after="0"/>
              <w:jc w:val="center"/>
            </w:pPr>
            <w:r w:rsidRPr="00C70B4F">
              <w:rPr>
                <w:noProof/>
                <w:lang w:bidi="ar-SA"/>
              </w:rPr>
              <w:drawing>
                <wp:inline distT="0" distB="0" distL="0" distR="0">
                  <wp:extent cx="2781300" cy="1743075"/>
                  <wp:effectExtent l="0" t="0" r="0" b="0"/>
                  <wp:docPr id="12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r w:rsidR="00C70B4F" w:rsidTr="00F22066">
        <w:tc>
          <w:tcPr>
            <w:tcW w:w="4410" w:type="dxa"/>
            <w:tcBorders>
              <w:left w:val="nil"/>
              <w:bottom w:val="nil"/>
              <w:right w:val="nil"/>
            </w:tcBorders>
            <w:tcMar>
              <w:top w:w="14" w:type="dxa"/>
              <w:left w:w="43" w:type="dxa"/>
              <w:bottom w:w="14" w:type="dxa"/>
              <w:right w:w="43" w:type="dxa"/>
            </w:tcMar>
          </w:tcPr>
          <w:p w:rsidR="00C70B4F" w:rsidRPr="00961A10" w:rsidRDefault="00C70B4F" w:rsidP="00712C17">
            <w:pPr>
              <w:spacing w:before="20" w:after="60"/>
              <w:jc w:val="center"/>
              <w:rPr>
                <w:i/>
                <w:sz w:val="18"/>
                <w:szCs w:val="18"/>
              </w:rPr>
            </w:pPr>
            <w:r w:rsidRPr="00961A10">
              <w:rPr>
                <w:i/>
                <w:sz w:val="18"/>
                <w:szCs w:val="18"/>
              </w:rPr>
              <w:t>Source: WB staff calculations based on data provided by Ministry of Internal Affairs; TREMOVE v.3.1, 2009</w:t>
            </w:r>
          </w:p>
        </w:tc>
      </w:tr>
    </w:tbl>
    <w:p w:rsidR="00752530" w:rsidRDefault="0083585F" w:rsidP="008219F1">
      <w:r w:rsidRPr="0083585F">
        <w:rPr>
          <w:b/>
        </w:rPr>
        <w:t xml:space="preserve">Current </w:t>
      </w:r>
      <w:r>
        <w:rPr>
          <w:b/>
        </w:rPr>
        <w:t>condition</w:t>
      </w:r>
      <w:r w:rsidR="004B31A4">
        <w:rPr>
          <w:b/>
        </w:rPr>
        <w:t xml:space="preserve">: </w:t>
      </w:r>
      <w:r w:rsidR="00CD7531">
        <w:rPr>
          <w:b/>
        </w:rPr>
        <w:t xml:space="preserve">strong supply and demand for </w:t>
      </w:r>
      <w:r w:rsidR="004B31A4">
        <w:rPr>
          <w:b/>
        </w:rPr>
        <w:t>second-hand</w:t>
      </w:r>
      <w:r w:rsidR="00304866">
        <w:rPr>
          <w:b/>
        </w:rPr>
        <w:t>, old</w:t>
      </w:r>
      <w:r w:rsidR="003D4967">
        <w:rPr>
          <w:b/>
        </w:rPr>
        <w:t xml:space="preserve">er, </w:t>
      </w:r>
      <w:r w:rsidR="00304866">
        <w:rPr>
          <w:b/>
        </w:rPr>
        <w:t xml:space="preserve">polluting </w:t>
      </w:r>
      <w:r w:rsidR="004B31A4">
        <w:rPr>
          <w:b/>
        </w:rPr>
        <w:t>vehicles</w:t>
      </w:r>
      <w:r w:rsidR="003D4967">
        <w:rPr>
          <w:b/>
        </w:rPr>
        <w:t>, which</w:t>
      </w:r>
      <w:r w:rsidR="004B31A4">
        <w:rPr>
          <w:b/>
        </w:rPr>
        <w:t xml:space="preserve"> </w:t>
      </w:r>
      <w:r w:rsidR="00304866">
        <w:rPr>
          <w:b/>
        </w:rPr>
        <w:t>dominate the market</w:t>
      </w:r>
      <w:r>
        <w:t xml:space="preserve">.  </w:t>
      </w:r>
      <w:r w:rsidR="00740DB0">
        <w:t>On average, motor vehicles operated in Georgia are much older than those operated in Western European countries (</w:t>
      </w:r>
      <w:fldSimple w:instr=" REF _Ref324249439 \h  \* MERGEFORMAT ">
        <w:r w:rsidR="00AA3F1A" w:rsidRPr="00AA3F1A">
          <w:t xml:space="preserve">Figure </w:t>
        </w:r>
        <w:r w:rsidR="00AA3F1A" w:rsidRPr="00AA3F1A">
          <w:rPr>
            <w:noProof/>
          </w:rPr>
          <w:t>10</w:t>
        </w:r>
      </w:fldSimple>
      <w:r w:rsidR="00740DB0" w:rsidRPr="004640D4">
        <w:t xml:space="preserve"> and</w:t>
      </w:r>
      <w:r w:rsidR="00740DB0">
        <w:t xml:space="preserve"> </w:t>
      </w:r>
      <w:fldSimple w:instr=" REF _Ref308207673 \h  \* MERGEFORMAT ">
        <w:r w:rsidR="00AA3F1A" w:rsidRPr="00AA3F1A">
          <w:t xml:space="preserve">Figure </w:t>
        </w:r>
        <w:r w:rsidR="00AA3F1A" w:rsidRPr="00AA3F1A">
          <w:rPr>
            <w:noProof/>
          </w:rPr>
          <w:t>12</w:t>
        </w:r>
      </w:fldSimple>
      <w:r w:rsidR="00740DB0" w:rsidRPr="005631F9">
        <w:t>)</w:t>
      </w:r>
      <w:r w:rsidR="00740DB0">
        <w:t>, and about 98 percent of newly registered vehicles are second-hand.</w:t>
      </w:r>
      <w:r w:rsidR="005B3867">
        <w:rPr>
          <w:rStyle w:val="FootnoteReference"/>
        </w:rPr>
        <w:footnoteReference w:id="26"/>
      </w:r>
      <w:r w:rsidR="00740DB0">
        <w:t xml:space="preserve"> This growing influx of old vehicles coupled with rising demand for private cars is the main cause of rapid </w:t>
      </w:r>
      <w:r w:rsidR="003D4967">
        <w:t xml:space="preserve">deterioration in </w:t>
      </w:r>
      <w:r w:rsidR="00740DB0">
        <w:t xml:space="preserve">air quality. </w:t>
      </w:r>
      <w:r w:rsidR="004B31A4">
        <w:t xml:space="preserve">At </w:t>
      </w:r>
      <w:r w:rsidR="003D4967">
        <w:t xml:space="preserve">present </w:t>
      </w:r>
      <w:r w:rsidR="004B31A4">
        <w:t>level</w:t>
      </w:r>
      <w:r w:rsidR="003D4967">
        <w:t>s</w:t>
      </w:r>
      <w:r w:rsidR="004B31A4">
        <w:t xml:space="preserve"> of </w:t>
      </w:r>
      <w:r w:rsidR="003D4967">
        <w:t xml:space="preserve">economic </w:t>
      </w:r>
      <w:r w:rsidR="004B31A4">
        <w:t>development in Georgia</w:t>
      </w:r>
      <w:r w:rsidR="00E23474">
        <w:t>, m</w:t>
      </w:r>
      <w:r w:rsidR="00740DB0">
        <w:t>ost vehicle buyers’ incomes are too low to purchase newer cars</w:t>
      </w:r>
      <w:r w:rsidR="003D4967">
        <w:t xml:space="preserve">, and </w:t>
      </w:r>
      <w:r w:rsidR="00740DB0">
        <w:t>lower customs fees for older vehicles distort the market in favor of older cars</w:t>
      </w:r>
      <w:r w:rsidR="005B3867">
        <w:t>.</w:t>
      </w:r>
      <w:r w:rsidR="00740DB0">
        <w:rPr>
          <w:rStyle w:val="FootnoteReference"/>
        </w:rPr>
        <w:footnoteReference w:id="27"/>
      </w:r>
      <w:r w:rsidR="00740DB0">
        <w:t xml:space="preserve"> </w:t>
      </w:r>
      <w:r w:rsidR="005B3867">
        <w:t xml:space="preserve"> </w:t>
      </w:r>
      <w:r w:rsidR="00752530">
        <w:t xml:space="preserve">Moreover, </w:t>
      </w:r>
      <w:r w:rsidR="004B31A4">
        <w:t xml:space="preserve">as mentioned in Section III.A, </w:t>
      </w:r>
      <w:r w:rsidR="00752530">
        <w:t xml:space="preserve">the lack of fuel quality control </w:t>
      </w:r>
      <w:r w:rsidR="003D4967">
        <w:t xml:space="preserve">leads </w:t>
      </w:r>
      <w:r w:rsidR="00752530">
        <w:t>to further degradation of vehicle condition and standards.</w:t>
      </w:r>
      <w:r w:rsidR="00752530">
        <w:rPr>
          <w:rStyle w:val="FootnoteReference"/>
        </w:rPr>
        <w:footnoteReference w:id="28"/>
      </w:r>
    </w:p>
    <w:tbl>
      <w:tblPr>
        <w:tblStyle w:val="TableGrid"/>
        <w:tblW w:w="0" w:type="auto"/>
        <w:tblLayout w:type="fixed"/>
        <w:tblCellMar>
          <w:left w:w="14" w:type="dxa"/>
          <w:right w:w="14" w:type="dxa"/>
        </w:tblCellMar>
        <w:tblLook w:val="04A0"/>
      </w:tblPr>
      <w:tblGrid>
        <w:gridCol w:w="3129"/>
        <w:gridCol w:w="3129"/>
        <w:gridCol w:w="3130"/>
      </w:tblGrid>
      <w:tr w:rsidR="00D324DA" w:rsidTr="005631F9">
        <w:trPr>
          <w:trHeight w:val="288"/>
        </w:trPr>
        <w:tc>
          <w:tcPr>
            <w:tcW w:w="9388" w:type="dxa"/>
            <w:gridSpan w:val="3"/>
            <w:tcBorders>
              <w:top w:val="nil"/>
              <w:left w:val="nil"/>
              <w:bottom w:val="single" w:sz="4" w:space="0" w:color="auto"/>
              <w:right w:val="nil"/>
            </w:tcBorders>
          </w:tcPr>
          <w:p w:rsidR="00D324DA" w:rsidRDefault="00D324DA" w:rsidP="00712C17">
            <w:pPr>
              <w:spacing w:before="120" w:after="40"/>
              <w:jc w:val="center"/>
              <w:rPr>
                <w:noProof/>
                <w:lang w:eastAsia="ko-KR" w:bidi="ar-SA"/>
              </w:rPr>
            </w:pPr>
            <w:bookmarkStart w:id="54" w:name="_Ref308207673"/>
            <w:bookmarkStart w:id="55" w:name="_Toc326892833"/>
            <w:r w:rsidRPr="00394B4B">
              <w:rPr>
                <w:b/>
                <w:sz w:val="20"/>
                <w:szCs w:val="20"/>
              </w:rPr>
              <w:t xml:space="preserve">Figure </w:t>
            </w:r>
            <w:r w:rsidR="001A7AF8" w:rsidRPr="00394B4B">
              <w:rPr>
                <w:b/>
                <w:sz w:val="20"/>
                <w:szCs w:val="20"/>
              </w:rPr>
              <w:fldChar w:fldCharType="begin"/>
            </w:r>
            <w:r w:rsidRPr="00394B4B">
              <w:rPr>
                <w:b/>
                <w:sz w:val="20"/>
                <w:szCs w:val="20"/>
              </w:rPr>
              <w:instrText xml:space="preserve"> SEQ Figure \* ARABIC </w:instrText>
            </w:r>
            <w:r w:rsidR="001A7AF8" w:rsidRPr="00394B4B">
              <w:rPr>
                <w:b/>
                <w:sz w:val="20"/>
                <w:szCs w:val="20"/>
              </w:rPr>
              <w:fldChar w:fldCharType="separate"/>
            </w:r>
            <w:r w:rsidR="00AA3F1A">
              <w:rPr>
                <w:b/>
                <w:noProof/>
                <w:sz w:val="20"/>
                <w:szCs w:val="20"/>
              </w:rPr>
              <w:t>12</w:t>
            </w:r>
            <w:r w:rsidR="001A7AF8" w:rsidRPr="00394B4B">
              <w:rPr>
                <w:b/>
                <w:sz w:val="20"/>
                <w:szCs w:val="20"/>
              </w:rPr>
              <w:fldChar w:fldCharType="end"/>
            </w:r>
            <w:bookmarkEnd w:id="54"/>
            <w:r w:rsidR="00D05459">
              <w:rPr>
                <w:sz w:val="20"/>
                <w:szCs w:val="20"/>
              </w:rPr>
              <w:t xml:space="preserve">: </w:t>
            </w:r>
            <w:r w:rsidR="005631F9">
              <w:rPr>
                <w:sz w:val="20"/>
                <w:szCs w:val="20"/>
              </w:rPr>
              <w:t>Vehicle Fleet Age Distribution by Vehicle Type</w:t>
            </w:r>
            <w:bookmarkEnd w:id="55"/>
          </w:p>
        </w:tc>
      </w:tr>
      <w:tr w:rsidR="00D324DA" w:rsidTr="00D324DA">
        <w:tc>
          <w:tcPr>
            <w:tcW w:w="3129" w:type="dxa"/>
            <w:tcBorders>
              <w:bottom w:val="single" w:sz="4" w:space="0" w:color="auto"/>
            </w:tcBorders>
          </w:tcPr>
          <w:p w:rsidR="00D324DA" w:rsidRDefault="001A7AF8" w:rsidP="008219F1">
            <w:r>
              <w:rPr>
                <w:noProof/>
                <w:lang w:eastAsia="ko-KR" w:bidi="ar-SA"/>
              </w:rPr>
              <w:pict>
                <v:shape id="_x0000_s1038" type="#_x0000_t202" style="position:absolute;left:0;text-align:left;margin-left:.75pt;margin-top:133.9pt;width:66.75pt;height:12.75pt;z-index:251656704;mso-position-horizontal-relative:text;mso-position-vertical-relative:text" filled="f" strokecolor="white [3212]">
                  <v:textbox style="mso-next-textbox:#_x0000_s1038" inset="0,0,0,0">
                    <w:txbxContent>
                      <w:p w:rsidR="005E7173" w:rsidRPr="00D324DA" w:rsidRDefault="005E7173">
                        <w:pPr>
                          <w:rPr>
                            <w:rFonts w:asciiTheme="minorHAnsi" w:hAnsiTheme="minorHAnsi"/>
                            <w:b/>
                            <w:sz w:val="20"/>
                            <w:szCs w:val="20"/>
                          </w:rPr>
                        </w:pPr>
                        <w:r w:rsidRPr="00D324DA">
                          <w:rPr>
                            <w:rFonts w:asciiTheme="minorHAnsi" w:hAnsiTheme="minorHAnsi"/>
                            <w:b/>
                            <w:sz w:val="20"/>
                            <w:szCs w:val="20"/>
                          </w:rPr>
                          <w:t>Passenger cars</w:t>
                        </w:r>
                      </w:p>
                    </w:txbxContent>
                  </v:textbox>
                </v:shape>
              </w:pict>
            </w:r>
            <w:r w:rsidR="00D324DA" w:rsidRPr="003053B2">
              <w:rPr>
                <w:noProof/>
                <w:lang w:bidi="ar-SA"/>
              </w:rPr>
              <w:drawing>
                <wp:inline distT="0" distB="0" distL="0" distR="0">
                  <wp:extent cx="1943100" cy="1828800"/>
                  <wp:effectExtent l="0" t="0" r="0" b="0"/>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c>
          <w:tcPr>
            <w:tcW w:w="3129" w:type="dxa"/>
            <w:tcBorders>
              <w:bottom w:val="single" w:sz="4" w:space="0" w:color="auto"/>
            </w:tcBorders>
          </w:tcPr>
          <w:p w:rsidR="00D324DA" w:rsidRDefault="001A7AF8" w:rsidP="008219F1">
            <w:r>
              <w:rPr>
                <w:noProof/>
                <w:lang w:eastAsia="ko-KR" w:bidi="ar-SA"/>
              </w:rPr>
              <w:pict>
                <v:shape id="_x0000_s1039" type="#_x0000_t202" style="position:absolute;left:0;text-align:left;margin-left:1.8pt;margin-top:133.9pt;width:43.5pt;height:12.75pt;z-index:251659776;mso-position-horizontal-relative:text;mso-position-vertical-relative:text" filled="f" strokecolor="white [3212]">
                  <v:textbox style="mso-next-textbox:#_x0000_s1039" inset="0,0,0,0">
                    <w:txbxContent>
                      <w:p w:rsidR="005E7173" w:rsidRPr="00D324DA" w:rsidRDefault="005E7173" w:rsidP="00D324DA">
                        <w:pPr>
                          <w:rPr>
                            <w:rFonts w:asciiTheme="minorHAnsi" w:hAnsiTheme="minorHAnsi"/>
                            <w:b/>
                            <w:sz w:val="20"/>
                            <w:szCs w:val="20"/>
                          </w:rPr>
                        </w:pPr>
                        <w:r w:rsidRPr="00D324DA">
                          <w:rPr>
                            <w:rFonts w:asciiTheme="minorHAnsi" w:hAnsiTheme="minorHAnsi"/>
                            <w:b/>
                            <w:sz w:val="20"/>
                            <w:szCs w:val="20"/>
                          </w:rPr>
                          <w:t>Buses</w:t>
                        </w:r>
                      </w:p>
                    </w:txbxContent>
                  </v:textbox>
                </v:shape>
              </w:pict>
            </w:r>
            <w:r w:rsidR="00D324DA" w:rsidRPr="00D324DA">
              <w:rPr>
                <w:noProof/>
                <w:lang w:bidi="ar-SA"/>
              </w:rPr>
              <w:drawing>
                <wp:inline distT="0" distB="0" distL="0" distR="0">
                  <wp:extent cx="1933575" cy="1828800"/>
                  <wp:effectExtent l="0" t="0" r="0" b="0"/>
                  <wp:docPr id="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c>
          <w:tcPr>
            <w:tcW w:w="3130" w:type="dxa"/>
            <w:tcBorders>
              <w:bottom w:val="single" w:sz="4" w:space="0" w:color="auto"/>
            </w:tcBorders>
          </w:tcPr>
          <w:p w:rsidR="00D324DA" w:rsidRDefault="001A7AF8" w:rsidP="008219F1">
            <w:r>
              <w:rPr>
                <w:noProof/>
                <w:lang w:eastAsia="ko-KR" w:bidi="ar-SA"/>
              </w:rPr>
              <w:pict>
                <v:shape id="_x0000_s1040" type="#_x0000_t202" style="position:absolute;left:0;text-align:left;margin-left:1.35pt;margin-top:133.9pt;width:43.5pt;height:12.75pt;z-index:251660800;mso-position-horizontal-relative:text;mso-position-vertical-relative:text" filled="f" strokecolor="white [3212]">
                  <v:textbox style="mso-next-textbox:#_x0000_s1040" inset="0,0,0,0">
                    <w:txbxContent>
                      <w:p w:rsidR="005E7173" w:rsidRPr="00D324DA" w:rsidRDefault="005E7173" w:rsidP="00D324DA">
                        <w:pPr>
                          <w:rPr>
                            <w:rFonts w:asciiTheme="minorHAnsi" w:hAnsiTheme="minorHAnsi"/>
                            <w:b/>
                            <w:sz w:val="20"/>
                            <w:szCs w:val="20"/>
                          </w:rPr>
                        </w:pPr>
                        <w:r w:rsidRPr="00D324DA">
                          <w:rPr>
                            <w:rFonts w:asciiTheme="minorHAnsi" w:hAnsiTheme="minorHAnsi"/>
                            <w:b/>
                            <w:sz w:val="20"/>
                            <w:szCs w:val="20"/>
                          </w:rPr>
                          <w:t>Trucks</w:t>
                        </w:r>
                      </w:p>
                    </w:txbxContent>
                  </v:textbox>
                </v:shape>
              </w:pict>
            </w:r>
            <w:r w:rsidR="00D324DA" w:rsidRPr="00D324DA">
              <w:rPr>
                <w:noProof/>
                <w:lang w:bidi="ar-SA"/>
              </w:rPr>
              <w:drawing>
                <wp:inline distT="0" distB="0" distL="0" distR="0">
                  <wp:extent cx="1962150" cy="1828800"/>
                  <wp:effectExtent l="0" t="0" r="0" b="0"/>
                  <wp:docPr id="1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r w:rsidR="00D324DA" w:rsidTr="00C70B4F">
        <w:trPr>
          <w:trHeight w:val="152"/>
        </w:trPr>
        <w:tc>
          <w:tcPr>
            <w:tcW w:w="9388" w:type="dxa"/>
            <w:gridSpan w:val="3"/>
            <w:tcBorders>
              <w:left w:val="nil"/>
              <w:bottom w:val="nil"/>
              <w:right w:val="nil"/>
            </w:tcBorders>
          </w:tcPr>
          <w:p w:rsidR="00D324DA" w:rsidRPr="00961A10" w:rsidRDefault="005631F9" w:rsidP="005818A2">
            <w:pPr>
              <w:spacing w:before="40" w:after="180"/>
              <w:jc w:val="center"/>
              <w:rPr>
                <w:noProof/>
                <w:sz w:val="18"/>
                <w:szCs w:val="18"/>
                <w:lang w:eastAsia="ko-KR" w:bidi="ar-SA"/>
              </w:rPr>
            </w:pPr>
            <w:r w:rsidRPr="00961A10">
              <w:rPr>
                <w:i/>
                <w:sz w:val="18"/>
                <w:szCs w:val="18"/>
              </w:rPr>
              <w:t xml:space="preserve">Source: WB staff calculations based on data provided by Georgian Ministry of </w:t>
            </w:r>
            <w:r w:rsidR="00523A29" w:rsidRPr="00961A10">
              <w:rPr>
                <w:i/>
                <w:sz w:val="18"/>
                <w:szCs w:val="18"/>
              </w:rPr>
              <w:t>Internal Affairs</w:t>
            </w:r>
          </w:p>
        </w:tc>
      </w:tr>
    </w:tbl>
    <w:p w:rsidR="00C70B4F" w:rsidRDefault="00304866" w:rsidP="00304866">
      <w:r w:rsidRPr="004B31A4">
        <w:rPr>
          <w:b/>
        </w:rPr>
        <w:t>Current condition: vehicle standards</w:t>
      </w:r>
      <w:r>
        <w:rPr>
          <w:b/>
        </w:rPr>
        <w:t xml:space="preserve"> are enforced</w:t>
      </w:r>
      <w:r w:rsidR="00D06E7D">
        <w:rPr>
          <w:b/>
        </w:rPr>
        <w:t xml:space="preserve"> for </w:t>
      </w:r>
      <w:r w:rsidR="003D4967">
        <w:rPr>
          <w:b/>
        </w:rPr>
        <w:t xml:space="preserve">only </w:t>
      </w:r>
      <w:r w:rsidR="00D06E7D">
        <w:rPr>
          <w:b/>
        </w:rPr>
        <w:t>a small fraction of the vehicle fleet</w:t>
      </w:r>
      <w:r>
        <w:t xml:space="preserve">. Georgia has adopted </w:t>
      </w:r>
      <w:r w:rsidR="003D4967">
        <w:t xml:space="preserve">legislation to alight with </w:t>
      </w:r>
      <w:r>
        <w:t xml:space="preserve">EU standards for commercial vehicles, </w:t>
      </w:r>
      <w:r w:rsidR="003D4967">
        <w:t xml:space="preserve">but </w:t>
      </w:r>
      <w:r>
        <w:t xml:space="preserve">regular inspection and enforcement </w:t>
      </w:r>
      <w:r w:rsidR="003D4967">
        <w:t xml:space="preserve">applies </w:t>
      </w:r>
      <w:r>
        <w:t xml:space="preserve">only </w:t>
      </w:r>
      <w:r w:rsidR="003D4967">
        <w:t xml:space="preserve">to </w:t>
      </w:r>
      <w:r>
        <w:t xml:space="preserve">operators </w:t>
      </w:r>
      <w:r w:rsidR="003D4967">
        <w:t xml:space="preserve">of </w:t>
      </w:r>
      <w:r>
        <w:t xml:space="preserve">international </w:t>
      </w:r>
      <w:r w:rsidR="00E42A7C">
        <w:t xml:space="preserve">cargo and passenger transport </w:t>
      </w:r>
      <w:r>
        <w:t>services</w:t>
      </w:r>
      <w:r w:rsidR="00E42A7C">
        <w:t>.</w:t>
      </w:r>
      <w:r w:rsidR="00E42A7C">
        <w:rPr>
          <w:rStyle w:val="FootnoteReference"/>
        </w:rPr>
        <w:footnoteReference w:id="29"/>
      </w:r>
      <w:r w:rsidR="00E42A7C">
        <w:t xml:space="preserve"> </w:t>
      </w:r>
      <w:r w:rsidR="00D06E7D">
        <w:t xml:space="preserve"> </w:t>
      </w:r>
      <w:r w:rsidRPr="00E0786C">
        <w:t xml:space="preserve">Expanding the </w:t>
      </w:r>
      <w:r w:rsidR="003D4967">
        <w:t xml:space="preserve">inspection </w:t>
      </w:r>
      <w:r w:rsidRPr="00E0786C">
        <w:t xml:space="preserve">scope to cover commercial vehicles operating domestic services </w:t>
      </w:r>
      <w:r w:rsidR="00E0786C" w:rsidRPr="00E0786C">
        <w:t xml:space="preserve">and private vehicles </w:t>
      </w:r>
      <w:r w:rsidRPr="00E0786C">
        <w:t>appears to be a challenge</w:t>
      </w:r>
      <w:r w:rsidR="00E0786C" w:rsidRPr="00E0786C">
        <w:t xml:space="preserve">, given the staffing </w:t>
      </w:r>
      <w:r w:rsidR="003D4967">
        <w:t xml:space="preserve">levels </w:t>
      </w:r>
      <w:r w:rsidR="00E0786C" w:rsidRPr="00E0786C">
        <w:t>at t</w:t>
      </w:r>
      <w:r w:rsidRPr="00E0786C">
        <w:t>he Land Transport Agency</w:t>
      </w:r>
      <w:r w:rsidR="00DB7723">
        <w:t xml:space="preserve"> (LTA)</w:t>
      </w:r>
      <w:r w:rsidRPr="00E0786C">
        <w:t xml:space="preserve">.  </w:t>
      </w:r>
      <w:r w:rsidR="003D4967">
        <w:lastRenderedPageBreak/>
        <w:t xml:space="preserve">Only </w:t>
      </w:r>
      <w:r w:rsidR="00DB7723">
        <w:t>three</w:t>
      </w:r>
      <w:r w:rsidRPr="00E0786C">
        <w:t xml:space="preserve"> staff in the monitoring unit </w:t>
      </w:r>
      <w:r w:rsidR="003D4967">
        <w:t xml:space="preserve">now </w:t>
      </w:r>
      <w:r w:rsidRPr="00E0786C">
        <w:t>perform vehicle inspection</w:t>
      </w:r>
      <w:r w:rsidR="003D4967">
        <w:t>s</w:t>
      </w:r>
      <w:r w:rsidRPr="00E0786C">
        <w:t xml:space="preserve"> for about 300 transport companies that own and operate about 2,000 vehicles.</w:t>
      </w:r>
    </w:p>
    <w:p w:rsidR="00D06E7D" w:rsidRDefault="00D06E7D" w:rsidP="00D06E7D">
      <w:r>
        <w:rPr>
          <w:b/>
        </w:rPr>
        <w:t xml:space="preserve">Rationale for change: </w:t>
      </w:r>
      <w:r w:rsidR="003D4967">
        <w:rPr>
          <w:b/>
        </w:rPr>
        <w:t xml:space="preserve">the </w:t>
      </w:r>
      <w:r>
        <w:rPr>
          <w:b/>
        </w:rPr>
        <w:t xml:space="preserve">need to </w:t>
      </w:r>
      <w:r w:rsidR="009F218A">
        <w:rPr>
          <w:b/>
        </w:rPr>
        <w:t xml:space="preserve">influence long-term consumption patterns </w:t>
      </w:r>
      <w:r w:rsidR="003745EC">
        <w:rPr>
          <w:b/>
        </w:rPr>
        <w:t>in the face of</w:t>
      </w:r>
      <w:r>
        <w:rPr>
          <w:b/>
        </w:rPr>
        <w:t xml:space="preserve"> rapid motorization</w:t>
      </w:r>
      <w:r>
        <w:t xml:space="preserve">.  As incomes rise, motorization rates </w:t>
      </w:r>
      <w:r w:rsidR="001C7608">
        <w:t xml:space="preserve">tend to </w:t>
      </w:r>
      <w:r>
        <w:t xml:space="preserve">surge </w:t>
      </w:r>
      <w:r w:rsidR="008430BD">
        <w:t>(</w:t>
      </w:r>
      <w:fldSimple w:instr=" REF _Ref308688084 \h  \* MERGEFORMAT ">
        <w:r w:rsidR="00AA3F1A" w:rsidRPr="00AA3F1A">
          <w:t xml:space="preserve">Figure </w:t>
        </w:r>
        <w:r w:rsidR="00AA3F1A" w:rsidRPr="00AA3F1A">
          <w:rPr>
            <w:noProof/>
          </w:rPr>
          <w:t>13</w:t>
        </w:r>
      </w:fldSimple>
      <w:r w:rsidR="008430BD">
        <w:t>)</w:t>
      </w:r>
      <w:r>
        <w:t xml:space="preserve">. </w:t>
      </w:r>
      <w:r w:rsidR="003D4967">
        <w:t>Typically</w:t>
      </w:r>
      <w:r>
        <w:t xml:space="preserve">, </w:t>
      </w:r>
      <w:r w:rsidRPr="003B1160">
        <w:t xml:space="preserve">demand for individual car </w:t>
      </w:r>
      <w:r>
        <w:t xml:space="preserve">ownership and </w:t>
      </w:r>
      <w:r w:rsidRPr="003B1160">
        <w:t xml:space="preserve">use </w:t>
      </w:r>
      <w:r>
        <w:t xml:space="preserve">has increased rapidly </w:t>
      </w:r>
      <w:r w:rsidRPr="003B1160">
        <w:t xml:space="preserve">when </w:t>
      </w:r>
      <w:r w:rsidR="008430BD">
        <w:t>per capita GDP</w:t>
      </w:r>
      <w:r w:rsidRPr="003B1160">
        <w:t xml:space="preserve"> </w:t>
      </w:r>
      <w:r>
        <w:t>reach</w:t>
      </w:r>
      <w:r w:rsidR="008430BD">
        <w:t>es</w:t>
      </w:r>
      <w:r w:rsidRPr="003B1160">
        <w:t xml:space="preserve"> US$</w:t>
      </w:r>
      <w:r w:rsidR="008430BD">
        <w:t>4,000–8</w:t>
      </w:r>
      <w:r w:rsidRPr="003B1160">
        <w:t>,000</w:t>
      </w:r>
      <w:r>
        <w:t xml:space="preserve"> (</w:t>
      </w:r>
      <w:fldSimple w:instr=" REF _Ref324593699 \h  \* MERGEFORMAT ">
        <w:r w:rsidR="00AA3F1A" w:rsidRPr="00AA3F1A">
          <w:t xml:space="preserve">Figure </w:t>
        </w:r>
        <w:r w:rsidR="00AA3F1A" w:rsidRPr="00AA3F1A">
          <w:rPr>
            <w:noProof/>
          </w:rPr>
          <w:t>14</w:t>
        </w:r>
      </w:fldSimple>
      <w:r>
        <w:t xml:space="preserve">). </w:t>
      </w:r>
      <w:r w:rsidR="003D4967">
        <w:t>If Georgia returns</w:t>
      </w:r>
      <w:r w:rsidRPr="003B1160">
        <w:t xml:space="preserve"> to</w:t>
      </w:r>
      <w:r w:rsidR="003D4967">
        <w:t xml:space="preserve"> </w:t>
      </w:r>
      <w:r>
        <w:t xml:space="preserve">the </w:t>
      </w:r>
      <w:r w:rsidRPr="003B1160">
        <w:t xml:space="preserve">high growth rates </w:t>
      </w:r>
      <w:r>
        <w:t xml:space="preserve">enjoyed </w:t>
      </w:r>
      <w:r w:rsidRPr="003B1160">
        <w:t xml:space="preserve">before the crises, </w:t>
      </w:r>
      <w:r>
        <w:t>these</w:t>
      </w:r>
      <w:r w:rsidRPr="003B1160">
        <w:t xml:space="preserve"> </w:t>
      </w:r>
      <w:r w:rsidR="003D4967">
        <w:t xml:space="preserve">income </w:t>
      </w:r>
      <w:r w:rsidRPr="003B1160">
        <w:t>level</w:t>
      </w:r>
      <w:r>
        <w:t>s could be reached</w:t>
      </w:r>
      <w:r w:rsidRPr="003B1160">
        <w:t xml:space="preserve"> in </w:t>
      </w:r>
      <w:r w:rsidR="009F218A">
        <w:t>the next few years</w:t>
      </w:r>
      <w:r>
        <w:t>. Therefore develop</w:t>
      </w:r>
      <w:r w:rsidR="003D4967">
        <w:t>ing</w:t>
      </w:r>
      <w:r>
        <w:t xml:space="preserve"> a policy framework </w:t>
      </w:r>
      <w:r w:rsidR="003D4967">
        <w:t xml:space="preserve">now </w:t>
      </w:r>
      <w:r>
        <w:t xml:space="preserve">that </w:t>
      </w:r>
      <w:r w:rsidR="003D4967">
        <w:t>will provide</w:t>
      </w:r>
      <w:r>
        <w:t xml:space="preserve"> incentives for consumers to </w:t>
      </w:r>
      <w:r w:rsidR="003D4967">
        <w:t xml:space="preserve">opt for </w:t>
      </w:r>
      <w:r>
        <w:t>greener transport choices</w:t>
      </w:r>
      <w:r w:rsidR="003D4967">
        <w:t xml:space="preserve">—such as </w:t>
      </w:r>
      <w:r w:rsidR="008430BD">
        <w:t>purchasing fuel-efficient cars</w:t>
      </w:r>
      <w:r w:rsidR="003D4967">
        <w:t>—will have long-term effects on the local and global public goods</w:t>
      </w:r>
      <w:r w:rsidR="008430BD">
        <w:t xml:space="preserve">.  </w:t>
      </w:r>
      <w:r w:rsidR="003D4967">
        <w:t>This is borne out by i</w:t>
      </w:r>
      <w:r w:rsidR="008430BD">
        <w:t>nternational experience</w:t>
      </w:r>
      <w:r w:rsidR="003D4967">
        <w:t>, which</w:t>
      </w:r>
      <w:r w:rsidR="008430BD">
        <w:t xml:space="preserve"> suggests that policies that shape consumer choices at Georgia’s current income level will have </w:t>
      </w:r>
      <w:r w:rsidR="003D4967">
        <w:t xml:space="preserve">enduring outcomes </w:t>
      </w:r>
      <w:r w:rsidR="008430BD">
        <w:t>(</w:t>
      </w:r>
      <w:fldSimple w:instr=" REF _Ref324332801 \h  \* MERGEFORMAT ">
        <w:r w:rsidR="00F74DCE" w:rsidRPr="00F74DCE">
          <w:t xml:space="preserve">Figure </w:t>
        </w:r>
        <w:r w:rsidR="00F74DCE" w:rsidRPr="00F74DCE">
          <w:rPr>
            <w:noProof/>
          </w:rPr>
          <w:t>4</w:t>
        </w:r>
      </w:fldSimple>
      <w:r w:rsidR="008430BD">
        <w:t>)</w:t>
      </w:r>
      <w:r>
        <w:t>.</w:t>
      </w:r>
    </w:p>
    <w:tbl>
      <w:tblPr>
        <w:tblStyle w:val="TableGrid"/>
        <w:tblW w:w="9617" w:type="dxa"/>
        <w:jc w:val="center"/>
        <w:tblCellMar>
          <w:left w:w="0" w:type="dxa"/>
          <w:right w:w="0" w:type="dxa"/>
        </w:tblCellMar>
        <w:tblLook w:val="04A0"/>
      </w:tblPr>
      <w:tblGrid>
        <w:gridCol w:w="5126"/>
        <w:gridCol w:w="4491"/>
      </w:tblGrid>
      <w:tr w:rsidR="00D06E7D" w:rsidTr="00225A14">
        <w:trPr>
          <w:jc w:val="center"/>
        </w:trPr>
        <w:tc>
          <w:tcPr>
            <w:tcW w:w="5126" w:type="dxa"/>
            <w:tcBorders>
              <w:top w:val="nil"/>
              <w:left w:val="nil"/>
              <w:bottom w:val="single" w:sz="4" w:space="0" w:color="auto"/>
              <w:right w:val="nil"/>
            </w:tcBorders>
            <w:tcMar>
              <w:left w:w="86" w:type="dxa"/>
              <w:right w:w="86" w:type="dxa"/>
            </w:tcMar>
            <w:vAlign w:val="center"/>
          </w:tcPr>
          <w:p w:rsidR="00D06E7D" w:rsidRPr="005631F9" w:rsidRDefault="00D06E7D" w:rsidP="00F74DCE">
            <w:pPr>
              <w:spacing w:after="60"/>
              <w:jc w:val="center"/>
              <w:rPr>
                <w:sz w:val="20"/>
                <w:szCs w:val="20"/>
              </w:rPr>
            </w:pPr>
            <w:bookmarkStart w:id="56" w:name="_Ref308688084"/>
            <w:bookmarkStart w:id="57" w:name="_Toc326892834"/>
            <w:r w:rsidRPr="00394B4B">
              <w:rPr>
                <w:b/>
                <w:sz w:val="20"/>
                <w:szCs w:val="20"/>
              </w:rPr>
              <w:t xml:space="preserve">Figure </w:t>
            </w:r>
            <w:r w:rsidR="001A7AF8" w:rsidRPr="00394B4B">
              <w:rPr>
                <w:b/>
                <w:sz w:val="20"/>
                <w:szCs w:val="20"/>
              </w:rPr>
              <w:fldChar w:fldCharType="begin"/>
            </w:r>
            <w:r w:rsidRPr="00394B4B">
              <w:rPr>
                <w:b/>
                <w:sz w:val="20"/>
                <w:szCs w:val="20"/>
              </w:rPr>
              <w:instrText xml:space="preserve"> SEQ Figure \* ARABIC </w:instrText>
            </w:r>
            <w:r w:rsidR="001A7AF8" w:rsidRPr="00394B4B">
              <w:rPr>
                <w:b/>
                <w:sz w:val="20"/>
                <w:szCs w:val="20"/>
              </w:rPr>
              <w:fldChar w:fldCharType="separate"/>
            </w:r>
            <w:r w:rsidR="00AA3F1A">
              <w:rPr>
                <w:b/>
                <w:noProof/>
                <w:sz w:val="20"/>
                <w:szCs w:val="20"/>
              </w:rPr>
              <w:t>13</w:t>
            </w:r>
            <w:r w:rsidR="001A7AF8" w:rsidRPr="00394B4B">
              <w:rPr>
                <w:b/>
                <w:sz w:val="20"/>
                <w:szCs w:val="20"/>
              </w:rPr>
              <w:fldChar w:fldCharType="end"/>
            </w:r>
            <w:bookmarkEnd w:id="56"/>
            <w:r w:rsidRPr="00394B4B">
              <w:rPr>
                <w:sz w:val="20"/>
                <w:szCs w:val="20"/>
              </w:rPr>
              <w:t xml:space="preserve">: </w:t>
            </w:r>
            <w:r>
              <w:rPr>
                <w:sz w:val="20"/>
                <w:szCs w:val="20"/>
              </w:rPr>
              <w:t xml:space="preserve">Strong positive correlation between GDP and </w:t>
            </w:r>
            <w:r w:rsidR="00225A14">
              <w:rPr>
                <w:sz w:val="20"/>
                <w:szCs w:val="20"/>
              </w:rPr>
              <w:t xml:space="preserve">motor </w:t>
            </w:r>
            <w:r>
              <w:rPr>
                <w:sz w:val="20"/>
                <w:szCs w:val="20"/>
              </w:rPr>
              <w:t>vehicle ownership</w:t>
            </w:r>
            <w:bookmarkEnd w:id="57"/>
            <w:r>
              <w:rPr>
                <w:sz w:val="20"/>
                <w:szCs w:val="20"/>
              </w:rPr>
              <w:t xml:space="preserve"> </w:t>
            </w:r>
          </w:p>
        </w:tc>
        <w:tc>
          <w:tcPr>
            <w:tcW w:w="4491" w:type="dxa"/>
            <w:tcBorders>
              <w:top w:val="nil"/>
              <w:left w:val="nil"/>
              <w:bottom w:val="single" w:sz="4" w:space="0" w:color="auto"/>
              <w:right w:val="nil"/>
            </w:tcBorders>
            <w:tcMar>
              <w:left w:w="86" w:type="dxa"/>
              <w:right w:w="86" w:type="dxa"/>
            </w:tcMar>
            <w:vAlign w:val="center"/>
          </w:tcPr>
          <w:p w:rsidR="00D06E7D" w:rsidRPr="00394B4B" w:rsidRDefault="00D06E7D" w:rsidP="00F74DCE">
            <w:pPr>
              <w:spacing w:after="60"/>
              <w:jc w:val="center"/>
              <w:rPr>
                <w:b/>
                <w:sz w:val="20"/>
                <w:szCs w:val="20"/>
              </w:rPr>
            </w:pPr>
            <w:bookmarkStart w:id="58" w:name="_Ref324593699"/>
            <w:bookmarkStart w:id="59" w:name="_Toc326892835"/>
            <w:r w:rsidRPr="00394B4B">
              <w:rPr>
                <w:b/>
                <w:sz w:val="20"/>
                <w:szCs w:val="20"/>
              </w:rPr>
              <w:t xml:space="preserve">Figure </w:t>
            </w:r>
            <w:r w:rsidR="001A7AF8" w:rsidRPr="00394B4B">
              <w:rPr>
                <w:b/>
                <w:sz w:val="20"/>
                <w:szCs w:val="20"/>
              </w:rPr>
              <w:fldChar w:fldCharType="begin"/>
            </w:r>
            <w:r w:rsidRPr="00394B4B">
              <w:rPr>
                <w:b/>
                <w:sz w:val="20"/>
                <w:szCs w:val="20"/>
              </w:rPr>
              <w:instrText xml:space="preserve"> SEQ Figure \* ARABIC </w:instrText>
            </w:r>
            <w:r w:rsidR="001A7AF8" w:rsidRPr="00394B4B">
              <w:rPr>
                <w:b/>
                <w:sz w:val="20"/>
                <w:szCs w:val="20"/>
              </w:rPr>
              <w:fldChar w:fldCharType="separate"/>
            </w:r>
            <w:r w:rsidR="00AA3F1A">
              <w:rPr>
                <w:b/>
                <w:noProof/>
                <w:sz w:val="20"/>
                <w:szCs w:val="20"/>
              </w:rPr>
              <w:t>14</w:t>
            </w:r>
            <w:r w:rsidR="001A7AF8" w:rsidRPr="00394B4B">
              <w:rPr>
                <w:b/>
                <w:sz w:val="20"/>
                <w:szCs w:val="20"/>
              </w:rPr>
              <w:fldChar w:fldCharType="end"/>
            </w:r>
            <w:bookmarkEnd w:id="58"/>
            <w:r w:rsidRPr="00394B4B">
              <w:rPr>
                <w:sz w:val="20"/>
                <w:szCs w:val="20"/>
              </w:rPr>
              <w:t xml:space="preserve">: </w:t>
            </w:r>
            <w:r>
              <w:rPr>
                <w:sz w:val="20"/>
                <w:szCs w:val="20"/>
              </w:rPr>
              <w:t xml:space="preserve">Vehicle ownership </w:t>
            </w:r>
            <w:r w:rsidR="00A85E9D">
              <w:rPr>
                <w:sz w:val="20"/>
                <w:szCs w:val="20"/>
              </w:rPr>
              <w:t xml:space="preserve">growth </w:t>
            </w:r>
            <w:r w:rsidR="00F74DCE">
              <w:rPr>
                <w:sz w:val="20"/>
                <w:szCs w:val="20"/>
              </w:rPr>
              <w:t xml:space="preserve">much </w:t>
            </w:r>
            <w:r>
              <w:rPr>
                <w:sz w:val="20"/>
                <w:szCs w:val="20"/>
              </w:rPr>
              <w:t xml:space="preserve">faster than GDP growth </w:t>
            </w:r>
            <w:r w:rsidR="00F74DCE">
              <w:rPr>
                <w:sz w:val="20"/>
                <w:szCs w:val="20"/>
              </w:rPr>
              <w:t xml:space="preserve">between </w:t>
            </w:r>
            <w:r>
              <w:rPr>
                <w:sz w:val="20"/>
                <w:szCs w:val="20"/>
              </w:rPr>
              <w:t>$</w:t>
            </w:r>
            <w:r w:rsidR="008430BD">
              <w:rPr>
                <w:sz w:val="20"/>
                <w:szCs w:val="20"/>
              </w:rPr>
              <w:t>4</w:t>
            </w:r>
            <w:r>
              <w:rPr>
                <w:sz w:val="20"/>
                <w:szCs w:val="20"/>
              </w:rPr>
              <w:t>,000-</w:t>
            </w:r>
            <w:r w:rsidR="008430BD">
              <w:rPr>
                <w:sz w:val="20"/>
                <w:szCs w:val="20"/>
              </w:rPr>
              <w:t>8</w:t>
            </w:r>
            <w:r>
              <w:rPr>
                <w:sz w:val="20"/>
                <w:szCs w:val="20"/>
              </w:rPr>
              <w:t>,000 per capita</w:t>
            </w:r>
            <w:bookmarkEnd w:id="59"/>
          </w:p>
        </w:tc>
      </w:tr>
      <w:tr w:rsidR="00D06E7D" w:rsidTr="00225A14">
        <w:trPr>
          <w:jc w:val="center"/>
        </w:trPr>
        <w:tc>
          <w:tcPr>
            <w:tcW w:w="5126" w:type="dxa"/>
            <w:tcBorders>
              <w:bottom w:val="single" w:sz="4" w:space="0" w:color="auto"/>
            </w:tcBorders>
          </w:tcPr>
          <w:p w:rsidR="00D06E7D" w:rsidRDefault="00D06E7D" w:rsidP="00D06E7D">
            <w:pPr>
              <w:spacing w:after="0"/>
              <w:jc w:val="center"/>
            </w:pPr>
            <w:r w:rsidRPr="00952D83">
              <w:rPr>
                <w:noProof/>
                <w:lang w:bidi="ar-SA"/>
              </w:rPr>
              <w:drawing>
                <wp:inline distT="0" distB="0" distL="0" distR="0">
                  <wp:extent cx="3171825" cy="2600325"/>
                  <wp:effectExtent l="0" t="0" r="0" b="0"/>
                  <wp:docPr id="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c>
          <w:tcPr>
            <w:tcW w:w="4491" w:type="dxa"/>
            <w:tcBorders>
              <w:bottom w:val="single" w:sz="4" w:space="0" w:color="auto"/>
            </w:tcBorders>
          </w:tcPr>
          <w:p w:rsidR="00D06E7D" w:rsidRPr="00952D83" w:rsidRDefault="001A7AF8" w:rsidP="00D06E7D">
            <w:pPr>
              <w:spacing w:after="0"/>
              <w:jc w:val="center"/>
              <w:rPr>
                <w:noProof/>
                <w:lang w:eastAsia="ko-KR" w:bidi="ar-SA"/>
              </w:rPr>
            </w:pPr>
            <w:r>
              <w:rPr>
                <w:noProof/>
                <w:lang w:eastAsia="ko-KR" w:bidi="ar-SA"/>
              </w:rPr>
              <w:pict>
                <v:shape id="_x0000_s1101" type="#_x0000_t32" style="position:absolute;left:0;text-align:left;margin-left:54.4pt;margin-top:102.9pt;width:71.25pt;height:0;z-index:251672064;mso-position-horizontal-relative:text;mso-position-vertical-relative:text" o:connectortype="straight" o:regroupid="24" strokecolor="#1f497d [3215]" strokeweight="1.5pt">
                  <v:stroke dashstyle="1 1"/>
                </v:shape>
              </w:pict>
            </w:r>
            <w:r>
              <w:rPr>
                <w:noProof/>
                <w:lang w:eastAsia="ko-KR" w:bidi="ar-SA"/>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102" type="#_x0000_t68" style="position:absolute;left:0;text-align:left;margin-left:115.15pt;margin-top:82.65pt;width:14.25pt;height:21pt;z-index:251673088;mso-position-horizontal-relative:text;mso-position-vertical-relative:text" o:regroupid="24" fillcolor="#1f497d [3215]" strokecolor="#1f497d [3215]">
                  <v:textbox style="layout-flow:vertical-ideographic"/>
                </v:shape>
              </w:pict>
            </w:r>
            <w:r w:rsidR="00D06E7D" w:rsidRPr="00D06E7D">
              <w:rPr>
                <w:noProof/>
                <w:lang w:bidi="ar-SA"/>
              </w:rPr>
              <w:drawing>
                <wp:inline distT="0" distB="0" distL="0" distR="0">
                  <wp:extent cx="2771775" cy="2603789"/>
                  <wp:effectExtent l="1905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screen">
                            <a:lum bright="-10000" contrast="15000"/>
                          </a:blip>
                          <a:srcRect l="3216"/>
                          <a:stretch>
                            <a:fillRect/>
                          </a:stretch>
                        </pic:blipFill>
                        <pic:spPr bwMode="auto">
                          <a:xfrm>
                            <a:off x="0" y="0"/>
                            <a:ext cx="2771775" cy="2603789"/>
                          </a:xfrm>
                          <a:prstGeom prst="rect">
                            <a:avLst/>
                          </a:prstGeom>
                          <a:noFill/>
                          <a:ln w="9525">
                            <a:noFill/>
                            <a:miter lim="800000"/>
                            <a:headEnd/>
                            <a:tailEnd/>
                          </a:ln>
                        </pic:spPr>
                      </pic:pic>
                    </a:graphicData>
                  </a:graphic>
                </wp:inline>
              </w:drawing>
            </w:r>
          </w:p>
        </w:tc>
      </w:tr>
      <w:tr w:rsidR="00D06E7D" w:rsidTr="00225A14">
        <w:trPr>
          <w:jc w:val="center"/>
        </w:trPr>
        <w:tc>
          <w:tcPr>
            <w:tcW w:w="5126" w:type="dxa"/>
            <w:tcBorders>
              <w:left w:val="nil"/>
              <w:bottom w:val="nil"/>
              <w:right w:val="nil"/>
            </w:tcBorders>
            <w:tcMar>
              <w:top w:w="14" w:type="dxa"/>
              <w:left w:w="43" w:type="dxa"/>
              <w:bottom w:w="14" w:type="dxa"/>
              <w:right w:w="43" w:type="dxa"/>
            </w:tcMar>
          </w:tcPr>
          <w:p w:rsidR="00D06E7D" w:rsidRPr="00961A10" w:rsidRDefault="00D06E7D" w:rsidP="00C85AA5">
            <w:pPr>
              <w:spacing w:after="0"/>
              <w:jc w:val="center"/>
              <w:rPr>
                <w:i/>
                <w:sz w:val="18"/>
                <w:szCs w:val="18"/>
              </w:rPr>
            </w:pPr>
            <w:r w:rsidRPr="00961A10">
              <w:rPr>
                <w:i/>
                <w:sz w:val="18"/>
                <w:szCs w:val="18"/>
              </w:rPr>
              <w:t>Source: World Development Indicators;</w:t>
            </w:r>
          </w:p>
          <w:p w:rsidR="00D06E7D" w:rsidRPr="005631F9" w:rsidRDefault="00D06E7D" w:rsidP="003D4967">
            <w:pPr>
              <w:spacing w:after="60"/>
              <w:jc w:val="center"/>
              <w:rPr>
                <w:i/>
                <w:sz w:val="20"/>
                <w:szCs w:val="20"/>
              </w:rPr>
            </w:pPr>
            <w:r w:rsidRPr="00961A10">
              <w:rPr>
                <w:i/>
                <w:sz w:val="18"/>
                <w:szCs w:val="18"/>
              </w:rPr>
              <w:t xml:space="preserve">Note: Asterisks (*) </w:t>
            </w:r>
            <w:r w:rsidR="003D4967">
              <w:rPr>
                <w:i/>
                <w:sz w:val="18"/>
                <w:szCs w:val="18"/>
              </w:rPr>
              <w:t>indicate</w:t>
            </w:r>
            <w:r w:rsidRPr="00961A10">
              <w:rPr>
                <w:i/>
                <w:sz w:val="18"/>
                <w:szCs w:val="18"/>
              </w:rPr>
              <w:t xml:space="preserve"> data from 2007, otherwise 2008</w:t>
            </w:r>
          </w:p>
        </w:tc>
        <w:tc>
          <w:tcPr>
            <w:tcW w:w="4491" w:type="dxa"/>
            <w:tcBorders>
              <w:left w:val="nil"/>
              <w:bottom w:val="nil"/>
              <w:right w:val="nil"/>
            </w:tcBorders>
          </w:tcPr>
          <w:p w:rsidR="00D06E7D" w:rsidRPr="00961A10" w:rsidRDefault="00D06E7D" w:rsidP="00C85AA5">
            <w:pPr>
              <w:spacing w:after="0"/>
              <w:jc w:val="center"/>
              <w:rPr>
                <w:i/>
                <w:sz w:val="18"/>
                <w:szCs w:val="18"/>
              </w:rPr>
            </w:pPr>
            <w:r w:rsidRPr="00961A10">
              <w:rPr>
                <w:i/>
                <w:sz w:val="18"/>
                <w:szCs w:val="18"/>
              </w:rPr>
              <w:t xml:space="preserve">Source: </w:t>
            </w:r>
            <w:r w:rsidR="00225A14" w:rsidRPr="00225A14">
              <w:rPr>
                <w:i/>
                <w:sz w:val="18"/>
                <w:szCs w:val="18"/>
              </w:rPr>
              <w:t xml:space="preserve">Dargay, Gately and Sommer </w:t>
            </w:r>
            <w:sdt>
              <w:sdtPr>
                <w:rPr>
                  <w:i/>
                  <w:sz w:val="18"/>
                  <w:szCs w:val="18"/>
                </w:rPr>
                <w:id w:val="601279662"/>
                <w:citation/>
              </w:sdtPr>
              <w:sdtContent>
                <w:r w:rsidR="001A7AF8" w:rsidRPr="00225A14">
                  <w:rPr>
                    <w:i/>
                    <w:sz w:val="18"/>
                    <w:szCs w:val="18"/>
                  </w:rPr>
                  <w:fldChar w:fldCharType="begin"/>
                </w:r>
                <w:r w:rsidR="00225A14" w:rsidRPr="00225A14">
                  <w:rPr>
                    <w:i/>
                    <w:sz w:val="18"/>
                    <w:szCs w:val="18"/>
                  </w:rPr>
                  <w:instrText xml:space="preserve"> CITATION Dar07 \n  \t  \l 1033  </w:instrText>
                </w:r>
                <w:r w:rsidR="001A7AF8" w:rsidRPr="00225A14">
                  <w:rPr>
                    <w:i/>
                    <w:sz w:val="18"/>
                    <w:szCs w:val="18"/>
                  </w:rPr>
                  <w:fldChar w:fldCharType="separate"/>
                </w:r>
                <w:r w:rsidR="00225A14" w:rsidRPr="00225A14">
                  <w:rPr>
                    <w:i/>
                    <w:sz w:val="18"/>
                    <w:szCs w:val="18"/>
                  </w:rPr>
                  <w:t>(2007)</w:t>
                </w:r>
                <w:r w:rsidR="001A7AF8" w:rsidRPr="00225A14">
                  <w:rPr>
                    <w:i/>
                    <w:sz w:val="18"/>
                    <w:szCs w:val="18"/>
                  </w:rPr>
                  <w:fldChar w:fldCharType="end"/>
                </w:r>
              </w:sdtContent>
            </w:sdt>
          </w:p>
        </w:tc>
      </w:tr>
    </w:tbl>
    <w:p w:rsidR="008219F1" w:rsidRPr="00E046E9" w:rsidRDefault="008219F1" w:rsidP="002A0EAE">
      <w:pPr>
        <w:spacing w:before="240"/>
        <w:rPr>
          <w:b/>
          <w:i/>
        </w:rPr>
      </w:pPr>
      <w:r w:rsidRPr="00E046E9">
        <w:rPr>
          <w:b/>
          <w:i/>
        </w:rPr>
        <w:t>How can this be done?</w:t>
      </w:r>
    </w:p>
    <w:p w:rsidR="00F904AC" w:rsidRDefault="005078C2" w:rsidP="005078C2">
      <w:r>
        <w:rPr>
          <w:b/>
        </w:rPr>
        <w:t>Fiscal policy and i</w:t>
      </w:r>
      <w:r w:rsidR="002A5FE1" w:rsidRPr="00731A35">
        <w:rPr>
          <w:b/>
        </w:rPr>
        <w:t>nvestments</w:t>
      </w:r>
      <w:r w:rsidR="00225FDD">
        <w:rPr>
          <w:b/>
        </w:rPr>
        <w:t>: scrapping</w:t>
      </w:r>
      <w:r w:rsidR="00361CED">
        <w:rPr>
          <w:b/>
        </w:rPr>
        <w:t xml:space="preserve">-and-recycling </w:t>
      </w:r>
      <w:r w:rsidR="00227C71">
        <w:rPr>
          <w:b/>
        </w:rPr>
        <w:t>the old and polluting vehicle fleet</w:t>
      </w:r>
      <w:r w:rsidR="002A5FE1">
        <w:t xml:space="preserve">.  </w:t>
      </w:r>
      <w:r w:rsidR="00A074B4">
        <w:t>As a time-bound policy, Government can intervene in the market to remove</w:t>
      </w:r>
      <w:r w:rsidR="00F904AC">
        <w:t xml:space="preserve"> </w:t>
      </w:r>
      <w:r w:rsidR="00A074B4">
        <w:t xml:space="preserve">some of the old fuel-inefficient vehicles from the road network (38 percent of passenger cars or almost 245,000 cars) that are 20 or more years old. </w:t>
      </w:r>
      <w:r w:rsidR="00F904AC">
        <w:t>V</w:t>
      </w:r>
      <w:r w:rsidR="00A074B4">
        <w:t>ehicle scrapping</w:t>
      </w:r>
      <w:r w:rsidR="003D4967">
        <w:t>-</w:t>
      </w:r>
      <w:r w:rsidR="00A074B4">
        <w:t>and</w:t>
      </w:r>
      <w:r w:rsidR="003D4967">
        <w:t>-</w:t>
      </w:r>
      <w:r w:rsidR="00A074B4">
        <w:t>recycling program</w:t>
      </w:r>
      <w:r w:rsidR="00F904AC">
        <w:t>s</w:t>
      </w:r>
      <w:r w:rsidR="00A074B4">
        <w:t xml:space="preserve"> </w:t>
      </w:r>
      <w:r w:rsidR="00F904AC">
        <w:t xml:space="preserve">are </w:t>
      </w:r>
      <w:r w:rsidR="00A074B4">
        <w:t xml:space="preserve">fiscal policy </w:t>
      </w:r>
      <w:r w:rsidR="001C7608">
        <w:t>measure</w:t>
      </w:r>
      <w:r w:rsidR="00F904AC">
        <w:t>s</w:t>
      </w:r>
      <w:r w:rsidR="001C7608">
        <w:t xml:space="preserve"> that </w:t>
      </w:r>
      <w:r w:rsidR="00F904AC">
        <w:t xml:space="preserve">are </w:t>
      </w:r>
      <w:r w:rsidR="00361CED">
        <w:t>often</w:t>
      </w:r>
      <w:r w:rsidR="00B36079">
        <w:t xml:space="preserve"> </w:t>
      </w:r>
      <w:r w:rsidR="00A074B4">
        <w:t>combined with moderate capital investments</w:t>
      </w:r>
      <w:r w:rsidR="00E052BE">
        <w:t xml:space="preserve">. </w:t>
      </w:r>
      <w:r w:rsidR="00F904AC">
        <w:t xml:space="preserve"> </w:t>
      </w:r>
      <w:r w:rsidR="003D4967">
        <w:t>Typically a</w:t>
      </w:r>
      <w:r w:rsidR="00AA5D80">
        <w:t xml:space="preserve"> government offers financial incentives </w:t>
      </w:r>
      <w:r w:rsidR="003D4967">
        <w:t xml:space="preserve">such as </w:t>
      </w:r>
      <w:r w:rsidR="00AA5D80">
        <w:t xml:space="preserve">tax exemptions </w:t>
      </w:r>
      <w:r w:rsidR="005818A2">
        <w:t>and/</w:t>
      </w:r>
      <w:r w:rsidR="00AA5D80">
        <w:t>or subsidies</w:t>
      </w:r>
      <w:r w:rsidR="00AA5D80" w:rsidDel="004549F5">
        <w:t xml:space="preserve"> </w:t>
      </w:r>
      <w:r w:rsidR="003D4967">
        <w:t xml:space="preserve">to </w:t>
      </w:r>
      <w:r w:rsidR="00AA5D80">
        <w:t xml:space="preserve">owners of older vehicles to purchase newer and less-polluting </w:t>
      </w:r>
      <w:r w:rsidR="003D4967">
        <w:t xml:space="preserve">models; sometimes a government </w:t>
      </w:r>
      <w:r w:rsidR="00AA5D80">
        <w:t xml:space="preserve">provides financial assistance, such as cheaper financing for new vehicles or loan guarantee (see Box </w:t>
      </w:r>
      <w:r w:rsidR="00512C82">
        <w:t>2</w:t>
      </w:r>
      <w:r w:rsidR="005818A2">
        <w:t xml:space="preserve"> </w:t>
      </w:r>
      <w:r w:rsidR="003D4967">
        <w:t xml:space="preserve">on </w:t>
      </w:r>
      <w:r w:rsidR="005818A2">
        <w:t>Cairo</w:t>
      </w:r>
      <w:r w:rsidR="00AA5D80">
        <w:t>).</w:t>
      </w:r>
      <w:r w:rsidR="005818A2">
        <w:t xml:space="preserve"> </w:t>
      </w:r>
      <w:r w:rsidR="00AA5D80">
        <w:t xml:space="preserve"> </w:t>
      </w:r>
      <w:r w:rsidR="00A074B4">
        <w:t>Variations of vehicle</w:t>
      </w:r>
      <w:r w:rsidR="003D4967">
        <w:t xml:space="preserve"> </w:t>
      </w:r>
      <w:r w:rsidR="00A074B4">
        <w:t>scrapping</w:t>
      </w:r>
      <w:r w:rsidR="003D4967">
        <w:t>-</w:t>
      </w:r>
      <w:r w:rsidR="00A074B4">
        <w:t>and</w:t>
      </w:r>
      <w:r w:rsidR="003D4967">
        <w:t>-</w:t>
      </w:r>
      <w:r w:rsidR="00A074B4">
        <w:t xml:space="preserve">recycling programs have been implemented in several countries </w:t>
      </w:r>
      <w:r w:rsidR="003D4967">
        <w:t xml:space="preserve">with a range of </w:t>
      </w:r>
      <w:r w:rsidR="00A074B4">
        <w:t>income levels</w:t>
      </w:r>
      <w:r w:rsidR="003D4967">
        <w:t>; these have experienced</w:t>
      </w:r>
      <w:r w:rsidR="00A074B4">
        <w:t xml:space="preserve"> varying degrees of success as measured by cost-effectiveness.</w:t>
      </w:r>
      <w:r w:rsidR="00E74298" w:rsidRPr="00E74298">
        <w:rPr>
          <w:rStyle w:val="FootnoteReference"/>
        </w:rPr>
        <w:t xml:space="preserve"> </w:t>
      </w:r>
      <w:r w:rsidR="00A074B4">
        <w:t>However, the common benefit has been substantial</w:t>
      </w:r>
      <w:r w:rsidR="003D4967">
        <w:t>ly reduced</w:t>
      </w:r>
      <w:r w:rsidR="00A074B4">
        <w:t xml:space="preserve"> fuel consumption and emissions</w:t>
      </w:r>
      <w:r w:rsidR="00B1029B">
        <w:t xml:space="preserve"> (</w:t>
      </w:r>
      <w:fldSimple w:instr=" REF _Ref323912753 \h  \* MERGEFORMAT ">
        <w:r w:rsidR="00AA3F1A" w:rsidRPr="00AA3F1A">
          <w:t xml:space="preserve">Table </w:t>
        </w:r>
        <w:r w:rsidR="00AA3F1A" w:rsidRPr="00AA3F1A">
          <w:rPr>
            <w:noProof/>
          </w:rPr>
          <w:t>3</w:t>
        </w:r>
      </w:fldSimple>
      <w:r w:rsidR="00B1029B">
        <w:t>)</w:t>
      </w:r>
      <w:r w:rsidR="00A074B4">
        <w:t xml:space="preserve">. </w:t>
      </w:r>
    </w:p>
    <w:p w:rsidR="00E1276E" w:rsidRDefault="00E1276E" w:rsidP="00E1276E">
      <w:r>
        <w:lastRenderedPageBreak/>
        <w:t>A v</w:t>
      </w:r>
      <w:r w:rsidR="00E74298">
        <w:t xml:space="preserve">ehicle scrapping-and-recycling program </w:t>
      </w:r>
      <w:r w:rsidR="00A074B4">
        <w:t xml:space="preserve">must </w:t>
      </w:r>
      <w:r w:rsidR="00F904AC">
        <w:t xml:space="preserve">be </w:t>
      </w:r>
      <w:r w:rsidR="00A074B4">
        <w:t xml:space="preserve">carefully </w:t>
      </w:r>
      <w:r w:rsidR="00F904AC">
        <w:t xml:space="preserve">designed </w:t>
      </w:r>
      <w:r w:rsidR="00A074B4">
        <w:t>consider</w:t>
      </w:r>
      <w:r w:rsidR="00F904AC">
        <w:t>ing</w:t>
      </w:r>
      <w:r w:rsidR="00A074B4">
        <w:t xml:space="preserve"> fiscal implications, income levels, potential revenue streams (from recycling scrapped metals), financial sustainability, and anticipated </w:t>
      </w:r>
      <w:r>
        <w:t xml:space="preserve">environmental and economic </w:t>
      </w:r>
      <w:r w:rsidR="00A074B4">
        <w:t>benefits.</w:t>
      </w:r>
      <w:r w:rsidR="00DE3BCE">
        <w:t xml:space="preserve"> </w:t>
      </w:r>
      <w:r w:rsidR="009A0997">
        <w:t xml:space="preserve"> </w:t>
      </w:r>
      <w:r w:rsidR="00E74298">
        <w:t xml:space="preserve">If not properly targeted, it could be a very regressive and expensive policy that </w:t>
      </w:r>
      <w:r w:rsidR="009A0997">
        <w:t xml:space="preserve">benefits the wealthier </w:t>
      </w:r>
      <w:r w:rsidR="00361CED">
        <w:t xml:space="preserve">population who can afford to purchase new vehicles </w:t>
      </w:r>
      <w:r w:rsidR="009A0997">
        <w:t xml:space="preserve">and </w:t>
      </w:r>
      <w:r w:rsidR="00E74298">
        <w:t>brings about little environmental benefits.</w:t>
      </w:r>
      <w:r w:rsidR="00361CED">
        <w:rPr>
          <w:rStyle w:val="FootnoteReference"/>
        </w:rPr>
        <w:footnoteReference w:id="30"/>
      </w:r>
      <w:r w:rsidR="00E74298">
        <w:t xml:space="preserve"> </w:t>
      </w:r>
      <w:r w:rsidR="00361CED">
        <w:t>Moreover, i</w:t>
      </w:r>
      <w:r>
        <w:t>n the case of Georgia, where domestic automobile industry is non-existent</w:t>
      </w:r>
      <w:r w:rsidR="00E74298">
        <w:t xml:space="preserve">, </w:t>
      </w:r>
      <w:r>
        <w:t>vehicle scrapping-and-recycling programs could merely substitute fuel imports with vehicle imports, which is undesirable given that one of the key policy objectives is to balance the current account through reduction in fuel imports.</w:t>
      </w:r>
    </w:p>
    <w:p w:rsidR="001B5EB8" w:rsidRPr="00624B2C" w:rsidRDefault="001B5EB8" w:rsidP="005270CB">
      <w:pPr>
        <w:pStyle w:val="Caption"/>
        <w:keepNext/>
        <w:spacing w:before="240" w:after="120"/>
        <w:rPr>
          <w:b w:val="0"/>
          <w:color w:val="auto"/>
          <w:sz w:val="20"/>
          <w:szCs w:val="20"/>
        </w:rPr>
      </w:pPr>
      <w:bookmarkStart w:id="60" w:name="_Ref323912753"/>
      <w:bookmarkStart w:id="61" w:name="_Toc324684702"/>
      <w:bookmarkStart w:id="62" w:name="_Toc326892894"/>
      <w:r w:rsidRPr="00624B2C">
        <w:rPr>
          <w:color w:val="auto"/>
          <w:sz w:val="20"/>
          <w:szCs w:val="20"/>
        </w:rPr>
        <w:t xml:space="preserve">Table </w:t>
      </w:r>
      <w:r w:rsidR="001A7AF8" w:rsidRPr="00624B2C">
        <w:rPr>
          <w:color w:val="auto"/>
          <w:sz w:val="20"/>
          <w:szCs w:val="20"/>
        </w:rPr>
        <w:fldChar w:fldCharType="begin"/>
      </w:r>
      <w:r w:rsidRPr="00624B2C">
        <w:rPr>
          <w:color w:val="auto"/>
          <w:sz w:val="20"/>
          <w:szCs w:val="20"/>
        </w:rPr>
        <w:instrText xml:space="preserve"> SEQ Table \* ARABIC </w:instrText>
      </w:r>
      <w:r w:rsidR="001A7AF8" w:rsidRPr="00624B2C">
        <w:rPr>
          <w:color w:val="auto"/>
          <w:sz w:val="20"/>
          <w:szCs w:val="20"/>
        </w:rPr>
        <w:fldChar w:fldCharType="separate"/>
      </w:r>
      <w:r w:rsidR="00AA3F1A">
        <w:rPr>
          <w:noProof/>
          <w:color w:val="auto"/>
          <w:sz w:val="20"/>
          <w:szCs w:val="20"/>
        </w:rPr>
        <w:t>3</w:t>
      </w:r>
      <w:r w:rsidR="001A7AF8" w:rsidRPr="00624B2C">
        <w:rPr>
          <w:color w:val="auto"/>
          <w:sz w:val="20"/>
          <w:szCs w:val="20"/>
        </w:rPr>
        <w:fldChar w:fldCharType="end"/>
      </w:r>
      <w:bookmarkEnd w:id="60"/>
      <w:r w:rsidRPr="00624B2C">
        <w:rPr>
          <w:b w:val="0"/>
          <w:color w:val="auto"/>
          <w:sz w:val="20"/>
          <w:szCs w:val="20"/>
        </w:rPr>
        <w:t>: Comparing Vehicle Scrapping Programs</w:t>
      </w:r>
      <w:bookmarkEnd w:id="61"/>
      <w:bookmarkEnd w:id="62"/>
    </w:p>
    <w:tbl>
      <w:tblPr>
        <w:tblStyle w:val="TableGrid"/>
        <w:tblW w:w="9968" w:type="dxa"/>
        <w:jc w:val="center"/>
        <w:tblBorders>
          <w:top w:val="single" w:sz="12" w:space="0" w:color="auto"/>
          <w:left w:val="none" w:sz="0" w:space="0" w:color="auto"/>
          <w:bottom w:val="single" w:sz="12" w:space="0" w:color="auto"/>
          <w:right w:val="none" w:sz="0" w:space="0" w:color="auto"/>
          <w:insideV w:val="none" w:sz="0" w:space="0" w:color="auto"/>
        </w:tblBorders>
        <w:tblLayout w:type="fixed"/>
        <w:tblCellMar>
          <w:left w:w="72" w:type="dxa"/>
          <w:right w:w="72" w:type="dxa"/>
        </w:tblCellMar>
        <w:tblLook w:val="04A0"/>
      </w:tblPr>
      <w:tblGrid>
        <w:gridCol w:w="2093"/>
        <w:gridCol w:w="1440"/>
        <w:gridCol w:w="1620"/>
        <w:gridCol w:w="1620"/>
        <w:gridCol w:w="1665"/>
        <w:gridCol w:w="1530"/>
      </w:tblGrid>
      <w:tr w:rsidR="00E10545" w:rsidRPr="00645874" w:rsidTr="001178CE">
        <w:trPr>
          <w:trHeight w:val="70"/>
          <w:jc w:val="center"/>
        </w:trPr>
        <w:tc>
          <w:tcPr>
            <w:tcW w:w="2093" w:type="dxa"/>
            <w:noWrap/>
            <w:vAlign w:val="center"/>
            <w:hideMark/>
          </w:tcPr>
          <w:p w:rsidR="00E10545" w:rsidRPr="00B36079" w:rsidRDefault="00E10545" w:rsidP="00E10545">
            <w:pPr>
              <w:spacing w:after="0"/>
              <w:jc w:val="left"/>
              <w:rPr>
                <w:b/>
                <w:sz w:val="20"/>
                <w:szCs w:val="20"/>
              </w:rPr>
            </w:pPr>
            <w:r w:rsidRPr="00B36079">
              <w:rPr>
                <w:b/>
                <w:sz w:val="20"/>
                <w:szCs w:val="20"/>
              </w:rPr>
              <w:t>Programs</w:t>
            </w:r>
          </w:p>
        </w:tc>
        <w:tc>
          <w:tcPr>
            <w:tcW w:w="1440" w:type="dxa"/>
            <w:noWrap/>
            <w:vAlign w:val="center"/>
            <w:hideMark/>
          </w:tcPr>
          <w:p w:rsidR="00E10545" w:rsidRPr="00B36079" w:rsidRDefault="00E10545" w:rsidP="003F49C9">
            <w:pPr>
              <w:spacing w:after="0"/>
              <w:jc w:val="left"/>
              <w:rPr>
                <w:b/>
                <w:sz w:val="20"/>
                <w:szCs w:val="20"/>
              </w:rPr>
            </w:pPr>
            <w:r w:rsidRPr="00B36079">
              <w:rPr>
                <w:b/>
                <w:sz w:val="20"/>
                <w:szCs w:val="20"/>
              </w:rPr>
              <w:t xml:space="preserve">US: </w:t>
            </w:r>
            <w:r w:rsidR="003F49C9" w:rsidRPr="00B36079">
              <w:rPr>
                <w:b/>
                <w:sz w:val="20"/>
                <w:szCs w:val="20"/>
              </w:rPr>
              <w:t>CARS</w:t>
            </w:r>
            <w:r w:rsidRPr="00B36079">
              <w:rPr>
                <w:b/>
                <w:sz w:val="20"/>
                <w:szCs w:val="20"/>
              </w:rPr>
              <w:t xml:space="preserve"> (2009)</w:t>
            </w:r>
          </w:p>
        </w:tc>
        <w:tc>
          <w:tcPr>
            <w:tcW w:w="1620" w:type="dxa"/>
            <w:vAlign w:val="center"/>
          </w:tcPr>
          <w:p w:rsidR="00E10545" w:rsidRPr="00B36079" w:rsidRDefault="00E10545" w:rsidP="00E10545">
            <w:pPr>
              <w:spacing w:after="0"/>
              <w:jc w:val="left"/>
              <w:rPr>
                <w:b/>
                <w:sz w:val="20"/>
                <w:szCs w:val="20"/>
              </w:rPr>
            </w:pPr>
            <w:r w:rsidRPr="00B36079">
              <w:rPr>
                <w:b/>
                <w:sz w:val="20"/>
                <w:szCs w:val="20"/>
              </w:rPr>
              <w:t>France: Prime a la Casse (2009)</w:t>
            </w:r>
          </w:p>
        </w:tc>
        <w:tc>
          <w:tcPr>
            <w:tcW w:w="1620" w:type="dxa"/>
            <w:noWrap/>
            <w:vAlign w:val="center"/>
            <w:hideMark/>
          </w:tcPr>
          <w:p w:rsidR="00E10545" w:rsidRPr="00B36079" w:rsidRDefault="00E10545" w:rsidP="003F49C9">
            <w:pPr>
              <w:spacing w:after="0"/>
              <w:jc w:val="left"/>
              <w:rPr>
                <w:b/>
                <w:sz w:val="20"/>
                <w:szCs w:val="20"/>
              </w:rPr>
            </w:pPr>
            <w:r w:rsidRPr="00B36079">
              <w:rPr>
                <w:b/>
                <w:sz w:val="20"/>
                <w:szCs w:val="20"/>
              </w:rPr>
              <w:t>Germany: Umw</w:t>
            </w:r>
            <w:r w:rsidR="00DA572D" w:rsidRPr="00B36079">
              <w:rPr>
                <w:b/>
                <w:sz w:val="20"/>
                <w:szCs w:val="20"/>
              </w:rPr>
              <w:t>-</w:t>
            </w:r>
            <w:r w:rsidRPr="00B36079">
              <w:rPr>
                <w:b/>
                <w:sz w:val="20"/>
                <w:szCs w:val="20"/>
              </w:rPr>
              <w:t>elpraemie (2009)</w:t>
            </w:r>
          </w:p>
        </w:tc>
        <w:tc>
          <w:tcPr>
            <w:tcW w:w="1665" w:type="dxa"/>
            <w:vAlign w:val="center"/>
          </w:tcPr>
          <w:p w:rsidR="00E10545" w:rsidRPr="00B36079" w:rsidRDefault="00E10545" w:rsidP="003F49C9">
            <w:pPr>
              <w:spacing w:after="0"/>
              <w:jc w:val="left"/>
              <w:rPr>
                <w:b/>
                <w:sz w:val="20"/>
                <w:szCs w:val="20"/>
              </w:rPr>
            </w:pPr>
            <w:r w:rsidRPr="00B36079">
              <w:rPr>
                <w:b/>
                <w:sz w:val="20"/>
                <w:szCs w:val="20"/>
              </w:rPr>
              <w:t>Egypt (2009</w:t>
            </w:r>
            <w:r w:rsidR="00DA572D" w:rsidRPr="00B36079">
              <w:rPr>
                <w:b/>
                <w:sz w:val="20"/>
                <w:szCs w:val="20"/>
              </w:rPr>
              <w:t>-</w:t>
            </w:r>
            <w:r w:rsidR="003F49C9" w:rsidRPr="00B36079">
              <w:rPr>
                <w:b/>
                <w:sz w:val="20"/>
                <w:szCs w:val="20"/>
              </w:rPr>
              <w:t>ongoing</w:t>
            </w:r>
            <w:r w:rsidRPr="00B36079">
              <w:rPr>
                <w:b/>
                <w:sz w:val="20"/>
                <w:szCs w:val="20"/>
              </w:rPr>
              <w:t>)</w:t>
            </w:r>
          </w:p>
        </w:tc>
        <w:tc>
          <w:tcPr>
            <w:tcW w:w="1530" w:type="dxa"/>
            <w:noWrap/>
            <w:vAlign w:val="center"/>
            <w:hideMark/>
          </w:tcPr>
          <w:p w:rsidR="00E10545" w:rsidRPr="00B36079" w:rsidRDefault="00E10545" w:rsidP="003F49C9">
            <w:pPr>
              <w:spacing w:after="0"/>
              <w:jc w:val="left"/>
              <w:rPr>
                <w:b/>
                <w:sz w:val="20"/>
                <w:szCs w:val="20"/>
              </w:rPr>
            </w:pPr>
            <w:r w:rsidRPr="00B36079">
              <w:rPr>
                <w:b/>
                <w:sz w:val="20"/>
                <w:szCs w:val="20"/>
              </w:rPr>
              <w:t>Romania (2009</w:t>
            </w:r>
            <w:r w:rsidR="00DA572D" w:rsidRPr="00B36079">
              <w:rPr>
                <w:b/>
                <w:sz w:val="20"/>
                <w:szCs w:val="20"/>
              </w:rPr>
              <w:t>-10</w:t>
            </w:r>
            <w:r w:rsidRPr="00B36079">
              <w:rPr>
                <w:b/>
                <w:sz w:val="20"/>
                <w:szCs w:val="20"/>
              </w:rPr>
              <w:t>)</w:t>
            </w:r>
          </w:p>
        </w:tc>
      </w:tr>
      <w:tr w:rsidR="00E10545" w:rsidRPr="00645874" w:rsidTr="001178CE">
        <w:trPr>
          <w:trHeight w:val="125"/>
          <w:jc w:val="center"/>
        </w:trPr>
        <w:tc>
          <w:tcPr>
            <w:tcW w:w="2093" w:type="dxa"/>
            <w:noWrap/>
            <w:vAlign w:val="center"/>
            <w:hideMark/>
          </w:tcPr>
          <w:p w:rsidR="00E10545" w:rsidRPr="00A4257F" w:rsidRDefault="00E10545" w:rsidP="00E10545">
            <w:pPr>
              <w:spacing w:after="0"/>
              <w:jc w:val="left"/>
              <w:rPr>
                <w:sz w:val="20"/>
                <w:szCs w:val="20"/>
              </w:rPr>
            </w:pPr>
            <w:r>
              <w:rPr>
                <w:sz w:val="20"/>
                <w:szCs w:val="20"/>
              </w:rPr>
              <w:t>Objective</w:t>
            </w:r>
          </w:p>
        </w:tc>
        <w:tc>
          <w:tcPr>
            <w:tcW w:w="1440" w:type="dxa"/>
            <w:noWrap/>
            <w:vAlign w:val="center"/>
            <w:hideMark/>
          </w:tcPr>
          <w:p w:rsidR="00E10545" w:rsidRPr="00A4257F" w:rsidRDefault="00E10545" w:rsidP="00E10545">
            <w:pPr>
              <w:spacing w:after="0"/>
              <w:jc w:val="left"/>
              <w:rPr>
                <w:sz w:val="20"/>
                <w:szCs w:val="20"/>
              </w:rPr>
            </w:pPr>
            <w:r>
              <w:rPr>
                <w:sz w:val="20"/>
                <w:szCs w:val="20"/>
              </w:rPr>
              <w:t>Fuel economy</w:t>
            </w:r>
          </w:p>
        </w:tc>
        <w:tc>
          <w:tcPr>
            <w:tcW w:w="1620" w:type="dxa"/>
            <w:vAlign w:val="center"/>
          </w:tcPr>
          <w:p w:rsidR="00E10545" w:rsidRPr="00A4257F" w:rsidRDefault="00E10545" w:rsidP="00E10545">
            <w:pPr>
              <w:spacing w:after="0"/>
              <w:jc w:val="left"/>
              <w:rPr>
                <w:sz w:val="20"/>
                <w:szCs w:val="20"/>
              </w:rPr>
            </w:pPr>
            <w:r>
              <w:rPr>
                <w:sz w:val="20"/>
                <w:szCs w:val="20"/>
              </w:rPr>
              <w:t>Reduction of GHG emissions</w:t>
            </w:r>
          </w:p>
        </w:tc>
        <w:tc>
          <w:tcPr>
            <w:tcW w:w="1620" w:type="dxa"/>
            <w:noWrap/>
            <w:vAlign w:val="center"/>
            <w:hideMark/>
          </w:tcPr>
          <w:p w:rsidR="00E10545" w:rsidRPr="00A4257F" w:rsidRDefault="00E10545" w:rsidP="00E10545">
            <w:pPr>
              <w:spacing w:after="0"/>
              <w:jc w:val="left"/>
              <w:rPr>
                <w:sz w:val="20"/>
                <w:szCs w:val="20"/>
              </w:rPr>
            </w:pPr>
            <w:r>
              <w:rPr>
                <w:sz w:val="20"/>
                <w:szCs w:val="20"/>
              </w:rPr>
              <w:t>Fleet renewal</w:t>
            </w:r>
          </w:p>
        </w:tc>
        <w:tc>
          <w:tcPr>
            <w:tcW w:w="1665" w:type="dxa"/>
            <w:vAlign w:val="center"/>
          </w:tcPr>
          <w:p w:rsidR="00E10545" w:rsidRPr="00A4257F" w:rsidRDefault="00E10545" w:rsidP="005818A2">
            <w:pPr>
              <w:spacing w:after="0"/>
              <w:jc w:val="left"/>
              <w:rPr>
                <w:sz w:val="20"/>
                <w:szCs w:val="20"/>
              </w:rPr>
            </w:pPr>
            <w:r>
              <w:rPr>
                <w:sz w:val="20"/>
                <w:szCs w:val="20"/>
              </w:rPr>
              <w:t>Air quality</w:t>
            </w:r>
          </w:p>
        </w:tc>
        <w:tc>
          <w:tcPr>
            <w:tcW w:w="1530" w:type="dxa"/>
            <w:noWrap/>
            <w:vAlign w:val="center"/>
            <w:hideMark/>
          </w:tcPr>
          <w:p w:rsidR="00E10545" w:rsidRPr="00A4257F" w:rsidRDefault="00DA572D" w:rsidP="005818A2">
            <w:pPr>
              <w:spacing w:after="0"/>
              <w:jc w:val="left"/>
              <w:rPr>
                <w:sz w:val="20"/>
                <w:szCs w:val="20"/>
              </w:rPr>
            </w:pPr>
            <w:r>
              <w:rPr>
                <w:sz w:val="20"/>
                <w:szCs w:val="20"/>
              </w:rPr>
              <w:t>Air quality; industry support</w:t>
            </w:r>
          </w:p>
        </w:tc>
      </w:tr>
      <w:tr w:rsidR="00E10545" w:rsidRPr="00645874" w:rsidTr="001178CE">
        <w:trPr>
          <w:trHeight w:val="98"/>
          <w:jc w:val="center"/>
        </w:trPr>
        <w:tc>
          <w:tcPr>
            <w:tcW w:w="2093" w:type="dxa"/>
            <w:noWrap/>
            <w:vAlign w:val="center"/>
            <w:hideMark/>
          </w:tcPr>
          <w:p w:rsidR="00E10545" w:rsidRPr="00A4257F" w:rsidRDefault="00E10545" w:rsidP="00E10545">
            <w:pPr>
              <w:spacing w:after="0"/>
              <w:jc w:val="left"/>
              <w:rPr>
                <w:sz w:val="20"/>
                <w:szCs w:val="20"/>
              </w:rPr>
            </w:pPr>
            <w:r>
              <w:rPr>
                <w:sz w:val="20"/>
                <w:szCs w:val="20"/>
              </w:rPr>
              <w:t>Eligibility</w:t>
            </w:r>
            <w:r w:rsidR="00B57C16">
              <w:rPr>
                <w:sz w:val="20"/>
                <w:szCs w:val="20"/>
              </w:rPr>
              <w:t xml:space="preserve"> of participating cars</w:t>
            </w:r>
          </w:p>
        </w:tc>
        <w:tc>
          <w:tcPr>
            <w:tcW w:w="1440" w:type="dxa"/>
            <w:noWrap/>
            <w:vAlign w:val="center"/>
            <w:hideMark/>
          </w:tcPr>
          <w:p w:rsidR="00E10545" w:rsidRPr="00A4257F" w:rsidRDefault="008324F2" w:rsidP="00E10545">
            <w:pPr>
              <w:spacing w:after="0"/>
              <w:jc w:val="left"/>
              <w:rPr>
                <w:sz w:val="20"/>
                <w:szCs w:val="20"/>
              </w:rPr>
            </w:pPr>
            <w:r>
              <w:rPr>
                <w:sz w:val="20"/>
                <w:szCs w:val="20"/>
              </w:rPr>
              <w:t>25+ years</w:t>
            </w:r>
          </w:p>
        </w:tc>
        <w:tc>
          <w:tcPr>
            <w:tcW w:w="1620" w:type="dxa"/>
            <w:vAlign w:val="center"/>
          </w:tcPr>
          <w:p w:rsidR="00E10545" w:rsidRPr="00A4257F" w:rsidRDefault="008324F2" w:rsidP="00E10545">
            <w:pPr>
              <w:spacing w:after="0"/>
              <w:jc w:val="left"/>
              <w:rPr>
                <w:sz w:val="20"/>
                <w:szCs w:val="20"/>
              </w:rPr>
            </w:pPr>
            <w:r>
              <w:rPr>
                <w:sz w:val="20"/>
                <w:szCs w:val="20"/>
              </w:rPr>
              <w:t>10+ years</w:t>
            </w:r>
          </w:p>
        </w:tc>
        <w:tc>
          <w:tcPr>
            <w:tcW w:w="1620" w:type="dxa"/>
            <w:noWrap/>
            <w:vAlign w:val="center"/>
            <w:hideMark/>
          </w:tcPr>
          <w:p w:rsidR="00E10545" w:rsidRPr="00A4257F" w:rsidRDefault="008324F2" w:rsidP="00E10545">
            <w:pPr>
              <w:spacing w:after="0"/>
              <w:jc w:val="left"/>
              <w:rPr>
                <w:sz w:val="20"/>
                <w:szCs w:val="20"/>
              </w:rPr>
            </w:pPr>
            <w:r>
              <w:rPr>
                <w:sz w:val="20"/>
                <w:szCs w:val="20"/>
              </w:rPr>
              <w:t>9+ years</w:t>
            </w:r>
          </w:p>
        </w:tc>
        <w:tc>
          <w:tcPr>
            <w:tcW w:w="1665" w:type="dxa"/>
            <w:vAlign w:val="center"/>
          </w:tcPr>
          <w:p w:rsidR="00E10545" w:rsidRPr="00A4257F" w:rsidRDefault="008324F2" w:rsidP="008324F2">
            <w:pPr>
              <w:spacing w:after="0"/>
              <w:jc w:val="left"/>
              <w:rPr>
                <w:sz w:val="20"/>
                <w:szCs w:val="20"/>
              </w:rPr>
            </w:pPr>
            <w:r>
              <w:rPr>
                <w:sz w:val="20"/>
                <w:szCs w:val="20"/>
              </w:rPr>
              <w:t>20+ years taxi</w:t>
            </w:r>
          </w:p>
        </w:tc>
        <w:tc>
          <w:tcPr>
            <w:tcW w:w="1530" w:type="dxa"/>
            <w:noWrap/>
            <w:vAlign w:val="center"/>
            <w:hideMark/>
          </w:tcPr>
          <w:p w:rsidR="00E10545" w:rsidRPr="00A4257F" w:rsidRDefault="008324F2" w:rsidP="00E10545">
            <w:pPr>
              <w:spacing w:after="0"/>
              <w:jc w:val="left"/>
              <w:rPr>
                <w:sz w:val="20"/>
                <w:szCs w:val="20"/>
              </w:rPr>
            </w:pPr>
            <w:r>
              <w:rPr>
                <w:sz w:val="20"/>
                <w:szCs w:val="20"/>
              </w:rPr>
              <w:t>12+ years and operational</w:t>
            </w:r>
          </w:p>
        </w:tc>
      </w:tr>
      <w:tr w:rsidR="00E10545" w:rsidRPr="00645874" w:rsidTr="001178CE">
        <w:trPr>
          <w:trHeight w:val="70"/>
          <w:jc w:val="center"/>
        </w:trPr>
        <w:tc>
          <w:tcPr>
            <w:tcW w:w="2093" w:type="dxa"/>
            <w:noWrap/>
            <w:vAlign w:val="center"/>
            <w:hideMark/>
          </w:tcPr>
          <w:p w:rsidR="00E10545" w:rsidRPr="00A4257F" w:rsidRDefault="00E10545" w:rsidP="00E10545">
            <w:pPr>
              <w:spacing w:after="0"/>
              <w:jc w:val="left"/>
              <w:rPr>
                <w:sz w:val="20"/>
                <w:szCs w:val="20"/>
              </w:rPr>
            </w:pPr>
            <w:r>
              <w:rPr>
                <w:sz w:val="20"/>
                <w:szCs w:val="20"/>
              </w:rPr>
              <w:t>Requirements for new cars</w:t>
            </w:r>
          </w:p>
        </w:tc>
        <w:tc>
          <w:tcPr>
            <w:tcW w:w="1440" w:type="dxa"/>
            <w:noWrap/>
            <w:vAlign w:val="center"/>
            <w:hideMark/>
          </w:tcPr>
          <w:p w:rsidR="00E10545" w:rsidRPr="00A4257F" w:rsidRDefault="008324F2" w:rsidP="00E10545">
            <w:pPr>
              <w:spacing w:after="0"/>
              <w:jc w:val="left"/>
              <w:rPr>
                <w:sz w:val="20"/>
                <w:szCs w:val="20"/>
              </w:rPr>
            </w:pPr>
            <w:r>
              <w:rPr>
                <w:sz w:val="20"/>
                <w:szCs w:val="20"/>
              </w:rPr>
              <w:t>Fuel efficiency</w:t>
            </w:r>
          </w:p>
        </w:tc>
        <w:tc>
          <w:tcPr>
            <w:tcW w:w="1620" w:type="dxa"/>
            <w:vAlign w:val="center"/>
          </w:tcPr>
          <w:p w:rsidR="00E10545" w:rsidRPr="00A4257F" w:rsidRDefault="008324F2" w:rsidP="00E10545">
            <w:pPr>
              <w:spacing w:after="0"/>
              <w:jc w:val="left"/>
              <w:rPr>
                <w:sz w:val="20"/>
                <w:szCs w:val="20"/>
              </w:rPr>
            </w:pPr>
            <w:r>
              <w:rPr>
                <w:sz w:val="20"/>
                <w:szCs w:val="20"/>
              </w:rPr>
              <w:t>Less than 160g CO2/km emissions</w:t>
            </w:r>
          </w:p>
        </w:tc>
        <w:tc>
          <w:tcPr>
            <w:tcW w:w="1620" w:type="dxa"/>
            <w:noWrap/>
            <w:vAlign w:val="center"/>
            <w:hideMark/>
          </w:tcPr>
          <w:p w:rsidR="00E10545" w:rsidRPr="00A4257F" w:rsidRDefault="008324F2" w:rsidP="00E10545">
            <w:pPr>
              <w:spacing w:after="0"/>
              <w:jc w:val="left"/>
              <w:rPr>
                <w:sz w:val="20"/>
                <w:szCs w:val="20"/>
              </w:rPr>
            </w:pPr>
            <w:r>
              <w:rPr>
                <w:sz w:val="20"/>
                <w:szCs w:val="20"/>
              </w:rPr>
              <w:t>1 year used cars allowed, minimum Euro 4</w:t>
            </w:r>
          </w:p>
        </w:tc>
        <w:tc>
          <w:tcPr>
            <w:tcW w:w="1665" w:type="dxa"/>
            <w:vAlign w:val="center"/>
          </w:tcPr>
          <w:p w:rsidR="00E10545" w:rsidRPr="00A4257F" w:rsidRDefault="008324F2" w:rsidP="00E10545">
            <w:pPr>
              <w:spacing w:after="0"/>
              <w:jc w:val="left"/>
              <w:rPr>
                <w:sz w:val="20"/>
                <w:szCs w:val="20"/>
              </w:rPr>
            </w:pPr>
            <w:r>
              <w:rPr>
                <w:sz w:val="20"/>
                <w:szCs w:val="20"/>
              </w:rPr>
              <w:t>?</w:t>
            </w:r>
          </w:p>
        </w:tc>
        <w:tc>
          <w:tcPr>
            <w:tcW w:w="1530" w:type="dxa"/>
            <w:noWrap/>
            <w:vAlign w:val="center"/>
            <w:hideMark/>
          </w:tcPr>
          <w:p w:rsidR="00E10545" w:rsidRPr="00A4257F" w:rsidRDefault="008324F2" w:rsidP="00E10545">
            <w:pPr>
              <w:spacing w:after="0"/>
              <w:jc w:val="left"/>
              <w:rPr>
                <w:sz w:val="20"/>
                <w:szCs w:val="20"/>
              </w:rPr>
            </w:pPr>
            <w:r>
              <w:rPr>
                <w:sz w:val="20"/>
                <w:szCs w:val="20"/>
              </w:rPr>
              <w:t>?</w:t>
            </w:r>
          </w:p>
        </w:tc>
      </w:tr>
      <w:tr w:rsidR="003F49C9" w:rsidRPr="00645874" w:rsidTr="001178CE">
        <w:trPr>
          <w:trHeight w:val="70"/>
          <w:jc w:val="center"/>
        </w:trPr>
        <w:tc>
          <w:tcPr>
            <w:tcW w:w="2093" w:type="dxa"/>
            <w:noWrap/>
            <w:vAlign w:val="center"/>
            <w:hideMark/>
          </w:tcPr>
          <w:p w:rsidR="003F49C9" w:rsidRDefault="003F49C9" w:rsidP="003F49C9">
            <w:pPr>
              <w:spacing w:after="0"/>
              <w:jc w:val="left"/>
              <w:rPr>
                <w:sz w:val="20"/>
                <w:szCs w:val="20"/>
              </w:rPr>
            </w:pPr>
            <w:r>
              <w:rPr>
                <w:sz w:val="20"/>
                <w:szCs w:val="20"/>
              </w:rPr>
              <w:t>Subsidies or tax credit per vehicle</w:t>
            </w:r>
          </w:p>
        </w:tc>
        <w:tc>
          <w:tcPr>
            <w:tcW w:w="1440" w:type="dxa"/>
            <w:noWrap/>
            <w:vAlign w:val="center"/>
            <w:hideMark/>
          </w:tcPr>
          <w:p w:rsidR="003F49C9" w:rsidRDefault="003F49C9" w:rsidP="00E10545">
            <w:pPr>
              <w:spacing w:after="0"/>
              <w:jc w:val="left"/>
              <w:rPr>
                <w:sz w:val="20"/>
                <w:szCs w:val="20"/>
              </w:rPr>
            </w:pPr>
            <w:r>
              <w:rPr>
                <w:sz w:val="20"/>
                <w:szCs w:val="20"/>
              </w:rPr>
              <w:t>$3,500-4,500</w:t>
            </w:r>
          </w:p>
        </w:tc>
        <w:tc>
          <w:tcPr>
            <w:tcW w:w="1620" w:type="dxa"/>
            <w:vAlign w:val="center"/>
          </w:tcPr>
          <w:p w:rsidR="003F49C9" w:rsidRDefault="003F49C9" w:rsidP="00E10545">
            <w:pPr>
              <w:spacing w:after="0"/>
              <w:jc w:val="left"/>
              <w:rPr>
                <w:sz w:val="20"/>
                <w:szCs w:val="20"/>
              </w:rPr>
            </w:pPr>
            <w:r>
              <w:rPr>
                <w:sz w:val="20"/>
                <w:szCs w:val="20"/>
              </w:rPr>
              <w:t>€1,000</w:t>
            </w:r>
          </w:p>
        </w:tc>
        <w:tc>
          <w:tcPr>
            <w:tcW w:w="1620" w:type="dxa"/>
            <w:noWrap/>
            <w:vAlign w:val="center"/>
            <w:hideMark/>
          </w:tcPr>
          <w:p w:rsidR="003F49C9" w:rsidRDefault="003F49C9" w:rsidP="00E10545">
            <w:pPr>
              <w:spacing w:after="0"/>
              <w:jc w:val="left"/>
              <w:rPr>
                <w:sz w:val="20"/>
                <w:szCs w:val="20"/>
              </w:rPr>
            </w:pPr>
            <w:r>
              <w:rPr>
                <w:sz w:val="20"/>
                <w:szCs w:val="20"/>
              </w:rPr>
              <w:t>€2,500</w:t>
            </w:r>
          </w:p>
        </w:tc>
        <w:tc>
          <w:tcPr>
            <w:tcW w:w="1665" w:type="dxa"/>
            <w:vAlign w:val="center"/>
          </w:tcPr>
          <w:p w:rsidR="003F49C9" w:rsidRDefault="003F49C9" w:rsidP="00E10545">
            <w:pPr>
              <w:spacing w:after="0"/>
              <w:jc w:val="left"/>
              <w:rPr>
                <w:sz w:val="20"/>
                <w:szCs w:val="20"/>
              </w:rPr>
            </w:pPr>
            <w:r>
              <w:rPr>
                <w:sz w:val="20"/>
                <w:szCs w:val="20"/>
              </w:rPr>
              <w:t>$1,300-2,300</w:t>
            </w:r>
          </w:p>
        </w:tc>
        <w:tc>
          <w:tcPr>
            <w:tcW w:w="1530" w:type="dxa"/>
            <w:noWrap/>
            <w:vAlign w:val="center"/>
            <w:hideMark/>
          </w:tcPr>
          <w:p w:rsidR="003F49C9" w:rsidRDefault="003F49C9" w:rsidP="00E10545">
            <w:pPr>
              <w:spacing w:after="0"/>
              <w:jc w:val="left"/>
              <w:rPr>
                <w:sz w:val="20"/>
                <w:szCs w:val="20"/>
              </w:rPr>
            </w:pPr>
          </w:p>
        </w:tc>
      </w:tr>
      <w:tr w:rsidR="00E10545" w:rsidRPr="00645874" w:rsidTr="001178CE">
        <w:trPr>
          <w:trHeight w:val="70"/>
          <w:jc w:val="center"/>
        </w:trPr>
        <w:tc>
          <w:tcPr>
            <w:tcW w:w="2093" w:type="dxa"/>
            <w:noWrap/>
            <w:vAlign w:val="center"/>
            <w:hideMark/>
          </w:tcPr>
          <w:p w:rsidR="00E10545" w:rsidRPr="00A4257F" w:rsidRDefault="00E10545" w:rsidP="00E10545">
            <w:pPr>
              <w:spacing w:after="0"/>
              <w:jc w:val="left"/>
              <w:rPr>
                <w:sz w:val="20"/>
                <w:szCs w:val="20"/>
              </w:rPr>
            </w:pPr>
            <w:r>
              <w:rPr>
                <w:sz w:val="20"/>
                <w:szCs w:val="20"/>
              </w:rPr>
              <w:t>Number of vehicles replaced</w:t>
            </w:r>
          </w:p>
        </w:tc>
        <w:tc>
          <w:tcPr>
            <w:tcW w:w="1440" w:type="dxa"/>
            <w:noWrap/>
            <w:vAlign w:val="center"/>
            <w:hideMark/>
          </w:tcPr>
          <w:p w:rsidR="00E10545" w:rsidRPr="00A4257F" w:rsidRDefault="008324F2" w:rsidP="00E10545">
            <w:pPr>
              <w:spacing w:after="0"/>
              <w:jc w:val="left"/>
              <w:rPr>
                <w:sz w:val="20"/>
                <w:szCs w:val="20"/>
              </w:rPr>
            </w:pPr>
            <w:r>
              <w:rPr>
                <w:sz w:val="20"/>
                <w:szCs w:val="20"/>
              </w:rPr>
              <w:t>677,081</w:t>
            </w:r>
          </w:p>
        </w:tc>
        <w:tc>
          <w:tcPr>
            <w:tcW w:w="1620" w:type="dxa"/>
            <w:vAlign w:val="center"/>
          </w:tcPr>
          <w:p w:rsidR="00E10545" w:rsidRPr="00A4257F" w:rsidRDefault="008324F2" w:rsidP="00E10545">
            <w:pPr>
              <w:spacing w:after="0"/>
              <w:jc w:val="left"/>
              <w:rPr>
                <w:sz w:val="20"/>
                <w:szCs w:val="20"/>
              </w:rPr>
            </w:pPr>
            <w:r>
              <w:rPr>
                <w:sz w:val="20"/>
                <w:szCs w:val="20"/>
              </w:rPr>
              <w:t>470,000</w:t>
            </w:r>
          </w:p>
        </w:tc>
        <w:tc>
          <w:tcPr>
            <w:tcW w:w="1620" w:type="dxa"/>
            <w:noWrap/>
            <w:vAlign w:val="center"/>
            <w:hideMark/>
          </w:tcPr>
          <w:p w:rsidR="00E10545" w:rsidRPr="00A4257F" w:rsidRDefault="008324F2" w:rsidP="00E10545">
            <w:pPr>
              <w:spacing w:after="0"/>
              <w:jc w:val="left"/>
              <w:rPr>
                <w:sz w:val="20"/>
                <w:szCs w:val="20"/>
              </w:rPr>
            </w:pPr>
            <w:r>
              <w:rPr>
                <w:sz w:val="20"/>
                <w:szCs w:val="20"/>
              </w:rPr>
              <w:t>1,932,929</w:t>
            </w:r>
          </w:p>
        </w:tc>
        <w:tc>
          <w:tcPr>
            <w:tcW w:w="1665" w:type="dxa"/>
            <w:vAlign w:val="center"/>
          </w:tcPr>
          <w:p w:rsidR="00E10545" w:rsidRDefault="002125CD" w:rsidP="00E10545">
            <w:pPr>
              <w:spacing w:after="0"/>
              <w:jc w:val="left"/>
              <w:rPr>
                <w:sz w:val="20"/>
                <w:szCs w:val="20"/>
              </w:rPr>
            </w:pPr>
            <w:r>
              <w:rPr>
                <w:sz w:val="20"/>
                <w:szCs w:val="20"/>
              </w:rPr>
              <w:t>17,000</w:t>
            </w:r>
            <w:r w:rsidR="003F49C9">
              <w:rPr>
                <w:sz w:val="20"/>
                <w:szCs w:val="20"/>
              </w:rPr>
              <w:t xml:space="preserve"> (in 2009)</w:t>
            </w:r>
          </w:p>
          <w:p w:rsidR="00EB537D" w:rsidRPr="00A4257F" w:rsidRDefault="00EB537D" w:rsidP="00EB537D">
            <w:pPr>
              <w:spacing w:after="0"/>
              <w:jc w:val="left"/>
              <w:rPr>
                <w:sz w:val="20"/>
                <w:szCs w:val="20"/>
              </w:rPr>
            </w:pPr>
            <w:r>
              <w:rPr>
                <w:sz w:val="20"/>
                <w:szCs w:val="20"/>
              </w:rPr>
              <w:t>49,000 (2010-18)</w:t>
            </w:r>
          </w:p>
        </w:tc>
        <w:tc>
          <w:tcPr>
            <w:tcW w:w="1530" w:type="dxa"/>
            <w:noWrap/>
            <w:vAlign w:val="center"/>
            <w:hideMark/>
          </w:tcPr>
          <w:p w:rsidR="00E10545" w:rsidRPr="00A4257F" w:rsidRDefault="00DA572D" w:rsidP="00E10545">
            <w:pPr>
              <w:spacing w:after="0"/>
              <w:jc w:val="left"/>
              <w:rPr>
                <w:sz w:val="20"/>
                <w:szCs w:val="20"/>
              </w:rPr>
            </w:pPr>
            <w:r>
              <w:rPr>
                <w:sz w:val="20"/>
                <w:szCs w:val="20"/>
              </w:rPr>
              <w:t>221,650</w:t>
            </w:r>
          </w:p>
        </w:tc>
      </w:tr>
      <w:tr w:rsidR="00E10545" w:rsidRPr="00645874" w:rsidTr="001178CE">
        <w:trPr>
          <w:trHeight w:val="70"/>
          <w:jc w:val="center"/>
        </w:trPr>
        <w:tc>
          <w:tcPr>
            <w:tcW w:w="2093" w:type="dxa"/>
            <w:noWrap/>
            <w:vAlign w:val="center"/>
            <w:hideMark/>
          </w:tcPr>
          <w:p w:rsidR="00E10545" w:rsidRDefault="00E10545" w:rsidP="00DA572D">
            <w:pPr>
              <w:spacing w:after="0"/>
              <w:jc w:val="left"/>
              <w:rPr>
                <w:sz w:val="20"/>
                <w:szCs w:val="20"/>
              </w:rPr>
            </w:pPr>
            <w:r>
              <w:rPr>
                <w:sz w:val="20"/>
                <w:szCs w:val="20"/>
              </w:rPr>
              <w:t>Gov</w:t>
            </w:r>
            <w:r w:rsidR="003611CE">
              <w:rPr>
                <w:sz w:val="20"/>
                <w:szCs w:val="20"/>
              </w:rPr>
              <w:t>ernmen</w:t>
            </w:r>
            <w:r>
              <w:rPr>
                <w:sz w:val="20"/>
                <w:szCs w:val="20"/>
              </w:rPr>
              <w:t>t spending on subsidies/tax waivers</w:t>
            </w:r>
          </w:p>
        </w:tc>
        <w:tc>
          <w:tcPr>
            <w:tcW w:w="1440" w:type="dxa"/>
            <w:noWrap/>
            <w:vAlign w:val="center"/>
            <w:hideMark/>
          </w:tcPr>
          <w:p w:rsidR="00E10545" w:rsidRPr="00A4257F" w:rsidRDefault="00DA572D" w:rsidP="00E10545">
            <w:pPr>
              <w:spacing w:after="0"/>
              <w:jc w:val="left"/>
              <w:rPr>
                <w:sz w:val="20"/>
                <w:szCs w:val="20"/>
              </w:rPr>
            </w:pPr>
            <w:r>
              <w:rPr>
                <w:sz w:val="20"/>
                <w:szCs w:val="20"/>
              </w:rPr>
              <w:t>$2,850 million</w:t>
            </w:r>
          </w:p>
        </w:tc>
        <w:tc>
          <w:tcPr>
            <w:tcW w:w="1620" w:type="dxa"/>
            <w:vAlign w:val="center"/>
          </w:tcPr>
          <w:p w:rsidR="00E10545" w:rsidRPr="00A4257F" w:rsidRDefault="00DA572D" w:rsidP="00DA572D">
            <w:pPr>
              <w:spacing w:after="0"/>
              <w:jc w:val="left"/>
              <w:rPr>
                <w:sz w:val="20"/>
                <w:szCs w:val="20"/>
              </w:rPr>
            </w:pPr>
            <w:r>
              <w:rPr>
                <w:sz w:val="20"/>
                <w:szCs w:val="20"/>
              </w:rPr>
              <w:t>€600 million</w:t>
            </w:r>
          </w:p>
        </w:tc>
        <w:tc>
          <w:tcPr>
            <w:tcW w:w="1620" w:type="dxa"/>
            <w:noWrap/>
            <w:vAlign w:val="center"/>
            <w:hideMark/>
          </w:tcPr>
          <w:p w:rsidR="00E10545" w:rsidRPr="00A4257F" w:rsidRDefault="00DA572D" w:rsidP="00DA572D">
            <w:pPr>
              <w:spacing w:after="0"/>
              <w:jc w:val="left"/>
              <w:rPr>
                <w:sz w:val="20"/>
                <w:szCs w:val="20"/>
              </w:rPr>
            </w:pPr>
            <w:r>
              <w:rPr>
                <w:sz w:val="20"/>
                <w:szCs w:val="20"/>
              </w:rPr>
              <w:t>€5,000 million</w:t>
            </w:r>
          </w:p>
        </w:tc>
        <w:tc>
          <w:tcPr>
            <w:tcW w:w="1665" w:type="dxa"/>
            <w:vAlign w:val="center"/>
          </w:tcPr>
          <w:p w:rsidR="00E10545" w:rsidRPr="00A4257F" w:rsidRDefault="003F49C9" w:rsidP="00EB537D">
            <w:pPr>
              <w:spacing w:after="0"/>
              <w:jc w:val="left"/>
              <w:rPr>
                <w:sz w:val="20"/>
                <w:szCs w:val="20"/>
              </w:rPr>
            </w:pPr>
            <w:r>
              <w:rPr>
                <w:sz w:val="20"/>
                <w:szCs w:val="20"/>
              </w:rPr>
              <w:t xml:space="preserve">Est. </w:t>
            </w:r>
            <w:r w:rsidR="00DA572D">
              <w:rPr>
                <w:sz w:val="20"/>
                <w:szCs w:val="20"/>
              </w:rPr>
              <w:t>$620 million</w:t>
            </w:r>
            <w:r>
              <w:rPr>
                <w:sz w:val="20"/>
                <w:szCs w:val="20"/>
              </w:rPr>
              <w:t xml:space="preserve"> for 8 years</w:t>
            </w:r>
          </w:p>
        </w:tc>
        <w:tc>
          <w:tcPr>
            <w:tcW w:w="1530" w:type="dxa"/>
            <w:noWrap/>
            <w:vAlign w:val="center"/>
            <w:hideMark/>
          </w:tcPr>
          <w:p w:rsidR="00E10545" w:rsidRPr="00A4257F" w:rsidRDefault="00DA572D" w:rsidP="00E10545">
            <w:pPr>
              <w:spacing w:after="0"/>
              <w:jc w:val="left"/>
              <w:rPr>
                <w:sz w:val="20"/>
                <w:szCs w:val="20"/>
              </w:rPr>
            </w:pPr>
            <w:r>
              <w:rPr>
                <w:sz w:val="20"/>
                <w:szCs w:val="20"/>
              </w:rPr>
              <w:t>€216 million</w:t>
            </w:r>
          </w:p>
        </w:tc>
      </w:tr>
      <w:tr w:rsidR="00DA572D" w:rsidRPr="00645874" w:rsidTr="001178CE">
        <w:trPr>
          <w:trHeight w:val="70"/>
          <w:jc w:val="center"/>
        </w:trPr>
        <w:tc>
          <w:tcPr>
            <w:tcW w:w="2093" w:type="dxa"/>
            <w:noWrap/>
            <w:vAlign w:val="center"/>
            <w:hideMark/>
          </w:tcPr>
          <w:p w:rsidR="00DA572D" w:rsidRDefault="00DA572D" w:rsidP="00DA572D">
            <w:pPr>
              <w:spacing w:after="0"/>
              <w:jc w:val="left"/>
              <w:rPr>
                <w:sz w:val="20"/>
                <w:szCs w:val="20"/>
              </w:rPr>
            </w:pPr>
            <w:r>
              <w:rPr>
                <w:sz w:val="20"/>
                <w:szCs w:val="20"/>
              </w:rPr>
              <w:t>Value of scrapped vehicles</w:t>
            </w:r>
          </w:p>
        </w:tc>
        <w:tc>
          <w:tcPr>
            <w:tcW w:w="1440" w:type="dxa"/>
            <w:noWrap/>
            <w:vAlign w:val="center"/>
            <w:hideMark/>
          </w:tcPr>
          <w:p w:rsidR="00DA572D" w:rsidRDefault="00DA572D" w:rsidP="00E10545">
            <w:pPr>
              <w:spacing w:after="0"/>
              <w:jc w:val="left"/>
              <w:rPr>
                <w:sz w:val="20"/>
                <w:szCs w:val="20"/>
              </w:rPr>
            </w:pPr>
            <w:r>
              <w:rPr>
                <w:sz w:val="20"/>
                <w:szCs w:val="20"/>
              </w:rPr>
              <w:t>€850 million</w:t>
            </w:r>
          </w:p>
        </w:tc>
        <w:tc>
          <w:tcPr>
            <w:tcW w:w="1620" w:type="dxa"/>
            <w:vAlign w:val="center"/>
          </w:tcPr>
          <w:p w:rsidR="00DA572D" w:rsidRDefault="00DA572D" w:rsidP="00DA572D">
            <w:pPr>
              <w:spacing w:after="0"/>
              <w:jc w:val="left"/>
              <w:rPr>
                <w:sz w:val="20"/>
                <w:szCs w:val="20"/>
              </w:rPr>
            </w:pPr>
            <w:r>
              <w:rPr>
                <w:sz w:val="20"/>
                <w:szCs w:val="20"/>
              </w:rPr>
              <w:t>€555 million</w:t>
            </w:r>
          </w:p>
        </w:tc>
        <w:tc>
          <w:tcPr>
            <w:tcW w:w="1620" w:type="dxa"/>
            <w:noWrap/>
            <w:vAlign w:val="center"/>
            <w:hideMark/>
          </w:tcPr>
          <w:p w:rsidR="00DA572D" w:rsidRDefault="00DA572D" w:rsidP="00DA572D">
            <w:pPr>
              <w:spacing w:after="0"/>
              <w:jc w:val="left"/>
              <w:rPr>
                <w:sz w:val="20"/>
                <w:szCs w:val="20"/>
              </w:rPr>
            </w:pPr>
            <w:r>
              <w:rPr>
                <w:sz w:val="20"/>
                <w:szCs w:val="20"/>
              </w:rPr>
              <w:t>€3,000 million</w:t>
            </w:r>
          </w:p>
        </w:tc>
        <w:tc>
          <w:tcPr>
            <w:tcW w:w="1665" w:type="dxa"/>
            <w:vAlign w:val="center"/>
          </w:tcPr>
          <w:p w:rsidR="00DA572D" w:rsidRDefault="00DA572D" w:rsidP="00E10545">
            <w:pPr>
              <w:spacing w:after="0"/>
              <w:jc w:val="left"/>
              <w:rPr>
                <w:sz w:val="20"/>
                <w:szCs w:val="20"/>
              </w:rPr>
            </w:pPr>
            <w:r>
              <w:rPr>
                <w:sz w:val="20"/>
                <w:szCs w:val="20"/>
              </w:rPr>
              <w:t>Unknown</w:t>
            </w:r>
          </w:p>
        </w:tc>
        <w:tc>
          <w:tcPr>
            <w:tcW w:w="1530" w:type="dxa"/>
            <w:noWrap/>
            <w:vAlign w:val="center"/>
            <w:hideMark/>
          </w:tcPr>
          <w:p w:rsidR="00DA572D" w:rsidRDefault="00DA572D" w:rsidP="00E10545">
            <w:pPr>
              <w:spacing w:after="0"/>
              <w:jc w:val="left"/>
              <w:rPr>
                <w:sz w:val="20"/>
                <w:szCs w:val="20"/>
              </w:rPr>
            </w:pPr>
            <w:r>
              <w:rPr>
                <w:sz w:val="20"/>
                <w:szCs w:val="20"/>
              </w:rPr>
              <w:t>Unknown</w:t>
            </w:r>
          </w:p>
        </w:tc>
      </w:tr>
      <w:tr w:rsidR="00E10545" w:rsidRPr="00645874" w:rsidTr="001178CE">
        <w:trPr>
          <w:trHeight w:val="70"/>
          <w:jc w:val="center"/>
        </w:trPr>
        <w:tc>
          <w:tcPr>
            <w:tcW w:w="2093" w:type="dxa"/>
            <w:noWrap/>
            <w:vAlign w:val="center"/>
            <w:hideMark/>
          </w:tcPr>
          <w:p w:rsidR="00E10545" w:rsidRPr="00A4257F" w:rsidRDefault="00E10545" w:rsidP="00E10545">
            <w:pPr>
              <w:spacing w:after="0"/>
              <w:jc w:val="left"/>
              <w:rPr>
                <w:sz w:val="20"/>
                <w:szCs w:val="20"/>
              </w:rPr>
            </w:pPr>
            <w:r>
              <w:rPr>
                <w:sz w:val="20"/>
                <w:szCs w:val="20"/>
              </w:rPr>
              <w:t>Fuel savings (€ million)</w:t>
            </w:r>
          </w:p>
        </w:tc>
        <w:tc>
          <w:tcPr>
            <w:tcW w:w="1440" w:type="dxa"/>
            <w:noWrap/>
            <w:vAlign w:val="center"/>
            <w:hideMark/>
          </w:tcPr>
          <w:p w:rsidR="00E10545" w:rsidRPr="00A4257F" w:rsidRDefault="00DA572D" w:rsidP="00E10545">
            <w:pPr>
              <w:spacing w:after="0"/>
              <w:jc w:val="left"/>
              <w:rPr>
                <w:sz w:val="20"/>
                <w:szCs w:val="20"/>
              </w:rPr>
            </w:pPr>
            <w:r>
              <w:rPr>
                <w:sz w:val="20"/>
                <w:szCs w:val="20"/>
              </w:rPr>
              <w:t>€20 million</w:t>
            </w:r>
          </w:p>
        </w:tc>
        <w:tc>
          <w:tcPr>
            <w:tcW w:w="1620" w:type="dxa"/>
            <w:vAlign w:val="center"/>
          </w:tcPr>
          <w:p w:rsidR="00E10545" w:rsidRPr="00A4257F" w:rsidRDefault="00DA572D" w:rsidP="00E10545">
            <w:pPr>
              <w:spacing w:after="0"/>
              <w:jc w:val="left"/>
              <w:rPr>
                <w:sz w:val="20"/>
                <w:szCs w:val="20"/>
              </w:rPr>
            </w:pPr>
            <w:r>
              <w:rPr>
                <w:sz w:val="20"/>
                <w:szCs w:val="20"/>
              </w:rPr>
              <w:t>€50 million</w:t>
            </w:r>
          </w:p>
        </w:tc>
        <w:tc>
          <w:tcPr>
            <w:tcW w:w="1620" w:type="dxa"/>
            <w:noWrap/>
            <w:vAlign w:val="center"/>
            <w:hideMark/>
          </w:tcPr>
          <w:p w:rsidR="00E10545" w:rsidRPr="00A4257F" w:rsidRDefault="00DA572D" w:rsidP="00E10545">
            <w:pPr>
              <w:spacing w:after="0"/>
              <w:jc w:val="left"/>
              <w:rPr>
                <w:sz w:val="20"/>
                <w:szCs w:val="20"/>
              </w:rPr>
            </w:pPr>
            <w:r>
              <w:rPr>
                <w:sz w:val="20"/>
                <w:szCs w:val="20"/>
              </w:rPr>
              <w:t>€40 million</w:t>
            </w:r>
          </w:p>
        </w:tc>
        <w:tc>
          <w:tcPr>
            <w:tcW w:w="1665" w:type="dxa"/>
            <w:vAlign w:val="center"/>
          </w:tcPr>
          <w:p w:rsidR="00E10545" w:rsidRPr="00A4257F" w:rsidRDefault="00DA572D" w:rsidP="00E10545">
            <w:pPr>
              <w:spacing w:after="0"/>
              <w:jc w:val="left"/>
              <w:rPr>
                <w:sz w:val="20"/>
                <w:szCs w:val="20"/>
              </w:rPr>
            </w:pPr>
            <w:r>
              <w:rPr>
                <w:sz w:val="20"/>
                <w:szCs w:val="20"/>
              </w:rPr>
              <w:t>Unknown</w:t>
            </w:r>
          </w:p>
        </w:tc>
        <w:tc>
          <w:tcPr>
            <w:tcW w:w="1530" w:type="dxa"/>
            <w:noWrap/>
            <w:vAlign w:val="center"/>
            <w:hideMark/>
          </w:tcPr>
          <w:p w:rsidR="00E10545" w:rsidRPr="00A4257F" w:rsidRDefault="00DA572D" w:rsidP="00E10545">
            <w:pPr>
              <w:spacing w:after="0"/>
              <w:jc w:val="left"/>
              <w:rPr>
                <w:sz w:val="20"/>
                <w:szCs w:val="20"/>
              </w:rPr>
            </w:pPr>
            <w:r>
              <w:rPr>
                <w:sz w:val="20"/>
                <w:szCs w:val="20"/>
              </w:rPr>
              <w:t>Unknown</w:t>
            </w:r>
          </w:p>
        </w:tc>
      </w:tr>
      <w:tr w:rsidR="003F49C9" w:rsidRPr="00645874" w:rsidTr="001178CE">
        <w:trPr>
          <w:trHeight w:val="70"/>
          <w:jc w:val="center"/>
        </w:trPr>
        <w:tc>
          <w:tcPr>
            <w:tcW w:w="2093" w:type="dxa"/>
            <w:noWrap/>
            <w:vAlign w:val="center"/>
            <w:hideMark/>
          </w:tcPr>
          <w:p w:rsidR="003F49C9" w:rsidRDefault="003F49C9" w:rsidP="00E10545">
            <w:pPr>
              <w:spacing w:after="0"/>
              <w:jc w:val="left"/>
              <w:rPr>
                <w:sz w:val="20"/>
                <w:szCs w:val="20"/>
              </w:rPr>
            </w:pPr>
            <w:r>
              <w:rPr>
                <w:sz w:val="20"/>
                <w:szCs w:val="20"/>
              </w:rPr>
              <w:t xml:space="preserve">Energy </w:t>
            </w:r>
            <w:r w:rsidR="00B36079">
              <w:rPr>
                <w:sz w:val="20"/>
                <w:szCs w:val="20"/>
              </w:rPr>
              <w:t xml:space="preserve">consumption </w:t>
            </w:r>
            <w:r>
              <w:rPr>
                <w:sz w:val="20"/>
                <w:szCs w:val="20"/>
              </w:rPr>
              <w:t>reduction</w:t>
            </w:r>
          </w:p>
        </w:tc>
        <w:tc>
          <w:tcPr>
            <w:tcW w:w="1440" w:type="dxa"/>
            <w:noWrap/>
            <w:vAlign w:val="center"/>
            <w:hideMark/>
          </w:tcPr>
          <w:p w:rsidR="003F49C9" w:rsidRDefault="003F49C9" w:rsidP="00E10545">
            <w:pPr>
              <w:spacing w:after="0"/>
              <w:jc w:val="left"/>
              <w:rPr>
                <w:sz w:val="20"/>
                <w:szCs w:val="20"/>
              </w:rPr>
            </w:pPr>
          </w:p>
        </w:tc>
        <w:tc>
          <w:tcPr>
            <w:tcW w:w="1620" w:type="dxa"/>
            <w:vAlign w:val="center"/>
          </w:tcPr>
          <w:p w:rsidR="003F49C9" w:rsidRDefault="003F49C9" w:rsidP="00E10545">
            <w:pPr>
              <w:spacing w:after="0"/>
              <w:jc w:val="left"/>
              <w:rPr>
                <w:sz w:val="20"/>
                <w:szCs w:val="20"/>
              </w:rPr>
            </w:pPr>
          </w:p>
        </w:tc>
        <w:tc>
          <w:tcPr>
            <w:tcW w:w="1620" w:type="dxa"/>
            <w:noWrap/>
            <w:vAlign w:val="center"/>
            <w:hideMark/>
          </w:tcPr>
          <w:p w:rsidR="003F49C9" w:rsidRDefault="003F49C9" w:rsidP="00E10545">
            <w:pPr>
              <w:spacing w:after="0"/>
              <w:jc w:val="left"/>
              <w:rPr>
                <w:sz w:val="20"/>
                <w:szCs w:val="20"/>
              </w:rPr>
            </w:pPr>
          </w:p>
        </w:tc>
        <w:tc>
          <w:tcPr>
            <w:tcW w:w="1665" w:type="dxa"/>
            <w:vAlign w:val="center"/>
          </w:tcPr>
          <w:p w:rsidR="003F49C9" w:rsidRDefault="003F49C9" w:rsidP="00E10545">
            <w:pPr>
              <w:spacing w:after="0"/>
              <w:jc w:val="left"/>
              <w:rPr>
                <w:sz w:val="20"/>
                <w:szCs w:val="20"/>
              </w:rPr>
            </w:pPr>
            <w:r>
              <w:rPr>
                <w:sz w:val="20"/>
                <w:szCs w:val="20"/>
              </w:rPr>
              <w:t>2.1 MJ</w:t>
            </w:r>
          </w:p>
        </w:tc>
        <w:tc>
          <w:tcPr>
            <w:tcW w:w="1530" w:type="dxa"/>
            <w:noWrap/>
            <w:vAlign w:val="center"/>
            <w:hideMark/>
          </w:tcPr>
          <w:p w:rsidR="003F49C9" w:rsidRDefault="003F49C9" w:rsidP="00E10545">
            <w:pPr>
              <w:spacing w:after="0"/>
              <w:jc w:val="left"/>
              <w:rPr>
                <w:sz w:val="20"/>
                <w:szCs w:val="20"/>
              </w:rPr>
            </w:pPr>
          </w:p>
        </w:tc>
      </w:tr>
      <w:tr w:rsidR="00E10545" w:rsidRPr="00645874" w:rsidTr="001178CE">
        <w:trPr>
          <w:trHeight w:val="70"/>
          <w:jc w:val="center"/>
        </w:trPr>
        <w:tc>
          <w:tcPr>
            <w:tcW w:w="2093" w:type="dxa"/>
            <w:noWrap/>
            <w:vAlign w:val="center"/>
            <w:hideMark/>
          </w:tcPr>
          <w:p w:rsidR="00E10545" w:rsidRPr="00A4257F" w:rsidRDefault="00E10545" w:rsidP="00E10545">
            <w:pPr>
              <w:spacing w:after="0"/>
              <w:jc w:val="left"/>
              <w:rPr>
                <w:sz w:val="20"/>
                <w:szCs w:val="20"/>
              </w:rPr>
            </w:pPr>
            <w:r>
              <w:rPr>
                <w:sz w:val="20"/>
                <w:szCs w:val="20"/>
              </w:rPr>
              <w:t>CO</w:t>
            </w:r>
            <w:r w:rsidRPr="00225FDD">
              <w:rPr>
                <w:sz w:val="20"/>
                <w:szCs w:val="20"/>
                <w:vertAlign w:val="subscript"/>
              </w:rPr>
              <w:t>2</w:t>
            </w:r>
            <w:r w:rsidR="00225FDD">
              <w:rPr>
                <w:sz w:val="20"/>
                <w:szCs w:val="20"/>
              </w:rPr>
              <w:t>e</w:t>
            </w:r>
            <w:r>
              <w:rPr>
                <w:sz w:val="20"/>
                <w:szCs w:val="20"/>
              </w:rPr>
              <w:t xml:space="preserve"> reduction by 2025 (thousand tons)</w:t>
            </w:r>
          </w:p>
        </w:tc>
        <w:tc>
          <w:tcPr>
            <w:tcW w:w="1440" w:type="dxa"/>
            <w:noWrap/>
            <w:vAlign w:val="center"/>
            <w:hideMark/>
          </w:tcPr>
          <w:p w:rsidR="00E10545" w:rsidRPr="00A4257F" w:rsidRDefault="00DA572D" w:rsidP="00E10545">
            <w:pPr>
              <w:spacing w:after="0"/>
              <w:jc w:val="left"/>
              <w:rPr>
                <w:sz w:val="20"/>
                <w:szCs w:val="20"/>
              </w:rPr>
            </w:pPr>
            <w:r>
              <w:rPr>
                <w:sz w:val="20"/>
                <w:szCs w:val="20"/>
              </w:rPr>
              <w:t>100</w:t>
            </w:r>
          </w:p>
        </w:tc>
        <w:tc>
          <w:tcPr>
            <w:tcW w:w="1620" w:type="dxa"/>
            <w:vAlign w:val="center"/>
          </w:tcPr>
          <w:p w:rsidR="00E10545" w:rsidRPr="00A4257F" w:rsidRDefault="00DA572D" w:rsidP="00E10545">
            <w:pPr>
              <w:spacing w:after="0"/>
              <w:jc w:val="left"/>
              <w:rPr>
                <w:sz w:val="20"/>
                <w:szCs w:val="20"/>
              </w:rPr>
            </w:pPr>
            <w:r>
              <w:rPr>
                <w:sz w:val="20"/>
                <w:szCs w:val="20"/>
              </w:rPr>
              <w:t>265</w:t>
            </w:r>
          </w:p>
        </w:tc>
        <w:tc>
          <w:tcPr>
            <w:tcW w:w="1620" w:type="dxa"/>
            <w:noWrap/>
            <w:vAlign w:val="center"/>
            <w:hideMark/>
          </w:tcPr>
          <w:p w:rsidR="00E10545" w:rsidRPr="00A4257F" w:rsidRDefault="00DA572D" w:rsidP="00E10545">
            <w:pPr>
              <w:spacing w:after="0"/>
              <w:jc w:val="left"/>
              <w:rPr>
                <w:sz w:val="20"/>
                <w:szCs w:val="20"/>
              </w:rPr>
            </w:pPr>
            <w:r>
              <w:rPr>
                <w:sz w:val="20"/>
                <w:szCs w:val="20"/>
              </w:rPr>
              <w:t>200</w:t>
            </w:r>
          </w:p>
        </w:tc>
        <w:tc>
          <w:tcPr>
            <w:tcW w:w="1665" w:type="dxa"/>
            <w:vAlign w:val="center"/>
          </w:tcPr>
          <w:p w:rsidR="00E10545" w:rsidRPr="00A4257F" w:rsidRDefault="00DA572D" w:rsidP="00E10545">
            <w:pPr>
              <w:spacing w:after="0"/>
              <w:jc w:val="left"/>
              <w:rPr>
                <w:sz w:val="20"/>
                <w:szCs w:val="20"/>
              </w:rPr>
            </w:pPr>
            <w:r>
              <w:rPr>
                <w:sz w:val="20"/>
                <w:szCs w:val="20"/>
              </w:rPr>
              <w:t>1,300</w:t>
            </w:r>
          </w:p>
        </w:tc>
        <w:tc>
          <w:tcPr>
            <w:tcW w:w="1530" w:type="dxa"/>
            <w:noWrap/>
            <w:vAlign w:val="center"/>
            <w:hideMark/>
          </w:tcPr>
          <w:p w:rsidR="00E10545" w:rsidRPr="00A4257F" w:rsidRDefault="00E10545" w:rsidP="00E10545">
            <w:pPr>
              <w:spacing w:after="0"/>
              <w:jc w:val="left"/>
              <w:rPr>
                <w:sz w:val="20"/>
                <w:szCs w:val="20"/>
              </w:rPr>
            </w:pPr>
          </w:p>
        </w:tc>
      </w:tr>
    </w:tbl>
    <w:p w:rsidR="00961A10" w:rsidRPr="00961A10" w:rsidRDefault="00961A10" w:rsidP="00961A10">
      <w:pPr>
        <w:spacing w:after="240"/>
        <w:rPr>
          <w:i/>
          <w:sz w:val="18"/>
          <w:szCs w:val="18"/>
        </w:rPr>
      </w:pPr>
      <w:r w:rsidRPr="00961A10">
        <w:rPr>
          <w:i/>
          <w:sz w:val="18"/>
          <w:szCs w:val="18"/>
        </w:rPr>
        <w:t xml:space="preserve">Source: </w:t>
      </w:r>
      <w:r w:rsidR="00F032D1" w:rsidRPr="00F032D1">
        <w:rPr>
          <w:i/>
          <w:sz w:val="18"/>
          <w:szCs w:val="18"/>
        </w:rPr>
        <w:t>Vigneault (2009), IHS Global Insight (2010), ACEA (2009),</w:t>
      </w:r>
      <w:r w:rsidR="00F032D1" w:rsidRPr="00F032D1">
        <w:t xml:space="preserve"> </w:t>
      </w:r>
      <w:r w:rsidR="00F032D1" w:rsidRPr="00F032D1">
        <w:rPr>
          <w:i/>
          <w:sz w:val="18"/>
          <w:szCs w:val="18"/>
        </w:rPr>
        <w:t>ESMAP (2010)</w:t>
      </w:r>
    </w:p>
    <w:tbl>
      <w:tblPr>
        <w:tblStyle w:val="TableGrid"/>
        <w:tblW w:w="9765" w:type="dxa"/>
        <w:jc w:val="center"/>
        <w:tblLayout w:type="fixed"/>
        <w:tblLook w:val="04A0"/>
      </w:tblPr>
      <w:tblGrid>
        <w:gridCol w:w="9765"/>
      </w:tblGrid>
      <w:tr w:rsidR="00B36079" w:rsidTr="00225FDD">
        <w:trPr>
          <w:jc w:val="center"/>
        </w:trPr>
        <w:tc>
          <w:tcPr>
            <w:tcW w:w="9468" w:type="dxa"/>
          </w:tcPr>
          <w:p w:rsidR="00B36079" w:rsidRPr="00D24AAF" w:rsidRDefault="00B36079" w:rsidP="00AF0195">
            <w:pPr>
              <w:pStyle w:val="Caption"/>
              <w:spacing w:after="120"/>
              <w:rPr>
                <w:rFonts w:asciiTheme="minorHAnsi" w:hAnsiTheme="minorHAnsi"/>
                <w:color w:val="000000"/>
                <w:sz w:val="20"/>
                <w:szCs w:val="20"/>
              </w:rPr>
            </w:pPr>
            <w:r w:rsidRPr="00D24AAF">
              <w:rPr>
                <w:rFonts w:asciiTheme="minorHAnsi" w:hAnsiTheme="minorHAnsi"/>
                <w:color w:val="000000"/>
                <w:sz w:val="20"/>
                <w:szCs w:val="20"/>
              </w:rPr>
              <w:t xml:space="preserve">Box </w:t>
            </w:r>
            <w:r w:rsidR="001A7AF8" w:rsidRPr="00D24AAF">
              <w:rPr>
                <w:rFonts w:asciiTheme="minorHAnsi" w:hAnsiTheme="minorHAnsi"/>
                <w:color w:val="000000"/>
                <w:sz w:val="20"/>
                <w:szCs w:val="20"/>
              </w:rPr>
              <w:fldChar w:fldCharType="begin"/>
            </w:r>
            <w:r w:rsidRPr="00D24AAF">
              <w:rPr>
                <w:rFonts w:asciiTheme="minorHAnsi" w:hAnsiTheme="minorHAnsi"/>
                <w:color w:val="000000"/>
                <w:sz w:val="20"/>
                <w:szCs w:val="20"/>
              </w:rPr>
              <w:instrText xml:space="preserve"> SEQ Box \* ARABIC </w:instrText>
            </w:r>
            <w:r w:rsidR="001A7AF8" w:rsidRPr="00D24AAF">
              <w:rPr>
                <w:rFonts w:asciiTheme="minorHAnsi" w:hAnsiTheme="minorHAnsi"/>
                <w:color w:val="000000"/>
                <w:sz w:val="20"/>
                <w:szCs w:val="20"/>
              </w:rPr>
              <w:fldChar w:fldCharType="separate"/>
            </w:r>
            <w:r w:rsidR="00BA2792">
              <w:rPr>
                <w:rFonts w:asciiTheme="minorHAnsi" w:hAnsiTheme="minorHAnsi"/>
                <w:noProof/>
                <w:color w:val="000000"/>
                <w:sz w:val="20"/>
                <w:szCs w:val="20"/>
              </w:rPr>
              <w:t>2</w:t>
            </w:r>
            <w:r w:rsidR="001A7AF8" w:rsidRPr="00D24AAF">
              <w:rPr>
                <w:rFonts w:asciiTheme="minorHAnsi" w:hAnsiTheme="minorHAnsi"/>
                <w:color w:val="000000"/>
                <w:sz w:val="20"/>
                <w:szCs w:val="20"/>
              </w:rPr>
              <w:fldChar w:fldCharType="end"/>
            </w:r>
            <w:r>
              <w:rPr>
                <w:rFonts w:asciiTheme="minorHAnsi" w:hAnsiTheme="minorHAnsi"/>
                <w:color w:val="000000"/>
                <w:sz w:val="20"/>
                <w:szCs w:val="20"/>
              </w:rPr>
              <w:t xml:space="preserve">. </w:t>
            </w:r>
            <w:r w:rsidRPr="00D24AAF">
              <w:rPr>
                <w:rFonts w:asciiTheme="minorHAnsi" w:hAnsiTheme="minorHAnsi"/>
                <w:color w:val="000000"/>
                <w:sz w:val="20"/>
                <w:szCs w:val="20"/>
              </w:rPr>
              <w:t xml:space="preserve"> </w:t>
            </w:r>
            <w:r w:rsidR="00E0786C">
              <w:rPr>
                <w:rFonts w:asciiTheme="minorHAnsi" w:hAnsiTheme="minorHAnsi"/>
                <w:color w:val="000000"/>
                <w:sz w:val="20"/>
                <w:szCs w:val="20"/>
              </w:rPr>
              <w:t>Cairo’s</w:t>
            </w:r>
            <w:r w:rsidR="00E0786C" w:rsidRPr="00E0786C">
              <w:rPr>
                <w:rFonts w:asciiTheme="minorHAnsi" w:hAnsiTheme="minorHAnsi"/>
                <w:color w:val="000000"/>
                <w:sz w:val="20"/>
                <w:szCs w:val="20"/>
              </w:rPr>
              <w:t xml:space="preserve"> Taxi Scrapping</w:t>
            </w:r>
            <w:r w:rsidR="00C745B7">
              <w:rPr>
                <w:rFonts w:asciiTheme="minorHAnsi" w:hAnsiTheme="minorHAnsi"/>
                <w:color w:val="000000"/>
                <w:sz w:val="20"/>
                <w:szCs w:val="20"/>
              </w:rPr>
              <w:t>-</w:t>
            </w:r>
            <w:r w:rsidR="00E0786C" w:rsidRPr="00E0786C">
              <w:rPr>
                <w:rFonts w:asciiTheme="minorHAnsi" w:hAnsiTheme="minorHAnsi"/>
                <w:color w:val="000000"/>
                <w:sz w:val="20"/>
                <w:szCs w:val="20"/>
              </w:rPr>
              <w:t>and</w:t>
            </w:r>
            <w:r w:rsidR="00C745B7">
              <w:rPr>
                <w:rFonts w:asciiTheme="minorHAnsi" w:hAnsiTheme="minorHAnsi"/>
                <w:color w:val="000000"/>
                <w:sz w:val="20"/>
                <w:szCs w:val="20"/>
              </w:rPr>
              <w:t>-r</w:t>
            </w:r>
            <w:r w:rsidR="00E0786C" w:rsidRPr="00E0786C">
              <w:rPr>
                <w:rFonts w:asciiTheme="minorHAnsi" w:hAnsiTheme="minorHAnsi"/>
                <w:color w:val="000000"/>
                <w:sz w:val="20"/>
                <w:szCs w:val="20"/>
              </w:rPr>
              <w:t>ecycling Project</w:t>
            </w:r>
          </w:p>
          <w:p w:rsidR="00C745B7" w:rsidRDefault="00C745B7" w:rsidP="00C745B7">
            <w:pPr>
              <w:spacing w:after="60"/>
              <w:rPr>
                <w:rFonts w:ascii="Calibri" w:hAnsi="Calibri"/>
                <w:sz w:val="18"/>
                <w:szCs w:val="18"/>
              </w:rPr>
            </w:pPr>
            <w:r w:rsidRPr="00EB537D">
              <w:rPr>
                <w:rFonts w:ascii="Calibri" w:hAnsi="Calibri"/>
                <w:b/>
                <w:sz w:val="18"/>
                <w:szCs w:val="18"/>
              </w:rPr>
              <w:t>Project Overview</w:t>
            </w:r>
            <w:r>
              <w:rPr>
                <w:rFonts w:ascii="Calibri" w:hAnsi="Calibri"/>
                <w:sz w:val="18"/>
                <w:szCs w:val="18"/>
              </w:rPr>
              <w:t xml:space="preserve">. </w:t>
            </w:r>
            <w:r w:rsidRPr="00E0786C">
              <w:rPr>
                <w:rFonts w:ascii="Calibri" w:hAnsi="Calibri"/>
                <w:sz w:val="18"/>
                <w:szCs w:val="18"/>
              </w:rPr>
              <w:t xml:space="preserve">In April 2009, the Egyptian Ministry of Finance, with support from the Prime Minister, initiated the Vehicle </w:t>
            </w:r>
            <w:r>
              <w:rPr>
                <w:rFonts w:ascii="Calibri" w:hAnsi="Calibri"/>
                <w:sz w:val="18"/>
                <w:szCs w:val="18"/>
              </w:rPr>
              <w:t>Scrapping-and-recycling</w:t>
            </w:r>
            <w:r w:rsidRPr="00E0786C">
              <w:rPr>
                <w:rFonts w:ascii="Calibri" w:hAnsi="Calibri"/>
                <w:sz w:val="18"/>
                <w:szCs w:val="18"/>
              </w:rPr>
              <w:t xml:space="preserve"> Program for the Greater Cairo Region (GCR). Under this initial phase, a taxi replacement and recycling program was launched on a voluntary basis</w:t>
            </w:r>
            <w:r>
              <w:rPr>
                <w:rFonts w:ascii="Calibri" w:hAnsi="Calibri"/>
                <w:sz w:val="18"/>
                <w:szCs w:val="18"/>
              </w:rPr>
              <w:t>;</w:t>
            </w:r>
            <w:r w:rsidRPr="00E0786C">
              <w:rPr>
                <w:rFonts w:ascii="Calibri" w:hAnsi="Calibri"/>
                <w:sz w:val="18"/>
                <w:szCs w:val="18"/>
              </w:rPr>
              <w:t xml:space="preserve"> private taxi owners receive financial and other incentives to surrender their old vehicles for new, more fuel-efficient models</w:t>
            </w:r>
            <w:r>
              <w:rPr>
                <w:rFonts w:ascii="Calibri" w:hAnsi="Calibri"/>
                <w:sz w:val="18"/>
                <w:szCs w:val="18"/>
              </w:rPr>
              <w:t xml:space="preserve"> and </w:t>
            </w:r>
            <w:r w:rsidRPr="00E0786C">
              <w:rPr>
                <w:rFonts w:ascii="Calibri" w:hAnsi="Calibri"/>
                <w:sz w:val="18"/>
                <w:szCs w:val="18"/>
              </w:rPr>
              <w:t xml:space="preserve">the old vehicles are scrapped and recycled. The program was launched to support enforcement of Traffic Law 121, </w:t>
            </w:r>
            <w:r>
              <w:rPr>
                <w:rFonts w:ascii="Calibri" w:hAnsi="Calibri"/>
                <w:sz w:val="18"/>
                <w:szCs w:val="18"/>
              </w:rPr>
              <w:t>effective</w:t>
            </w:r>
            <w:r w:rsidRPr="00E0786C">
              <w:rPr>
                <w:rFonts w:ascii="Calibri" w:hAnsi="Calibri"/>
                <w:sz w:val="18"/>
                <w:szCs w:val="18"/>
              </w:rPr>
              <w:t xml:space="preserve"> June 9, 2008, </w:t>
            </w:r>
            <w:r>
              <w:rPr>
                <w:rFonts w:ascii="Calibri" w:hAnsi="Calibri"/>
                <w:sz w:val="18"/>
                <w:szCs w:val="18"/>
              </w:rPr>
              <w:t>which</w:t>
            </w:r>
            <w:r w:rsidRPr="00E0786C">
              <w:rPr>
                <w:rFonts w:ascii="Calibri" w:hAnsi="Calibri"/>
                <w:sz w:val="18"/>
                <w:szCs w:val="18"/>
              </w:rPr>
              <w:t xml:space="preserve"> targets improvements in air quality and reduction of greenhouse gases (GHG) associated with Egypt’s aging fleet of taxis, microbuses, minibuses, and buses. </w:t>
            </w:r>
            <w:r>
              <w:rPr>
                <w:rFonts w:ascii="Calibri" w:hAnsi="Calibri"/>
                <w:sz w:val="18"/>
                <w:szCs w:val="18"/>
              </w:rPr>
              <w:t>I</w:t>
            </w:r>
            <w:r w:rsidRPr="00E0786C">
              <w:rPr>
                <w:rFonts w:ascii="Calibri" w:hAnsi="Calibri"/>
                <w:sz w:val="18"/>
                <w:szCs w:val="18"/>
              </w:rPr>
              <w:t>nitial</w:t>
            </w:r>
            <w:r>
              <w:rPr>
                <w:rFonts w:ascii="Calibri" w:hAnsi="Calibri"/>
                <w:sz w:val="18"/>
                <w:szCs w:val="18"/>
              </w:rPr>
              <w:t>ly, the program</w:t>
            </w:r>
            <w:r w:rsidRPr="00E0786C">
              <w:rPr>
                <w:rFonts w:ascii="Calibri" w:hAnsi="Calibri"/>
                <w:sz w:val="18"/>
                <w:szCs w:val="18"/>
              </w:rPr>
              <w:t xml:space="preserve"> focu</w:t>
            </w:r>
            <w:r>
              <w:rPr>
                <w:rFonts w:ascii="Calibri" w:hAnsi="Calibri"/>
                <w:sz w:val="18"/>
                <w:szCs w:val="18"/>
              </w:rPr>
              <w:t>sed</w:t>
            </w:r>
            <w:r w:rsidRPr="00E0786C">
              <w:rPr>
                <w:rFonts w:ascii="Calibri" w:hAnsi="Calibri"/>
                <w:sz w:val="18"/>
                <w:szCs w:val="18"/>
              </w:rPr>
              <w:t xml:space="preserve"> on </w:t>
            </w:r>
            <w:r>
              <w:rPr>
                <w:rFonts w:ascii="Calibri" w:hAnsi="Calibri"/>
                <w:sz w:val="18"/>
                <w:szCs w:val="18"/>
              </w:rPr>
              <w:t xml:space="preserve">replacing </w:t>
            </w:r>
            <w:r w:rsidRPr="00E0786C">
              <w:rPr>
                <w:rFonts w:ascii="Calibri" w:hAnsi="Calibri"/>
                <w:sz w:val="18"/>
                <w:szCs w:val="18"/>
              </w:rPr>
              <w:t>taxi</w:t>
            </w:r>
            <w:r>
              <w:rPr>
                <w:rFonts w:ascii="Calibri" w:hAnsi="Calibri"/>
                <w:sz w:val="18"/>
                <w:szCs w:val="18"/>
              </w:rPr>
              <w:t>s</w:t>
            </w:r>
            <w:r w:rsidRPr="00E0786C">
              <w:rPr>
                <w:rFonts w:ascii="Calibri" w:hAnsi="Calibri"/>
                <w:sz w:val="18"/>
                <w:szCs w:val="18"/>
              </w:rPr>
              <w:t xml:space="preserve"> in the GCR</w:t>
            </w:r>
            <w:r>
              <w:rPr>
                <w:rFonts w:ascii="Calibri" w:hAnsi="Calibri"/>
                <w:sz w:val="18"/>
                <w:szCs w:val="18"/>
              </w:rPr>
              <w:t>; it was</w:t>
            </w:r>
            <w:r w:rsidRPr="00E0786C">
              <w:rPr>
                <w:rFonts w:ascii="Calibri" w:hAnsi="Calibri"/>
                <w:sz w:val="18"/>
                <w:szCs w:val="18"/>
              </w:rPr>
              <w:t xml:space="preserve"> a collaborative effort between government and </w:t>
            </w:r>
            <w:r>
              <w:rPr>
                <w:rFonts w:ascii="Calibri" w:hAnsi="Calibri"/>
                <w:sz w:val="18"/>
                <w:szCs w:val="18"/>
              </w:rPr>
              <w:t xml:space="preserve">the </w:t>
            </w:r>
            <w:r w:rsidRPr="00E0786C">
              <w:rPr>
                <w:rFonts w:ascii="Calibri" w:hAnsi="Calibri"/>
                <w:sz w:val="18"/>
                <w:szCs w:val="18"/>
              </w:rPr>
              <w:t xml:space="preserve">private sector </w:t>
            </w:r>
            <w:r>
              <w:rPr>
                <w:rFonts w:ascii="Calibri" w:hAnsi="Calibri"/>
                <w:sz w:val="18"/>
                <w:szCs w:val="18"/>
              </w:rPr>
              <w:t>that offered</w:t>
            </w:r>
            <w:r w:rsidRPr="00E0786C">
              <w:rPr>
                <w:rFonts w:ascii="Calibri" w:hAnsi="Calibri"/>
                <w:sz w:val="18"/>
                <w:szCs w:val="18"/>
              </w:rPr>
              <w:t xml:space="preserve"> an attractive financial package to </w:t>
            </w:r>
            <w:r>
              <w:rPr>
                <w:rFonts w:ascii="Calibri" w:hAnsi="Calibri"/>
                <w:sz w:val="18"/>
                <w:szCs w:val="18"/>
              </w:rPr>
              <w:t xml:space="preserve">taxi </w:t>
            </w:r>
            <w:r w:rsidRPr="00E0786C">
              <w:rPr>
                <w:rFonts w:ascii="Calibri" w:hAnsi="Calibri"/>
                <w:sz w:val="18"/>
                <w:szCs w:val="18"/>
              </w:rPr>
              <w:t xml:space="preserve">owners </w:t>
            </w:r>
            <w:r>
              <w:rPr>
                <w:rFonts w:ascii="Calibri" w:hAnsi="Calibri"/>
                <w:sz w:val="18"/>
                <w:szCs w:val="18"/>
              </w:rPr>
              <w:t xml:space="preserve">with vehicles that were more than </w:t>
            </w:r>
            <w:r w:rsidRPr="00E0786C">
              <w:rPr>
                <w:rFonts w:ascii="Calibri" w:hAnsi="Calibri"/>
                <w:sz w:val="18"/>
                <w:szCs w:val="18"/>
              </w:rPr>
              <w:t>20 years old</w:t>
            </w:r>
            <w:r>
              <w:rPr>
                <w:rFonts w:ascii="Calibri" w:hAnsi="Calibri"/>
                <w:sz w:val="18"/>
                <w:szCs w:val="18"/>
              </w:rPr>
              <w:t xml:space="preserve">. </w:t>
            </w:r>
            <w:r w:rsidRPr="00E0786C">
              <w:rPr>
                <w:rFonts w:ascii="Calibri" w:hAnsi="Calibri"/>
                <w:sz w:val="18"/>
                <w:szCs w:val="18"/>
              </w:rPr>
              <w:t>Th</w:t>
            </w:r>
            <w:r>
              <w:rPr>
                <w:rFonts w:ascii="Calibri" w:hAnsi="Calibri"/>
                <w:sz w:val="18"/>
                <w:szCs w:val="18"/>
              </w:rPr>
              <w:t xml:space="preserve">e package includes </w:t>
            </w:r>
            <w:r w:rsidRPr="00E0786C">
              <w:rPr>
                <w:rFonts w:ascii="Calibri" w:hAnsi="Calibri"/>
                <w:sz w:val="18"/>
                <w:szCs w:val="18"/>
              </w:rPr>
              <w:t>a 25-30</w:t>
            </w:r>
            <w:r>
              <w:rPr>
                <w:rFonts w:ascii="Calibri" w:hAnsi="Calibri"/>
                <w:sz w:val="18"/>
                <w:szCs w:val="18"/>
              </w:rPr>
              <w:t xml:space="preserve"> percent price </w:t>
            </w:r>
            <w:r w:rsidRPr="00E0786C">
              <w:rPr>
                <w:rFonts w:ascii="Calibri" w:hAnsi="Calibri"/>
                <w:sz w:val="18"/>
                <w:szCs w:val="18"/>
              </w:rPr>
              <w:t xml:space="preserve">reduction </w:t>
            </w:r>
            <w:r>
              <w:rPr>
                <w:rFonts w:ascii="Calibri" w:hAnsi="Calibri"/>
                <w:sz w:val="18"/>
                <w:szCs w:val="18"/>
              </w:rPr>
              <w:t>for a</w:t>
            </w:r>
            <w:r w:rsidRPr="00E0786C">
              <w:rPr>
                <w:rFonts w:ascii="Calibri" w:hAnsi="Calibri"/>
                <w:sz w:val="18"/>
                <w:szCs w:val="18"/>
              </w:rPr>
              <w:t xml:space="preserve"> new</w:t>
            </w:r>
            <w:r>
              <w:rPr>
                <w:rFonts w:ascii="Calibri" w:hAnsi="Calibri"/>
                <w:sz w:val="18"/>
                <w:szCs w:val="18"/>
              </w:rPr>
              <w:t xml:space="preserve"> </w:t>
            </w:r>
            <w:r w:rsidRPr="00E0786C">
              <w:rPr>
                <w:rFonts w:ascii="Calibri" w:hAnsi="Calibri"/>
                <w:sz w:val="18"/>
                <w:szCs w:val="18"/>
              </w:rPr>
              <w:t>replacement vehicle, €2,500 in subsidies and tax waivers, discount</w:t>
            </w:r>
            <w:r>
              <w:rPr>
                <w:rFonts w:ascii="Calibri" w:hAnsi="Calibri"/>
                <w:sz w:val="18"/>
                <w:szCs w:val="18"/>
              </w:rPr>
              <w:t xml:space="preserve">ed </w:t>
            </w:r>
            <w:r w:rsidRPr="00E0786C">
              <w:rPr>
                <w:rFonts w:ascii="Calibri" w:hAnsi="Calibri"/>
                <w:sz w:val="18"/>
                <w:szCs w:val="18"/>
              </w:rPr>
              <w:t xml:space="preserve">loan terms and insurance agreements, and other incentives. </w:t>
            </w:r>
            <w:r>
              <w:rPr>
                <w:rFonts w:ascii="Calibri" w:hAnsi="Calibri"/>
                <w:sz w:val="18"/>
                <w:szCs w:val="18"/>
              </w:rPr>
              <w:t>T</w:t>
            </w:r>
            <w:r w:rsidRPr="00E0786C">
              <w:rPr>
                <w:rFonts w:ascii="Calibri" w:hAnsi="Calibri"/>
                <w:sz w:val="18"/>
                <w:szCs w:val="18"/>
              </w:rPr>
              <w:t xml:space="preserve">otal program cost </w:t>
            </w:r>
            <w:r>
              <w:rPr>
                <w:rFonts w:ascii="Calibri" w:hAnsi="Calibri"/>
                <w:sz w:val="18"/>
                <w:szCs w:val="18"/>
              </w:rPr>
              <w:t>was estimated at about US</w:t>
            </w:r>
            <w:r w:rsidRPr="00E0786C">
              <w:rPr>
                <w:rFonts w:ascii="Calibri" w:hAnsi="Calibri"/>
                <w:sz w:val="18"/>
                <w:szCs w:val="18"/>
              </w:rPr>
              <w:t xml:space="preserve">$620.24 million, depending on the number of </w:t>
            </w:r>
            <w:r w:rsidRPr="00E0786C">
              <w:rPr>
                <w:rFonts w:ascii="Calibri" w:hAnsi="Calibri"/>
                <w:sz w:val="18"/>
                <w:szCs w:val="18"/>
              </w:rPr>
              <w:lastRenderedPageBreak/>
              <w:t>participants, share of each model, etc. The program will remain active for 28 years</w:t>
            </w:r>
            <w:r>
              <w:rPr>
                <w:rFonts w:ascii="Calibri" w:hAnsi="Calibri"/>
                <w:sz w:val="18"/>
                <w:szCs w:val="18"/>
              </w:rPr>
              <w:t xml:space="preserve">. During the first phase, it will </w:t>
            </w:r>
            <w:r w:rsidRPr="00E0786C">
              <w:rPr>
                <w:rFonts w:ascii="Calibri" w:hAnsi="Calibri"/>
                <w:sz w:val="18"/>
                <w:szCs w:val="18"/>
              </w:rPr>
              <w:t>replac</w:t>
            </w:r>
            <w:r>
              <w:rPr>
                <w:rFonts w:ascii="Calibri" w:hAnsi="Calibri"/>
                <w:sz w:val="18"/>
                <w:szCs w:val="18"/>
              </w:rPr>
              <w:t>e about</w:t>
            </w:r>
            <w:r w:rsidRPr="00E0786C">
              <w:rPr>
                <w:rFonts w:ascii="Calibri" w:hAnsi="Calibri"/>
                <w:sz w:val="18"/>
                <w:szCs w:val="18"/>
              </w:rPr>
              <w:t xml:space="preserve"> 45,000-50,000 taxis in the GCR</w:t>
            </w:r>
            <w:r>
              <w:rPr>
                <w:rFonts w:ascii="Calibri" w:hAnsi="Calibri"/>
                <w:sz w:val="18"/>
                <w:szCs w:val="18"/>
              </w:rPr>
              <w:t xml:space="preserve">. </w:t>
            </w:r>
            <w:r w:rsidRPr="00E0786C">
              <w:rPr>
                <w:rFonts w:ascii="Calibri" w:hAnsi="Calibri"/>
                <w:sz w:val="18"/>
                <w:szCs w:val="18"/>
              </w:rPr>
              <w:t xml:space="preserve">Then, </w:t>
            </w:r>
            <w:r>
              <w:rPr>
                <w:rFonts w:ascii="Calibri" w:hAnsi="Calibri"/>
                <w:sz w:val="18"/>
                <w:szCs w:val="18"/>
              </w:rPr>
              <w:t xml:space="preserve">in later phases, </w:t>
            </w:r>
            <w:r w:rsidRPr="00E0786C">
              <w:rPr>
                <w:rFonts w:ascii="Calibri" w:hAnsi="Calibri"/>
                <w:sz w:val="18"/>
                <w:szCs w:val="18"/>
              </w:rPr>
              <w:t>pending approvals, taxis and other mass transport vehicles in other regions would be replaced</w:t>
            </w:r>
            <w:r>
              <w:rPr>
                <w:rFonts w:ascii="Calibri" w:hAnsi="Calibri"/>
                <w:sz w:val="18"/>
                <w:szCs w:val="18"/>
              </w:rPr>
              <w:t xml:space="preserve">. </w:t>
            </w:r>
            <w:r w:rsidRPr="00E0786C">
              <w:rPr>
                <w:rFonts w:ascii="Calibri" w:hAnsi="Calibri"/>
                <w:sz w:val="18"/>
                <w:szCs w:val="18"/>
              </w:rPr>
              <w:t>The first phase will reduce emissions by an estimated 1.3-2.3 million tons CO</w:t>
            </w:r>
            <w:r w:rsidRPr="005C0C39">
              <w:rPr>
                <w:rFonts w:ascii="Calibri" w:hAnsi="Calibri"/>
                <w:sz w:val="18"/>
                <w:szCs w:val="18"/>
                <w:vertAlign w:val="subscript"/>
              </w:rPr>
              <w:t>2</w:t>
            </w:r>
            <w:r w:rsidRPr="00E0786C">
              <w:rPr>
                <w:rFonts w:ascii="Calibri" w:hAnsi="Calibri"/>
                <w:sz w:val="18"/>
                <w:szCs w:val="18"/>
              </w:rPr>
              <w:t xml:space="preserve">e over 10 years. </w:t>
            </w:r>
            <w:r>
              <w:rPr>
                <w:rFonts w:ascii="Calibri" w:hAnsi="Calibri"/>
                <w:sz w:val="18"/>
                <w:szCs w:val="18"/>
              </w:rPr>
              <w:t xml:space="preserve">Carbon financing will support the </w:t>
            </w:r>
            <w:r w:rsidRPr="00E0786C">
              <w:rPr>
                <w:rFonts w:ascii="Calibri" w:hAnsi="Calibri"/>
                <w:sz w:val="18"/>
                <w:szCs w:val="18"/>
              </w:rPr>
              <w:t>project</w:t>
            </w:r>
            <w:r>
              <w:rPr>
                <w:rFonts w:ascii="Calibri" w:hAnsi="Calibri"/>
                <w:sz w:val="18"/>
                <w:szCs w:val="18"/>
              </w:rPr>
              <w:t xml:space="preserve">, plus help underwrite </w:t>
            </w:r>
            <w:r w:rsidRPr="00E0786C">
              <w:rPr>
                <w:rFonts w:ascii="Calibri" w:hAnsi="Calibri"/>
                <w:sz w:val="18"/>
                <w:szCs w:val="18"/>
              </w:rPr>
              <w:t xml:space="preserve">development of a recycling facility for </w:t>
            </w:r>
            <w:r>
              <w:rPr>
                <w:rFonts w:ascii="Calibri" w:hAnsi="Calibri"/>
                <w:sz w:val="18"/>
                <w:szCs w:val="18"/>
              </w:rPr>
              <w:t xml:space="preserve">the </w:t>
            </w:r>
            <w:r w:rsidRPr="00E0786C">
              <w:rPr>
                <w:rFonts w:ascii="Calibri" w:hAnsi="Calibri"/>
                <w:sz w:val="18"/>
                <w:szCs w:val="18"/>
              </w:rPr>
              <w:t xml:space="preserve">scrapped vehicles. As of 2009, </w:t>
            </w:r>
            <w:r>
              <w:rPr>
                <w:rFonts w:ascii="Calibri" w:hAnsi="Calibri"/>
                <w:sz w:val="18"/>
                <w:szCs w:val="18"/>
              </w:rPr>
              <w:t xml:space="preserve">some </w:t>
            </w:r>
            <w:r w:rsidRPr="00E0786C">
              <w:rPr>
                <w:rFonts w:ascii="Calibri" w:hAnsi="Calibri"/>
                <w:sz w:val="18"/>
                <w:szCs w:val="18"/>
              </w:rPr>
              <w:t xml:space="preserve">17,000 taxis had been replaced, </w:t>
            </w:r>
            <w:r>
              <w:rPr>
                <w:rFonts w:ascii="Calibri" w:hAnsi="Calibri"/>
                <w:sz w:val="18"/>
                <w:szCs w:val="18"/>
              </w:rPr>
              <w:t xml:space="preserve">reducing emissions by </w:t>
            </w:r>
            <w:r w:rsidRPr="00E0786C">
              <w:rPr>
                <w:rFonts w:ascii="Calibri" w:hAnsi="Calibri"/>
                <w:sz w:val="18"/>
                <w:szCs w:val="18"/>
              </w:rPr>
              <w:t>57,233 tons CO</w:t>
            </w:r>
            <w:r w:rsidRPr="005C0C39">
              <w:rPr>
                <w:rFonts w:ascii="Calibri" w:hAnsi="Calibri"/>
                <w:sz w:val="18"/>
                <w:szCs w:val="18"/>
                <w:vertAlign w:val="subscript"/>
              </w:rPr>
              <w:t>2</w:t>
            </w:r>
            <w:r w:rsidRPr="00E0786C">
              <w:rPr>
                <w:rFonts w:ascii="Calibri" w:hAnsi="Calibri"/>
                <w:sz w:val="18"/>
                <w:szCs w:val="18"/>
              </w:rPr>
              <w:t xml:space="preserve">e and </w:t>
            </w:r>
            <w:r>
              <w:rPr>
                <w:rFonts w:ascii="Calibri" w:hAnsi="Calibri"/>
                <w:sz w:val="18"/>
                <w:szCs w:val="18"/>
              </w:rPr>
              <w:t xml:space="preserve">energy use by </w:t>
            </w:r>
            <w:r w:rsidRPr="00E0786C">
              <w:rPr>
                <w:rFonts w:ascii="Calibri" w:hAnsi="Calibri"/>
                <w:sz w:val="18"/>
                <w:szCs w:val="18"/>
              </w:rPr>
              <w:t>29</w:t>
            </w:r>
            <w:r>
              <w:rPr>
                <w:rFonts w:ascii="Calibri" w:hAnsi="Calibri"/>
                <w:sz w:val="18"/>
                <w:szCs w:val="18"/>
              </w:rPr>
              <w:t xml:space="preserve"> percent. </w:t>
            </w:r>
          </w:p>
          <w:p w:rsidR="00E0786C" w:rsidRPr="00E0786C" w:rsidRDefault="00E0786C" w:rsidP="00225FDD">
            <w:pPr>
              <w:spacing w:after="0"/>
              <w:jc w:val="center"/>
              <w:rPr>
                <w:rFonts w:ascii="Calibri" w:hAnsi="Calibri"/>
                <w:b/>
                <w:i/>
                <w:sz w:val="18"/>
                <w:szCs w:val="18"/>
              </w:rPr>
            </w:pPr>
            <w:r w:rsidRPr="00E0786C">
              <w:rPr>
                <w:rFonts w:ascii="Calibri" w:hAnsi="Calibri"/>
                <w:b/>
                <w:i/>
                <w:sz w:val="18"/>
                <w:szCs w:val="18"/>
              </w:rPr>
              <w:t>Distribution of Model Years of Registered Taxis in the Greater Cairo Region</w:t>
            </w:r>
          </w:p>
          <w:p w:rsidR="00E0786C" w:rsidRDefault="00225FDD" w:rsidP="00225FDD">
            <w:pPr>
              <w:jc w:val="center"/>
              <w:rPr>
                <w:rFonts w:ascii="Calibri" w:hAnsi="Calibri"/>
                <w:sz w:val="18"/>
                <w:szCs w:val="18"/>
              </w:rPr>
            </w:pPr>
            <w:r>
              <w:rPr>
                <w:rFonts w:ascii="Calibri" w:hAnsi="Calibri"/>
                <w:noProof/>
                <w:sz w:val="18"/>
                <w:szCs w:val="18"/>
                <w:lang w:bidi="ar-SA"/>
              </w:rPr>
              <w:drawing>
                <wp:inline distT="0" distB="0" distL="0" distR="0">
                  <wp:extent cx="4267200" cy="1047560"/>
                  <wp:effectExtent l="19050" t="19050" r="19050" b="19240"/>
                  <wp:docPr id="1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screen">
                            <a:lum bright="-25000" contrast="35000"/>
                          </a:blip>
                          <a:srcRect/>
                          <a:stretch>
                            <a:fillRect/>
                          </a:stretch>
                        </pic:blipFill>
                        <pic:spPr bwMode="auto">
                          <a:xfrm>
                            <a:off x="0" y="0"/>
                            <a:ext cx="4267200" cy="1047560"/>
                          </a:xfrm>
                          <a:prstGeom prst="rect">
                            <a:avLst/>
                          </a:prstGeom>
                          <a:noFill/>
                          <a:ln w="9525">
                            <a:solidFill>
                              <a:schemeClr val="tx1"/>
                            </a:solidFill>
                            <a:miter lim="800000"/>
                            <a:headEnd/>
                            <a:tailEnd/>
                          </a:ln>
                        </pic:spPr>
                      </pic:pic>
                    </a:graphicData>
                  </a:graphic>
                </wp:inline>
              </w:drawing>
            </w:r>
          </w:p>
          <w:p w:rsidR="00C745B7" w:rsidRDefault="00C745B7" w:rsidP="00C745B7">
            <w:pPr>
              <w:spacing w:after="60"/>
              <w:rPr>
                <w:rFonts w:ascii="Calibri" w:hAnsi="Calibri"/>
                <w:sz w:val="18"/>
                <w:szCs w:val="18"/>
              </w:rPr>
            </w:pPr>
            <w:r w:rsidRPr="00EB537D">
              <w:rPr>
                <w:rFonts w:ascii="Calibri" w:hAnsi="Calibri"/>
                <w:b/>
                <w:sz w:val="18"/>
                <w:szCs w:val="18"/>
              </w:rPr>
              <w:t>Public-Private Partnership</w:t>
            </w:r>
            <w:r>
              <w:rPr>
                <w:rFonts w:ascii="Calibri" w:hAnsi="Calibri"/>
                <w:sz w:val="18"/>
                <w:szCs w:val="18"/>
              </w:rPr>
              <w:t xml:space="preserve">. </w:t>
            </w:r>
            <w:r w:rsidRPr="00EB537D">
              <w:rPr>
                <w:rFonts w:ascii="Calibri" w:hAnsi="Calibri"/>
                <w:sz w:val="18"/>
                <w:szCs w:val="18"/>
              </w:rPr>
              <w:t xml:space="preserve">MOF’s PPP scheme allows vehicle owners to receive several layers of financial incentives </w:t>
            </w:r>
            <w:r>
              <w:rPr>
                <w:rFonts w:ascii="Calibri" w:hAnsi="Calibri"/>
                <w:sz w:val="18"/>
                <w:szCs w:val="18"/>
              </w:rPr>
              <w:t>to</w:t>
            </w:r>
            <w:r w:rsidRPr="00EB537D">
              <w:rPr>
                <w:rFonts w:ascii="Calibri" w:hAnsi="Calibri"/>
                <w:sz w:val="18"/>
                <w:szCs w:val="18"/>
              </w:rPr>
              <w:t xml:space="preserve"> participat</w:t>
            </w:r>
            <w:r>
              <w:rPr>
                <w:rFonts w:ascii="Calibri" w:hAnsi="Calibri"/>
                <w:sz w:val="18"/>
                <w:szCs w:val="18"/>
              </w:rPr>
              <w:t>e</w:t>
            </w:r>
            <w:r w:rsidRPr="00EB537D">
              <w:rPr>
                <w:rFonts w:ascii="Calibri" w:hAnsi="Calibri"/>
                <w:sz w:val="18"/>
                <w:szCs w:val="18"/>
              </w:rPr>
              <w:t xml:space="preserve"> in the vehicle </w:t>
            </w:r>
            <w:r>
              <w:rPr>
                <w:rFonts w:ascii="Calibri" w:hAnsi="Calibri"/>
                <w:sz w:val="18"/>
                <w:szCs w:val="18"/>
              </w:rPr>
              <w:t>scrapping-and-recycling</w:t>
            </w:r>
            <w:r w:rsidRPr="00EB537D">
              <w:rPr>
                <w:rFonts w:ascii="Calibri" w:hAnsi="Calibri"/>
                <w:sz w:val="18"/>
                <w:szCs w:val="18"/>
              </w:rPr>
              <w:t xml:space="preserve"> program. </w:t>
            </w:r>
            <w:r>
              <w:rPr>
                <w:rFonts w:ascii="Calibri" w:hAnsi="Calibri"/>
                <w:sz w:val="18"/>
                <w:szCs w:val="18"/>
              </w:rPr>
              <w:t>MOF provides s</w:t>
            </w:r>
            <w:r w:rsidRPr="00EB537D">
              <w:rPr>
                <w:rFonts w:ascii="Calibri" w:hAnsi="Calibri"/>
                <w:sz w:val="18"/>
                <w:szCs w:val="18"/>
              </w:rPr>
              <w:t>ome public funding</w:t>
            </w:r>
            <w:r>
              <w:rPr>
                <w:rFonts w:ascii="Calibri" w:hAnsi="Calibri"/>
                <w:sz w:val="18"/>
                <w:szCs w:val="18"/>
              </w:rPr>
              <w:t>,</w:t>
            </w:r>
            <w:r w:rsidRPr="00EB537D">
              <w:rPr>
                <w:rFonts w:ascii="Calibri" w:hAnsi="Calibri"/>
                <w:sz w:val="18"/>
                <w:szCs w:val="18"/>
              </w:rPr>
              <w:t xml:space="preserve"> including payment</w:t>
            </w:r>
            <w:r>
              <w:rPr>
                <w:rFonts w:ascii="Calibri" w:hAnsi="Calibri"/>
                <w:sz w:val="18"/>
                <w:szCs w:val="18"/>
              </w:rPr>
              <w:t>s</w:t>
            </w:r>
            <w:r w:rsidRPr="00EB537D">
              <w:rPr>
                <w:rFonts w:ascii="Calibri" w:hAnsi="Calibri"/>
                <w:sz w:val="18"/>
                <w:szCs w:val="18"/>
              </w:rPr>
              <w:t xml:space="preserve"> for surrendered</w:t>
            </w:r>
            <w:r>
              <w:rPr>
                <w:rFonts w:ascii="Calibri" w:hAnsi="Calibri"/>
                <w:sz w:val="18"/>
                <w:szCs w:val="18"/>
              </w:rPr>
              <w:t xml:space="preserve"> </w:t>
            </w:r>
            <w:r w:rsidRPr="00EB537D">
              <w:rPr>
                <w:rFonts w:ascii="Calibri" w:hAnsi="Calibri"/>
                <w:sz w:val="18"/>
                <w:szCs w:val="18"/>
              </w:rPr>
              <w:t>vehicle</w:t>
            </w:r>
            <w:r>
              <w:rPr>
                <w:rFonts w:ascii="Calibri" w:hAnsi="Calibri"/>
                <w:sz w:val="18"/>
                <w:szCs w:val="18"/>
              </w:rPr>
              <w:t>s</w:t>
            </w:r>
            <w:r w:rsidRPr="00EB537D">
              <w:rPr>
                <w:rFonts w:ascii="Calibri" w:hAnsi="Calibri"/>
                <w:sz w:val="18"/>
                <w:szCs w:val="18"/>
              </w:rPr>
              <w:t xml:space="preserve">, </w:t>
            </w:r>
            <w:r>
              <w:rPr>
                <w:rFonts w:ascii="Calibri" w:hAnsi="Calibri"/>
                <w:sz w:val="18"/>
                <w:szCs w:val="18"/>
              </w:rPr>
              <w:t>and</w:t>
            </w:r>
            <w:r w:rsidRPr="00EB537D">
              <w:rPr>
                <w:rFonts w:ascii="Calibri" w:hAnsi="Calibri"/>
                <w:sz w:val="18"/>
                <w:szCs w:val="18"/>
              </w:rPr>
              <w:t xml:space="preserve"> </w:t>
            </w:r>
            <w:r>
              <w:rPr>
                <w:rFonts w:ascii="Calibri" w:hAnsi="Calibri"/>
                <w:sz w:val="18"/>
                <w:szCs w:val="18"/>
              </w:rPr>
              <w:t xml:space="preserve">exemptions from </w:t>
            </w:r>
            <w:r w:rsidRPr="00EB537D">
              <w:rPr>
                <w:rFonts w:ascii="Calibri" w:hAnsi="Calibri"/>
                <w:sz w:val="18"/>
                <w:szCs w:val="18"/>
              </w:rPr>
              <w:t>sales tax and custom fees for vehicle owners. Participating automobile dealers offer new vehicles at 25-30</w:t>
            </w:r>
            <w:r>
              <w:rPr>
                <w:rFonts w:ascii="Calibri" w:hAnsi="Calibri"/>
                <w:sz w:val="18"/>
                <w:szCs w:val="18"/>
              </w:rPr>
              <w:t xml:space="preserve"> percent below</w:t>
            </w:r>
            <w:r w:rsidRPr="00EB537D">
              <w:rPr>
                <w:rFonts w:ascii="Calibri" w:hAnsi="Calibri"/>
                <w:sz w:val="18"/>
                <w:szCs w:val="18"/>
              </w:rPr>
              <w:t xml:space="preserve"> market rate</w:t>
            </w:r>
            <w:r>
              <w:rPr>
                <w:rFonts w:ascii="Calibri" w:hAnsi="Calibri"/>
                <w:sz w:val="18"/>
                <w:szCs w:val="18"/>
              </w:rPr>
              <w:t>s</w:t>
            </w:r>
            <w:r w:rsidRPr="00EB537D">
              <w:rPr>
                <w:rFonts w:ascii="Calibri" w:hAnsi="Calibri"/>
                <w:sz w:val="18"/>
                <w:szCs w:val="18"/>
              </w:rPr>
              <w:t xml:space="preserve">. </w:t>
            </w:r>
            <w:r>
              <w:rPr>
                <w:rFonts w:ascii="Calibri" w:hAnsi="Calibri"/>
                <w:sz w:val="18"/>
                <w:szCs w:val="18"/>
              </w:rPr>
              <w:t>N</w:t>
            </w:r>
            <w:r w:rsidRPr="00EB537D">
              <w:rPr>
                <w:rFonts w:ascii="Calibri" w:hAnsi="Calibri"/>
                <w:sz w:val="18"/>
                <w:szCs w:val="18"/>
              </w:rPr>
              <w:t>ew vehicles are financed with a below</w:t>
            </w:r>
            <w:r>
              <w:rPr>
                <w:rFonts w:ascii="Calibri" w:hAnsi="Calibri"/>
                <w:sz w:val="18"/>
                <w:szCs w:val="18"/>
              </w:rPr>
              <w:t>-</w:t>
            </w:r>
            <w:r w:rsidRPr="00EB537D">
              <w:rPr>
                <w:rFonts w:ascii="Calibri" w:hAnsi="Calibri"/>
                <w:sz w:val="18"/>
                <w:szCs w:val="18"/>
              </w:rPr>
              <w:t xml:space="preserve">market-rate interest loan from participating banks, and MOF provides a loan guarantee in special cases. </w:t>
            </w:r>
            <w:r>
              <w:rPr>
                <w:rFonts w:ascii="Calibri" w:hAnsi="Calibri"/>
                <w:sz w:val="18"/>
                <w:szCs w:val="18"/>
              </w:rPr>
              <w:t>O</w:t>
            </w:r>
            <w:r w:rsidRPr="00EB537D">
              <w:rPr>
                <w:rFonts w:ascii="Calibri" w:hAnsi="Calibri"/>
                <w:sz w:val="18"/>
                <w:szCs w:val="18"/>
              </w:rPr>
              <w:t xml:space="preserve">wners are offered </w:t>
            </w:r>
            <w:r>
              <w:rPr>
                <w:rFonts w:ascii="Calibri" w:hAnsi="Calibri"/>
                <w:sz w:val="18"/>
                <w:szCs w:val="18"/>
              </w:rPr>
              <w:t>the</w:t>
            </w:r>
            <w:r w:rsidRPr="00EB537D">
              <w:rPr>
                <w:rFonts w:ascii="Calibri" w:hAnsi="Calibri"/>
                <w:sz w:val="18"/>
                <w:szCs w:val="18"/>
              </w:rPr>
              <w:t xml:space="preserve"> option to participate in an adverti</w:t>
            </w:r>
            <w:r>
              <w:rPr>
                <w:rFonts w:ascii="Calibri" w:hAnsi="Calibri"/>
                <w:sz w:val="18"/>
                <w:szCs w:val="18"/>
              </w:rPr>
              <w:t>s</w:t>
            </w:r>
            <w:r w:rsidRPr="00EB537D">
              <w:rPr>
                <w:rFonts w:ascii="Calibri" w:hAnsi="Calibri"/>
                <w:sz w:val="18"/>
                <w:szCs w:val="18"/>
              </w:rPr>
              <w:t>ing scheme</w:t>
            </w:r>
            <w:r>
              <w:rPr>
                <w:rFonts w:ascii="Calibri" w:hAnsi="Calibri"/>
                <w:sz w:val="18"/>
                <w:szCs w:val="18"/>
              </w:rPr>
              <w:sym w:font="Symbol" w:char="F0BE"/>
            </w:r>
            <w:r w:rsidRPr="00EB537D">
              <w:rPr>
                <w:rFonts w:ascii="Calibri" w:hAnsi="Calibri"/>
                <w:sz w:val="18"/>
                <w:szCs w:val="18"/>
              </w:rPr>
              <w:t>an advertising agency</w:t>
            </w:r>
            <w:r>
              <w:rPr>
                <w:rFonts w:ascii="Calibri" w:hAnsi="Calibri"/>
                <w:sz w:val="18"/>
                <w:szCs w:val="18"/>
              </w:rPr>
              <w:t xml:space="preserve"> pays </w:t>
            </w:r>
            <w:r w:rsidRPr="00EB537D">
              <w:rPr>
                <w:rFonts w:ascii="Calibri" w:hAnsi="Calibri"/>
                <w:sz w:val="18"/>
                <w:szCs w:val="18"/>
              </w:rPr>
              <w:t xml:space="preserve">a portion of revenue to the lending bank </w:t>
            </w:r>
            <w:r>
              <w:rPr>
                <w:rFonts w:ascii="Calibri" w:hAnsi="Calibri"/>
                <w:sz w:val="18"/>
                <w:szCs w:val="18"/>
              </w:rPr>
              <w:t>to underwrite</w:t>
            </w:r>
            <w:r w:rsidRPr="00EB537D">
              <w:rPr>
                <w:rFonts w:ascii="Calibri" w:hAnsi="Calibri"/>
                <w:sz w:val="18"/>
                <w:szCs w:val="18"/>
              </w:rPr>
              <w:t xml:space="preserve"> </w:t>
            </w:r>
            <w:r>
              <w:rPr>
                <w:rFonts w:ascii="Calibri" w:hAnsi="Calibri"/>
                <w:sz w:val="18"/>
                <w:szCs w:val="18"/>
              </w:rPr>
              <w:t xml:space="preserve">some of the </w:t>
            </w:r>
            <w:r w:rsidRPr="00EB537D">
              <w:rPr>
                <w:rFonts w:ascii="Calibri" w:hAnsi="Calibri"/>
                <w:sz w:val="18"/>
                <w:szCs w:val="18"/>
              </w:rPr>
              <w:t>vehicle</w:t>
            </w:r>
            <w:r>
              <w:rPr>
                <w:rFonts w:ascii="Calibri" w:hAnsi="Calibri"/>
                <w:sz w:val="18"/>
                <w:szCs w:val="18"/>
              </w:rPr>
              <w:t xml:space="preserve"> owners’ debt service payments.</w:t>
            </w:r>
            <w:r w:rsidRPr="00EB537D">
              <w:rPr>
                <w:rFonts w:ascii="Calibri" w:hAnsi="Calibri"/>
                <w:sz w:val="18"/>
                <w:szCs w:val="18"/>
              </w:rPr>
              <w:t xml:space="preserve"> </w:t>
            </w:r>
            <w:r>
              <w:rPr>
                <w:rFonts w:ascii="Calibri" w:hAnsi="Calibri"/>
                <w:sz w:val="18"/>
                <w:szCs w:val="18"/>
              </w:rPr>
              <w:t>O</w:t>
            </w:r>
            <w:r w:rsidRPr="00EB537D">
              <w:rPr>
                <w:rFonts w:ascii="Calibri" w:hAnsi="Calibri"/>
                <w:sz w:val="18"/>
                <w:szCs w:val="18"/>
              </w:rPr>
              <w:t xml:space="preserve">wners </w:t>
            </w:r>
            <w:r>
              <w:rPr>
                <w:rFonts w:ascii="Calibri" w:hAnsi="Calibri"/>
                <w:sz w:val="18"/>
                <w:szCs w:val="18"/>
              </w:rPr>
              <w:t xml:space="preserve">pay </w:t>
            </w:r>
            <w:r w:rsidRPr="00EB537D">
              <w:rPr>
                <w:rFonts w:ascii="Calibri" w:hAnsi="Calibri"/>
                <w:sz w:val="18"/>
                <w:szCs w:val="18"/>
              </w:rPr>
              <w:t xml:space="preserve">a reduced </w:t>
            </w:r>
            <w:r>
              <w:rPr>
                <w:rFonts w:ascii="Calibri" w:hAnsi="Calibri"/>
                <w:sz w:val="18"/>
                <w:szCs w:val="18"/>
              </w:rPr>
              <w:t>fee</w:t>
            </w:r>
            <w:r w:rsidRPr="00EB537D">
              <w:rPr>
                <w:rFonts w:ascii="Calibri" w:hAnsi="Calibri"/>
                <w:sz w:val="18"/>
                <w:szCs w:val="18"/>
              </w:rPr>
              <w:t xml:space="preserve"> for maintenance</w:t>
            </w:r>
            <w:r>
              <w:rPr>
                <w:rFonts w:ascii="Calibri" w:hAnsi="Calibri"/>
                <w:sz w:val="18"/>
                <w:szCs w:val="18"/>
              </w:rPr>
              <w:t>,</w:t>
            </w:r>
            <w:r w:rsidRPr="00EB537D">
              <w:rPr>
                <w:rFonts w:ascii="Calibri" w:hAnsi="Calibri"/>
                <w:sz w:val="18"/>
                <w:szCs w:val="18"/>
              </w:rPr>
              <w:t xml:space="preserve"> spare parts</w:t>
            </w:r>
            <w:r>
              <w:rPr>
                <w:rFonts w:ascii="Calibri" w:hAnsi="Calibri"/>
                <w:sz w:val="18"/>
                <w:szCs w:val="18"/>
              </w:rPr>
              <w:t>,</w:t>
            </w:r>
            <w:r w:rsidRPr="00EB537D">
              <w:rPr>
                <w:rFonts w:ascii="Calibri" w:hAnsi="Calibri"/>
                <w:sz w:val="18"/>
                <w:szCs w:val="18"/>
              </w:rPr>
              <w:t xml:space="preserve"> </w:t>
            </w:r>
            <w:r>
              <w:rPr>
                <w:rFonts w:ascii="Calibri" w:hAnsi="Calibri"/>
                <w:sz w:val="18"/>
                <w:szCs w:val="18"/>
              </w:rPr>
              <w:t>and</w:t>
            </w:r>
            <w:r w:rsidRPr="00EB537D">
              <w:rPr>
                <w:rFonts w:ascii="Calibri" w:hAnsi="Calibri"/>
                <w:sz w:val="18"/>
                <w:szCs w:val="18"/>
              </w:rPr>
              <w:t xml:space="preserve"> insurance for all new taxi</w:t>
            </w:r>
            <w:r>
              <w:rPr>
                <w:rFonts w:ascii="Calibri" w:hAnsi="Calibri"/>
                <w:sz w:val="18"/>
                <w:szCs w:val="18"/>
              </w:rPr>
              <w:t>s</w:t>
            </w:r>
            <w:r w:rsidRPr="00EB537D">
              <w:rPr>
                <w:rFonts w:ascii="Calibri" w:hAnsi="Calibri"/>
                <w:sz w:val="18"/>
                <w:szCs w:val="18"/>
              </w:rPr>
              <w:t xml:space="preserve"> against all standard </w:t>
            </w:r>
            <w:r>
              <w:rPr>
                <w:rFonts w:ascii="Calibri" w:hAnsi="Calibri"/>
                <w:sz w:val="18"/>
                <w:szCs w:val="18"/>
              </w:rPr>
              <w:t>casualties</w:t>
            </w:r>
            <w:r w:rsidRPr="00EB537D">
              <w:rPr>
                <w:rFonts w:ascii="Calibri" w:hAnsi="Calibri"/>
                <w:sz w:val="18"/>
                <w:szCs w:val="18"/>
              </w:rPr>
              <w:t xml:space="preserve"> (theft, fire, accidents, etc.). Under this program, 12 vehicle options are available as replacement</w:t>
            </w:r>
            <w:r>
              <w:rPr>
                <w:rFonts w:ascii="Calibri" w:hAnsi="Calibri"/>
                <w:sz w:val="18"/>
                <w:szCs w:val="18"/>
              </w:rPr>
              <w:t>s</w:t>
            </w:r>
            <w:r w:rsidRPr="00EB537D">
              <w:rPr>
                <w:rFonts w:ascii="Calibri" w:hAnsi="Calibri"/>
                <w:sz w:val="18"/>
                <w:szCs w:val="18"/>
              </w:rPr>
              <w:t xml:space="preserve">. </w:t>
            </w:r>
            <w:r>
              <w:rPr>
                <w:rFonts w:ascii="Calibri" w:hAnsi="Calibri"/>
                <w:sz w:val="18"/>
                <w:szCs w:val="18"/>
              </w:rPr>
              <w:t>I</w:t>
            </w:r>
            <w:r w:rsidRPr="00EB537D">
              <w:rPr>
                <w:rFonts w:ascii="Calibri" w:hAnsi="Calibri"/>
                <w:sz w:val="18"/>
                <w:szCs w:val="18"/>
              </w:rPr>
              <w:t>ncentive</w:t>
            </w:r>
            <w:r>
              <w:rPr>
                <w:rFonts w:ascii="Calibri" w:hAnsi="Calibri"/>
                <w:sz w:val="18"/>
                <w:szCs w:val="18"/>
              </w:rPr>
              <w:t xml:space="preserve"> assistance helps </w:t>
            </w:r>
            <w:r w:rsidRPr="00EB537D">
              <w:rPr>
                <w:rFonts w:ascii="Calibri" w:hAnsi="Calibri"/>
                <w:sz w:val="18"/>
                <w:szCs w:val="18"/>
              </w:rPr>
              <w:t xml:space="preserve">vehicle owners </w:t>
            </w:r>
            <w:r>
              <w:rPr>
                <w:rFonts w:ascii="Calibri" w:hAnsi="Calibri"/>
                <w:sz w:val="18"/>
                <w:szCs w:val="18"/>
              </w:rPr>
              <w:t>to</w:t>
            </w:r>
            <w:r w:rsidRPr="00EB537D">
              <w:rPr>
                <w:rFonts w:ascii="Calibri" w:hAnsi="Calibri"/>
                <w:sz w:val="18"/>
                <w:szCs w:val="18"/>
              </w:rPr>
              <w:t xml:space="preserve"> </w:t>
            </w:r>
            <w:r>
              <w:rPr>
                <w:rFonts w:ascii="Calibri" w:hAnsi="Calibri"/>
                <w:sz w:val="18"/>
                <w:szCs w:val="18"/>
              </w:rPr>
              <w:t>re</w:t>
            </w:r>
            <w:r w:rsidRPr="00EB537D">
              <w:rPr>
                <w:rFonts w:ascii="Calibri" w:hAnsi="Calibri"/>
                <w:sz w:val="18"/>
                <w:szCs w:val="18"/>
              </w:rPr>
              <w:t xml:space="preserve">pay the car loan in </w:t>
            </w:r>
            <w:r>
              <w:rPr>
                <w:rFonts w:ascii="Calibri" w:hAnsi="Calibri"/>
                <w:sz w:val="18"/>
                <w:szCs w:val="18"/>
              </w:rPr>
              <w:t>fewer</w:t>
            </w:r>
            <w:r w:rsidRPr="00EB537D">
              <w:rPr>
                <w:rFonts w:ascii="Calibri" w:hAnsi="Calibri"/>
                <w:sz w:val="18"/>
                <w:szCs w:val="18"/>
              </w:rPr>
              <w:t xml:space="preserve"> than </w:t>
            </w:r>
            <w:r>
              <w:rPr>
                <w:rFonts w:ascii="Calibri" w:hAnsi="Calibri"/>
                <w:sz w:val="18"/>
                <w:szCs w:val="18"/>
              </w:rPr>
              <w:t>six</w:t>
            </w:r>
            <w:r w:rsidRPr="00EB537D">
              <w:rPr>
                <w:rFonts w:ascii="Calibri" w:hAnsi="Calibri"/>
                <w:sz w:val="18"/>
                <w:szCs w:val="18"/>
              </w:rPr>
              <w:t xml:space="preserve"> years, on average.</w:t>
            </w:r>
          </w:p>
          <w:tbl>
            <w:tblPr>
              <w:tblStyle w:val="TableGrid"/>
              <w:tblW w:w="0" w:type="auto"/>
              <w:tblLayout w:type="fixed"/>
              <w:tblLook w:val="04A0"/>
            </w:tblPr>
            <w:tblGrid>
              <w:gridCol w:w="4618"/>
              <w:gridCol w:w="4619"/>
            </w:tblGrid>
            <w:tr w:rsidR="006D4923" w:rsidTr="006D4923">
              <w:tc>
                <w:tcPr>
                  <w:tcW w:w="4618" w:type="dxa"/>
                </w:tcPr>
                <w:p w:rsidR="006D4923" w:rsidRPr="006D4923" w:rsidRDefault="006D4923" w:rsidP="006D4923">
                  <w:pPr>
                    <w:spacing w:after="0"/>
                    <w:rPr>
                      <w:rFonts w:ascii="Calibri" w:hAnsi="Calibri"/>
                      <w:b/>
                      <w:i/>
                      <w:sz w:val="18"/>
                      <w:szCs w:val="18"/>
                    </w:rPr>
                  </w:pPr>
                  <w:r w:rsidRPr="006D4923">
                    <w:rPr>
                      <w:rFonts w:ascii="Calibri" w:hAnsi="Calibri"/>
                      <w:b/>
                      <w:i/>
                      <w:sz w:val="18"/>
                      <w:szCs w:val="18"/>
                    </w:rPr>
                    <w:t>Estimated project cost (2010-2018)</w:t>
                  </w:r>
                </w:p>
              </w:tc>
              <w:tc>
                <w:tcPr>
                  <w:tcW w:w="4619" w:type="dxa"/>
                </w:tcPr>
                <w:p w:rsidR="006D4923" w:rsidRPr="006D4923" w:rsidRDefault="006D4923" w:rsidP="006D4923">
                  <w:pPr>
                    <w:spacing w:after="0"/>
                    <w:rPr>
                      <w:rFonts w:ascii="Calibri" w:hAnsi="Calibri"/>
                      <w:b/>
                      <w:i/>
                      <w:sz w:val="18"/>
                      <w:szCs w:val="18"/>
                    </w:rPr>
                  </w:pPr>
                  <w:r w:rsidRPr="006D4923">
                    <w:rPr>
                      <w:rFonts w:ascii="Calibri" w:hAnsi="Calibri"/>
                      <w:b/>
                      <w:i/>
                      <w:sz w:val="18"/>
                      <w:szCs w:val="18"/>
                    </w:rPr>
                    <w:t>Estimated average benefit to vehicle owners</w:t>
                  </w:r>
                </w:p>
              </w:tc>
            </w:tr>
            <w:tr w:rsidR="006D4923" w:rsidTr="006D4923">
              <w:tc>
                <w:tcPr>
                  <w:tcW w:w="4618" w:type="dxa"/>
                </w:tcPr>
                <w:p w:rsidR="006D4923" w:rsidRDefault="006D4923" w:rsidP="006D4923">
                  <w:pPr>
                    <w:spacing w:after="0"/>
                    <w:rPr>
                      <w:rFonts w:ascii="Calibri" w:hAnsi="Calibri"/>
                      <w:sz w:val="18"/>
                      <w:szCs w:val="18"/>
                    </w:rPr>
                  </w:pPr>
                  <w:r>
                    <w:rPr>
                      <w:rFonts w:ascii="Calibri" w:hAnsi="Calibri"/>
                      <w:noProof/>
                      <w:sz w:val="18"/>
                      <w:szCs w:val="18"/>
                      <w:lang w:bidi="ar-SA"/>
                    </w:rPr>
                    <w:drawing>
                      <wp:inline distT="0" distB="0" distL="0" distR="0">
                        <wp:extent cx="2930733" cy="1094867"/>
                        <wp:effectExtent l="19050" t="0" r="2967" b="0"/>
                        <wp:docPr id="1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screen">
                                  <a:lum bright="-10000" contrast="15000"/>
                                </a:blip>
                                <a:srcRect/>
                                <a:stretch>
                                  <a:fillRect/>
                                </a:stretch>
                              </pic:blipFill>
                              <pic:spPr bwMode="auto">
                                <a:xfrm>
                                  <a:off x="0" y="0"/>
                                  <a:ext cx="2930733" cy="1094867"/>
                                </a:xfrm>
                                <a:prstGeom prst="rect">
                                  <a:avLst/>
                                </a:prstGeom>
                                <a:noFill/>
                                <a:ln w="9525">
                                  <a:noFill/>
                                  <a:miter lim="800000"/>
                                  <a:headEnd/>
                                  <a:tailEnd/>
                                </a:ln>
                              </pic:spPr>
                            </pic:pic>
                          </a:graphicData>
                        </a:graphic>
                      </wp:inline>
                    </w:drawing>
                  </w:r>
                </w:p>
              </w:tc>
              <w:tc>
                <w:tcPr>
                  <w:tcW w:w="4619" w:type="dxa"/>
                </w:tcPr>
                <w:p w:rsidR="006D4923" w:rsidRDefault="006D4923" w:rsidP="006D4923">
                  <w:pPr>
                    <w:spacing w:after="0"/>
                    <w:rPr>
                      <w:rFonts w:ascii="Calibri" w:hAnsi="Calibri"/>
                      <w:sz w:val="18"/>
                      <w:szCs w:val="18"/>
                    </w:rPr>
                  </w:pPr>
                  <w:r>
                    <w:rPr>
                      <w:rFonts w:ascii="Calibri" w:hAnsi="Calibri"/>
                      <w:noProof/>
                      <w:sz w:val="18"/>
                      <w:szCs w:val="18"/>
                      <w:lang w:bidi="ar-SA"/>
                    </w:rPr>
                    <w:drawing>
                      <wp:inline distT="0" distB="0" distL="0" distR="0">
                        <wp:extent cx="2799226" cy="606171"/>
                        <wp:effectExtent l="19050" t="0" r="1124" b="0"/>
                        <wp:docPr id="1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screen">
                                  <a:lum bright="-10000" contrast="15000"/>
                                </a:blip>
                                <a:srcRect/>
                                <a:stretch>
                                  <a:fillRect/>
                                </a:stretch>
                              </pic:blipFill>
                              <pic:spPr bwMode="auto">
                                <a:xfrm>
                                  <a:off x="0" y="0"/>
                                  <a:ext cx="2799226" cy="606171"/>
                                </a:xfrm>
                                <a:prstGeom prst="rect">
                                  <a:avLst/>
                                </a:prstGeom>
                                <a:noFill/>
                                <a:ln w="9525">
                                  <a:noFill/>
                                  <a:miter lim="800000"/>
                                  <a:headEnd/>
                                  <a:tailEnd/>
                                </a:ln>
                              </pic:spPr>
                            </pic:pic>
                          </a:graphicData>
                        </a:graphic>
                      </wp:inline>
                    </w:drawing>
                  </w:r>
                </w:p>
              </w:tc>
            </w:tr>
          </w:tbl>
          <w:p w:rsidR="00B36079" w:rsidRPr="00AB440A" w:rsidRDefault="00B36079" w:rsidP="00E0786C">
            <w:pPr>
              <w:spacing w:after="60"/>
              <w:rPr>
                <w:rFonts w:asciiTheme="minorHAnsi" w:hAnsiTheme="minorHAnsi"/>
                <w:i/>
                <w:sz w:val="18"/>
                <w:szCs w:val="18"/>
              </w:rPr>
            </w:pPr>
            <w:r w:rsidRPr="00AB440A">
              <w:rPr>
                <w:rFonts w:asciiTheme="minorHAnsi" w:hAnsiTheme="minorHAnsi"/>
                <w:i/>
                <w:sz w:val="18"/>
                <w:szCs w:val="18"/>
              </w:rPr>
              <w:t xml:space="preserve">Source: </w:t>
            </w:r>
            <w:r w:rsidR="00E0786C">
              <w:rPr>
                <w:rFonts w:asciiTheme="minorHAnsi" w:hAnsiTheme="minorHAnsi"/>
                <w:i/>
                <w:sz w:val="18"/>
                <w:szCs w:val="18"/>
              </w:rPr>
              <w:t>ESMAP (2010)</w:t>
            </w:r>
          </w:p>
        </w:tc>
      </w:tr>
    </w:tbl>
    <w:p w:rsidR="00B36079" w:rsidRDefault="00B36079" w:rsidP="00B14328">
      <w:pPr>
        <w:rPr>
          <w:b/>
        </w:rPr>
      </w:pPr>
    </w:p>
    <w:p w:rsidR="00815176" w:rsidRDefault="00B57C16" w:rsidP="00922A17">
      <w:r>
        <w:rPr>
          <w:b/>
        </w:rPr>
        <w:t xml:space="preserve">Fiscal policy: tax </w:t>
      </w:r>
      <w:r w:rsidR="000474F7">
        <w:rPr>
          <w:b/>
        </w:rPr>
        <w:t>breaks</w:t>
      </w:r>
      <w:r>
        <w:rPr>
          <w:b/>
        </w:rPr>
        <w:t xml:space="preserve"> and other financial incentives for </w:t>
      </w:r>
      <w:r w:rsidR="00B05F1E">
        <w:rPr>
          <w:b/>
        </w:rPr>
        <w:t xml:space="preserve">higher fuel-efficiency and </w:t>
      </w:r>
      <w:r>
        <w:rPr>
          <w:b/>
        </w:rPr>
        <w:t>technological improvements</w:t>
      </w:r>
      <w:r w:rsidR="00B05F1E">
        <w:rPr>
          <w:b/>
        </w:rPr>
        <w:t xml:space="preserve"> of vehicles</w:t>
      </w:r>
      <w:r w:rsidRPr="00B57C16">
        <w:t xml:space="preserve">.  </w:t>
      </w:r>
      <w:r w:rsidRPr="00483F3D">
        <w:t xml:space="preserve">Government needs to </w:t>
      </w:r>
      <w:r w:rsidR="00922A17">
        <w:t xml:space="preserve">gradually phase out </w:t>
      </w:r>
      <w:r w:rsidRPr="00483F3D">
        <w:t xml:space="preserve">the </w:t>
      </w:r>
      <w:r w:rsidR="00C745B7">
        <w:t xml:space="preserve">existing </w:t>
      </w:r>
      <w:r w:rsidRPr="00483F3D">
        <w:t xml:space="preserve">customs clearing fees structure, which distorts the market </w:t>
      </w:r>
      <w:r w:rsidR="00C745B7">
        <w:t xml:space="preserve">toward older vehicles </w:t>
      </w:r>
      <w:r w:rsidRPr="00483F3D">
        <w:t xml:space="preserve">by imposing lower fees. Instead, </w:t>
      </w:r>
      <w:r w:rsidR="00C745B7">
        <w:t xml:space="preserve">Government should create </w:t>
      </w:r>
      <w:r w:rsidR="00922A17">
        <w:t>fiscal</w:t>
      </w:r>
      <w:r w:rsidR="00B05F1E">
        <w:t xml:space="preserve"> and financial</w:t>
      </w:r>
      <w:r w:rsidR="00922A17">
        <w:t xml:space="preserve"> incentives</w:t>
      </w:r>
      <w:r w:rsidR="00C745B7">
        <w:t xml:space="preserve">—perhaps </w:t>
      </w:r>
      <w:r w:rsidRPr="00483F3D">
        <w:t>customs clearing fees</w:t>
      </w:r>
      <w:r w:rsidR="00B05F1E">
        <w:t xml:space="preserve"> </w:t>
      </w:r>
      <w:r w:rsidR="009F218A">
        <w:t xml:space="preserve">and other </w:t>
      </w:r>
      <w:r w:rsidR="00C745B7">
        <w:t xml:space="preserve">vehicle </w:t>
      </w:r>
      <w:r w:rsidR="009F218A">
        <w:t xml:space="preserve">taxes </w:t>
      </w:r>
      <w:r w:rsidR="00B05F1E">
        <w:t xml:space="preserve">that </w:t>
      </w:r>
      <w:r w:rsidR="009F218A">
        <w:t xml:space="preserve">differentiate vehicles by </w:t>
      </w:r>
      <w:r w:rsidR="00B05F1E">
        <w:t>fuel economy</w:t>
      </w:r>
      <w:r w:rsidR="009F218A">
        <w:t>, types of fuel used, and emission standards</w:t>
      </w:r>
      <w:r w:rsidR="00C745B7">
        <w:t xml:space="preserve">. </w:t>
      </w:r>
      <w:r w:rsidR="00DB7723">
        <w:t xml:space="preserve"> </w:t>
      </w:r>
      <w:r w:rsidR="00C745B7">
        <w:t>S</w:t>
      </w:r>
      <w:r w:rsidR="00DB7723">
        <w:t xml:space="preserve">ome of </w:t>
      </w:r>
      <w:r w:rsidR="00C745B7">
        <w:t xml:space="preserve">these incentives have been </w:t>
      </w:r>
      <w:r w:rsidR="00DB7723">
        <w:t xml:space="preserve">implemented in other countries in the region (see </w:t>
      </w:r>
      <w:fldSimple w:instr=" REF _Ref324605144 \h  \* MERGEFORMAT ">
        <w:r w:rsidR="00BA2792" w:rsidRPr="00BA2792">
          <w:t xml:space="preserve">Table </w:t>
        </w:r>
        <w:r w:rsidR="00BA2792" w:rsidRPr="00BA2792">
          <w:rPr>
            <w:noProof/>
          </w:rPr>
          <w:t>1</w:t>
        </w:r>
      </w:fldSimple>
      <w:r w:rsidR="00DB7723" w:rsidRPr="00DB7723">
        <w:t>)</w:t>
      </w:r>
      <w:r w:rsidR="009F218A">
        <w:t xml:space="preserve">.  </w:t>
      </w:r>
      <w:r w:rsidR="00815176">
        <w:t>Technical retrofitting of old</w:t>
      </w:r>
      <w:r w:rsidR="000474F7">
        <w:t>er vehicles should be encouraged</w:t>
      </w:r>
      <w:r w:rsidR="00815176">
        <w:t xml:space="preserve"> in cases where </w:t>
      </w:r>
      <w:r w:rsidR="000474F7">
        <w:t xml:space="preserve">such </w:t>
      </w:r>
      <w:r w:rsidR="00815176">
        <w:t xml:space="preserve">investments are economically feasible </w:t>
      </w:r>
      <w:r w:rsidR="000474F7">
        <w:t xml:space="preserve">taking into account </w:t>
      </w:r>
      <w:r w:rsidR="00815176">
        <w:t xml:space="preserve">environmental benefits (see Annex 3 for international review of vehicle retrofitting). </w:t>
      </w:r>
      <w:r w:rsidR="009F218A">
        <w:t xml:space="preserve">These incentives may be combined with </w:t>
      </w:r>
      <w:r w:rsidR="00B05F1E">
        <w:t xml:space="preserve">the taxes on motor fuels </w:t>
      </w:r>
      <w:r w:rsidR="00C745B7">
        <w:t xml:space="preserve">according to fuel </w:t>
      </w:r>
      <w:r w:rsidR="00B05F1E">
        <w:t>quality (Section III.A)</w:t>
      </w:r>
      <w:r w:rsidR="009F218A">
        <w:t>.</w:t>
      </w:r>
    </w:p>
    <w:p w:rsidR="00815176" w:rsidRDefault="00815176" w:rsidP="00922A17">
      <w:r w:rsidRPr="00815176">
        <w:rPr>
          <w:b/>
        </w:rPr>
        <w:t>Fiscal policy: in the long-run, financial incentives for clean technology vehicles including hybrid and electric vehicles may be considered</w:t>
      </w:r>
      <w:r>
        <w:t>.  Currently</w:t>
      </w:r>
      <w:r w:rsidRPr="00815176">
        <w:t>, hybrid electric and plug-in electric vehicle production remains expensive</w:t>
      </w:r>
      <w:r>
        <w:t>,</w:t>
      </w:r>
      <w:r w:rsidRPr="00815176">
        <w:t xml:space="preserve"> and even after significant subsidies to </w:t>
      </w:r>
      <w:r w:rsidR="000474F7">
        <w:t>consumers</w:t>
      </w:r>
      <w:r>
        <w:t>,</w:t>
      </w:r>
      <w:r w:rsidRPr="00815176">
        <w:t xml:space="preserve"> these vehicles remain unaffordabl</w:t>
      </w:r>
      <w:r w:rsidR="000474F7">
        <w:t>e for most Georgian consumers</w:t>
      </w:r>
      <w:r w:rsidR="00F74DCE">
        <w:t xml:space="preserve"> (see Annex 2 for London’s deployment program)</w:t>
      </w:r>
      <w:r w:rsidR="000474F7">
        <w:t xml:space="preserve">. </w:t>
      </w:r>
      <w:r w:rsidR="00F74DCE">
        <w:t xml:space="preserve"> </w:t>
      </w:r>
      <w:r>
        <w:t>Providing subsidies for such cutting-edge technologies would therefore be a very regressive measure that subsidizes the wealthy fraction of the population that can afford to buy very expensive vehicles.  Moreover, u</w:t>
      </w:r>
      <w:r w:rsidRPr="00815176">
        <w:t xml:space="preserve">nder a policy objective to improve the balance of trade, wide introduction of electric vehicles </w:t>
      </w:r>
      <w:r>
        <w:t xml:space="preserve">would merely </w:t>
      </w:r>
      <w:r>
        <w:lastRenderedPageBreak/>
        <w:t xml:space="preserve">substitute </w:t>
      </w:r>
      <w:r w:rsidRPr="00815176">
        <w:t xml:space="preserve">fossil fuel imports </w:t>
      </w:r>
      <w:r>
        <w:t xml:space="preserve">with </w:t>
      </w:r>
      <w:r w:rsidRPr="00815176">
        <w:t>vehicle imports</w:t>
      </w:r>
      <w:r>
        <w:t>,</w:t>
      </w:r>
      <w:r w:rsidRPr="00815176">
        <w:t xml:space="preserve"> unless Georgia starts manufacturing or assembling automobiles. Heavy subsidies for purchasing electric vehicles are </w:t>
      </w:r>
      <w:r>
        <w:t xml:space="preserve">therefore </w:t>
      </w:r>
      <w:r w:rsidRPr="00815176">
        <w:t xml:space="preserve">fiscally </w:t>
      </w:r>
      <w:r>
        <w:t xml:space="preserve">and socially </w:t>
      </w:r>
      <w:r w:rsidRPr="00815176">
        <w:t xml:space="preserve">unjustifiable.  </w:t>
      </w:r>
      <w:r>
        <w:t xml:space="preserve">Nevertheless, </w:t>
      </w:r>
      <w:r w:rsidR="000474F7">
        <w:t xml:space="preserve">this policy </w:t>
      </w:r>
      <w:r w:rsidR="00C745B7">
        <w:t xml:space="preserve">should </w:t>
      </w:r>
      <w:r w:rsidR="000474F7">
        <w:t xml:space="preserve">have a place in the long-term as a measure to electrify private transportation, </w:t>
      </w:r>
      <w:r>
        <w:t>if and when the prices of technologies become affordable enough for the average income (</w:t>
      </w:r>
      <w:r w:rsidR="00361CED">
        <w:t>Box 3</w:t>
      </w:r>
      <w:r>
        <w:t>),</w:t>
      </w:r>
      <w:r w:rsidRPr="00815176">
        <w:t xml:space="preserve"> </w:t>
      </w:r>
      <w:r w:rsidR="000474F7">
        <w:t>and provided that supply of electricity continues to comes mostly from hydropower.</w:t>
      </w:r>
    </w:p>
    <w:tbl>
      <w:tblPr>
        <w:tblStyle w:val="TableGrid"/>
        <w:tblW w:w="9765" w:type="dxa"/>
        <w:jc w:val="center"/>
        <w:tblLayout w:type="fixed"/>
        <w:tblLook w:val="04A0"/>
      </w:tblPr>
      <w:tblGrid>
        <w:gridCol w:w="9765"/>
      </w:tblGrid>
      <w:tr w:rsidR="00361CED" w:rsidTr="00D723E0">
        <w:trPr>
          <w:jc w:val="center"/>
        </w:trPr>
        <w:tc>
          <w:tcPr>
            <w:tcW w:w="9468" w:type="dxa"/>
          </w:tcPr>
          <w:p w:rsidR="00361CED" w:rsidRPr="00D24AAF" w:rsidRDefault="00361CED" w:rsidP="00D723E0">
            <w:pPr>
              <w:pStyle w:val="Caption"/>
              <w:spacing w:after="120"/>
              <w:rPr>
                <w:rFonts w:asciiTheme="minorHAnsi" w:hAnsiTheme="minorHAnsi"/>
                <w:color w:val="000000"/>
                <w:sz w:val="20"/>
                <w:szCs w:val="20"/>
              </w:rPr>
            </w:pPr>
            <w:r w:rsidRPr="00D24AAF">
              <w:rPr>
                <w:rFonts w:asciiTheme="minorHAnsi" w:hAnsiTheme="minorHAnsi"/>
                <w:color w:val="000000"/>
                <w:sz w:val="20"/>
                <w:szCs w:val="20"/>
              </w:rPr>
              <w:t xml:space="preserve">Box </w:t>
            </w:r>
            <w:r w:rsidR="001A7AF8" w:rsidRPr="00D24AAF">
              <w:rPr>
                <w:rFonts w:asciiTheme="minorHAnsi" w:hAnsiTheme="minorHAnsi"/>
                <w:color w:val="000000"/>
                <w:sz w:val="20"/>
                <w:szCs w:val="20"/>
              </w:rPr>
              <w:fldChar w:fldCharType="begin"/>
            </w:r>
            <w:r w:rsidRPr="00D24AAF">
              <w:rPr>
                <w:rFonts w:asciiTheme="minorHAnsi" w:hAnsiTheme="minorHAnsi"/>
                <w:color w:val="000000"/>
                <w:sz w:val="20"/>
                <w:szCs w:val="20"/>
              </w:rPr>
              <w:instrText xml:space="preserve"> SEQ Box \* ARABIC </w:instrText>
            </w:r>
            <w:r w:rsidR="001A7AF8" w:rsidRPr="00D24AAF">
              <w:rPr>
                <w:rFonts w:asciiTheme="minorHAnsi" w:hAnsiTheme="minorHAnsi"/>
                <w:color w:val="000000"/>
                <w:sz w:val="20"/>
                <w:szCs w:val="20"/>
              </w:rPr>
              <w:fldChar w:fldCharType="separate"/>
            </w:r>
            <w:r>
              <w:rPr>
                <w:rFonts w:asciiTheme="minorHAnsi" w:hAnsiTheme="minorHAnsi"/>
                <w:noProof/>
                <w:color w:val="000000"/>
                <w:sz w:val="20"/>
                <w:szCs w:val="20"/>
              </w:rPr>
              <w:t>3</w:t>
            </w:r>
            <w:r w:rsidR="001A7AF8" w:rsidRPr="00D24AAF">
              <w:rPr>
                <w:rFonts w:asciiTheme="minorHAnsi" w:hAnsiTheme="minorHAnsi"/>
                <w:color w:val="000000"/>
                <w:sz w:val="20"/>
                <w:szCs w:val="20"/>
              </w:rPr>
              <w:fldChar w:fldCharType="end"/>
            </w:r>
            <w:r>
              <w:rPr>
                <w:rFonts w:asciiTheme="minorHAnsi" w:hAnsiTheme="minorHAnsi"/>
                <w:color w:val="000000"/>
                <w:sz w:val="20"/>
                <w:szCs w:val="20"/>
              </w:rPr>
              <w:t xml:space="preserve">. </w:t>
            </w:r>
            <w:r w:rsidRPr="00D24AAF">
              <w:rPr>
                <w:rFonts w:asciiTheme="minorHAnsi" w:hAnsiTheme="minorHAnsi"/>
                <w:color w:val="000000"/>
                <w:sz w:val="20"/>
                <w:szCs w:val="20"/>
              </w:rPr>
              <w:t xml:space="preserve"> </w:t>
            </w:r>
            <w:r>
              <w:rPr>
                <w:rFonts w:asciiTheme="minorHAnsi" w:hAnsiTheme="minorHAnsi"/>
                <w:color w:val="000000"/>
                <w:sz w:val="20"/>
                <w:szCs w:val="20"/>
              </w:rPr>
              <w:t>Current and Future Price of Electric Vehicles</w:t>
            </w:r>
          </w:p>
          <w:p w:rsidR="00361CED" w:rsidRPr="00361CED" w:rsidRDefault="00361CED" w:rsidP="00361CED">
            <w:pPr>
              <w:spacing w:after="60"/>
              <w:rPr>
                <w:rFonts w:ascii="Calibri" w:hAnsi="Calibri"/>
                <w:sz w:val="18"/>
                <w:szCs w:val="18"/>
              </w:rPr>
            </w:pPr>
            <w:r w:rsidRPr="00361CED">
              <w:rPr>
                <w:rFonts w:ascii="Calibri" w:hAnsi="Calibri"/>
                <w:sz w:val="18"/>
                <w:szCs w:val="18"/>
              </w:rPr>
              <w:t xml:space="preserve">Current prices of advanced engine technologies are substantial and would require high subsidy levels to make them affordable. Whether prices will decrease in the future depends on technological developments which are highly uncertain. Costs of alternative engines will decrease with the increasing scale of their global production and future technical change. To what extent electric vehicles will become affordable, or how much subsidy will be required for their adoption, depends mainly on progress in improving battery technologies and the reduction of battery costs. </w:t>
            </w:r>
            <w:r>
              <w:rPr>
                <w:rFonts w:ascii="Calibri" w:hAnsi="Calibri"/>
                <w:sz w:val="18"/>
                <w:szCs w:val="18"/>
              </w:rPr>
              <w:t xml:space="preserve"> </w:t>
            </w:r>
            <w:r w:rsidRPr="00361CED">
              <w:rPr>
                <w:rFonts w:ascii="Calibri" w:hAnsi="Calibri"/>
                <w:sz w:val="18"/>
                <w:szCs w:val="18"/>
              </w:rPr>
              <w:t>An increased battery performance will give more autonomy to electric vehicles and save time for reloading or replacing batteries. An increase in the energy intensity is particularly important for battery electric vehicles and power density for plug-in electric drive vehicles. According to the IEA, battery performance could double within the next decade or so, increasing the travel distance of a fully charged battery set to 200 km for pure electric vehicles. Battery costs depend very much on the lifetime of the batteries. Current batteries have a life cycle of roughly 1000 deep discharge cycles, with an average lifetime of 3 years. Optimistic estimates see the lifetime more than double in the near future (3 to 5 years) to a maximum of up to 10 years.</w:t>
            </w:r>
          </w:p>
          <w:p w:rsidR="00361CED" w:rsidRDefault="00361CED" w:rsidP="00361CED">
            <w:pPr>
              <w:spacing w:after="60"/>
              <w:rPr>
                <w:rFonts w:ascii="Calibri" w:hAnsi="Calibri"/>
                <w:sz w:val="18"/>
                <w:szCs w:val="18"/>
              </w:rPr>
            </w:pPr>
            <w:r w:rsidRPr="00361CED">
              <w:rPr>
                <w:rFonts w:ascii="Calibri" w:hAnsi="Calibri"/>
                <w:sz w:val="18"/>
                <w:szCs w:val="18"/>
              </w:rPr>
              <w:t xml:space="preserve">Current battery costs are in the range of </w:t>
            </w:r>
            <w:r>
              <w:rPr>
                <w:rFonts w:ascii="Calibri" w:hAnsi="Calibri"/>
                <w:sz w:val="18"/>
                <w:szCs w:val="18"/>
              </w:rPr>
              <w:t>US</w:t>
            </w:r>
            <w:r w:rsidRPr="00361CED">
              <w:rPr>
                <w:rFonts w:ascii="Calibri" w:hAnsi="Calibri"/>
                <w:sz w:val="18"/>
                <w:szCs w:val="18"/>
              </w:rPr>
              <w:t xml:space="preserve">$ 700 to 1000 per kWh. Electric vehicles will need about 30 kWh for the travel capacity of 150 km. Estimates of cost reductions are based on expected innovations, learning and scale effects. They see a potential for a 50 percent reduction. An optimistic estimate would then see the battery costs come down to </w:t>
            </w:r>
            <w:r>
              <w:rPr>
                <w:rFonts w:ascii="Calibri" w:hAnsi="Calibri"/>
                <w:sz w:val="18"/>
                <w:szCs w:val="18"/>
              </w:rPr>
              <w:t>US</w:t>
            </w:r>
            <w:r w:rsidRPr="00361CED">
              <w:rPr>
                <w:rFonts w:ascii="Calibri" w:hAnsi="Calibri"/>
                <w:sz w:val="18"/>
                <w:szCs w:val="18"/>
              </w:rPr>
              <w:t xml:space="preserve">$ 15,000 </w:t>
            </w:r>
            <w:r>
              <w:rPr>
                <w:rFonts w:ascii="Calibri" w:hAnsi="Calibri"/>
                <w:sz w:val="18"/>
                <w:szCs w:val="18"/>
              </w:rPr>
              <w:t xml:space="preserve">in </w:t>
            </w:r>
            <w:r w:rsidRPr="00361CED">
              <w:rPr>
                <w:rFonts w:ascii="Calibri" w:hAnsi="Calibri"/>
                <w:sz w:val="18"/>
                <w:szCs w:val="18"/>
              </w:rPr>
              <w:t>10 years. Under these scenarios electric vehicles and plug-in vehicles are expected to increase their market share to about 25 percent by 2030 on average, with higher levels in countries like Germany, France, Spain and Poland.</w:t>
            </w:r>
          </w:p>
          <w:p w:rsidR="00361CED" w:rsidRPr="00AB440A" w:rsidRDefault="00361CED" w:rsidP="00361CED">
            <w:pPr>
              <w:spacing w:after="60"/>
              <w:rPr>
                <w:rFonts w:asciiTheme="minorHAnsi" w:hAnsiTheme="minorHAnsi"/>
                <w:i/>
                <w:sz w:val="18"/>
                <w:szCs w:val="18"/>
              </w:rPr>
            </w:pPr>
            <w:r w:rsidRPr="00AB440A">
              <w:rPr>
                <w:rFonts w:asciiTheme="minorHAnsi" w:hAnsiTheme="minorHAnsi"/>
                <w:i/>
                <w:sz w:val="18"/>
                <w:szCs w:val="18"/>
              </w:rPr>
              <w:t xml:space="preserve">Source: </w:t>
            </w:r>
            <w:r w:rsidRPr="00361CED">
              <w:rPr>
                <w:rFonts w:asciiTheme="minorHAnsi" w:hAnsiTheme="minorHAnsi"/>
                <w:i/>
                <w:sz w:val="18"/>
                <w:szCs w:val="18"/>
              </w:rPr>
              <w:t>Nemry and Brons</w:t>
            </w:r>
            <w:r>
              <w:rPr>
                <w:rFonts w:asciiTheme="minorHAnsi" w:hAnsiTheme="minorHAnsi"/>
                <w:i/>
                <w:sz w:val="18"/>
                <w:szCs w:val="18"/>
              </w:rPr>
              <w:t xml:space="preserve"> (2010); </w:t>
            </w:r>
            <w:r w:rsidRPr="00361CED">
              <w:rPr>
                <w:rFonts w:asciiTheme="minorHAnsi" w:hAnsiTheme="minorHAnsi"/>
                <w:i/>
                <w:sz w:val="18"/>
                <w:szCs w:val="18"/>
              </w:rPr>
              <w:t>IEA</w:t>
            </w:r>
            <w:r>
              <w:rPr>
                <w:rFonts w:asciiTheme="minorHAnsi" w:hAnsiTheme="minorHAnsi"/>
                <w:i/>
                <w:sz w:val="18"/>
                <w:szCs w:val="18"/>
              </w:rPr>
              <w:t xml:space="preserve"> (2011)</w:t>
            </w:r>
          </w:p>
        </w:tc>
      </w:tr>
    </w:tbl>
    <w:p w:rsidR="00361CED" w:rsidRDefault="00361CED" w:rsidP="00922A17"/>
    <w:p w:rsidR="00DD27EA" w:rsidRDefault="002A5FE1" w:rsidP="00B14328">
      <w:r w:rsidRPr="00731A35">
        <w:rPr>
          <w:b/>
        </w:rPr>
        <w:t>Regulations</w:t>
      </w:r>
      <w:r w:rsidR="00225FDD">
        <w:rPr>
          <w:b/>
        </w:rPr>
        <w:t xml:space="preserve"> </w:t>
      </w:r>
      <w:r w:rsidR="00277AA5">
        <w:rPr>
          <w:b/>
        </w:rPr>
        <w:t>and enforcement</w:t>
      </w:r>
      <w:r w:rsidR="004640D4">
        <w:rPr>
          <w:b/>
        </w:rPr>
        <w:t>:</w:t>
      </w:r>
      <w:r w:rsidR="00C70B4F">
        <w:rPr>
          <w:b/>
        </w:rPr>
        <w:t xml:space="preserve"> </w:t>
      </w:r>
      <w:r w:rsidR="00C25207">
        <w:rPr>
          <w:b/>
        </w:rPr>
        <w:t>e</w:t>
      </w:r>
      <w:r w:rsidR="00C25207" w:rsidRPr="00DB7723">
        <w:rPr>
          <w:b/>
        </w:rPr>
        <w:t>xpanding vehicle inspection requirements to include all commercial and non-commercial vehicles</w:t>
      </w:r>
      <w:r w:rsidR="00C25207">
        <w:rPr>
          <w:b/>
        </w:rPr>
        <w:t xml:space="preserve"> </w:t>
      </w:r>
      <w:r w:rsidR="00C25207" w:rsidRPr="00C25207">
        <w:rPr>
          <w:b/>
        </w:rPr>
        <w:t xml:space="preserve">to maintain </w:t>
      </w:r>
      <w:r w:rsidR="00C745B7">
        <w:rPr>
          <w:b/>
        </w:rPr>
        <w:t xml:space="preserve">a </w:t>
      </w:r>
      <w:r w:rsidR="00C25207" w:rsidRPr="00C25207">
        <w:rPr>
          <w:b/>
        </w:rPr>
        <w:t xml:space="preserve">vehicle fleet </w:t>
      </w:r>
      <w:r w:rsidR="00C745B7">
        <w:rPr>
          <w:b/>
        </w:rPr>
        <w:t xml:space="preserve">that is </w:t>
      </w:r>
      <w:r w:rsidR="00C25207" w:rsidRPr="00C25207">
        <w:rPr>
          <w:b/>
        </w:rPr>
        <w:t>clean, safe and fuel-efficient</w:t>
      </w:r>
      <w:r>
        <w:t xml:space="preserve">. </w:t>
      </w:r>
      <w:r w:rsidR="00C745B7">
        <w:t xml:space="preserve">Similar to </w:t>
      </w:r>
      <w:r w:rsidR="00DD27EA">
        <w:t>fuel quality control (Section III.A)</w:t>
      </w:r>
      <w:r w:rsidR="00C05311">
        <w:t>,</w:t>
      </w:r>
      <w:r w:rsidR="00DD27EA">
        <w:t xml:space="preserve"> </w:t>
      </w:r>
      <w:r w:rsidR="00240E1B" w:rsidRPr="008E6F10">
        <w:t>Government needs to</w:t>
      </w:r>
      <w:r w:rsidR="00B908B1">
        <w:t xml:space="preserve"> </w:t>
      </w:r>
      <w:r w:rsidR="00200EB2">
        <w:t xml:space="preserve">revisit the </w:t>
      </w:r>
      <w:r w:rsidR="00C745B7">
        <w:t xml:space="preserve">2001 </w:t>
      </w:r>
      <w:r w:rsidR="00200EB2">
        <w:t xml:space="preserve">green transportation program, </w:t>
      </w:r>
      <w:r w:rsidR="00DD27EA">
        <w:t xml:space="preserve">which proposed </w:t>
      </w:r>
      <w:r w:rsidR="00200EB2">
        <w:t xml:space="preserve">upgrading </w:t>
      </w:r>
      <w:r w:rsidR="00C745B7">
        <w:t xml:space="preserve">vehicle </w:t>
      </w:r>
      <w:r w:rsidR="00200EB2">
        <w:t xml:space="preserve">technical condition and quality in Georgia to European standards.  While keeping the spirit of the said Decree, </w:t>
      </w:r>
      <w:r w:rsidR="00C05311">
        <w:t xml:space="preserve">Government should establish simple </w:t>
      </w:r>
      <w:r w:rsidR="00200EB2">
        <w:t xml:space="preserve">administrative procedures </w:t>
      </w:r>
      <w:r w:rsidR="00C745B7">
        <w:t>to monitor</w:t>
      </w:r>
      <w:r w:rsidR="00200EB2">
        <w:t xml:space="preserve"> and control the main sources of pollution, </w:t>
      </w:r>
      <w:r w:rsidR="00B908B1">
        <w:t>begin</w:t>
      </w:r>
      <w:r w:rsidR="00C745B7">
        <w:t>ning</w:t>
      </w:r>
      <w:r w:rsidR="00B908B1">
        <w:t xml:space="preserve"> with </w:t>
      </w:r>
      <w:r w:rsidR="00C745B7">
        <w:t>a low cut-off standard and raising</w:t>
      </w:r>
      <w:r w:rsidR="00B908B1">
        <w:t xml:space="preserve"> it</w:t>
      </w:r>
      <w:r w:rsidR="00C05311">
        <w:t xml:space="preserve"> </w:t>
      </w:r>
      <w:r w:rsidR="00DD27EA">
        <w:t>gradually</w:t>
      </w:r>
      <w:r w:rsidR="00C05311">
        <w:t xml:space="preserve"> over time</w:t>
      </w:r>
      <w:r w:rsidR="00DD27EA">
        <w:t xml:space="preserve">, </w:t>
      </w:r>
      <w:r w:rsidR="00C745B7">
        <w:t xml:space="preserve">reinforced by </w:t>
      </w:r>
      <w:r w:rsidR="00200EB2">
        <w:t xml:space="preserve">strong incentives for compliance, </w:t>
      </w:r>
      <w:r w:rsidR="00C745B7">
        <w:t>and strong disincentives for non-compliance</w:t>
      </w:r>
      <w:r w:rsidR="00200EB2">
        <w:t xml:space="preserve">. </w:t>
      </w:r>
      <w:r w:rsidR="00C05311">
        <w:t xml:space="preserve"> International experience </w:t>
      </w:r>
      <w:r w:rsidR="00C745B7">
        <w:t>reveals that the most effective systems adopt standards that fail</w:t>
      </w:r>
      <w:r w:rsidR="00C05311">
        <w:t xml:space="preserve"> about 15-20 percent of vehicles</w:t>
      </w:r>
      <w:r w:rsidR="00C745B7">
        <w:t xml:space="preserve">. Standards that are too </w:t>
      </w:r>
      <w:r w:rsidR="00C05311">
        <w:t>strict</w:t>
      </w:r>
      <w:r w:rsidR="00C745B7">
        <w:t xml:space="preserve"> encourage</w:t>
      </w:r>
      <w:r w:rsidR="00C05311">
        <w:t xml:space="preserve"> fraudulent behaviors</w:t>
      </w:r>
      <w:r w:rsidR="00C745B7">
        <w:t xml:space="preserve">, and standards that are </w:t>
      </w:r>
      <w:r w:rsidR="00C05311">
        <w:t>too loose</w:t>
      </w:r>
      <w:r w:rsidR="00C745B7">
        <w:t xml:space="preserve"> are</w:t>
      </w:r>
      <w:r w:rsidR="00C05311">
        <w:t xml:space="preserve"> ineffective</w:t>
      </w:r>
      <w:r w:rsidR="00B908B1">
        <w:t xml:space="preserve"> </w:t>
      </w:r>
      <w:r w:rsidR="00C745B7">
        <w:t xml:space="preserve">to achieve the objective of a clean, safe, and fuel-efficient fleet </w:t>
      </w:r>
      <w:r w:rsidR="00B908B1">
        <w:t xml:space="preserve">(Box </w:t>
      </w:r>
      <w:r w:rsidR="00AA3F1A">
        <w:t>4</w:t>
      </w:r>
      <w:r w:rsidR="00B908B1">
        <w:t>)</w:t>
      </w:r>
      <w:r w:rsidR="00C05311">
        <w:t>.</w:t>
      </w:r>
      <w:r w:rsidR="00240E1B">
        <w:t xml:space="preserve">  </w:t>
      </w:r>
      <w:r w:rsidR="00C745B7">
        <w:t>T</w:t>
      </w:r>
      <w:r w:rsidR="00EC2918">
        <w:t xml:space="preserve">o increase compliance </w:t>
      </w:r>
      <w:r w:rsidR="00DB7723">
        <w:t>with</w:t>
      </w:r>
      <w:r w:rsidR="00EC2918">
        <w:t xml:space="preserve"> </w:t>
      </w:r>
      <w:r w:rsidR="00DB7723">
        <w:t>inspection requirements</w:t>
      </w:r>
      <w:r w:rsidR="00EC2918">
        <w:t xml:space="preserve">, </w:t>
      </w:r>
      <w:r w:rsidR="00240E1B">
        <w:t>technical inspection</w:t>
      </w:r>
      <w:r w:rsidR="00C745B7">
        <w:t>s</w:t>
      </w:r>
      <w:r w:rsidR="00240E1B">
        <w:t xml:space="preserve"> </w:t>
      </w:r>
      <w:r w:rsidR="00C745B7">
        <w:t xml:space="preserve">must be </w:t>
      </w:r>
      <w:r w:rsidR="00240E1B">
        <w:t xml:space="preserve">a requirement for </w:t>
      </w:r>
      <w:r w:rsidR="00C745B7">
        <w:t xml:space="preserve">vehicle </w:t>
      </w:r>
      <w:r w:rsidR="00240E1B">
        <w:t>operation</w:t>
      </w:r>
      <w:r w:rsidR="00C85E99">
        <w:t>; therefore Government must</w:t>
      </w:r>
      <w:r w:rsidR="00EC2918">
        <w:t xml:space="preserve"> </w:t>
      </w:r>
      <w:r w:rsidR="00C85E99">
        <w:t>require</w:t>
      </w:r>
      <w:r w:rsidR="00EC2918">
        <w:t xml:space="preserve"> regular vehicle registration </w:t>
      </w:r>
      <w:r w:rsidR="00C85E99">
        <w:t>that coincides</w:t>
      </w:r>
      <w:r w:rsidR="00EC2918">
        <w:t xml:space="preserve"> with </w:t>
      </w:r>
      <w:r w:rsidR="00C85E99">
        <w:t xml:space="preserve">an </w:t>
      </w:r>
      <w:r w:rsidR="00EC2918">
        <w:t>inspection schedule</w:t>
      </w:r>
      <w:r w:rsidR="00156A35">
        <w:t xml:space="preserve"> </w:t>
      </w:r>
      <w:r w:rsidR="00156A35" w:rsidRPr="00156A35">
        <w:t>(</w:t>
      </w:r>
      <w:fldSimple w:instr=" REF _Ref324711837 \h  \* MERGEFORMAT ">
        <w:r w:rsidR="00AA3F1A" w:rsidRPr="00AA3F1A">
          <w:t xml:space="preserve">Table </w:t>
        </w:r>
        <w:r w:rsidR="00AA3F1A" w:rsidRPr="00AA3F1A">
          <w:rPr>
            <w:noProof/>
          </w:rPr>
          <w:t>4</w:t>
        </w:r>
      </w:fldSimple>
      <w:r w:rsidR="00156A35" w:rsidRPr="00156A35">
        <w:t>)</w:t>
      </w:r>
      <w:r w:rsidR="00EC2918">
        <w:t>.</w:t>
      </w:r>
    </w:p>
    <w:p w:rsidR="00DD27EA" w:rsidRPr="0094512D" w:rsidRDefault="00C25207" w:rsidP="00B14328">
      <w:r>
        <w:rPr>
          <w:b/>
        </w:rPr>
        <w:t xml:space="preserve">Implementing and enforcing a regulatory framework </w:t>
      </w:r>
      <w:r w:rsidR="00DB7723" w:rsidRPr="00DB7723">
        <w:rPr>
          <w:b/>
        </w:rPr>
        <w:t xml:space="preserve">is likely to pose substantial </w:t>
      </w:r>
      <w:r w:rsidR="0094512D">
        <w:rPr>
          <w:b/>
        </w:rPr>
        <w:t xml:space="preserve">governance and </w:t>
      </w:r>
      <w:r w:rsidR="00DB7723" w:rsidRPr="00DB7723">
        <w:rPr>
          <w:b/>
        </w:rPr>
        <w:t>administrative challenges.</w:t>
      </w:r>
      <w:r w:rsidR="00DB7723">
        <w:t xml:space="preserve">  </w:t>
      </w:r>
      <w:r w:rsidR="00C85E99">
        <w:t>T</w:t>
      </w:r>
      <w:r w:rsidR="00200EB2">
        <w:t xml:space="preserve">wo entities are </w:t>
      </w:r>
      <w:r w:rsidR="00C85E99">
        <w:t xml:space="preserve">now </w:t>
      </w:r>
      <w:r w:rsidR="00200EB2">
        <w:t>responsible for vehicle inspection</w:t>
      </w:r>
      <w:r w:rsidR="00C60113">
        <w:t xml:space="preserve">: </w:t>
      </w:r>
      <w:r w:rsidR="00200EB2">
        <w:t>Land Transport Agency and Ministry of Internal Affairs</w:t>
      </w:r>
      <w:r w:rsidR="00C60113">
        <w:t xml:space="preserve">, </w:t>
      </w:r>
      <w:r w:rsidR="00200EB2">
        <w:t>Petrol Police</w:t>
      </w:r>
      <w:r w:rsidR="00C60113">
        <w:t>. The</w:t>
      </w:r>
      <w:r w:rsidR="00C85E99">
        <w:t xml:space="preserve">ir roles are differentiated </w:t>
      </w:r>
      <w:r w:rsidR="00200EB2">
        <w:t xml:space="preserve">by location </w:t>
      </w:r>
      <w:r w:rsidR="00C60113">
        <w:t xml:space="preserve">and methods </w:t>
      </w:r>
      <w:r w:rsidR="00200EB2">
        <w:t xml:space="preserve">of inspection. The </w:t>
      </w:r>
      <w:r w:rsidR="00C60113">
        <w:t xml:space="preserve">LTA </w:t>
      </w:r>
      <w:r w:rsidR="00200EB2">
        <w:t>monitors transport companies—</w:t>
      </w:r>
      <w:r w:rsidR="00C85E99">
        <w:t xml:space="preserve">now </w:t>
      </w:r>
      <w:r w:rsidR="00200EB2">
        <w:t xml:space="preserve">limited to </w:t>
      </w:r>
      <w:r w:rsidR="00C85E99">
        <w:t xml:space="preserve">companies </w:t>
      </w:r>
      <w:r w:rsidR="00200EB2">
        <w:t>that provide international services—on a regular basis to inspect the parked vehicle fleet.</w:t>
      </w:r>
      <w:r w:rsidR="00EC2918">
        <w:t xml:space="preserve"> </w:t>
      </w:r>
      <w:r w:rsidR="00200EB2">
        <w:t>The Ministry of Internal Affairs inspects individual vehicles and operators at various border crossing points and checkpoints along highways.</w:t>
      </w:r>
      <w:r w:rsidR="00DD27EA" w:rsidRPr="00DD27EA">
        <w:t xml:space="preserve"> </w:t>
      </w:r>
      <w:r w:rsidR="00EC2918">
        <w:t xml:space="preserve"> </w:t>
      </w:r>
      <w:r w:rsidR="00C85E99">
        <w:t xml:space="preserve">The longer-term goal </w:t>
      </w:r>
      <w:r w:rsidR="00C60113">
        <w:t xml:space="preserve">should be to inspect all vehicles registered and operating in Georgia.  </w:t>
      </w:r>
      <w:r w:rsidR="00C85E99">
        <w:t xml:space="preserve">As </w:t>
      </w:r>
      <w:r w:rsidR="00C60113">
        <w:t xml:space="preserve">Georgia’s experience suggests, </w:t>
      </w:r>
      <w:r w:rsidR="00C85E99">
        <w:t xml:space="preserve">the challenge is that </w:t>
      </w:r>
      <w:r w:rsidR="00C60113">
        <w:t xml:space="preserve">regulatory frameworks may not </w:t>
      </w:r>
      <w:r w:rsidR="00C85E99">
        <w:t xml:space="preserve">achieve desired </w:t>
      </w:r>
      <w:r w:rsidR="00C60113">
        <w:t>outcomes</w:t>
      </w:r>
      <w:r w:rsidR="00C85E99">
        <w:t xml:space="preserve">; instead they may </w:t>
      </w:r>
      <w:r w:rsidR="00C60113">
        <w:t>spawn rent-seeking behavior</w:t>
      </w:r>
      <w:r w:rsidR="009311C5">
        <w:t>s</w:t>
      </w:r>
      <w:r w:rsidR="00C60113">
        <w:t>,</w:t>
      </w:r>
      <w:r w:rsidR="009311C5">
        <w:t xml:space="preserve"> especially when public sector governance is </w:t>
      </w:r>
      <w:r w:rsidR="009311C5">
        <w:lastRenderedPageBreak/>
        <w:t>weak</w:t>
      </w:r>
      <w:r w:rsidR="00C60113">
        <w:t xml:space="preserve">.  </w:t>
      </w:r>
      <w:r w:rsidR="00DD27EA">
        <w:t>It is recommended that the LTA sets out guidelines and inspection methods, and then contract technical inspection</w:t>
      </w:r>
      <w:r w:rsidR="00C85E99">
        <w:t>s</w:t>
      </w:r>
      <w:r w:rsidR="00DD27EA">
        <w:t xml:space="preserve"> to the private sector under a long-term contractual arrangement.  The LTA would then </w:t>
      </w:r>
      <w:r w:rsidR="00EC2918">
        <w:t xml:space="preserve">manage the contract </w:t>
      </w:r>
      <w:r w:rsidR="00EC2918" w:rsidRPr="0094512D">
        <w:t>with the private concessionaire</w:t>
      </w:r>
      <w:r w:rsidR="00C85E99">
        <w:t>, based</w:t>
      </w:r>
      <w:r w:rsidR="00EC2918" w:rsidRPr="0094512D">
        <w:t xml:space="preserve"> </w:t>
      </w:r>
      <w:r w:rsidR="0094512D" w:rsidRPr="0094512D">
        <w:t>on their performance</w:t>
      </w:r>
      <w:r w:rsidR="0094512D">
        <w:t xml:space="preserve"> (e.g., </w:t>
      </w:r>
      <w:r w:rsidR="00C85E99">
        <w:t>adequate facilities</w:t>
      </w:r>
      <w:r w:rsidR="0094512D">
        <w:t xml:space="preserve"> and record keeping, </w:t>
      </w:r>
      <w:r w:rsidR="00C85E99">
        <w:t xml:space="preserve">number of </w:t>
      </w:r>
      <w:r w:rsidR="0094512D">
        <w:t>vehicles inspected, etc.)</w:t>
      </w:r>
      <w:r w:rsidR="0094512D" w:rsidRPr="0094512D">
        <w:t xml:space="preserve"> </w:t>
      </w:r>
      <w:r w:rsidR="00C85E99">
        <w:t>and have minimal contact</w:t>
      </w:r>
      <w:r w:rsidR="0094512D" w:rsidRPr="0094512D">
        <w:t xml:space="preserve"> with vehicle owners and operators.</w:t>
      </w:r>
      <w:r w:rsidR="0094512D">
        <w:rPr>
          <w:rStyle w:val="FootnoteReference"/>
        </w:rPr>
        <w:footnoteReference w:id="31"/>
      </w:r>
      <w:r w:rsidR="0094512D" w:rsidRPr="0094512D">
        <w:t xml:space="preserve"> </w:t>
      </w:r>
      <w:r w:rsidR="0094512D">
        <w:t xml:space="preserve"> Administrative costs of vehicle licensing and inspection vary by the scope of the government functions and cost-sharing arrangements</w:t>
      </w:r>
      <w:r w:rsidR="007148C5">
        <w:t xml:space="preserve"> (e.g., how much each vehicle owner pays vs. the local authority). </w:t>
      </w:r>
      <w:r w:rsidR="0094512D">
        <w:t xml:space="preserve"> </w:t>
      </w:r>
      <w:r w:rsidR="00C85E99">
        <w:t xml:space="preserve">In the U.S., the State of </w:t>
      </w:r>
      <w:r w:rsidR="0094512D">
        <w:t>Virginia</w:t>
      </w:r>
      <w:r w:rsidR="00C85E99">
        <w:t xml:space="preserve"> requires </w:t>
      </w:r>
      <w:r w:rsidR="0094512D">
        <w:t xml:space="preserve">safety and emissions inspection for all vehicles at </w:t>
      </w:r>
      <w:r w:rsidR="00C85E99">
        <w:t xml:space="preserve">the </w:t>
      </w:r>
      <w:r w:rsidR="0094512D">
        <w:t xml:space="preserve">time of </w:t>
      </w:r>
      <w:r w:rsidR="00C85E99">
        <w:t xml:space="preserve">each </w:t>
      </w:r>
      <w:r w:rsidR="0094512D">
        <w:t xml:space="preserve">registration updates, the </w:t>
      </w:r>
      <w:r w:rsidR="00C85E99">
        <w:t>S</w:t>
      </w:r>
      <w:r w:rsidR="0094512D">
        <w:t xml:space="preserve">tate government spends about </w:t>
      </w:r>
      <w:r w:rsidR="00C85E99">
        <w:t>US</w:t>
      </w:r>
      <w:r w:rsidR="0094512D">
        <w:t>$155 million</w:t>
      </w:r>
      <w:r w:rsidR="00156A35">
        <w:t xml:space="preserve"> </w:t>
      </w:r>
      <w:r w:rsidR="00C85E99">
        <w:t xml:space="preserve">per </w:t>
      </w:r>
      <w:r w:rsidR="00156A35">
        <w:t>year</w:t>
      </w:r>
      <w:r w:rsidR="0094512D">
        <w:t xml:space="preserve">, or about </w:t>
      </w:r>
      <w:r w:rsidR="00C85E99">
        <w:t>US$19 per capita for driver</w:t>
      </w:r>
      <w:r w:rsidR="0094512D">
        <w:t xml:space="preserve"> licensing, vehicle registration and inspection.  In Texas, </w:t>
      </w:r>
      <w:r w:rsidR="00156A35">
        <w:t xml:space="preserve">a similar program costs </w:t>
      </w:r>
      <w:r w:rsidR="00C85E99">
        <w:t>US</w:t>
      </w:r>
      <w:r w:rsidR="00156A35">
        <w:t xml:space="preserve">$118 million a year, or about </w:t>
      </w:r>
      <w:r w:rsidR="00C85E99">
        <w:t>US</w:t>
      </w:r>
      <w:r w:rsidR="00156A35">
        <w:t>$5 per capita.</w:t>
      </w:r>
      <w:r w:rsidR="007148C5">
        <w:rPr>
          <w:rStyle w:val="FootnoteReference"/>
        </w:rPr>
        <w:footnoteReference w:id="32"/>
      </w:r>
    </w:p>
    <w:tbl>
      <w:tblPr>
        <w:tblStyle w:val="TableGrid"/>
        <w:tblW w:w="0" w:type="auto"/>
        <w:tblLook w:val="04A0"/>
      </w:tblPr>
      <w:tblGrid>
        <w:gridCol w:w="9576"/>
      </w:tblGrid>
      <w:tr w:rsidR="00200EB2" w:rsidTr="00DD27EA">
        <w:trPr>
          <w:trHeight w:val="980"/>
        </w:trPr>
        <w:tc>
          <w:tcPr>
            <w:tcW w:w="9576" w:type="dxa"/>
          </w:tcPr>
          <w:p w:rsidR="00200EB2" w:rsidRPr="00D24AAF" w:rsidRDefault="00200EB2" w:rsidP="00DD27EA">
            <w:pPr>
              <w:pStyle w:val="Caption"/>
              <w:spacing w:after="120"/>
              <w:rPr>
                <w:rFonts w:asciiTheme="minorHAnsi" w:hAnsiTheme="minorHAnsi"/>
                <w:color w:val="000000"/>
                <w:sz w:val="20"/>
                <w:szCs w:val="20"/>
              </w:rPr>
            </w:pPr>
            <w:r w:rsidRPr="00D24AAF">
              <w:rPr>
                <w:rFonts w:asciiTheme="minorHAnsi" w:hAnsiTheme="minorHAnsi"/>
                <w:color w:val="000000"/>
                <w:sz w:val="20"/>
                <w:szCs w:val="20"/>
              </w:rPr>
              <w:t xml:space="preserve">Box </w:t>
            </w:r>
            <w:r w:rsidR="001A7AF8" w:rsidRPr="00D24AAF">
              <w:rPr>
                <w:rFonts w:asciiTheme="minorHAnsi" w:hAnsiTheme="minorHAnsi"/>
                <w:color w:val="000000"/>
                <w:sz w:val="20"/>
                <w:szCs w:val="20"/>
              </w:rPr>
              <w:fldChar w:fldCharType="begin"/>
            </w:r>
            <w:r w:rsidRPr="00D24AAF">
              <w:rPr>
                <w:rFonts w:asciiTheme="minorHAnsi" w:hAnsiTheme="minorHAnsi"/>
                <w:color w:val="000000"/>
                <w:sz w:val="20"/>
                <w:szCs w:val="20"/>
              </w:rPr>
              <w:instrText xml:space="preserve"> SEQ Box \* ARABIC </w:instrText>
            </w:r>
            <w:r w:rsidR="001A7AF8" w:rsidRPr="00D24AAF">
              <w:rPr>
                <w:rFonts w:asciiTheme="minorHAnsi" w:hAnsiTheme="minorHAnsi"/>
                <w:color w:val="000000"/>
                <w:sz w:val="20"/>
                <w:szCs w:val="20"/>
              </w:rPr>
              <w:fldChar w:fldCharType="separate"/>
            </w:r>
            <w:r w:rsidR="00AA3F1A">
              <w:rPr>
                <w:rFonts w:asciiTheme="minorHAnsi" w:hAnsiTheme="minorHAnsi"/>
                <w:noProof/>
                <w:color w:val="000000"/>
                <w:sz w:val="20"/>
                <w:szCs w:val="20"/>
              </w:rPr>
              <w:t>4</w:t>
            </w:r>
            <w:r w:rsidR="001A7AF8" w:rsidRPr="00D24AAF">
              <w:rPr>
                <w:rFonts w:asciiTheme="minorHAnsi" w:hAnsiTheme="minorHAnsi"/>
                <w:color w:val="000000"/>
                <w:sz w:val="20"/>
                <w:szCs w:val="20"/>
              </w:rPr>
              <w:fldChar w:fldCharType="end"/>
            </w:r>
            <w:r>
              <w:rPr>
                <w:rFonts w:asciiTheme="minorHAnsi" w:hAnsiTheme="minorHAnsi"/>
                <w:color w:val="000000"/>
                <w:sz w:val="20"/>
                <w:szCs w:val="20"/>
              </w:rPr>
              <w:t xml:space="preserve">. </w:t>
            </w:r>
            <w:r w:rsidRPr="00D24AAF">
              <w:rPr>
                <w:rFonts w:asciiTheme="minorHAnsi" w:hAnsiTheme="minorHAnsi"/>
                <w:color w:val="000000"/>
                <w:sz w:val="20"/>
                <w:szCs w:val="20"/>
              </w:rPr>
              <w:t xml:space="preserve"> </w:t>
            </w:r>
            <w:r>
              <w:rPr>
                <w:rFonts w:asciiTheme="minorHAnsi" w:hAnsiTheme="minorHAnsi"/>
                <w:color w:val="000000"/>
                <w:sz w:val="20"/>
                <w:szCs w:val="20"/>
              </w:rPr>
              <w:t xml:space="preserve">Essential Best Practices of Effective </w:t>
            </w:r>
            <w:r w:rsidRPr="00C76DD8">
              <w:rPr>
                <w:rFonts w:asciiTheme="minorHAnsi" w:hAnsiTheme="minorHAnsi"/>
                <w:color w:val="000000"/>
                <w:sz w:val="20"/>
                <w:szCs w:val="20"/>
              </w:rPr>
              <w:t>Vehicle Inspection and Maintenance Programs</w:t>
            </w:r>
          </w:p>
          <w:p w:rsidR="00C85E99" w:rsidRPr="00B0152C" w:rsidRDefault="00C85E99" w:rsidP="00C85E99">
            <w:pPr>
              <w:spacing w:after="80"/>
              <w:rPr>
                <w:rFonts w:asciiTheme="minorHAnsi" w:hAnsiTheme="minorHAnsi"/>
                <w:bCs/>
                <w:sz w:val="18"/>
                <w:szCs w:val="18"/>
              </w:rPr>
            </w:pPr>
            <w:r w:rsidRPr="00B0152C">
              <w:rPr>
                <w:rFonts w:asciiTheme="minorHAnsi" w:hAnsiTheme="minorHAnsi"/>
                <w:b/>
                <w:bCs/>
                <w:sz w:val="18"/>
                <w:szCs w:val="18"/>
              </w:rPr>
              <w:t>Institutional Design</w:t>
            </w:r>
            <w:r w:rsidRPr="00B0152C">
              <w:rPr>
                <w:rFonts w:asciiTheme="minorHAnsi" w:hAnsiTheme="minorHAnsi"/>
                <w:bCs/>
                <w:sz w:val="18"/>
                <w:szCs w:val="18"/>
              </w:rPr>
              <w:t xml:space="preserve">. A vehicle inspection/maintenance program should conduct inspections using “test-only” facilities. Policymakers must choose between relatively </w:t>
            </w:r>
            <w:r>
              <w:rPr>
                <w:rFonts w:asciiTheme="minorHAnsi" w:hAnsiTheme="minorHAnsi"/>
                <w:bCs/>
                <w:sz w:val="18"/>
                <w:szCs w:val="18"/>
              </w:rPr>
              <w:t>few</w:t>
            </w:r>
            <w:r w:rsidRPr="00B0152C">
              <w:rPr>
                <w:rFonts w:asciiTheme="minorHAnsi" w:hAnsiTheme="minorHAnsi"/>
                <w:bCs/>
                <w:sz w:val="18"/>
                <w:szCs w:val="18"/>
              </w:rPr>
              <w:t xml:space="preserve"> centralized or “test-only” facilities, and relatively </w:t>
            </w:r>
            <w:r>
              <w:rPr>
                <w:rFonts w:asciiTheme="minorHAnsi" w:hAnsiTheme="minorHAnsi"/>
                <w:bCs/>
                <w:sz w:val="18"/>
                <w:szCs w:val="18"/>
              </w:rPr>
              <w:t>numerous</w:t>
            </w:r>
            <w:r w:rsidRPr="00B0152C">
              <w:rPr>
                <w:rFonts w:asciiTheme="minorHAnsi" w:hAnsiTheme="minorHAnsi"/>
                <w:bCs/>
                <w:sz w:val="18"/>
                <w:szCs w:val="18"/>
              </w:rPr>
              <w:t xml:space="preserve"> decentralized or “test-and-repair” facilities. </w:t>
            </w:r>
            <w:r>
              <w:rPr>
                <w:rFonts w:asciiTheme="minorHAnsi" w:hAnsiTheme="minorHAnsi"/>
                <w:bCs/>
                <w:sz w:val="18"/>
                <w:szCs w:val="18"/>
              </w:rPr>
              <w:t>Having fewer facilities means better</w:t>
            </w:r>
            <w:r w:rsidRPr="00B0152C">
              <w:rPr>
                <w:rFonts w:asciiTheme="minorHAnsi" w:hAnsiTheme="minorHAnsi"/>
                <w:bCs/>
                <w:sz w:val="18"/>
                <w:szCs w:val="18"/>
              </w:rPr>
              <w:t xml:space="preserve"> ability to spread costs over a high volume of inspections, </w:t>
            </w:r>
            <w:r>
              <w:rPr>
                <w:rFonts w:asciiTheme="minorHAnsi" w:hAnsiTheme="minorHAnsi"/>
                <w:bCs/>
                <w:sz w:val="18"/>
                <w:szCs w:val="18"/>
              </w:rPr>
              <w:t>thus</w:t>
            </w:r>
            <w:r w:rsidRPr="00B0152C">
              <w:rPr>
                <w:rFonts w:asciiTheme="minorHAnsi" w:hAnsiTheme="minorHAnsi"/>
                <w:bCs/>
                <w:sz w:val="18"/>
                <w:szCs w:val="18"/>
              </w:rPr>
              <w:t xml:space="preserve"> achiev</w:t>
            </w:r>
            <w:r>
              <w:rPr>
                <w:rFonts w:asciiTheme="minorHAnsi" w:hAnsiTheme="minorHAnsi"/>
                <w:bCs/>
                <w:sz w:val="18"/>
                <w:szCs w:val="18"/>
              </w:rPr>
              <w:t>ing</w:t>
            </w:r>
            <w:r w:rsidRPr="00B0152C">
              <w:rPr>
                <w:rFonts w:asciiTheme="minorHAnsi" w:hAnsiTheme="minorHAnsi"/>
                <w:bCs/>
                <w:sz w:val="18"/>
                <w:szCs w:val="18"/>
              </w:rPr>
              <w:t xml:space="preserve"> low cost per inspection</w:t>
            </w:r>
            <w:r>
              <w:rPr>
                <w:rFonts w:asciiTheme="minorHAnsi" w:hAnsiTheme="minorHAnsi"/>
                <w:bCs/>
                <w:sz w:val="18"/>
                <w:szCs w:val="18"/>
              </w:rPr>
              <w:t xml:space="preserve"> and easier government oversight.</w:t>
            </w:r>
          </w:p>
          <w:p w:rsidR="00C85E99" w:rsidRPr="00B0152C" w:rsidRDefault="00C85E99" w:rsidP="00C85E99">
            <w:pPr>
              <w:spacing w:after="80"/>
              <w:rPr>
                <w:rFonts w:asciiTheme="minorHAnsi" w:hAnsiTheme="minorHAnsi"/>
                <w:bCs/>
                <w:sz w:val="18"/>
                <w:szCs w:val="18"/>
              </w:rPr>
            </w:pPr>
            <w:r w:rsidRPr="00B0152C">
              <w:rPr>
                <w:rFonts w:asciiTheme="minorHAnsi" w:hAnsiTheme="minorHAnsi"/>
                <w:bCs/>
                <w:sz w:val="18"/>
                <w:szCs w:val="18"/>
              </w:rPr>
              <w:t xml:space="preserve">Government should set the policy framework and provide overall management of the inspection/maintenance program </w:t>
            </w:r>
            <w:r>
              <w:rPr>
                <w:rFonts w:asciiTheme="minorHAnsi" w:hAnsiTheme="minorHAnsi"/>
                <w:bCs/>
                <w:sz w:val="18"/>
                <w:szCs w:val="18"/>
              </w:rPr>
              <w:t>and</w:t>
            </w:r>
            <w:r w:rsidRPr="00B0152C">
              <w:rPr>
                <w:rFonts w:asciiTheme="minorHAnsi" w:hAnsiTheme="minorHAnsi"/>
                <w:bCs/>
                <w:sz w:val="18"/>
                <w:szCs w:val="18"/>
              </w:rPr>
              <w:t xml:space="preserve"> private contractors perform actual inspections. This </w:t>
            </w:r>
            <w:r>
              <w:rPr>
                <w:rFonts w:asciiTheme="minorHAnsi" w:hAnsiTheme="minorHAnsi"/>
                <w:bCs/>
                <w:sz w:val="18"/>
                <w:szCs w:val="18"/>
              </w:rPr>
              <w:t>approach</w:t>
            </w:r>
            <w:r w:rsidRPr="00B0152C">
              <w:rPr>
                <w:rFonts w:asciiTheme="minorHAnsi" w:hAnsiTheme="minorHAnsi"/>
                <w:bCs/>
                <w:sz w:val="18"/>
                <w:szCs w:val="18"/>
              </w:rPr>
              <w:t xml:space="preserve"> </w:t>
            </w:r>
            <w:r>
              <w:rPr>
                <w:rFonts w:asciiTheme="minorHAnsi" w:hAnsiTheme="minorHAnsi"/>
                <w:bCs/>
                <w:sz w:val="18"/>
                <w:szCs w:val="18"/>
              </w:rPr>
              <w:t>is contrary to a popular belief: that</w:t>
            </w:r>
            <w:r w:rsidRPr="00B0152C">
              <w:rPr>
                <w:rFonts w:asciiTheme="minorHAnsi" w:hAnsiTheme="minorHAnsi"/>
                <w:bCs/>
                <w:sz w:val="18"/>
                <w:szCs w:val="18"/>
              </w:rPr>
              <w:t xml:space="preserve"> public service</w:t>
            </w:r>
            <w:r>
              <w:rPr>
                <w:rFonts w:asciiTheme="minorHAnsi" w:hAnsiTheme="minorHAnsi"/>
                <w:bCs/>
                <w:sz w:val="18"/>
                <w:szCs w:val="18"/>
              </w:rPr>
              <w:t>s</w:t>
            </w:r>
            <w:r w:rsidRPr="00B0152C">
              <w:rPr>
                <w:rFonts w:asciiTheme="minorHAnsi" w:hAnsiTheme="minorHAnsi"/>
                <w:bCs/>
                <w:sz w:val="18"/>
                <w:szCs w:val="18"/>
              </w:rPr>
              <w:t xml:space="preserve"> should be performed by government employee</w:t>
            </w:r>
            <w:r>
              <w:rPr>
                <w:rFonts w:asciiTheme="minorHAnsi" w:hAnsiTheme="minorHAnsi"/>
                <w:bCs/>
                <w:sz w:val="18"/>
                <w:szCs w:val="18"/>
              </w:rPr>
              <w:t>s</w:t>
            </w:r>
            <w:r w:rsidRPr="00B0152C">
              <w:rPr>
                <w:rFonts w:asciiTheme="minorHAnsi" w:hAnsiTheme="minorHAnsi"/>
                <w:bCs/>
                <w:sz w:val="18"/>
                <w:szCs w:val="18"/>
              </w:rPr>
              <w:t>. However, expert</w:t>
            </w:r>
            <w:r>
              <w:rPr>
                <w:rFonts w:asciiTheme="minorHAnsi" w:hAnsiTheme="minorHAnsi"/>
                <w:bCs/>
                <w:sz w:val="18"/>
                <w:szCs w:val="18"/>
              </w:rPr>
              <w:t xml:space="preserve">s agree that it is more efficient and effective for </w:t>
            </w:r>
            <w:r w:rsidRPr="00B0152C">
              <w:rPr>
                <w:rFonts w:asciiTheme="minorHAnsi" w:hAnsiTheme="minorHAnsi"/>
                <w:bCs/>
                <w:sz w:val="18"/>
                <w:szCs w:val="18"/>
              </w:rPr>
              <w:t xml:space="preserve">private firms </w:t>
            </w:r>
            <w:r>
              <w:rPr>
                <w:rFonts w:asciiTheme="minorHAnsi" w:hAnsiTheme="minorHAnsi"/>
                <w:bCs/>
                <w:sz w:val="18"/>
                <w:szCs w:val="18"/>
              </w:rPr>
              <w:t xml:space="preserve">to </w:t>
            </w:r>
            <w:r w:rsidRPr="00B0152C">
              <w:rPr>
                <w:rFonts w:asciiTheme="minorHAnsi" w:hAnsiTheme="minorHAnsi"/>
                <w:bCs/>
                <w:sz w:val="18"/>
                <w:szCs w:val="18"/>
              </w:rPr>
              <w:t xml:space="preserve">perform this role under </w:t>
            </w:r>
            <w:r>
              <w:rPr>
                <w:rFonts w:asciiTheme="minorHAnsi" w:hAnsiTheme="minorHAnsi"/>
                <w:bCs/>
                <w:sz w:val="18"/>
                <w:szCs w:val="18"/>
              </w:rPr>
              <w:t>government</w:t>
            </w:r>
            <w:r w:rsidRPr="00B0152C">
              <w:rPr>
                <w:rFonts w:asciiTheme="minorHAnsi" w:hAnsiTheme="minorHAnsi"/>
                <w:bCs/>
                <w:sz w:val="18"/>
                <w:szCs w:val="18"/>
              </w:rPr>
              <w:t xml:space="preserve"> oversight</w:t>
            </w:r>
            <w:r>
              <w:rPr>
                <w:rFonts w:asciiTheme="minorHAnsi" w:hAnsiTheme="minorHAnsi"/>
                <w:bCs/>
                <w:sz w:val="18"/>
                <w:szCs w:val="18"/>
              </w:rPr>
              <w:t>. This is the same principle that drives the broader</w:t>
            </w:r>
            <w:r w:rsidRPr="00B0152C">
              <w:rPr>
                <w:rFonts w:asciiTheme="minorHAnsi" w:hAnsiTheme="minorHAnsi"/>
                <w:bCs/>
                <w:sz w:val="18"/>
                <w:szCs w:val="18"/>
              </w:rPr>
              <w:t xml:space="preserve"> privatization movement affecting energy, water, transportation, and other sectors</w:t>
            </w:r>
            <w:r>
              <w:rPr>
                <w:rFonts w:asciiTheme="minorHAnsi" w:hAnsiTheme="minorHAnsi"/>
                <w:bCs/>
                <w:sz w:val="18"/>
                <w:szCs w:val="18"/>
              </w:rPr>
              <w:sym w:font="Symbol" w:char="F0BE"/>
            </w:r>
            <w:r w:rsidRPr="00A5392B">
              <w:rPr>
                <w:rFonts w:asciiTheme="minorHAnsi" w:hAnsiTheme="minorHAnsi"/>
                <w:bCs/>
                <w:i/>
                <w:sz w:val="18"/>
                <w:szCs w:val="18"/>
              </w:rPr>
              <w:t>competition</w:t>
            </w:r>
            <w:r>
              <w:rPr>
                <w:rFonts w:asciiTheme="minorHAnsi" w:hAnsiTheme="minorHAnsi"/>
                <w:bCs/>
                <w:sz w:val="18"/>
                <w:szCs w:val="18"/>
              </w:rPr>
              <w:t xml:space="preserve">. </w:t>
            </w:r>
            <w:r w:rsidRPr="00B0152C">
              <w:rPr>
                <w:rFonts w:asciiTheme="minorHAnsi" w:hAnsiTheme="minorHAnsi"/>
                <w:bCs/>
                <w:sz w:val="18"/>
                <w:szCs w:val="18"/>
              </w:rPr>
              <w:t xml:space="preserve"> </w:t>
            </w:r>
            <w:r>
              <w:rPr>
                <w:rFonts w:asciiTheme="minorHAnsi" w:hAnsiTheme="minorHAnsi"/>
                <w:bCs/>
                <w:sz w:val="18"/>
                <w:szCs w:val="18"/>
              </w:rPr>
              <w:t>A</w:t>
            </w:r>
            <w:r w:rsidRPr="00B0152C">
              <w:rPr>
                <w:rFonts w:asciiTheme="minorHAnsi" w:hAnsiTheme="minorHAnsi"/>
                <w:bCs/>
                <w:sz w:val="18"/>
                <w:szCs w:val="18"/>
              </w:rPr>
              <w:t xml:space="preserve"> state-owned entity </w:t>
            </w:r>
            <w:r>
              <w:rPr>
                <w:rFonts w:asciiTheme="minorHAnsi" w:hAnsiTheme="minorHAnsi"/>
                <w:bCs/>
                <w:sz w:val="18"/>
                <w:szCs w:val="18"/>
              </w:rPr>
              <w:t xml:space="preserve">with </w:t>
            </w:r>
            <w:r w:rsidRPr="00B0152C">
              <w:rPr>
                <w:rFonts w:asciiTheme="minorHAnsi" w:hAnsiTheme="minorHAnsi"/>
                <w:bCs/>
                <w:sz w:val="18"/>
                <w:szCs w:val="18"/>
              </w:rPr>
              <w:t>a</w:t>
            </w:r>
            <w:r>
              <w:rPr>
                <w:rFonts w:asciiTheme="minorHAnsi" w:hAnsiTheme="minorHAnsi"/>
                <w:bCs/>
                <w:sz w:val="18"/>
                <w:szCs w:val="18"/>
              </w:rPr>
              <w:t>n unchallenged</w:t>
            </w:r>
            <w:r w:rsidRPr="00B0152C">
              <w:rPr>
                <w:rFonts w:asciiTheme="minorHAnsi" w:hAnsiTheme="minorHAnsi"/>
                <w:bCs/>
                <w:sz w:val="18"/>
                <w:szCs w:val="18"/>
              </w:rPr>
              <w:t xml:space="preserve"> monopoly </w:t>
            </w:r>
            <w:r>
              <w:rPr>
                <w:rFonts w:asciiTheme="minorHAnsi" w:hAnsiTheme="minorHAnsi"/>
                <w:bCs/>
                <w:sz w:val="18"/>
                <w:szCs w:val="18"/>
              </w:rPr>
              <w:t>to</w:t>
            </w:r>
            <w:r w:rsidRPr="00B0152C">
              <w:rPr>
                <w:rFonts w:asciiTheme="minorHAnsi" w:hAnsiTheme="minorHAnsi"/>
                <w:bCs/>
                <w:sz w:val="18"/>
                <w:szCs w:val="18"/>
              </w:rPr>
              <w:t xml:space="preserve"> provid</w:t>
            </w:r>
            <w:r>
              <w:rPr>
                <w:rFonts w:asciiTheme="minorHAnsi" w:hAnsiTheme="minorHAnsi"/>
                <w:bCs/>
                <w:sz w:val="18"/>
                <w:szCs w:val="18"/>
              </w:rPr>
              <w:t>e</w:t>
            </w:r>
            <w:r w:rsidRPr="00B0152C">
              <w:rPr>
                <w:rFonts w:asciiTheme="minorHAnsi" w:hAnsiTheme="minorHAnsi"/>
                <w:bCs/>
                <w:sz w:val="18"/>
                <w:szCs w:val="18"/>
              </w:rPr>
              <w:t xml:space="preserve"> </w:t>
            </w:r>
            <w:r>
              <w:rPr>
                <w:rFonts w:asciiTheme="minorHAnsi" w:hAnsiTheme="minorHAnsi"/>
                <w:bCs/>
                <w:sz w:val="18"/>
                <w:szCs w:val="18"/>
              </w:rPr>
              <w:t>a</w:t>
            </w:r>
            <w:r w:rsidRPr="00B0152C">
              <w:rPr>
                <w:rFonts w:asciiTheme="minorHAnsi" w:hAnsiTheme="minorHAnsi"/>
                <w:bCs/>
                <w:sz w:val="18"/>
                <w:szCs w:val="18"/>
              </w:rPr>
              <w:t xml:space="preserve"> service</w:t>
            </w:r>
            <w:r>
              <w:rPr>
                <w:rFonts w:asciiTheme="minorHAnsi" w:hAnsiTheme="minorHAnsi"/>
                <w:bCs/>
                <w:sz w:val="18"/>
                <w:szCs w:val="18"/>
              </w:rPr>
              <w:t xml:space="preserve"> often exhibits</w:t>
            </w:r>
            <w:r w:rsidRPr="00B0152C">
              <w:rPr>
                <w:rFonts w:asciiTheme="minorHAnsi" w:hAnsiTheme="minorHAnsi"/>
                <w:bCs/>
                <w:sz w:val="18"/>
                <w:szCs w:val="18"/>
              </w:rPr>
              <w:t xml:space="preserve"> low technical competence and </w:t>
            </w:r>
            <w:r>
              <w:rPr>
                <w:rFonts w:asciiTheme="minorHAnsi" w:hAnsiTheme="minorHAnsi"/>
                <w:bCs/>
                <w:sz w:val="18"/>
                <w:szCs w:val="18"/>
              </w:rPr>
              <w:t>has few sanctions to improve</w:t>
            </w:r>
            <w:r w:rsidRPr="00B0152C">
              <w:rPr>
                <w:rFonts w:asciiTheme="minorHAnsi" w:hAnsiTheme="minorHAnsi"/>
                <w:bCs/>
                <w:sz w:val="18"/>
                <w:szCs w:val="18"/>
              </w:rPr>
              <w:t xml:space="preserve"> poor performance or </w:t>
            </w:r>
            <w:r>
              <w:rPr>
                <w:rFonts w:asciiTheme="minorHAnsi" w:hAnsiTheme="minorHAnsi"/>
                <w:bCs/>
                <w:sz w:val="18"/>
                <w:szCs w:val="18"/>
              </w:rPr>
              <w:t xml:space="preserve">eliminate </w:t>
            </w:r>
            <w:r w:rsidRPr="00B0152C">
              <w:rPr>
                <w:rFonts w:asciiTheme="minorHAnsi" w:hAnsiTheme="minorHAnsi"/>
                <w:bCs/>
                <w:sz w:val="18"/>
                <w:szCs w:val="18"/>
              </w:rPr>
              <w:t xml:space="preserve">fraud </w:t>
            </w:r>
            <w:r>
              <w:rPr>
                <w:rFonts w:asciiTheme="minorHAnsi" w:hAnsiTheme="minorHAnsi"/>
                <w:bCs/>
                <w:sz w:val="18"/>
                <w:szCs w:val="18"/>
              </w:rPr>
              <w:t>among employees</w:t>
            </w:r>
            <w:r w:rsidRPr="00B0152C">
              <w:rPr>
                <w:rFonts w:asciiTheme="minorHAnsi" w:hAnsiTheme="minorHAnsi"/>
                <w:bCs/>
                <w:sz w:val="18"/>
                <w:szCs w:val="18"/>
              </w:rPr>
              <w:t xml:space="preserve"> </w:t>
            </w:r>
            <w:r>
              <w:rPr>
                <w:rFonts w:asciiTheme="minorHAnsi" w:hAnsiTheme="minorHAnsi"/>
                <w:bCs/>
                <w:sz w:val="18"/>
                <w:szCs w:val="18"/>
              </w:rPr>
              <w:t xml:space="preserve">or </w:t>
            </w:r>
            <w:r w:rsidRPr="00B0152C">
              <w:rPr>
                <w:rFonts w:asciiTheme="minorHAnsi" w:hAnsiTheme="minorHAnsi"/>
                <w:bCs/>
                <w:sz w:val="18"/>
                <w:szCs w:val="18"/>
              </w:rPr>
              <w:t xml:space="preserve">the organization as a whole. A capital-starved public monopoly can be subject to budgetary pressures from external forces that threaten service quality and its ability to generate revenue, even if it is otherwise capable of providing </w:t>
            </w:r>
            <w:r>
              <w:rPr>
                <w:rFonts w:asciiTheme="minorHAnsi" w:hAnsiTheme="minorHAnsi"/>
                <w:bCs/>
                <w:sz w:val="18"/>
                <w:szCs w:val="18"/>
              </w:rPr>
              <w:t>the</w:t>
            </w:r>
            <w:r w:rsidRPr="00B0152C">
              <w:rPr>
                <w:rFonts w:asciiTheme="minorHAnsi" w:hAnsiTheme="minorHAnsi"/>
                <w:bCs/>
                <w:sz w:val="18"/>
                <w:szCs w:val="18"/>
              </w:rPr>
              <w:t xml:space="preserve"> service in a financially viable manner.</w:t>
            </w:r>
          </w:p>
          <w:p w:rsidR="00C85E99" w:rsidRPr="00B0152C" w:rsidRDefault="00C85E99" w:rsidP="00C85E99">
            <w:pPr>
              <w:spacing w:after="80"/>
              <w:rPr>
                <w:rFonts w:asciiTheme="minorHAnsi" w:hAnsiTheme="minorHAnsi"/>
                <w:bCs/>
                <w:sz w:val="18"/>
                <w:szCs w:val="18"/>
              </w:rPr>
            </w:pPr>
            <w:r w:rsidRPr="00B0152C">
              <w:rPr>
                <w:rFonts w:asciiTheme="minorHAnsi" w:hAnsiTheme="minorHAnsi"/>
                <w:bCs/>
                <w:sz w:val="18"/>
                <w:szCs w:val="18"/>
              </w:rPr>
              <w:t xml:space="preserve">Policymakers should exert strong oversight and institute </w:t>
            </w:r>
            <w:r>
              <w:rPr>
                <w:rFonts w:asciiTheme="minorHAnsi" w:hAnsiTheme="minorHAnsi"/>
                <w:bCs/>
                <w:sz w:val="18"/>
                <w:szCs w:val="18"/>
              </w:rPr>
              <w:t xml:space="preserve">a system to monitor </w:t>
            </w:r>
            <w:r w:rsidRPr="00B0152C">
              <w:rPr>
                <w:rFonts w:asciiTheme="minorHAnsi" w:hAnsiTheme="minorHAnsi"/>
                <w:bCs/>
                <w:sz w:val="18"/>
                <w:szCs w:val="18"/>
              </w:rPr>
              <w:t>quality assurance (QA) for the inspection/maintenance program</w:t>
            </w:r>
            <w:r>
              <w:rPr>
                <w:rFonts w:asciiTheme="minorHAnsi" w:hAnsiTheme="minorHAnsi"/>
                <w:bCs/>
                <w:sz w:val="18"/>
                <w:szCs w:val="18"/>
              </w:rPr>
              <w:t xml:space="preserve"> </w:t>
            </w:r>
            <w:r w:rsidRPr="00B0152C">
              <w:rPr>
                <w:rFonts w:asciiTheme="minorHAnsi" w:hAnsiTheme="minorHAnsi"/>
                <w:bCs/>
                <w:sz w:val="18"/>
                <w:szCs w:val="18"/>
              </w:rPr>
              <w:t xml:space="preserve">to </w:t>
            </w:r>
            <w:r>
              <w:rPr>
                <w:rFonts w:asciiTheme="minorHAnsi" w:hAnsiTheme="minorHAnsi"/>
                <w:bCs/>
                <w:sz w:val="18"/>
                <w:szCs w:val="18"/>
              </w:rPr>
              <w:t>deliver</w:t>
            </w:r>
            <w:r w:rsidRPr="00B0152C">
              <w:rPr>
                <w:rFonts w:asciiTheme="minorHAnsi" w:hAnsiTheme="minorHAnsi"/>
                <w:bCs/>
                <w:sz w:val="18"/>
                <w:szCs w:val="18"/>
              </w:rPr>
              <w:t xml:space="preserve"> </w:t>
            </w:r>
            <w:r>
              <w:rPr>
                <w:rFonts w:asciiTheme="minorHAnsi" w:hAnsiTheme="minorHAnsi"/>
                <w:bCs/>
                <w:sz w:val="18"/>
                <w:szCs w:val="18"/>
              </w:rPr>
              <w:t>on the</w:t>
            </w:r>
            <w:r w:rsidRPr="00B0152C">
              <w:rPr>
                <w:rFonts w:asciiTheme="minorHAnsi" w:hAnsiTheme="minorHAnsi"/>
                <w:bCs/>
                <w:sz w:val="18"/>
                <w:szCs w:val="18"/>
              </w:rPr>
              <w:t xml:space="preserve"> emission reductions sought</w:t>
            </w:r>
            <w:r>
              <w:rPr>
                <w:rFonts w:asciiTheme="minorHAnsi" w:hAnsiTheme="minorHAnsi"/>
                <w:bCs/>
                <w:sz w:val="18"/>
                <w:szCs w:val="18"/>
              </w:rPr>
              <w:t>. Quality assurance also</w:t>
            </w:r>
            <w:r w:rsidRPr="00B0152C">
              <w:rPr>
                <w:rFonts w:asciiTheme="minorHAnsi" w:hAnsiTheme="minorHAnsi"/>
                <w:bCs/>
                <w:sz w:val="18"/>
                <w:szCs w:val="18"/>
              </w:rPr>
              <w:t xml:space="preserve"> help</w:t>
            </w:r>
            <w:r>
              <w:rPr>
                <w:rFonts w:asciiTheme="minorHAnsi" w:hAnsiTheme="minorHAnsi"/>
                <w:bCs/>
                <w:sz w:val="18"/>
                <w:szCs w:val="18"/>
              </w:rPr>
              <w:t>s</w:t>
            </w:r>
            <w:r w:rsidRPr="00B0152C">
              <w:rPr>
                <w:rFonts w:asciiTheme="minorHAnsi" w:hAnsiTheme="minorHAnsi"/>
                <w:bCs/>
                <w:sz w:val="18"/>
                <w:szCs w:val="18"/>
              </w:rPr>
              <w:t xml:space="preserve"> </w:t>
            </w:r>
            <w:r>
              <w:rPr>
                <w:rFonts w:asciiTheme="minorHAnsi" w:hAnsiTheme="minorHAnsi"/>
                <w:bCs/>
                <w:sz w:val="18"/>
                <w:szCs w:val="18"/>
              </w:rPr>
              <w:t xml:space="preserve">to </w:t>
            </w:r>
            <w:r w:rsidRPr="00B0152C">
              <w:rPr>
                <w:rFonts w:asciiTheme="minorHAnsi" w:hAnsiTheme="minorHAnsi"/>
                <w:bCs/>
                <w:sz w:val="18"/>
                <w:szCs w:val="18"/>
              </w:rPr>
              <w:t xml:space="preserve">maintain public </w:t>
            </w:r>
            <w:r>
              <w:rPr>
                <w:rFonts w:asciiTheme="minorHAnsi" w:hAnsiTheme="minorHAnsi"/>
                <w:bCs/>
                <w:sz w:val="18"/>
                <w:szCs w:val="18"/>
              </w:rPr>
              <w:t>confidence and support</w:t>
            </w:r>
            <w:r w:rsidRPr="00B0152C">
              <w:rPr>
                <w:rFonts w:asciiTheme="minorHAnsi" w:hAnsiTheme="minorHAnsi"/>
                <w:bCs/>
                <w:sz w:val="18"/>
                <w:szCs w:val="18"/>
              </w:rPr>
              <w:t xml:space="preserve"> for the program. Oversight and QA involve a set of highly technical tasks that can be performed by government (if capacity exists) or contract</w:t>
            </w:r>
            <w:r>
              <w:rPr>
                <w:rFonts w:asciiTheme="minorHAnsi" w:hAnsiTheme="minorHAnsi"/>
                <w:bCs/>
                <w:sz w:val="18"/>
                <w:szCs w:val="18"/>
              </w:rPr>
              <w:t>ed</w:t>
            </w:r>
            <w:r w:rsidRPr="00B0152C">
              <w:rPr>
                <w:rFonts w:asciiTheme="minorHAnsi" w:hAnsiTheme="minorHAnsi"/>
                <w:bCs/>
                <w:sz w:val="18"/>
                <w:szCs w:val="18"/>
              </w:rPr>
              <w:t xml:space="preserve"> out </w:t>
            </w:r>
            <w:r>
              <w:rPr>
                <w:rFonts w:asciiTheme="minorHAnsi" w:hAnsiTheme="minorHAnsi"/>
                <w:bCs/>
                <w:sz w:val="18"/>
                <w:szCs w:val="18"/>
              </w:rPr>
              <w:t>in part</w:t>
            </w:r>
            <w:r w:rsidRPr="00B0152C">
              <w:rPr>
                <w:rFonts w:asciiTheme="minorHAnsi" w:hAnsiTheme="minorHAnsi"/>
                <w:bCs/>
                <w:sz w:val="18"/>
                <w:szCs w:val="18"/>
              </w:rPr>
              <w:t>.</w:t>
            </w:r>
          </w:p>
          <w:p w:rsidR="00C85E99" w:rsidRPr="00B0152C" w:rsidRDefault="00C85E99" w:rsidP="00C85E99">
            <w:pPr>
              <w:spacing w:after="80"/>
              <w:rPr>
                <w:rFonts w:asciiTheme="minorHAnsi" w:hAnsiTheme="minorHAnsi"/>
                <w:bCs/>
                <w:sz w:val="18"/>
                <w:szCs w:val="18"/>
              </w:rPr>
            </w:pPr>
            <w:r w:rsidRPr="00B0152C">
              <w:rPr>
                <w:rFonts w:asciiTheme="minorHAnsi" w:hAnsiTheme="minorHAnsi"/>
                <w:bCs/>
                <w:sz w:val="18"/>
                <w:szCs w:val="18"/>
              </w:rPr>
              <w:t xml:space="preserve">Policymakers should implement inspection/maintenance programs </w:t>
            </w:r>
            <w:r>
              <w:rPr>
                <w:rFonts w:asciiTheme="minorHAnsi" w:hAnsiTheme="minorHAnsi"/>
                <w:bCs/>
                <w:sz w:val="18"/>
                <w:szCs w:val="18"/>
              </w:rPr>
              <w:t>using</w:t>
            </w:r>
            <w:r w:rsidRPr="00B0152C">
              <w:rPr>
                <w:rFonts w:asciiTheme="minorHAnsi" w:hAnsiTheme="minorHAnsi"/>
                <w:bCs/>
                <w:sz w:val="18"/>
                <w:szCs w:val="18"/>
              </w:rPr>
              <w:t xml:space="preserve"> a phased approach that allows </w:t>
            </w:r>
            <w:r>
              <w:rPr>
                <w:rFonts w:asciiTheme="minorHAnsi" w:hAnsiTheme="minorHAnsi"/>
                <w:bCs/>
                <w:sz w:val="18"/>
                <w:szCs w:val="18"/>
              </w:rPr>
              <w:t xml:space="preserve">incremental </w:t>
            </w:r>
            <w:r w:rsidRPr="00B0152C">
              <w:rPr>
                <w:rFonts w:asciiTheme="minorHAnsi" w:hAnsiTheme="minorHAnsi"/>
                <w:bCs/>
                <w:sz w:val="18"/>
                <w:szCs w:val="18"/>
              </w:rPr>
              <w:t>learning, adaptation, and capacity building</w:t>
            </w:r>
            <w:r>
              <w:rPr>
                <w:rFonts w:asciiTheme="minorHAnsi" w:hAnsiTheme="minorHAnsi"/>
                <w:bCs/>
                <w:sz w:val="18"/>
                <w:szCs w:val="18"/>
              </w:rPr>
              <w:t xml:space="preserve">. </w:t>
            </w:r>
            <w:r w:rsidRPr="00B0152C">
              <w:rPr>
                <w:rFonts w:asciiTheme="minorHAnsi" w:hAnsiTheme="minorHAnsi"/>
                <w:bCs/>
                <w:sz w:val="18"/>
                <w:szCs w:val="18"/>
              </w:rPr>
              <w:t xml:space="preserve">Ideally, inspection/maintenance programs should begin with the vehicles that emit the most (due to their emission rates, high mileage, or both). </w:t>
            </w:r>
            <w:r>
              <w:rPr>
                <w:rFonts w:asciiTheme="minorHAnsi" w:hAnsiTheme="minorHAnsi"/>
                <w:bCs/>
                <w:sz w:val="18"/>
                <w:szCs w:val="18"/>
              </w:rPr>
              <w:t>Also, phasing in stricter</w:t>
            </w:r>
            <w:r w:rsidRPr="00B0152C">
              <w:rPr>
                <w:rFonts w:asciiTheme="minorHAnsi" w:hAnsiTheme="minorHAnsi"/>
                <w:bCs/>
                <w:sz w:val="18"/>
                <w:szCs w:val="18"/>
              </w:rPr>
              <w:t xml:space="preserve"> emission standards </w:t>
            </w:r>
            <w:r>
              <w:rPr>
                <w:rFonts w:asciiTheme="minorHAnsi" w:hAnsiTheme="minorHAnsi"/>
                <w:bCs/>
                <w:sz w:val="18"/>
                <w:szCs w:val="18"/>
              </w:rPr>
              <w:t>is desirable to avoid failing</w:t>
            </w:r>
            <w:r w:rsidRPr="00B0152C">
              <w:rPr>
                <w:rFonts w:asciiTheme="minorHAnsi" w:hAnsiTheme="minorHAnsi"/>
                <w:bCs/>
                <w:sz w:val="18"/>
                <w:szCs w:val="18"/>
              </w:rPr>
              <w:t xml:space="preserve"> </w:t>
            </w:r>
            <w:r>
              <w:rPr>
                <w:rFonts w:asciiTheme="minorHAnsi" w:hAnsiTheme="minorHAnsi"/>
                <w:bCs/>
                <w:sz w:val="18"/>
                <w:szCs w:val="18"/>
              </w:rPr>
              <w:t xml:space="preserve">an </w:t>
            </w:r>
            <w:r w:rsidRPr="00B0152C">
              <w:rPr>
                <w:rFonts w:asciiTheme="minorHAnsi" w:hAnsiTheme="minorHAnsi"/>
                <w:bCs/>
                <w:sz w:val="18"/>
                <w:szCs w:val="18"/>
              </w:rPr>
              <w:t>unacceptably high percentage of vehicles</w:t>
            </w:r>
            <w:r>
              <w:rPr>
                <w:rFonts w:asciiTheme="minorHAnsi" w:hAnsiTheme="minorHAnsi"/>
                <w:bCs/>
                <w:sz w:val="18"/>
                <w:szCs w:val="18"/>
              </w:rPr>
              <w:t>,</w:t>
            </w:r>
            <w:r w:rsidRPr="00B0152C">
              <w:rPr>
                <w:rFonts w:asciiTheme="minorHAnsi" w:hAnsiTheme="minorHAnsi"/>
                <w:bCs/>
                <w:sz w:val="18"/>
                <w:szCs w:val="18"/>
              </w:rPr>
              <w:t xml:space="preserve"> or if </w:t>
            </w:r>
            <w:r>
              <w:rPr>
                <w:rFonts w:asciiTheme="minorHAnsi" w:hAnsiTheme="minorHAnsi"/>
                <w:bCs/>
                <w:sz w:val="18"/>
                <w:szCs w:val="18"/>
              </w:rPr>
              <w:t>the vehicle</w:t>
            </w:r>
            <w:r w:rsidRPr="00B0152C">
              <w:rPr>
                <w:rFonts w:asciiTheme="minorHAnsi" w:hAnsiTheme="minorHAnsi"/>
                <w:bCs/>
                <w:sz w:val="18"/>
                <w:szCs w:val="18"/>
              </w:rPr>
              <w:t xml:space="preserve"> repair industry </w:t>
            </w:r>
            <w:r>
              <w:rPr>
                <w:rFonts w:asciiTheme="minorHAnsi" w:hAnsiTheme="minorHAnsi"/>
                <w:bCs/>
                <w:sz w:val="18"/>
                <w:szCs w:val="18"/>
              </w:rPr>
              <w:t>capacity is too low and needs more time to respond to the expanding market created by</w:t>
            </w:r>
            <w:r w:rsidRPr="00B0152C">
              <w:rPr>
                <w:rFonts w:asciiTheme="minorHAnsi" w:hAnsiTheme="minorHAnsi"/>
                <w:bCs/>
                <w:sz w:val="18"/>
                <w:szCs w:val="18"/>
              </w:rPr>
              <w:t xml:space="preserve"> tighter standards.</w:t>
            </w:r>
          </w:p>
          <w:p w:rsidR="00C85E99" w:rsidRPr="00B0152C" w:rsidRDefault="00C85E99" w:rsidP="00C85E99">
            <w:pPr>
              <w:spacing w:after="80"/>
              <w:rPr>
                <w:rFonts w:asciiTheme="minorHAnsi" w:hAnsiTheme="minorHAnsi"/>
                <w:bCs/>
                <w:sz w:val="18"/>
                <w:szCs w:val="18"/>
              </w:rPr>
            </w:pPr>
            <w:r w:rsidRPr="00B0152C">
              <w:rPr>
                <w:rFonts w:asciiTheme="minorHAnsi" w:hAnsiTheme="minorHAnsi"/>
                <w:b/>
                <w:bCs/>
                <w:sz w:val="18"/>
                <w:szCs w:val="18"/>
              </w:rPr>
              <w:t>Test Procedures and Emission Standards</w:t>
            </w:r>
            <w:r w:rsidRPr="00B0152C">
              <w:rPr>
                <w:rFonts w:asciiTheme="minorHAnsi" w:hAnsiTheme="minorHAnsi"/>
                <w:bCs/>
                <w:sz w:val="18"/>
                <w:szCs w:val="18"/>
              </w:rPr>
              <w:t>. Policymakers should set inspection/maintenance emission standards based on</w:t>
            </w:r>
            <w:r>
              <w:rPr>
                <w:rFonts w:asciiTheme="minorHAnsi" w:hAnsiTheme="minorHAnsi"/>
                <w:bCs/>
                <w:sz w:val="18"/>
                <w:szCs w:val="18"/>
              </w:rPr>
              <w:t xml:space="preserve"> emission level</w:t>
            </w:r>
            <w:r w:rsidRPr="00B0152C">
              <w:rPr>
                <w:rFonts w:asciiTheme="minorHAnsi" w:hAnsiTheme="minorHAnsi"/>
                <w:bCs/>
                <w:sz w:val="18"/>
                <w:szCs w:val="18"/>
              </w:rPr>
              <w:t xml:space="preserve"> distribution </w:t>
            </w:r>
            <w:r>
              <w:rPr>
                <w:rFonts w:asciiTheme="minorHAnsi" w:hAnsiTheme="minorHAnsi"/>
                <w:bCs/>
                <w:sz w:val="18"/>
                <w:szCs w:val="18"/>
              </w:rPr>
              <w:t>data</w:t>
            </w:r>
            <w:r w:rsidRPr="00B0152C">
              <w:rPr>
                <w:rFonts w:asciiTheme="minorHAnsi" w:hAnsiTheme="minorHAnsi"/>
                <w:bCs/>
                <w:sz w:val="18"/>
                <w:szCs w:val="18"/>
              </w:rPr>
              <w:t xml:space="preserve">, </w:t>
            </w:r>
            <w:r>
              <w:rPr>
                <w:rFonts w:asciiTheme="minorHAnsi" w:hAnsiTheme="minorHAnsi"/>
                <w:bCs/>
                <w:sz w:val="18"/>
                <w:szCs w:val="18"/>
              </w:rPr>
              <w:t xml:space="preserve">cost/benefit </w:t>
            </w:r>
            <w:r w:rsidRPr="00B0152C">
              <w:rPr>
                <w:rFonts w:asciiTheme="minorHAnsi" w:hAnsiTheme="minorHAnsi"/>
                <w:bCs/>
                <w:sz w:val="18"/>
                <w:szCs w:val="18"/>
              </w:rPr>
              <w:t xml:space="preserve">analysis </w:t>
            </w:r>
            <w:r>
              <w:rPr>
                <w:rFonts w:asciiTheme="minorHAnsi" w:hAnsiTheme="minorHAnsi"/>
                <w:bCs/>
                <w:sz w:val="18"/>
                <w:szCs w:val="18"/>
              </w:rPr>
              <w:t>for</w:t>
            </w:r>
            <w:r w:rsidRPr="00B0152C">
              <w:rPr>
                <w:rFonts w:asciiTheme="minorHAnsi" w:hAnsiTheme="minorHAnsi"/>
                <w:bCs/>
                <w:sz w:val="18"/>
                <w:szCs w:val="18"/>
              </w:rPr>
              <w:t xml:space="preserve"> </w:t>
            </w:r>
            <w:r>
              <w:rPr>
                <w:rFonts w:asciiTheme="minorHAnsi" w:hAnsiTheme="minorHAnsi"/>
                <w:bCs/>
                <w:sz w:val="18"/>
                <w:szCs w:val="18"/>
              </w:rPr>
              <w:t xml:space="preserve">a range of </w:t>
            </w:r>
            <w:r w:rsidRPr="00B0152C">
              <w:rPr>
                <w:rFonts w:asciiTheme="minorHAnsi" w:hAnsiTheme="minorHAnsi"/>
                <w:bCs/>
                <w:sz w:val="18"/>
                <w:szCs w:val="18"/>
              </w:rPr>
              <w:t>maintenance</w:t>
            </w:r>
            <w:r>
              <w:rPr>
                <w:rFonts w:asciiTheme="minorHAnsi" w:hAnsiTheme="minorHAnsi"/>
                <w:bCs/>
                <w:sz w:val="18"/>
                <w:szCs w:val="18"/>
              </w:rPr>
              <w:t xml:space="preserve"> levels</w:t>
            </w:r>
            <w:r w:rsidRPr="00B0152C">
              <w:rPr>
                <w:rFonts w:asciiTheme="minorHAnsi" w:hAnsiTheme="minorHAnsi"/>
                <w:bCs/>
                <w:sz w:val="18"/>
                <w:szCs w:val="18"/>
              </w:rPr>
              <w:t xml:space="preserve">, and </w:t>
            </w:r>
            <w:r>
              <w:rPr>
                <w:rFonts w:asciiTheme="minorHAnsi" w:hAnsiTheme="minorHAnsi"/>
                <w:bCs/>
                <w:sz w:val="18"/>
                <w:szCs w:val="18"/>
              </w:rPr>
              <w:t>an evaluation of</w:t>
            </w:r>
            <w:r w:rsidRPr="00B0152C">
              <w:rPr>
                <w:rFonts w:asciiTheme="minorHAnsi" w:hAnsiTheme="minorHAnsi"/>
                <w:bCs/>
                <w:sz w:val="18"/>
                <w:szCs w:val="18"/>
              </w:rPr>
              <w:t xml:space="preserve"> </w:t>
            </w:r>
            <w:r>
              <w:rPr>
                <w:rFonts w:asciiTheme="minorHAnsi" w:hAnsiTheme="minorHAnsi"/>
                <w:bCs/>
                <w:sz w:val="18"/>
                <w:szCs w:val="18"/>
              </w:rPr>
              <w:t xml:space="preserve">the level of political support for various </w:t>
            </w:r>
            <w:r w:rsidRPr="00B0152C">
              <w:rPr>
                <w:rFonts w:asciiTheme="minorHAnsi" w:hAnsiTheme="minorHAnsi"/>
                <w:bCs/>
                <w:sz w:val="18"/>
                <w:szCs w:val="18"/>
              </w:rPr>
              <w:t>standards</w:t>
            </w:r>
            <w:r>
              <w:rPr>
                <w:rFonts w:asciiTheme="minorHAnsi" w:hAnsiTheme="minorHAnsi"/>
                <w:bCs/>
                <w:sz w:val="18"/>
                <w:szCs w:val="18"/>
              </w:rPr>
              <w:t>. P</w:t>
            </w:r>
            <w:r w:rsidRPr="00B0152C">
              <w:rPr>
                <w:rFonts w:asciiTheme="minorHAnsi" w:hAnsiTheme="minorHAnsi"/>
                <w:bCs/>
                <w:sz w:val="18"/>
                <w:szCs w:val="18"/>
              </w:rPr>
              <w:t xml:space="preserve">ollutants vary for gas </w:t>
            </w:r>
            <w:r>
              <w:rPr>
                <w:rFonts w:asciiTheme="minorHAnsi" w:hAnsiTheme="minorHAnsi"/>
                <w:bCs/>
                <w:sz w:val="18"/>
                <w:szCs w:val="18"/>
              </w:rPr>
              <w:t>and</w:t>
            </w:r>
            <w:r w:rsidRPr="00B0152C">
              <w:rPr>
                <w:rFonts w:asciiTheme="minorHAnsi" w:hAnsiTheme="minorHAnsi"/>
                <w:bCs/>
                <w:sz w:val="18"/>
                <w:szCs w:val="18"/>
              </w:rPr>
              <w:t xml:space="preserve"> diesel engines (CO/HC/NOx versus PM/smoke/NOx). </w:t>
            </w:r>
            <w:r>
              <w:rPr>
                <w:rFonts w:asciiTheme="minorHAnsi" w:hAnsiTheme="minorHAnsi"/>
                <w:bCs/>
                <w:sz w:val="18"/>
                <w:szCs w:val="18"/>
              </w:rPr>
              <w:t>St</w:t>
            </w:r>
            <w:r w:rsidRPr="00B0152C">
              <w:rPr>
                <w:rFonts w:asciiTheme="minorHAnsi" w:hAnsiTheme="minorHAnsi"/>
                <w:bCs/>
                <w:sz w:val="18"/>
                <w:szCs w:val="18"/>
              </w:rPr>
              <w:t>andard</w:t>
            </w:r>
            <w:r>
              <w:rPr>
                <w:rFonts w:asciiTheme="minorHAnsi" w:hAnsiTheme="minorHAnsi"/>
                <w:bCs/>
                <w:sz w:val="18"/>
                <w:szCs w:val="18"/>
              </w:rPr>
              <w:t xml:space="preserve">s </w:t>
            </w:r>
            <w:r w:rsidRPr="00B0152C">
              <w:rPr>
                <w:rFonts w:asciiTheme="minorHAnsi" w:hAnsiTheme="minorHAnsi"/>
                <w:bCs/>
                <w:sz w:val="18"/>
                <w:szCs w:val="18"/>
              </w:rPr>
              <w:t xml:space="preserve">that </w:t>
            </w:r>
            <w:r>
              <w:rPr>
                <w:rFonts w:asciiTheme="minorHAnsi" w:hAnsiTheme="minorHAnsi"/>
                <w:bCs/>
                <w:sz w:val="18"/>
                <w:szCs w:val="18"/>
              </w:rPr>
              <w:t xml:space="preserve">are either too strict or too lax are unlikely to gain </w:t>
            </w:r>
            <w:r w:rsidRPr="00B0152C">
              <w:rPr>
                <w:rFonts w:asciiTheme="minorHAnsi" w:hAnsiTheme="minorHAnsi"/>
                <w:bCs/>
                <w:sz w:val="18"/>
                <w:szCs w:val="18"/>
              </w:rPr>
              <w:t>support</w:t>
            </w:r>
            <w:r>
              <w:rPr>
                <w:rFonts w:asciiTheme="minorHAnsi" w:hAnsiTheme="minorHAnsi"/>
                <w:bCs/>
                <w:sz w:val="18"/>
                <w:szCs w:val="18"/>
              </w:rPr>
              <w:t>. Therefore it is recommended that during the</w:t>
            </w:r>
            <w:r w:rsidRPr="00B0152C">
              <w:rPr>
                <w:rFonts w:asciiTheme="minorHAnsi" w:hAnsiTheme="minorHAnsi"/>
                <w:bCs/>
                <w:sz w:val="18"/>
                <w:szCs w:val="18"/>
              </w:rPr>
              <w:t xml:space="preserve"> phas</w:t>
            </w:r>
            <w:r>
              <w:rPr>
                <w:rFonts w:asciiTheme="minorHAnsi" w:hAnsiTheme="minorHAnsi"/>
                <w:bCs/>
                <w:sz w:val="18"/>
                <w:szCs w:val="18"/>
              </w:rPr>
              <w:t>e</w:t>
            </w:r>
            <w:r w:rsidRPr="00B0152C">
              <w:rPr>
                <w:rFonts w:asciiTheme="minorHAnsi" w:hAnsiTheme="minorHAnsi"/>
                <w:bCs/>
                <w:sz w:val="18"/>
                <w:szCs w:val="18"/>
              </w:rPr>
              <w:t xml:space="preserve">-in, policymakers should set standards </w:t>
            </w:r>
            <w:r>
              <w:rPr>
                <w:rFonts w:asciiTheme="minorHAnsi" w:hAnsiTheme="minorHAnsi"/>
                <w:bCs/>
                <w:sz w:val="18"/>
                <w:szCs w:val="18"/>
              </w:rPr>
              <w:t>at levels</w:t>
            </w:r>
            <w:r w:rsidRPr="00B0152C">
              <w:rPr>
                <w:rFonts w:asciiTheme="minorHAnsi" w:hAnsiTheme="minorHAnsi"/>
                <w:bCs/>
                <w:sz w:val="18"/>
                <w:szCs w:val="18"/>
              </w:rPr>
              <w:t xml:space="preserve"> that </w:t>
            </w:r>
            <w:r>
              <w:rPr>
                <w:rFonts w:asciiTheme="minorHAnsi" w:hAnsiTheme="minorHAnsi"/>
                <w:bCs/>
                <w:sz w:val="18"/>
                <w:szCs w:val="18"/>
              </w:rPr>
              <w:t xml:space="preserve">yield a </w:t>
            </w:r>
            <w:r w:rsidRPr="00B0152C">
              <w:rPr>
                <w:rFonts w:asciiTheme="minorHAnsi" w:hAnsiTheme="minorHAnsi"/>
                <w:bCs/>
                <w:sz w:val="18"/>
                <w:szCs w:val="18"/>
              </w:rPr>
              <w:t>15</w:t>
            </w:r>
            <w:r>
              <w:rPr>
                <w:rFonts w:asciiTheme="minorHAnsi" w:hAnsiTheme="minorHAnsi"/>
                <w:bCs/>
                <w:sz w:val="18"/>
                <w:szCs w:val="18"/>
              </w:rPr>
              <w:t>-</w:t>
            </w:r>
            <w:r w:rsidRPr="00B0152C">
              <w:rPr>
                <w:rFonts w:asciiTheme="minorHAnsi" w:hAnsiTheme="minorHAnsi"/>
                <w:bCs/>
                <w:sz w:val="18"/>
                <w:szCs w:val="18"/>
              </w:rPr>
              <w:t xml:space="preserve">20 percent vehicles </w:t>
            </w:r>
            <w:r>
              <w:rPr>
                <w:rFonts w:asciiTheme="minorHAnsi" w:hAnsiTheme="minorHAnsi"/>
                <w:bCs/>
                <w:sz w:val="18"/>
                <w:szCs w:val="18"/>
              </w:rPr>
              <w:t>failure rate</w:t>
            </w:r>
            <w:r w:rsidRPr="00B0152C">
              <w:rPr>
                <w:rFonts w:asciiTheme="minorHAnsi" w:hAnsiTheme="minorHAnsi"/>
                <w:bCs/>
                <w:sz w:val="18"/>
                <w:szCs w:val="18"/>
              </w:rPr>
              <w:t xml:space="preserve">. However, this could be </w:t>
            </w:r>
            <w:r>
              <w:rPr>
                <w:rFonts w:asciiTheme="minorHAnsi" w:hAnsiTheme="minorHAnsi"/>
                <w:bCs/>
                <w:sz w:val="18"/>
                <w:szCs w:val="18"/>
              </w:rPr>
              <w:t>adjusted according to</w:t>
            </w:r>
            <w:r w:rsidRPr="00B0152C">
              <w:rPr>
                <w:rFonts w:asciiTheme="minorHAnsi" w:hAnsiTheme="minorHAnsi"/>
                <w:bCs/>
                <w:sz w:val="18"/>
                <w:szCs w:val="18"/>
              </w:rPr>
              <w:t xml:space="preserve"> technical </w:t>
            </w:r>
            <w:r>
              <w:rPr>
                <w:rFonts w:asciiTheme="minorHAnsi" w:hAnsiTheme="minorHAnsi"/>
                <w:bCs/>
                <w:sz w:val="18"/>
                <w:szCs w:val="18"/>
              </w:rPr>
              <w:t>f</w:t>
            </w:r>
            <w:r w:rsidRPr="00B0152C">
              <w:rPr>
                <w:rFonts w:asciiTheme="minorHAnsi" w:hAnsiTheme="minorHAnsi"/>
                <w:bCs/>
                <w:sz w:val="18"/>
                <w:szCs w:val="18"/>
              </w:rPr>
              <w:t>actors</w:t>
            </w:r>
            <w:r>
              <w:rPr>
                <w:rFonts w:asciiTheme="minorHAnsi" w:hAnsiTheme="minorHAnsi"/>
                <w:bCs/>
                <w:sz w:val="18"/>
                <w:szCs w:val="18"/>
              </w:rPr>
              <w:t xml:space="preserve"> and costs</w:t>
            </w:r>
            <w:r w:rsidRPr="00B0152C">
              <w:rPr>
                <w:rFonts w:asciiTheme="minorHAnsi" w:hAnsiTheme="minorHAnsi"/>
                <w:bCs/>
                <w:sz w:val="18"/>
                <w:szCs w:val="18"/>
              </w:rPr>
              <w:t xml:space="preserve">. As emission standards for new vehicles are tightened, policymakers </w:t>
            </w:r>
            <w:r>
              <w:rPr>
                <w:rFonts w:asciiTheme="minorHAnsi" w:hAnsiTheme="minorHAnsi"/>
                <w:bCs/>
                <w:sz w:val="18"/>
                <w:szCs w:val="18"/>
              </w:rPr>
              <w:t>can</w:t>
            </w:r>
            <w:r w:rsidRPr="00B0152C">
              <w:rPr>
                <w:rFonts w:asciiTheme="minorHAnsi" w:hAnsiTheme="minorHAnsi"/>
                <w:bCs/>
                <w:sz w:val="18"/>
                <w:szCs w:val="18"/>
              </w:rPr>
              <w:t xml:space="preserve"> </w:t>
            </w:r>
            <w:r>
              <w:rPr>
                <w:rFonts w:asciiTheme="minorHAnsi" w:hAnsiTheme="minorHAnsi"/>
                <w:bCs/>
                <w:sz w:val="18"/>
                <w:szCs w:val="18"/>
              </w:rPr>
              <w:t>raise</w:t>
            </w:r>
            <w:r w:rsidRPr="00B0152C">
              <w:rPr>
                <w:rFonts w:asciiTheme="minorHAnsi" w:hAnsiTheme="minorHAnsi"/>
                <w:bCs/>
                <w:sz w:val="18"/>
                <w:szCs w:val="18"/>
              </w:rPr>
              <w:t xml:space="preserve"> standards </w:t>
            </w:r>
            <w:r>
              <w:rPr>
                <w:rFonts w:asciiTheme="minorHAnsi" w:hAnsiTheme="minorHAnsi"/>
                <w:bCs/>
                <w:sz w:val="18"/>
                <w:szCs w:val="18"/>
              </w:rPr>
              <w:t>to reflect</w:t>
            </w:r>
            <w:r w:rsidRPr="00B0152C">
              <w:rPr>
                <w:rFonts w:asciiTheme="minorHAnsi" w:hAnsiTheme="minorHAnsi"/>
                <w:bCs/>
                <w:sz w:val="18"/>
                <w:szCs w:val="18"/>
              </w:rPr>
              <w:t xml:space="preserve"> newer technology and improved emissions performance.</w:t>
            </w:r>
          </w:p>
          <w:p w:rsidR="00C85E99" w:rsidRPr="00B0152C" w:rsidRDefault="00C85E99" w:rsidP="00C85E99">
            <w:pPr>
              <w:spacing w:after="80"/>
              <w:rPr>
                <w:rFonts w:asciiTheme="minorHAnsi" w:hAnsiTheme="minorHAnsi"/>
                <w:bCs/>
                <w:sz w:val="18"/>
                <w:szCs w:val="18"/>
              </w:rPr>
            </w:pPr>
            <w:r w:rsidRPr="00B0152C">
              <w:rPr>
                <w:rFonts w:asciiTheme="minorHAnsi" w:hAnsiTheme="minorHAnsi"/>
                <w:b/>
                <w:bCs/>
                <w:sz w:val="18"/>
                <w:szCs w:val="18"/>
              </w:rPr>
              <w:t>Enforcement and Compliance Promotion</w:t>
            </w:r>
            <w:r w:rsidRPr="00B0152C">
              <w:rPr>
                <w:rFonts w:asciiTheme="minorHAnsi" w:hAnsiTheme="minorHAnsi"/>
                <w:bCs/>
                <w:sz w:val="18"/>
                <w:szCs w:val="18"/>
              </w:rPr>
              <w:t xml:space="preserve">. </w:t>
            </w:r>
            <w:r>
              <w:rPr>
                <w:rFonts w:asciiTheme="minorHAnsi" w:hAnsiTheme="minorHAnsi"/>
                <w:bCs/>
                <w:sz w:val="18"/>
                <w:szCs w:val="18"/>
              </w:rPr>
              <w:t>I</w:t>
            </w:r>
            <w:r w:rsidRPr="00B0152C">
              <w:rPr>
                <w:rFonts w:asciiTheme="minorHAnsi" w:hAnsiTheme="minorHAnsi"/>
                <w:bCs/>
                <w:sz w:val="18"/>
                <w:szCs w:val="18"/>
              </w:rPr>
              <w:t xml:space="preserve">nspection/maintenance compliance </w:t>
            </w:r>
            <w:r>
              <w:rPr>
                <w:rFonts w:asciiTheme="minorHAnsi" w:hAnsiTheme="minorHAnsi"/>
                <w:bCs/>
                <w:sz w:val="18"/>
                <w:szCs w:val="18"/>
              </w:rPr>
              <w:t>should be</w:t>
            </w:r>
            <w:r w:rsidRPr="00B0152C">
              <w:rPr>
                <w:rFonts w:asciiTheme="minorHAnsi" w:hAnsiTheme="minorHAnsi"/>
                <w:bCs/>
                <w:sz w:val="18"/>
                <w:szCs w:val="18"/>
              </w:rPr>
              <w:t xml:space="preserve"> </w:t>
            </w:r>
            <w:r>
              <w:rPr>
                <w:rFonts w:asciiTheme="minorHAnsi" w:hAnsiTheme="minorHAnsi"/>
                <w:bCs/>
                <w:sz w:val="18"/>
                <w:szCs w:val="18"/>
              </w:rPr>
              <w:t xml:space="preserve">a </w:t>
            </w:r>
            <w:r w:rsidRPr="00B0152C">
              <w:rPr>
                <w:rFonts w:asciiTheme="minorHAnsi" w:hAnsiTheme="minorHAnsi"/>
                <w:bCs/>
                <w:sz w:val="18"/>
                <w:szCs w:val="18"/>
              </w:rPr>
              <w:t>require</w:t>
            </w:r>
            <w:r>
              <w:rPr>
                <w:rFonts w:asciiTheme="minorHAnsi" w:hAnsiTheme="minorHAnsi"/>
                <w:bCs/>
                <w:sz w:val="18"/>
                <w:szCs w:val="18"/>
              </w:rPr>
              <w:t>ment</w:t>
            </w:r>
            <w:r w:rsidRPr="00B0152C">
              <w:rPr>
                <w:rFonts w:asciiTheme="minorHAnsi" w:hAnsiTheme="minorHAnsi"/>
                <w:bCs/>
                <w:sz w:val="18"/>
                <w:szCs w:val="18"/>
              </w:rPr>
              <w:t xml:space="preserve"> for vehicle</w:t>
            </w:r>
            <w:r>
              <w:rPr>
                <w:rFonts w:asciiTheme="minorHAnsi" w:hAnsiTheme="minorHAnsi"/>
                <w:bCs/>
                <w:sz w:val="18"/>
                <w:szCs w:val="18"/>
              </w:rPr>
              <w:t xml:space="preserve"> operation linked to a system of mandatory </w:t>
            </w:r>
            <w:r w:rsidRPr="00B0152C">
              <w:rPr>
                <w:rFonts w:asciiTheme="minorHAnsi" w:hAnsiTheme="minorHAnsi"/>
                <w:bCs/>
                <w:sz w:val="18"/>
                <w:szCs w:val="18"/>
              </w:rPr>
              <w:t xml:space="preserve">periodic vehicle registration </w:t>
            </w:r>
            <w:r>
              <w:rPr>
                <w:rFonts w:asciiTheme="minorHAnsi" w:hAnsiTheme="minorHAnsi"/>
                <w:bCs/>
                <w:sz w:val="18"/>
                <w:szCs w:val="18"/>
              </w:rPr>
              <w:t xml:space="preserve">and </w:t>
            </w:r>
            <w:r w:rsidRPr="00B0152C">
              <w:rPr>
                <w:rFonts w:asciiTheme="minorHAnsi" w:hAnsiTheme="minorHAnsi"/>
                <w:bCs/>
                <w:sz w:val="18"/>
                <w:szCs w:val="18"/>
              </w:rPr>
              <w:t>safety inspections. Government records of vehicle ownership are a building block of a functioning society</w:t>
            </w:r>
            <w:r>
              <w:rPr>
                <w:rFonts w:asciiTheme="minorHAnsi" w:hAnsiTheme="minorHAnsi"/>
                <w:bCs/>
                <w:sz w:val="18"/>
                <w:szCs w:val="18"/>
              </w:rPr>
              <w:t xml:space="preserve"> that aids in </w:t>
            </w:r>
            <w:r w:rsidRPr="00B0152C">
              <w:rPr>
                <w:rFonts w:asciiTheme="minorHAnsi" w:hAnsiTheme="minorHAnsi"/>
                <w:bCs/>
                <w:sz w:val="18"/>
                <w:szCs w:val="18"/>
              </w:rPr>
              <w:t xml:space="preserve">tracking </w:t>
            </w:r>
            <w:r>
              <w:rPr>
                <w:rFonts w:asciiTheme="minorHAnsi" w:hAnsiTheme="minorHAnsi"/>
                <w:bCs/>
                <w:sz w:val="18"/>
                <w:szCs w:val="18"/>
              </w:rPr>
              <w:t>vehicle</w:t>
            </w:r>
            <w:r w:rsidRPr="00B0152C">
              <w:rPr>
                <w:rFonts w:asciiTheme="minorHAnsi" w:hAnsiTheme="minorHAnsi"/>
                <w:bCs/>
                <w:sz w:val="18"/>
                <w:szCs w:val="18"/>
              </w:rPr>
              <w:t xml:space="preserve"> status </w:t>
            </w:r>
            <w:r>
              <w:rPr>
                <w:rFonts w:asciiTheme="minorHAnsi" w:hAnsiTheme="minorHAnsi"/>
                <w:bCs/>
                <w:sz w:val="18"/>
                <w:szCs w:val="18"/>
              </w:rPr>
              <w:t xml:space="preserve">and </w:t>
            </w:r>
            <w:r w:rsidRPr="00B0152C">
              <w:rPr>
                <w:rFonts w:asciiTheme="minorHAnsi" w:hAnsiTheme="minorHAnsi"/>
                <w:bCs/>
                <w:sz w:val="18"/>
                <w:szCs w:val="18"/>
              </w:rPr>
              <w:t>assist</w:t>
            </w:r>
            <w:r>
              <w:rPr>
                <w:rFonts w:asciiTheme="minorHAnsi" w:hAnsiTheme="minorHAnsi"/>
                <w:bCs/>
                <w:sz w:val="18"/>
                <w:szCs w:val="18"/>
              </w:rPr>
              <w:t>s governments with</w:t>
            </w:r>
            <w:r w:rsidRPr="00B0152C">
              <w:rPr>
                <w:rFonts w:asciiTheme="minorHAnsi" w:hAnsiTheme="minorHAnsi"/>
                <w:bCs/>
                <w:sz w:val="18"/>
                <w:szCs w:val="18"/>
              </w:rPr>
              <w:t xml:space="preserve"> urban planning, tax collection, accident and crime investigation, air emission inventories and inspection/maintenance compliance. </w:t>
            </w:r>
            <w:r>
              <w:rPr>
                <w:rFonts w:asciiTheme="minorHAnsi" w:hAnsiTheme="minorHAnsi"/>
                <w:bCs/>
                <w:sz w:val="18"/>
                <w:szCs w:val="18"/>
              </w:rPr>
              <w:t>The</w:t>
            </w:r>
            <w:r w:rsidRPr="00B0152C">
              <w:rPr>
                <w:rFonts w:asciiTheme="minorHAnsi" w:hAnsiTheme="minorHAnsi"/>
                <w:bCs/>
                <w:sz w:val="18"/>
                <w:szCs w:val="18"/>
              </w:rPr>
              <w:t xml:space="preserve"> multiple </w:t>
            </w:r>
            <w:r w:rsidRPr="00B0152C">
              <w:rPr>
                <w:rFonts w:asciiTheme="minorHAnsi" w:hAnsiTheme="minorHAnsi"/>
                <w:bCs/>
                <w:sz w:val="18"/>
                <w:szCs w:val="18"/>
              </w:rPr>
              <w:lastRenderedPageBreak/>
              <w:t xml:space="preserve">benefits </w:t>
            </w:r>
            <w:r>
              <w:rPr>
                <w:rFonts w:asciiTheme="minorHAnsi" w:hAnsiTheme="minorHAnsi"/>
                <w:bCs/>
                <w:sz w:val="18"/>
                <w:szCs w:val="18"/>
              </w:rPr>
              <w:t xml:space="preserve">should encourage </w:t>
            </w:r>
            <w:r w:rsidRPr="00B0152C">
              <w:rPr>
                <w:rFonts w:asciiTheme="minorHAnsi" w:hAnsiTheme="minorHAnsi"/>
                <w:bCs/>
                <w:sz w:val="18"/>
                <w:szCs w:val="18"/>
              </w:rPr>
              <w:t xml:space="preserve">policymakers </w:t>
            </w:r>
            <w:r>
              <w:rPr>
                <w:rFonts w:asciiTheme="minorHAnsi" w:hAnsiTheme="minorHAnsi"/>
                <w:bCs/>
                <w:sz w:val="18"/>
                <w:szCs w:val="18"/>
              </w:rPr>
              <w:t xml:space="preserve">to establish </w:t>
            </w:r>
            <w:r w:rsidRPr="00B0152C">
              <w:rPr>
                <w:rFonts w:asciiTheme="minorHAnsi" w:hAnsiTheme="minorHAnsi"/>
                <w:bCs/>
                <w:sz w:val="18"/>
                <w:szCs w:val="18"/>
              </w:rPr>
              <w:t>vehicle registration before</w:t>
            </w:r>
            <w:r>
              <w:rPr>
                <w:rFonts w:asciiTheme="minorHAnsi" w:hAnsiTheme="minorHAnsi"/>
                <w:bCs/>
                <w:sz w:val="18"/>
                <w:szCs w:val="18"/>
              </w:rPr>
              <w:t>,,</w:t>
            </w:r>
            <w:r w:rsidRPr="00B0152C">
              <w:rPr>
                <w:rFonts w:asciiTheme="minorHAnsi" w:hAnsiTheme="minorHAnsi"/>
                <w:bCs/>
                <w:sz w:val="18"/>
                <w:szCs w:val="18"/>
              </w:rPr>
              <w:t xml:space="preserve"> or concurrent with effort</w:t>
            </w:r>
            <w:r>
              <w:rPr>
                <w:rFonts w:asciiTheme="minorHAnsi" w:hAnsiTheme="minorHAnsi"/>
                <w:bCs/>
                <w:sz w:val="18"/>
                <w:szCs w:val="18"/>
              </w:rPr>
              <w:t>s</w:t>
            </w:r>
            <w:r w:rsidRPr="00B0152C">
              <w:rPr>
                <w:rFonts w:asciiTheme="minorHAnsi" w:hAnsiTheme="minorHAnsi"/>
                <w:bCs/>
                <w:sz w:val="18"/>
                <w:szCs w:val="18"/>
              </w:rPr>
              <w:t xml:space="preserve"> to launch or strengthen an inspection/maintenance program.</w:t>
            </w:r>
          </w:p>
          <w:p w:rsidR="00C85E99" w:rsidRPr="00B0152C" w:rsidRDefault="00C85E99" w:rsidP="00C85E99">
            <w:pPr>
              <w:spacing w:after="80"/>
              <w:rPr>
                <w:rFonts w:asciiTheme="minorHAnsi" w:hAnsiTheme="minorHAnsi"/>
                <w:bCs/>
                <w:sz w:val="18"/>
                <w:szCs w:val="18"/>
              </w:rPr>
            </w:pPr>
            <w:r w:rsidRPr="00B0152C">
              <w:rPr>
                <w:rFonts w:asciiTheme="minorHAnsi" w:hAnsiTheme="minorHAnsi"/>
                <w:b/>
                <w:bCs/>
                <w:sz w:val="18"/>
                <w:szCs w:val="18"/>
              </w:rPr>
              <w:t>Managing Resources</w:t>
            </w:r>
            <w:r w:rsidRPr="00B0152C">
              <w:rPr>
                <w:rFonts w:asciiTheme="minorHAnsi" w:hAnsiTheme="minorHAnsi"/>
                <w:bCs/>
                <w:sz w:val="18"/>
                <w:szCs w:val="18"/>
              </w:rPr>
              <w:t xml:space="preserve">. Policymakers should set inspection fee levels </w:t>
            </w:r>
            <w:r>
              <w:rPr>
                <w:rFonts w:asciiTheme="minorHAnsi" w:hAnsiTheme="minorHAnsi"/>
                <w:bCs/>
                <w:sz w:val="18"/>
                <w:szCs w:val="18"/>
              </w:rPr>
              <w:t>to</w:t>
            </w:r>
            <w:r w:rsidRPr="00B0152C">
              <w:rPr>
                <w:rFonts w:asciiTheme="minorHAnsi" w:hAnsiTheme="minorHAnsi"/>
                <w:bCs/>
                <w:sz w:val="18"/>
                <w:szCs w:val="18"/>
              </w:rPr>
              <w:t xml:space="preserve"> support inspection/maint</w:t>
            </w:r>
            <w:r>
              <w:rPr>
                <w:rFonts w:asciiTheme="minorHAnsi" w:hAnsiTheme="minorHAnsi"/>
                <w:bCs/>
                <w:sz w:val="18"/>
                <w:szCs w:val="18"/>
              </w:rPr>
              <w:t>enance program</w:t>
            </w:r>
            <w:r w:rsidRPr="00B0152C">
              <w:rPr>
                <w:rFonts w:asciiTheme="minorHAnsi" w:hAnsiTheme="minorHAnsi"/>
                <w:bCs/>
                <w:sz w:val="18"/>
                <w:szCs w:val="18"/>
              </w:rPr>
              <w:t xml:space="preserve"> costs </w:t>
            </w:r>
            <w:r>
              <w:rPr>
                <w:rFonts w:asciiTheme="minorHAnsi" w:hAnsiTheme="minorHAnsi"/>
                <w:bCs/>
                <w:sz w:val="18"/>
                <w:szCs w:val="18"/>
              </w:rPr>
              <w:t>(</w:t>
            </w:r>
            <w:r w:rsidRPr="00B0152C">
              <w:rPr>
                <w:rFonts w:asciiTheme="minorHAnsi" w:hAnsiTheme="minorHAnsi"/>
                <w:bCs/>
                <w:sz w:val="18"/>
                <w:szCs w:val="18"/>
              </w:rPr>
              <w:t>i.e., privately operated test-only centers with strong oversight and quality assurance components</w:t>
            </w:r>
            <w:r>
              <w:rPr>
                <w:rFonts w:asciiTheme="minorHAnsi" w:hAnsiTheme="minorHAnsi"/>
                <w:bCs/>
                <w:sz w:val="18"/>
                <w:szCs w:val="18"/>
              </w:rPr>
              <w:t>)</w:t>
            </w:r>
            <w:r w:rsidRPr="00B0152C">
              <w:rPr>
                <w:rFonts w:asciiTheme="minorHAnsi" w:hAnsiTheme="minorHAnsi"/>
                <w:bCs/>
                <w:sz w:val="18"/>
                <w:szCs w:val="18"/>
              </w:rPr>
              <w:t xml:space="preserve">. </w:t>
            </w:r>
            <w:r>
              <w:rPr>
                <w:rFonts w:asciiTheme="minorHAnsi" w:hAnsiTheme="minorHAnsi"/>
                <w:bCs/>
                <w:sz w:val="18"/>
                <w:szCs w:val="18"/>
              </w:rPr>
              <w:t>Typically,</w:t>
            </w:r>
            <w:r w:rsidRPr="00B0152C">
              <w:rPr>
                <w:rFonts w:asciiTheme="minorHAnsi" w:hAnsiTheme="minorHAnsi"/>
                <w:bCs/>
                <w:sz w:val="18"/>
                <w:szCs w:val="18"/>
              </w:rPr>
              <w:t xml:space="preserve"> fees may appear high</w:t>
            </w:r>
            <w:r>
              <w:rPr>
                <w:rFonts w:asciiTheme="minorHAnsi" w:hAnsiTheme="minorHAnsi"/>
                <w:bCs/>
                <w:sz w:val="18"/>
                <w:szCs w:val="18"/>
              </w:rPr>
              <w:t xml:space="preserve"> but are </w:t>
            </w:r>
            <w:r w:rsidRPr="00B0152C">
              <w:rPr>
                <w:rFonts w:asciiTheme="minorHAnsi" w:hAnsiTheme="minorHAnsi"/>
                <w:bCs/>
                <w:sz w:val="18"/>
                <w:szCs w:val="18"/>
              </w:rPr>
              <w:t>affordable to vehicle</w:t>
            </w:r>
            <w:r>
              <w:rPr>
                <w:rFonts w:asciiTheme="minorHAnsi" w:hAnsiTheme="minorHAnsi"/>
                <w:bCs/>
                <w:sz w:val="18"/>
                <w:szCs w:val="18"/>
              </w:rPr>
              <w:t xml:space="preserve"> owners</w:t>
            </w:r>
            <w:r w:rsidRPr="00B0152C">
              <w:rPr>
                <w:rFonts w:asciiTheme="minorHAnsi" w:hAnsiTheme="minorHAnsi"/>
                <w:bCs/>
                <w:sz w:val="18"/>
                <w:szCs w:val="18"/>
              </w:rPr>
              <w:t xml:space="preserve">. Subsidies </w:t>
            </w:r>
            <w:r>
              <w:rPr>
                <w:rFonts w:asciiTheme="minorHAnsi" w:hAnsiTheme="minorHAnsi"/>
                <w:bCs/>
                <w:sz w:val="18"/>
                <w:szCs w:val="18"/>
              </w:rPr>
              <w:t>could be considered for</w:t>
            </w:r>
            <w:r w:rsidRPr="00B0152C">
              <w:rPr>
                <w:rFonts w:asciiTheme="minorHAnsi" w:hAnsiTheme="minorHAnsi"/>
                <w:bCs/>
                <w:sz w:val="18"/>
                <w:szCs w:val="18"/>
              </w:rPr>
              <w:t xml:space="preserve"> initial capital costs for land or fixed facilities but inspection fees </w:t>
            </w:r>
            <w:r w:rsidRPr="00615943">
              <w:rPr>
                <w:rFonts w:asciiTheme="minorHAnsi" w:hAnsiTheme="minorHAnsi"/>
                <w:bCs/>
                <w:i/>
                <w:sz w:val="18"/>
                <w:szCs w:val="18"/>
              </w:rPr>
              <w:t>must</w:t>
            </w:r>
            <w:r w:rsidRPr="00B0152C">
              <w:rPr>
                <w:rFonts w:asciiTheme="minorHAnsi" w:hAnsiTheme="minorHAnsi"/>
                <w:bCs/>
                <w:sz w:val="18"/>
                <w:szCs w:val="18"/>
              </w:rPr>
              <w:t xml:space="preserve"> </w:t>
            </w:r>
            <w:r>
              <w:rPr>
                <w:rFonts w:asciiTheme="minorHAnsi" w:hAnsiTheme="minorHAnsi"/>
                <w:bCs/>
                <w:sz w:val="18"/>
                <w:szCs w:val="18"/>
              </w:rPr>
              <w:t xml:space="preserve">be set at levels that </w:t>
            </w:r>
            <w:r w:rsidRPr="00B0152C">
              <w:rPr>
                <w:rFonts w:asciiTheme="minorHAnsi" w:hAnsiTheme="minorHAnsi"/>
                <w:bCs/>
                <w:sz w:val="18"/>
                <w:szCs w:val="18"/>
              </w:rPr>
              <w:t>cover ongoing operating costs.</w:t>
            </w:r>
          </w:p>
          <w:p w:rsidR="00C85E99" w:rsidRPr="00B0152C" w:rsidRDefault="00C85E99" w:rsidP="00C85E99">
            <w:pPr>
              <w:rPr>
                <w:rFonts w:asciiTheme="minorHAnsi" w:hAnsiTheme="minorHAnsi"/>
                <w:bCs/>
                <w:sz w:val="18"/>
                <w:szCs w:val="18"/>
              </w:rPr>
            </w:pPr>
            <w:r w:rsidRPr="00B0152C">
              <w:rPr>
                <w:rFonts w:asciiTheme="minorHAnsi" w:hAnsiTheme="minorHAnsi"/>
                <w:bCs/>
                <w:sz w:val="18"/>
                <w:szCs w:val="18"/>
              </w:rPr>
              <w:t xml:space="preserve">Policymakers should ensure that all actors in an inspection/maintenance program have the capacity to carry out their roles, </w:t>
            </w:r>
            <w:r>
              <w:rPr>
                <w:rFonts w:asciiTheme="minorHAnsi" w:hAnsiTheme="minorHAnsi"/>
                <w:bCs/>
                <w:sz w:val="18"/>
                <w:szCs w:val="18"/>
              </w:rPr>
              <w:t>in particular the</w:t>
            </w:r>
            <w:r w:rsidRPr="00B0152C">
              <w:rPr>
                <w:rFonts w:asciiTheme="minorHAnsi" w:hAnsiTheme="minorHAnsi"/>
                <w:bCs/>
                <w:sz w:val="18"/>
                <w:szCs w:val="18"/>
              </w:rPr>
              <w:t xml:space="preserve"> vehicle service sector. </w:t>
            </w:r>
            <w:r>
              <w:rPr>
                <w:rFonts w:asciiTheme="minorHAnsi" w:hAnsiTheme="minorHAnsi"/>
                <w:bCs/>
                <w:sz w:val="18"/>
                <w:szCs w:val="18"/>
              </w:rPr>
              <w:t>Few p</w:t>
            </w:r>
            <w:r w:rsidRPr="00B0152C">
              <w:rPr>
                <w:rFonts w:asciiTheme="minorHAnsi" w:hAnsiTheme="minorHAnsi"/>
                <w:bCs/>
                <w:sz w:val="18"/>
                <w:szCs w:val="18"/>
              </w:rPr>
              <w:t xml:space="preserve">olicymakers </w:t>
            </w:r>
            <w:r>
              <w:rPr>
                <w:rFonts w:asciiTheme="minorHAnsi" w:hAnsiTheme="minorHAnsi"/>
                <w:bCs/>
                <w:sz w:val="18"/>
                <w:szCs w:val="18"/>
              </w:rPr>
              <w:t>recognize</w:t>
            </w:r>
            <w:r w:rsidRPr="00B0152C">
              <w:rPr>
                <w:rFonts w:asciiTheme="minorHAnsi" w:hAnsiTheme="minorHAnsi"/>
                <w:bCs/>
                <w:sz w:val="18"/>
                <w:szCs w:val="18"/>
              </w:rPr>
              <w:t xml:space="preserve"> </w:t>
            </w:r>
            <w:r>
              <w:rPr>
                <w:rFonts w:asciiTheme="minorHAnsi" w:hAnsiTheme="minorHAnsi"/>
                <w:bCs/>
                <w:sz w:val="18"/>
                <w:szCs w:val="18"/>
              </w:rPr>
              <w:t xml:space="preserve">how </w:t>
            </w:r>
            <w:r w:rsidRPr="00B0152C">
              <w:rPr>
                <w:rFonts w:asciiTheme="minorHAnsi" w:hAnsiTheme="minorHAnsi"/>
                <w:bCs/>
                <w:sz w:val="18"/>
                <w:szCs w:val="18"/>
              </w:rPr>
              <w:t xml:space="preserve">critical </w:t>
            </w:r>
            <w:r>
              <w:rPr>
                <w:rFonts w:asciiTheme="minorHAnsi" w:hAnsiTheme="minorHAnsi"/>
                <w:bCs/>
                <w:sz w:val="18"/>
                <w:szCs w:val="18"/>
              </w:rPr>
              <w:t>it is</w:t>
            </w:r>
            <w:r w:rsidRPr="00B0152C">
              <w:rPr>
                <w:rFonts w:asciiTheme="minorHAnsi" w:hAnsiTheme="minorHAnsi"/>
                <w:bCs/>
                <w:sz w:val="18"/>
                <w:szCs w:val="18"/>
              </w:rPr>
              <w:t xml:space="preserve"> </w:t>
            </w:r>
            <w:r>
              <w:rPr>
                <w:rFonts w:asciiTheme="minorHAnsi" w:hAnsiTheme="minorHAnsi"/>
                <w:bCs/>
                <w:sz w:val="18"/>
                <w:szCs w:val="18"/>
              </w:rPr>
              <w:t>to</w:t>
            </w:r>
            <w:r w:rsidRPr="00B0152C">
              <w:rPr>
                <w:rFonts w:asciiTheme="minorHAnsi" w:hAnsiTheme="minorHAnsi"/>
                <w:bCs/>
                <w:sz w:val="18"/>
                <w:szCs w:val="18"/>
              </w:rPr>
              <w:t xml:space="preserve"> build capacity to provide maintenance and repairs for vehicles that fail inspection/maintenance tests. </w:t>
            </w:r>
            <w:r>
              <w:rPr>
                <w:rFonts w:asciiTheme="minorHAnsi" w:hAnsiTheme="minorHAnsi"/>
                <w:bCs/>
                <w:sz w:val="18"/>
                <w:szCs w:val="18"/>
              </w:rPr>
              <w:t>Policymakers are encouraged to seek the support of d</w:t>
            </w:r>
            <w:r w:rsidRPr="00B0152C">
              <w:rPr>
                <w:rFonts w:asciiTheme="minorHAnsi" w:hAnsiTheme="minorHAnsi"/>
                <w:bCs/>
                <w:sz w:val="18"/>
                <w:szCs w:val="18"/>
              </w:rPr>
              <w:t>onors and vehicle manufacturers to provide training</w:t>
            </w:r>
            <w:r>
              <w:rPr>
                <w:rFonts w:asciiTheme="minorHAnsi" w:hAnsiTheme="minorHAnsi"/>
                <w:bCs/>
                <w:sz w:val="18"/>
                <w:szCs w:val="18"/>
              </w:rPr>
              <w:t xml:space="preserve"> and </w:t>
            </w:r>
            <w:r w:rsidRPr="00B0152C">
              <w:rPr>
                <w:rFonts w:asciiTheme="minorHAnsi" w:hAnsiTheme="minorHAnsi"/>
                <w:bCs/>
                <w:sz w:val="18"/>
                <w:szCs w:val="18"/>
              </w:rPr>
              <w:t>capacity</w:t>
            </w:r>
            <w:r>
              <w:rPr>
                <w:rFonts w:asciiTheme="minorHAnsi" w:hAnsiTheme="minorHAnsi"/>
                <w:bCs/>
                <w:sz w:val="18"/>
                <w:szCs w:val="18"/>
              </w:rPr>
              <w:t xml:space="preserve"> </w:t>
            </w:r>
            <w:r w:rsidRPr="00B0152C">
              <w:rPr>
                <w:rFonts w:asciiTheme="minorHAnsi" w:hAnsiTheme="minorHAnsi"/>
                <w:bCs/>
                <w:sz w:val="18"/>
                <w:szCs w:val="18"/>
              </w:rPr>
              <w:t>building in the vehicle service</w:t>
            </w:r>
            <w:r>
              <w:rPr>
                <w:rFonts w:asciiTheme="minorHAnsi" w:hAnsiTheme="minorHAnsi"/>
                <w:bCs/>
                <w:sz w:val="18"/>
                <w:szCs w:val="18"/>
              </w:rPr>
              <w:t>s</w:t>
            </w:r>
            <w:r w:rsidRPr="00B0152C">
              <w:rPr>
                <w:rFonts w:asciiTheme="minorHAnsi" w:hAnsiTheme="minorHAnsi"/>
                <w:bCs/>
                <w:sz w:val="18"/>
                <w:szCs w:val="18"/>
              </w:rPr>
              <w:t xml:space="preserve"> sector.</w:t>
            </w:r>
          </w:p>
          <w:p w:rsidR="00200EB2" w:rsidRPr="00E01793" w:rsidRDefault="00200EB2" w:rsidP="00DD27EA">
            <w:pPr>
              <w:spacing w:after="0"/>
              <w:rPr>
                <w:bCs/>
                <w:i/>
                <w:sz w:val="16"/>
                <w:szCs w:val="16"/>
              </w:rPr>
            </w:pPr>
            <w:r w:rsidRPr="00C25207">
              <w:rPr>
                <w:rFonts w:asciiTheme="minorHAnsi" w:hAnsiTheme="minorHAnsi"/>
                <w:bCs/>
                <w:i/>
                <w:sz w:val="18"/>
                <w:szCs w:val="18"/>
              </w:rPr>
              <w:t>Source: U.S. Agency for International Development (2004)</w:t>
            </w:r>
          </w:p>
        </w:tc>
      </w:tr>
    </w:tbl>
    <w:p w:rsidR="00645874" w:rsidRPr="00624B2C" w:rsidRDefault="00645874" w:rsidP="005270CB">
      <w:pPr>
        <w:pStyle w:val="Caption"/>
        <w:keepNext/>
        <w:spacing w:before="240" w:after="120"/>
        <w:rPr>
          <w:b w:val="0"/>
          <w:color w:val="auto"/>
          <w:sz w:val="20"/>
          <w:szCs w:val="20"/>
        </w:rPr>
      </w:pPr>
      <w:bookmarkStart w:id="63" w:name="_Ref324711837"/>
      <w:bookmarkStart w:id="64" w:name="_Toc324684703"/>
      <w:bookmarkStart w:id="65" w:name="_Toc326892895"/>
      <w:r w:rsidRPr="00624B2C">
        <w:rPr>
          <w:color w:val="auto"/>
          <w:sz w:val="20"/>
          <w:szCs w:val="20"/>
        </w:rPr>
        <w:lastRenderedPageBreak/>
        <w:t xml:space="preserve">Table </w:t>
      </w:r>
      <w:r w:rsidR="001A7AF8" w:rsidRPr="00624B2C">
        <w:rPr>
          <w:color w:val="auto"/>
          <w:sz w:val="20"/>
          <w:szCs w:val="20"/>
        </w:rPr>
        <w:fldChar w:fldCharType="begin"/>
      </w:r>
      <w:r w:rsidRPr="00624B2C">
        <w:rPr>
          <w:color w:val="auto"/>
          <w:sz w:val="20"/>
          <w:szCs w:val="20"/>
        </w:rPr>
        <w:instrText xml:space="preserve"> SEQ Table \* ARABIC </w:instrText>
      </w:r>
      <w:r w:rsidR="001A7AF8" w:rsidRPr="00624B2C">
        <w:rPr>
          <w:color w:val="auto"/>
          <w:sz w:val="20"/>
          <w:szCs w:val="20"/>
        </w:rPr>
        <w:fldChar w:fldCharType="separate"/>
      </w:r>
      <w:r w:rsidR="00AA3F1A">
        <w:rPr>
          <w:noProof/>
          <w:color w:val="auto"/>
          <w:sz w:val="20"/>
          <w:szCs w:val="20"/>
        </w:rPr>
        <w:t>4</w:t>
      </w:r>
      <w:r w:rsidR="001A7AF8" w:rsidRPr="00624B2C">
        <w:rPr>
          <w:color w:val="auto"/>
          <w:sz w:val="20"/>
          <w:szCs w:val="20"/>
        </w:rPr>
        <w:fldChar w:fldCharType="end"/>
      </w:r>
      <w:bookmarkEnd w:id="63"/>
      <w:r w:rsidRPr="00624B2C">
        <w:rPr>
          <w:b w:val="0"/>
          <w:color w:val="auto"/>
          <w:sz w:val="20"/>
          <w:szCs w:val="20"/>
        </w:rPr>
        <w:t>: Schedule of Compulsory Motor Vehicle Inspection in Singapore by Vehicle Age</w:t>
      </w:r>
      <w:bookmarkEnd w:id="64"/>
      <w:bookmarkEnd w:id="65"/>
    </w:p>
    <w:tbl>
      <w:tblPr>
        <w:tblStyle w:val="TableGrid"/>
        <w:tblW w:w="0" w:type="auto"/>
        <w:tblInd w:w="108" w:type="dxa"/>
        <w:tblBorders>
          <w:top w:val="single" w:sz="12" w:space="0" w:color="auto"/>
          <w:left w:val="none" w:sz="0" w:space="0" w:color="auto"/>
          <w:bottom w:val="single" w:sz="12" w:space="0" w:color="auto"/>
          <w:right w:val="none" w:sz="0" w:space="0" w:color="auto"/>
          <w:insideV w:val="none" w:sz="0" w:space="0" w:color="auto"/>
        </w:tblBorders>
        <w:tblLayout w:type="fixed"/>
        <w:tblLook w:val="04A0"/>
      </w:tblPr>
      <w:tblGrid>
        <w:gridCol w:w="2790"/>
        <w:gridCol w:w="2190"/>
        <w:gridCol w:w="2190"/>
        <w:gridCol w:w="2190"/>
      </w:tblGrid>
      <w:tr w:rsidR="00645874" w:rsidRPr="00645874" w:rsidTr="009543AF">
        <w:trPr>
          <w:trHeight w:val="50"/>
        </w:trPr>
        <w:tc>
          <w:tcPr>
            <w:tcW w:w="2790" w:type="dxa"/>
            <w:vMerge w:val="restart"/>
            <w:noWrap/>
            <w:vAlign w:val="center"/>
            <w:hideMark/>
          </w:tcPr>
          <w:p w:rsidR="00645874" w:rsidRPr="00A4257F" w:rsidRDefault="00645874" w:rsidP="00645874">
            <w:pPr>
              <w:spacing w:after="0"/>
              <w:rPr>
                <w:sz w:val="20"/>
                <w:szCs w:val="20"/>
              </w:rPr>
            </w:pPr>
            <w:r w:rsidRPr="00A4257F">
              <w:rPr>
                <w:sz w:val="20"/>
                <w:szCs w:val="20"/>
              </w:rPr>
              <w:t>Type of vehicle</w:t>
            </w:r>
          </w:p>
        </w:tc>
        <w:tc>
          <w:tcPr>
            <w:tcW w:w="6570" w:type="dxa"/>
            <w:gridSpan w:val="3"/>
            <w:noWrap/>
            <w:vAlign w:val="center"/>
            <w:hideMark/>
          </w:tcPr>
          <w:p w:rsidR="00645874" w:rsidRPr="00A4257F" w:rsidRDefault="00645874" w:rsidP="00645874">
            <w:pPr>
              <w:spacing w:after="0"/>
              <w:rPr>
                <w:sz w:val="20"/>
                <w:szCs w:val="20"/>
              </w:rPr>
            </w:pPr>
            <w:r w:rsidRPr="00A4257F">
              <w:rPr>
                <w:sz w:val="20"/>
                <w:szCs w:val="20"/>
              </w:rPr>
              <w:t>Vehicle age</w:t>
            </w:r>
          </w:p>
        </w:tc>
      </w:tr>
      <w:tr w:rsidR="00645874" w:rsidRPr="00645874" w:rsidTr="009543AF">
        <w:trPr>
          <w:trHeight w:val="70"/>
        </w:trPr>
        <w:tc>
          <w:tcPr>
            <w:tcW w:w="2790" w:type="dxa"/>
            <w:vMerge/>
            <w:noWrap/>
            <w:vAlign w:val="center"/>
            <w:hideMark/>
          </w:tcPr>
          <w:p w:rsidR="00645874" w:rsidRPr="00A4257F" w:rsidRDefault="00645874" w:rsidP="00645874">
            <w:pPr>
              <w:spacing w:after="0"/>
              <w:rPr>
                <w:sz w:val="20"/>
                <w:szCs w:val="20"/>
              </w:rPr>
            </w:pPr>
          </w:p>
        </w:tc>
        <w:tc>
          <w:tcPr>
            <w:tcW w:w="2190" w:type="dxa"/>
            <w:noWrap/>
            <w:vAlign w:val="center"/>
            <w:hideMark/>
          </w:tcPr>
          <w:p w:rsidR="00645874" w:rsidRPr="00A4257F" w:rsidRDefault="00C85E99" w:rsidP="00645874">
            <w:pPr>
              <w:spacing w:after="0"/>
              <w:rPr>
                <w:sz w:val="20"/>
                <w:szCs w:val="20"/>
              </w:rPr>
            </w:pPr>
            <w:r>
              <w:rPr>
                <w:sz w:val="20"/>
                <w:szCs w:val="20"/>
              </w:rPr>
              <w:t>Fewer</w:t>
            </w:r>
            <w:r w:rsidR="00645874" w:rsidRPr="00A4257F">
              <w:rPr>
                <w:sz w:val="20"/>
                <w:szCs w:val="20"/>
              </w:rPr>
              <w:t xml:space="preserve"> than 3 years</w:t>
            </w:r>
          </w:p>
        </w:tc>
        <w:tc>
          <w:tcPr>
            <w:tcW w:w="2190" w:type="dxa"/>
            <w:noWrap/>
            <w:vAlign w:val="center"/>
            <w:hideMark/>
          </w:tcPr>
          <w:p w:rsidR="00645874" w:rsidRPr="00A4257F" w:rsidRDefault="00645874" w:rsidP="00645874">
            <w:pPr>
              <w:spacing w:after="0"/>
              <w:rPr>
                <w:sz w:val="20"/>
                <w:szCs w:val="20"/>
              </w:rPr>
            </w:pPr>
            <w:r w:rsidRPr="00A4257F">
              <w:rPr>
                <w:sz w:val="20"/>
                <w:szCs w:val="20"/>
              </w:rPr>
              <w:t>3 to 10 years</w:t>
            </w:r>
          </w:p>
        </w:tc>
        <w:tc>
          <w:tcPr>
            <w:tcW w:w="2190" w:type="dxa"/>
            <w:noWrap/>
            <w:vAlign w:val="center"/>
            <w:hideMark/>
          </w:tcPr>
          <w:p w:rsidR="00645874" w:rsidRPr="00A4257F" w:rsidRDefault="00645874" w:rsidP="00645874">
            <w:pPr>
              <w:spacing w:after="0"/>
              <w:rPr>
                <w:sz w:val="20"/>
                <w:szCs w:val="20"/>
              </w:rPr>
            </w:pPr>
            <w:r w:rsidRPr="00A4257F">
              <w:rPr>
                <w:sz w:val="20"/>
                <w:szCs w:val="20"/>
              </w:rPr>
              <w:t>More than 10 years</w:t>
            </w:r>
          </w:p>
        </w:tc>
      </w:tr>
      <w:tr w:rsidR="00645874" w:rsidRPr="00645874" w:rsidTr="009543AF">
        <w:trPr>
          <w:trHeight w:val="125"/>
        </w:trPr>
        <w:tc>
          <w:tcPr>
            <w:tcW w:w="2790" w:type="dxa"/>
            <w:noWrap/>
            <w:vAlign w:val="center"/>
            <w:hideMark/>
          </w:tcPr>
          <w:p w:rsidR="00645874" w:rsidRPr="00A4257F" w:rsidRDefault="00645874" w:rsidP="00645874">
            <w:pPr>
              <w:spacing w:after="0"/>
              <w:rPr>
                <w:sz w:val="20"/>
                <w:szCs w:val="20"/>
              </w:rPr>
            </w:pPr>
            <w:r w:rsidRPr="00A4257F">
              <w:rPr>
                <w:sz w:val="20"/>
                <w:szCs w:val="20"/>
              </w:rPr>
              <w:t>Motorcycles and scooters</w:t>
            </w:r>
          </w:p>
        </w:tc>
        <w:tc>
          <w:tcPr>
            <w:tcW w:w="2190" w:type="dxa"/>
            <w:noWrap/>
            <w:vAlign w:val="center"/>
            <w:hideMark/>
          </w:tcPr>
          <w:p w:rsidR="00645874" w:rsidRPr="00A4257F" w:rsidRDefault="00645874" w:rsidP="00645874">
            <w:pPr>
              <w:spacing w:after="0"/>
              <w:rPr>
                <w:sz w:val="20"/>
                <w:szCs w:val="20"/>
              </w:rPr>
            </w:pPr>
            <w:r w:rsidRPr="00A4257F">
              <w:rPr>
                <w:sz w:val="20"/>
                <w:szCs w:val="20"/>
              </w:rPr>
              <w:t>Exempt</w:t>
            </w:r>
          </w:p>
        </w:tc>
        <w:tc>
          <w:tcPr>
            <w:tcW w:w="2190" w:type="dxa"/>
            <w:noWrap/>
            <w:vAlign w:val="center"/>
            <w:hideMark/>
          </w:tcPr>
          <w:p w:rsidR="00645874" w:rsidRPr="00A4257F" w:rsidRDefault="00645874" w:rsidP="00645874">
            <w:pPr>
              <w:spacing w:after="0"/>
              <w:rPr>
                <w:sz w:val="20"/>
                <w:szCs w:val="20"/>
              </w:rPr>
            </w:pPr>
            <w:r w:rsidRPr="00A4257F">
              <w:rPr>
                <w:sz w:val="20"/>
                <w:szCs w:val="20"/>
              </w:rPr>
              <w:t>Annually</w:t>
            </w:r>
          </w:p>
        </w:tc>
        <w:tc>
          <w:tcPr>
            <w:tcW w:w="2190" w:type="dxa"/>
            <w:noWrap/>
            <w:vAlign w:val="center"/>
            <w:hideMark/>
          </w:tcPr>
          <w:p w:rsidR="00645874" w:rsidRPr="00A4257F" w:rsidRDefault="00645874" w:rsidP="00645874">
            <w:pPr>
              <w:spacing w:after="0"/>
              <w:rPr>
                <w:sz w:val="20"/>
                <w:szCs w:val="20"/>
              </w:rPr>
            </w:pPr>
            <w:r w:rsidRPr="00A4257F">
              <w:rPr>
                <w:sz w:val="20"/>
                <w:szCs w:val="20"/>
              </w:rPr>
              <w:t>Annually</w:t>
            </w:r>
          </w:p>
        </w:tc>
      </w:tr>
      <w:tr w:rsidR="00645874" w:rsidRPr="00645874" w:rsidTr="009543AF">
        <w:trPr>
          <w:trHeight w:val="98"/>
        </w:trPr>
        <w:tc>
          <w:tcPr>
            <w:tcW w:w="2790" w:type="dxa"/>
            <w:noWrap/>
            <w:vAlign w:val="center"/>
            <w:hideMark/>
          </w:tcPr>
          <w:p w:rsidR="00645874" w:rsidRPr="00A4257F" w:rsidRDefault="00645874" w:rsidP="00645874">
            <w:pPr>
              <w:spacing w:after="0"/>
              <w:rPr>
                <w:sz w:val="20"/>
                <w:szCs w:val="20"/>
              </w:rPr>
            </w:pPr>
            <w:r w:rsidRPr="00A4257F">
              <w:rPr>
                <w:sz w:val="20"/>
                <w:szCs w:val="20"/>
              </w:rPr>
              <w:t>Cars and station wagons</w:t>
            </w:r>
          </w:p>
        </w:tc>
        <w:tc>
          <w:tcPr>
            <w:tcW w:w="2190" w:type="dxa"/>
            <w:noWrap/>
            <w:vAlign w:val="center"/>
            <w:hideMark/>
          </w:tcPr>
          <w:p w:rsidR="00645874" w:rsidRPr="00A4257F" w:rsidRDefault="00645874" w:rsidP="00645874">
            <w:pPr>
              <w:spacing w:after="0"/>
              <w:rPr>
                <w:sz w:val="20"/>
                <w:szCs w:val="20"/>
              </w:rPr>
            </w:pPr>
            <w:r w:rsidRPr="00A4257F">
              <w:rPr>
                <w:sz w:val="20"/>
                <w:szCs w:val="20"/>
              </w:rPr>
              <w:t>Exempt</w:t>
            </w:r>
          </w:p>
        </w:tc>
        <w:tc>
          <w:tcPr>
            <w:tcW w:w="2190" w:type="dxa"/>
            <w:noWrap/>
            <w:vAlign w:val="center"/>
            <w:hideMark/>
          </w:tcPr>
          <w:p w:rsidR="00645874" w:rsidRPr="00A4257F" w:rsidRDefault="00645874" w:rsidP="00645874">
            <w:pPr>
              <w:spacing w:after="0"/>
              <w:rPr>
                <w:sz w:val="20"/>
                <w:szCs w:val="20"/>
              </w:rPr>
            </w:pPr>
            <w:r w:rsidRPr="00A4257F">
              <w:rPr>
                <w:sz w:val="20"/>
                <w:szCs w:val="20"/>
              </w:rPr>
              <w:t>Every two years</w:t>
            </w:r>
          </w:p>
        </w:tc>
        <w:tc>
          <w:tcPr>
            <w:tcW w:w="2190" w:type="dxa"/>
            <w:noWrap/>
            <w:vAlign w:val="center"/>
            <w:hideMark/>
          </w:tcPr>
          <w:p w:rsidR="00645874" w:rsidRPr="00A4257F" w:rsidRDefault="00645874" w:rsidP="00645874">
            <w:pPr>
              <w:spacing w:after="0"/>
              <w:rPr>
                <w:sz w:val="20"/>
                <w:szCs w:val="20"/>
              </w:rPr>
            </w:pPr>
            <w:r w:rsidRPr="00A4257F">
              <w:rPr>
                <w:sz w:val="20"/>
                <w:szCs w:val="20"/>
              </w:rPr>
              <w:t>Annually</w:t>
            </w:r>
          </w:p>
        </w:tc>
      </w:tr>
      <w:tr w:rsidR="00645874" w:rsidRPr="00645874" w:rsidTr="009543AF">
        <w:trPr>
          <w:trHeight w:val="70"/>
        </w:trPr>
        <w:tc>
          <w:tcPr>
            <w:tcW w:w="2790" w:type="dxa"/>
            <w:noWrap/>
            <w:vAlign w:val="center"/>
            <w:hideMark/>
          </w:tcPr>
          <w:p w:rsidR="00645874" w:rsidRPr="00A4257F" w:rsidRDefault="00645874" w:rsidP="00645874">
            <w:pPr>
              <w:spacing w:after="0"/>
              <w:rPr>
                <w:sz w:val="20"/>
                <w:szCs w:val="20"/>
              </w:rPr>
            </w:pPr>
            <w:r w:rsidRPr="00A4257F">
              <w:rPr>
                <w:sz w:val="20"/>
                <w:szCs w:val="20"/>
              </w:rPr>
              <w:t>Tuition cars</w:t>
            </w:r>
          </w:p>
        </w:tc>
        <w:tc>
          <w:tcPr>
            <w:tcW w:w="2190" w:type="dxa"/>
            <w:noWrap/>
            <w:vAlign w:val="center"/>
            <w:hideMark/>
          </w:tcPr>
          <w:p w:rsidR="00645874" w:rsidRPr="00A4257F" w:rsidRDefault="00645874" w:rsidP="00645874">
            <w:pPr>
              <w:spacing w:after="0"/>
              <w:rPr>
                <w:sz w:val="20"/>
                <w:szCs w:val="20"/>
              </w:rPr>
            </w:pPr>
            <w:r w:rsidRPr="00A4257F">
              <w:rPr>
                <w:sz w:val="20"/>
                <w:szCs w:val="20"/>
              </w:rPr>
              <w:t>Annually</w:t>
            </w:r>
          </w:p>
        </w:tc>
        <w:tc>
          <w:tcPr>
            <w:tcW w:w="2190" w:type="dxa"/>
            <w:noWrap/>
            <w:vAlign w:val="center"/>
            <w:hideMark/>
          </w:tcPr>
          <w:p w:rsidR="00645874" w:rsidRPr="00A4257F" w:rsidRDefault="00645874" w:rsidP="00645874">
            <w:pPr>
              <w:spacing w:after="0"/>
              <w:rPr>
                <w:sz w:val="20"/>
                <w:szCs w:val="20"/>
              </w:rPr>
            </w:pPr>
            <w:r w:rsidRPr="00A4257F">
              <w:rPr>
                <w:sz w:val="20"/>
                <w:szCs w:val="20"/>
              </w:rPr>
              <w:t>Annually</w:t>
            </w:r>
          </w:p>
        </w:tc>
        <w:tc>
          <w:tcPr>
            <w:tcW w:w="2190" w:type="dxa"/>
            <w:noWrap/>
            <w:vAlign w:val="center"/>
            <w:hideMark/>
          </w:tcPr>
          <w:p w:rsidR="00645874" w:rsidRPr="00A4257F" w:rsidRDefault="00645874" w:rsidP="00645874">
            <w:pPr>
              <w:spacing w:after="0"/>
              <w:rPr>
                <w:sz w:val="20"/>
                <w:szCs w:val="20"/>
              </w:rPr>
            </w:pPr>
            <w:r w:rsidRPr="00A4257F">
              <w:rPr>
                <w:sz w:val="20"/>
                <w:szCs w:val="20"/>
              </w:rPr>
              <w:t>Annually</w:t>
            </w:r>
          </w:p>
        </w:tc>
      </w:tr>
      <w:tr w:rsidR="00645874" w:rsidRPr="00645874" w:rsidTr="009543AF">
        <w:trPr>
          <w:trHeight w:val="70"/>
        </w:trPr>
        <w:tc>
          <w:tcPr>
            <w:tcW w:w="2790" w:type="dxa"/>
            <w:noWrap/>
            <w:vAlign w:val="center"/>
            <w:hideMark/>
          </w:tcPr>
          <w:p w:rsidR="00645874" w:rsidRPr="00A4257F" w:rsidRDefault="00645874" w:rsidP="00645874">
            <w:pPr>
              <w:spacing w:after="0"/>
              <w:rPr>
                <w:sz w:val="20"/>
                <w:szCs w:val="20"/>
              </w:rPr>
            </w:pPr>
            <w:r w:rsidRPr="00A4257F">
              <w:rPr>
                <w:sz w:val="20"/>
                <w:szCs w:val="20"/>
              </w:rPr>
              <w:t>Private hire cars</w:t>
            </w:r>
          </w:p>
        </w:tc>
        <w:tc>
          <w:tcPr>
            <w:tcW w:w="2190" w:type="dxa"/>
            <w:noWrap/>
            <w:vAlign w:val="center"/>
            <w:hideMark/>
          </w:tcPr>
          <w:p w:rsidR="00645874" w:rsidRPr="00A4257F" w:rsidRDefault="00645874" w:rsidP="00645874">
            <w:pPr>
              <w:spacing w:after="0"/>
              <w:rPr>
                <w:sz w:val="20"/>
                <w:szCs w:val="20"/>
              </w:rPr>
            </w:pPr>
            <w:r w:rsidRPr="00A4257F">
              <w:rPr>
                <w:sz w:val="20"/>
                <w:szCs w:val="20"/>
              </w:rPr>
              <w:t>Annually</w:t>
            </w:r>
          </w:p>
        </w:tc>
        <w:tc>
          <w:tcPr>
            <w:tcW w:w="2190" w:type="dxa"/>
            <w:noWrap/>
            <w:vAlign w:val="center"/>
            <w:hideMark/>
          </w:tcPr>
          <w:p w:rsidR="00645874" w:rsidRPr="00A4257F" w:rsidRDefault="00645874" w:rsidP="00645874">
            <w:pPr>
              <w:spacing w:after="0"/>
              <w:rPr>
                <w:sz w:val="20"/>
                <w:szCs w:val="20"/>
              </w:rPr>
            </w:pPr>
            <w:r w:rsidRPr="00A4257F">
              <w:rPr>
                <w:sz w:val="20"/>
                <w:szCs w:val="20"/>
              </w:rPr>
              <w:t>Annually</w:t>
            </w:r>
          </w:p>
        </w:tc>
        <w:tc>
          <w:tcPr>
            <w:tcW w:w="2190" w:type="dxa"/>
            <w:noWrap/>
            <w:vAlign w:val="center"/>
            <w:hideMark/>
          </w:tcPr>
          <w:p w:rsidR="00645874" w:rsidRPr="00A4257F" w:rsidRDefault="00645874" w:rsidP="00645874">
            <w:pPr>
              <w:spacing w:after="0"/>
              <w:rPr>
                <w:sz w:val="20"/>
                <w:szCs w:val="20"/>
              </w:rPr>
            </w:pPr>
            <w:r w:rsidRPr="00A4257F">
              <w:rPr>
                <w:sz w:val="20"/>
                <w:szCs w:val="20"/>
              </w:rPr>
              <w:t>n/a</w:t>
            </w:r>
          </w:p>
        </w:tc>
      </w:tr>
      <w:tr w:rsidR="00645874" w:rsidRPr="00645874" w:rsidTr="009543AF">
        <w:trPr>
          <w:trHeight w:val="70"/>
        </w:trPr>
        <w:tc>
          <w:tcPr>
            <w:tcW w:w="2790" w:type="dxa"/>
            <w:tcBorders>
              <w:bottom w:val="nil"/>
            </w:tcBorders>
            <w:noWrap/>
            <w:vAlign w:val="center"/>
            <w:hideMark/>
          </w:tcPr>
          <w:p w:rsidR="00645874" w:rsidRPr="00A4257F" w:rsidRDefault="00645874" w:rsidP="00645874">
            <w:pPr>
              <w:spacing w:after="0"/>
              <w:rPr>
                <w:sz w:val="20"/>
                <w:szCs w:val="20"/>
              </w:rPr>
            </w:pPr>
            <w:r w:rsidRPr="00A4257F">
              <w:rPr>
                <w:sz w:val="20"/>
                <w:szCs w:val="20"/>
              </w:rPr>
              <w:t>Public service vehicles</w:t>
            </w:r>
          </w:p>
        </w:tc>
        <w:tc>
          <w:tcPr>
            <w:tcW w:w="2190" w:type="dxa"/>
            <w:tcBorders>
              <w:bottom w:val="nil"/>
            </w:tcBorders>
            <w:noWrap/>
            <w:vAlign w:val="center"/>
            <w:hideMark/>
          </w:tcPr>
          <w:p w:rsidR="00645874" w:rsidRPr="00A4257F" w:rsidRDefault="00645874" w:rsidP="00645874">
            <w:pPr>
              <w:spacing w:after="0"/>
              <w:rPr>
                <w:sz w:val="20"/>
                <w:szCs w:val="20"/>
              </w:rPr>
            </w:pPr>
          </w:p>
        </w:tc>
        <w:tc>
          <w:tcPr>
            <w:tcW w:w="2190" w:type="dxa"/>
            <w:tcBorders>
              <w:bottom w:val="nil"/>
            </w:tcBorders>
            <w:noWrap/>
            <w:vAlign w:val="center"/>
            <w:hideMark/>
          </w:tcPr>
          <w:p w:rsidR="00645874" w:rsidRPr="00A4257F" w:rsidRDefault="00645874" w:rsidP="00645874">
            <w:pPr>
              <w:spacing w:after="0"/>
              <w:rPr>
                <w:sz w:val="20"/>
                <w:szCs w:val="20"/>
              </w:rPr>
            </w:pPr>
          </w:p>
        </w:tc>
        <w:tc>
          <w:tcPr>
            <w:tcW w:w="2190" w:type="dxa"/>
            <w:tcBorders>
              <w:bottom w:val="nil"/>
            </w:tcBorders>
            <w:noWrap/>
            <w:vAlign w:val="center"/>
            <w:hideMark/>
          </w:tcPr>
          <w:p w:rsidR="00645874" w:rsidRPr="00A4257F" w:rsidRDefault="00645874" w:rsidP="00645874">
            <w:pPr>
              <w:spacing w:after="0"/>
              <w:rPr>
                <w:sz w:val="20"/>
                <w:szCs w:val="20"/>
              </w:rPr>
            </w:pPr>
          </w:p>
        </w:tc>
      </w:tr>
      <w:tr w:rsidR="00645874" w:rsidRPr="00645874" w:rsidTr="009543AF">
        <w:trPr>
          <w:trHeight w:val="70"/>
        </w:trPr>
        <w:tc>
          <w:tcPr>
            <w:tcW w:w="2790" w:type="dxa"/>
            <w:tcBorders>
              <w:top w:val="nil"/>
              <w:bottom w:val="nil"/>
            </w:tcBorders>
            <w:noWrap/>
            <w:vAlign w:val="center"/>
            <w:hideMark/>
          </w:tcPr>
          <w:p w:rsidR="00645874" w:rsidRPr="00A4257F" w:rsidRDefault="00645874" w:rsidP="00645874">
            <w:pPr>
              <w:spacing w:after="0"/>
              <w:rPr>
                <w:sz w:val="20"/>
                <w:szCs w:val="20"/>
              </w:rPr>
            </w:pPr>
            <w:r w:rsidRPr="00A4257F">
              <w:rPr>
                <w:sz w:val="20"/>
                <w:szCs w:val="20"/>
              </w:rPr>
              <w:t xml:space="preserve">   Taxis</w:t>
            </w:r>
          </w:p>
        </w:tc>
        <w:tc>
          <w:tcPr>
            <w:tcW w:w="2190" w:type="dxa"/>
            <w:tcBorders>
              <w:top w:val="nil"/>
              <w:bottom w:val="nil"/>
            </w:tcBorders>
            <w:noWrap/>
            <w:vAlign w:val="center"/>
            <w:hideMark/>
          </w:tcPr>
          <w:p w:rsidR="00645874" w:rsidRPr="00A4257F" w:rsidRDefault="00645874" w:rsidP="00645874">
            <w:pPr>
              <w:spacing w:after="0"/>
              <w:rPr>
                <w:sz w:val="20"/>
                <w:szCs w:val="20"/>
              </w:rPr>
            </w:pPr>
            <w:r w:rsidRPr="00A4257F">
              <w:rPr>
                <w:sz w:val="20"/>
                <w:szCs w:val="20"/>
              </w:rPr>
              <w:t>Every six months</w:t>
            </w:r>
          </w:p>
        </w:tc>
        <w:tc>
          <w:tcPr>
            <w:tcW w:w="2190" w:type="dxa"/>
            <w:tcBorders>
              <w:top w:val="nil"/>
              <w:bottom w:val="nil"/>
            </w:tcBorders>
            <w:noWrap/>
            <w:vAlign w:val="center"/>
            <w:hideMark/>
          </w:tcPr>
          <w:p w:rsidR="00645874" w:rsidRPr="00A4257F" w:rsidRDefault="00645874" w:rsidP="00645874">
            <w:pPr>
              <w:spacing w:after="0"/>
              <w:rPr>
                <w:sz w:val="20"/>
                <w:szCs w:val="20"/>
              </w:rPr>
            </w:pPr>
            <w:r w:rsidRPr="00A4257F">
              <w:rPr>
                <w:sz w:val="20"/>
                <w:szCs w:val="20"/>
              </w:rPr>
              <w:t>Every six months</w:t>
            </w:r>
          </w:p>
        </w:tc>
        <w:tc>
          <w:tcPr>
            <w:tcW w:w="2190" w:type="dxa"/>
            <w:tcBorders>
              <w:top w:val="nil"/>
              <w:bottom w:val="nil"/>
            </w:tcBorders>
            <w:noWrap/>
            <w:vAlign w:val="center"/>
            <w:hideMark/>
          </w:tcPr>
          <w:p w:rsidR="00645874" w:rsidRPr="00A4257F" w:rsidRDefault="00645874" w:rsidP="00645874">
            <w:pPr>
              <w:spacing w:after="0"/>
              <w:rPr>
                <w:sz w:val="20"/>
                <w:szCs w:val="20"/>
              </w:rPr>
            </w:pPr>
            <w:r w:rsidRPr="00A4257F">
              <w:rPr>
                <w:sz w:val="20"/>
                <w:szCs w:val="20"/>
              </w:rPr>
              <w:t>Every six months</w:t>
            </w:r>
          </w:p>
        </w:tc>
      </w:tr>
      <w:tr w:rsidR="00645874" w:rsidRPr="00645874" w:rsidTr="009543AF">
        <w:trPr>
          <w:trHeight w:val="70"/>
        </w:trPr>
        <w:tc>
          <w:tcPr>
            <w:tcW w:w="2790" w:type="dxa"/>
            <w:tcBorders>
              <w:top w:val="nil"/>
              <w:bottom w:val="nil"/>
            </w:tcBorders>
            <w:noWrap/>
            <w:vAlign w:val="center"/>
            <w:hideMark/>
          </w:tcPr>
          <w:p w:rsidR="00645874" w:rsidRPr="00A4257F" w:rsidRDefault="00645874" w:rsidP="00645874">
            <w:pPr>
              <w:spacing w:after="0"/>
              <w:rPr>
                <w:sz w:val="20"/>
                <w:szCs w:val="20"/>
              </w:rPr>
            </w:pPr>
            <w:r w:rsidRPr="00A4257F">
              <w:rPr>
                <w:sz w:val="20"/>
                <w:szCs w:val="20"/>
              </w:rPr>
              <w:t xml:space="preserve">   Public buses</w:t>
            </w:r>
          </w:p>
        </w:tc>
        <w:tc>
          <w:tcPr>
            <w:tcW w:w="2190" w:type="dxa"/>
            <w:tcBorders>
              <w:top w:val="nil"/>
              <w:bottom w:val="nil"/>
            </w:tcBorders>
            <w:noWrap/>
            <w:vAlign w:val="center"/>
            <w:hideMark/>
          </w:tcPr>
          <w:p w:rsidR="00645874" w:rsidRPr="00A4257F" w:rsidRDefault="00645874" w:rsidP="00645874">
            <w:pPr>
              <w:spacing w:after="0"/>
              <w:rPr>
                <w:sz w:val="20"/>
                <w:szCs w:val="20"/>
              </w:rPr>
            </w:pPr>
            <w:r w:rsidRPr="00A4257F">
              <w:rPr>
                <w:sz w:val="20"/>
                <w:szCs w:val="20"/>
              </w:rPr>
              <w:t>Every six months</w:t>
            </w:r>
          </w:p>
        </w:tc>
        <w:tc>
          <w:tcPr>
            <w:tcW w:w="2190" w:type="dxa"/>
            <w:tcBorders>
              <w:top w:val="nil"/>
              <w:bottom w:val="nil"/>
            </w:tcBorders>
            <w:noWrap/>
            <w:vAlign w:val="center"/>
            <w:hideMark/>
          </w:tcPr>
          <w:p w:rsidR="00645874" w:rsidRPr="00A4257F" w:rsidRDefault="00645874" w:rsidP="00645874">
            <w:pPr>
              <w:spacing w:after="0"/>
              <w:rPr>
                <w:sz w:val="20"/>
                <w:szCs w:val="20"/>
              </w:rPr>
            </w:pPr>
            <w:r w:rsidRPr="00A4257F">
              <w:rPr>
                <w:sz w:val="20"/>
                <w:szCs w:val="20"/>
              </w:rPr>
              <w:t>Every six months</w:t>
            </w:r>
          </w:p>
        </w:tc>
        <w:tc>
          <w:tcPr>
            <w:tcW w:w="2190" w:type="dxa"/>
            <w:tcBorders>
              <w:top w:val="nil"/>
              <w:bottom w:val="nil"/>
            </w:tcBorders>
            <w:noWrap/>
            <w:vAlign w:val="center"/>
            <w:hideMark/>
          </w:tcPr>
          <w:p w:rsidR="00645874" w:rsidRPr="00A4257F" w:rsidRDefault="00645874" w:rsidP="00645874">
            <w:pPr>
              <w:spacing w:after="0"/>
              <w:rPr>
                <w:sz w:val="20"/>
                <w:szCs w:val="20"/>
              </w:rPr>
            </w:pPr>
            <w:r w:rsidRPr="00A4257F">
              <w:rPr>
                <w:sz w:val="20"/>
                <w:szCs w:val="20"/>
              </w:rPr>
              <w:t>Every six months</w:t>
            </w:r>
          </w:p>
        </w:tc>
      </w:tr>
      <w:tr w:rsidR="00645874" w:rsidRPr="00645874" w:rsidTr="009543AF">
        <w:trPr>
          <w:trHeight w:val="70"/>
        </w:trPr>
        <w:tc>
          <w:tcPr>
            <w:tcW w:w="2790" w:type="dxa"/>
            <w:tcBorders>
              <w:top w:val="nil"/>
            </w:tcBorders>
            <w:noWrap/>
            <w:vAlign w:val="center"/>
            <w:hideMark/>
          </w:tcPr>
          <w:p w:rsidR="00645874" w:rsidRPr="00A4257F" w:rsidRDefault="00645874" w:rsidP="00645874">
            <w:pPr>
              <w:spacing w:after="0"/>
              <w:rPr>
                <w:sz w:val="20"/>
                <w:szCs w:val="20"/>
              </w:rPr>
            </w:pPr>
            <w:r w:rsidRPr="00A4257F">
              <w:rPr>
                <w:sz w:val="20"/>
                <w:szCs w:val="20"/>
              </w:rPr>
              <w:t xml:space="preserve">   Other buses</w:t>
            </w:r>
          </w:p>
        </w:tc>
        <w:tc>
          <w:tcPr>
            <w:tcW w:w="2190" w:type="dxa"/>
            <w:tcBorders>
              <w:top w:val="nil"/>
            </w:tcBorders>
            <w:noWrap/>
            <w:vAlign w:val="center"/>
            <w:hideMark/>
          </w:tcPr>
          <w:p w:rsidR="00645874" w:rsidRPr="00A4257F" w:rsidRDefault="00645874" w:rsidP="00645874">
            <w:pPr>
              <w:spacing w:after="0"/>
              <w:rPr>
                <w:sz w:val="20"/>
                <w:szCs w:val="20"/>
              </w:rPr>
            </w:pPr>
            <w:r w:rsidRPr="00A4257F">
              <w:rPr>
                <w:sz w:val="20"/>
                <w:szCs w:val="20"/>
              </w:rPr>
              <w:t>Annually</w:t>
            </w:r>
          </w:p>
        </w:tc>
        <w:tc>
          <w:tcPr>
            <w:tcW w:w="2190" w:type="dxa"/>
            <w:tcBorders>
              <w:top w:val="nil"/>
            </w:tcBorders>
            <w:noWrap/>
            <w:vAlign w:val="center"/>
            <w:hideMark/>
          </w:tcPr>
          <w:p w:rsidR="00645874" w:rsidRPr="00A4257F" w:rsidRDefault="00645874" w:rsidP="00645874">
            <w:pPr>
              <w:spacing w:after="0"/>
              <w:rPr>
                <w:sz w:val="20"/>
                <w:szCs w:val="20"/>
              </w:rPr>
            </w:pPr>
            <w:r w:rsidRPr="00A4257F">
              <w:rPr>
                <w:sz w:val="20"/>
                <w:szCs w:val="20"/>
              </w:rPr>
              <w:t>Annually</w:t>
            </w:r>
          </w:p>
        </w:tc>
        <w:tc>
          <w:tcPr>
            <w:tcW w:w="2190" w:type="dxa"/>
            <w:tcBorders>
              <w:top w:val="nil"/>
            </w:tcBorders>
            <w:noWrap/>
            <w:vAlign w:val="center"/>
            <w:hideMark/>
          </w:tcPr>
          <w:p w:rsidR="00645874" w:rsidRPr="00A4257F" w:rsidRDefault="00645874" w:rsidP="00645874">
            <w:pPr>
              <w:spacing w:after="0"/>
              <w:rPr>
                <w:sz w:val="20"/>
                <w:szCs w:val="20"/>
              </w:rPr>
            </w:pPr>
            <w:r w:rsidRPr="00A4257F">
              <w:rPr>
                <w:sz w:val="20"/>
                <w:szCs w:val="20"/>
              </w:rPr>
              <w:t>Annually</w:t>
            </w:r>
          </w:p>
        </w:tc>
      </w:tr>
      <w:tr w:rsidR="00645874" w:rsidRPr="00645874" w:rsidTr="009543AF">
        <w:trPr>
          <w:trHeight w:val="70"/>
        </w:trPr>
        <w:tc>
          <w:tcPr>
            <w:tcW w:w="2790" w:type="dxa"/>
            <w:noWrap/>
            <w:vAlign w:val="center"/>
            <w:hideMark/>
          </w:tcPr>
          <w:p w:rsidR="00645874" w:rsidRPr="00A4257F" w:rsidRDefault="00645874" w:rsidP="00645874">
            <w:pPr>
              <w:spacing w:after="0"/>
              <w:rPr>
                <w:sz w:val="20"/>
                <w:szCs w:val="20"/>
              </w:rPr>
            </w:pPr>
            <w:r w:rsidRPr="00A4257F">
              <w:rPr>
                <w:sz w:val="20"/>
                <w:szCs w:val="20"/>
              </w:rPr>
              <w:t>Trucks and goods vehicles</w:t>
            </w:r>
          </w:p>
        </w:tc>
        <w:tc>
          <w:tcPr>
            <w:tcW w:w="2190" w:type="dxa"/>
            <w:noWrap/>
            <w:vAlign w:val="center"/>
            <w:hideMark/>
          </w:tcPr>
          <w:p w:rsidR="00645874" w:rsidRPr="00A4257F" w:rsidRDefault="00645874" w:rsidP="00645874">
            <w:pPr>
              <w:spacing w:after="0"/>
              <w:rPr>
                <w:sz w:val="20"/>
                <w:szCs w:val="20"/>
              </w:rPr>
            </w:pPr>
            <w:r w:rsidRPr="00A4257F">
              <w:rPr>
                <w:sz w:val="20"/>
                <w:szCs w:val="20"/>
              </w:rPr>
              <w:t>Annually</w:t>
            </w:r>
          </w:p>
        </w:tc>
        <w:tc>
          <w:tcPr>
            <w:tcW w:w="2190" w:type="dxa"/>
            <w:noWrap/>
            <w:vAlign w:val="center"/>
            <w:hideMark/>
          </w:tcPr>
          <w:p w:rsidR="00645874" w:rsidRPr="00A4257F" w:rsidRDefault="00645874" w:rsidP="00645874">
            <w:pPr>
              <w:spacing w:after="0"/>
              <w:rPr>
                <w:sz w:val="20"/>
                <w:szCs w:val="20"/>
              </w:rPr>
            </w:pPr>
            <w:r w:rsidRPr="00A4257F">
              <w:rPr>
                <w:sz w:val="20"/>
                <w:szCs w:val="20"/>
              </w:rPr>
              <w:t>Annually</w:t>
            </w:r>
          </w:p>
        </w:tc>
        <w:tc>
          <w:tcPr>
            <w:tcW w:w="2190" w:type="dxa"/>
            <w:noWrap/>
            <w:vAlign w:val="center"/>
            <w:hideMark/>
          </w:tcPr>
          <w:p w:rsidR="00645874" w:rsidRPr="00A4257F" w:rsidRDefault="00645874" w:rsidP="00645874">
            <w:pPr>
              <w:spacing w:after="0"/>
              <w:rPr>
                <w:sz w:val="20"/>
                <w:szCs w:val="20"/>
              </w:rPr>
            </w:pPr>
            <w:r w:rsidRPr="00A4257F">
              <w:rPr>
                <w:sz w:val="20"/>
                <w:szCs w:val="20"/>
              </w:rPr>
              <w:t>Every six months</w:t>
            </w:r>
          </w:p>
        </w:tc>
      </w:tr>
      <w:tr w:rsidR="00645874" w:rsidRPr="00645874" w:rsidTr="009543AF">
        <w:trPr>
          <w:trHeight w:val="70"/>
        </w:trPr>
        <w:tc>
          <w:tcPr>
            <w:tcW w:w="2790" w:type="dxa"/>
            <w:noWrap/>
            <w:vAlign w:val="center"/>
            <w:hideMark/>
          </w:tcPr>
          <w:p w:rsidR="00645874" w:rsidRPr="00A4257F" w:rsidRDefault="00645874" w:rsidP="00645874">
            <w:pPr>
              <w:spacing w:after="0"/>
              <w:rPr>
                <w:sz w:val="20"/>
                <w:szCs w:val="20"/>
              </w:rPr>
            </w:pPr>
            <w:r w:rsidRPr="00A4257F">
              <w:rPr>
                <w:sz w:val="20"/>
                <w:szCs w:val="20"/>
              </w:rPr>
              <w:t>All other heavy vehicles</w:t>
            </w:r>
          </w:p>
        </w:tc>
        <w:tc>
          <w:tcPr>
            <w:tcW w:w="2190" w:type="dxa"/>
            <w:noWrap/>
            <w:vAlign w:val="center"/>
            <w:hideMark/>
          </w:tcPr>
          <w:p w:rsidR="00645874" w:rsidRPr="00A4257F" w:rsidRDefault="00645874" w:rsidP="00645874">
            <w:pPr>
              <w:spacing w:after="0"/>
              <w:rPr>
                <w:sz w:val="20"/>
                <w:szCs w:val="20"/>
              </w:rPr>
            </w:pPr>
            <w:r w:rsidRPr="00A4257F">
              <w:rPr>
                <w:sz w:val="20"/>
                <w:szCs w:val="20"/>
              </w:rPr>
              <w:t>Annually</w:t>
            </w:r>
          </w:p>
        </w:tc>
        <w:tc>
          <w:tcPr>
            <w:tcW w:w="2190" w:type="dxa"/>
            <w:noWrap/>
            <w:vAlign w:val="center"/>
            <w:hideMark/>
          </w:tcPr>
          <w:p w:rsidR="00645874" w:rsidRPr="00A4257F" w:rsidRDefault="00645874" w:rsidP="00645874">
            <w:pPr>
              <w:spacing w:after="0"/>
              <w:rPr>
                <w:sz w:val="20"/>
                <w:szCs w:val="20"/>
              </w:rPr>
            </w:pPr>
            <w:r w:rsidRPr="00A4257F">
              <w:rPr>
                <w:sz w:val="20"/>
                <w:szCs w:val="20"/>
              </w:rPr>
              <w:t>Annually</w:t>
            </w:r>
          </w:p>
        </w:tc>
        <w:tc>
          <w:tcPr>
            <w:tcW w:w="2190" w:type="dxa"/>
            <w:noWrap/>
            <w:vAlign w:val="center"/>
            <w:hideMark/>
          </w:tcPr>
          <w:p w:rsidR="00645874" w:rsidRPr="00A4257F" w:rsidRDefault="00645874" w:rsidP="00645874">
            <w:pPr>
              <w:spacing w:after="0"/>
              <w:rPr>
                <w:sz w:val="20"/>
                <w:szCs w:val="20"/>
              </w:rPr>
            </w:pPr>
            <w:r w:rsidRPr="00A4257F">
              <w:rPr>
                <w:sz w:val="20"/>
                <w:szCs w:val="20"/>
              </w:rPr>
              <w:t>Every six months</w:t>
            </w:r>
          </w:p>
        </w:tc>
      </w:tr>
    </w:tbl>
    <w:p w:rsidR="00A4257F" w:rsidRPr="00961A10" w:rsidRDefault="00A4257F" w:rsidP="00A4257F">
      <w:pPr>
        <w:spacing w:after="0"/>
        <w:rPr>
          <w:i/>
          <w:sz w:val="18"/>
          <w:szCs w:val="18"/>
        </w:rPr>
      </w:pPr>
      <w:r w:rsidRPr="00961A10">
        <w:rPr>
          <w:i/>
          <w:sz w:val="18"/>
          <w:szCs w:val="18"/>
        </w:rPr>
        <w:t>Note: Life span of all private hire cars and taxis is seven years.</w:t>
      </w:r>
    </w:p>
    <w:p w:rsidR="00A4257F" w:rsidRPr="00961A10" w:rsidRDefault="00A4257F" w:rsidP="00486A25">
      <w:pPr>
        <w:spacing w:after="240"/>
        <w:rPr>
          <w:i/>
          <w:sz w:val="18"/>
          <w:szCs w:val="18"/>
        </w:rPr>
      </w:pPr>
      <w:r w:rsidRPr="00961A10">
        <w:rPr>
          <w:i/>
          <w:sz w:val="18"/>
          <w:szCs w:val="18"/>
        </w:rPr>
        <w:t>Source: Registry of Vehicles 1993</w:t>
      </w:r>
    </w:p>
    <w:p w:rsidR="009543AF" w:rsidRDefault="009543AF" w:rsidP="008219F1">
      <w:pPr>
        <w:rPr>
          <w:lang w:eastAsia="ko-KR"/>
        </w:rPr>
      </w:pPr>
    </w:p>
    <w:p w:rsidR="00A074B4" w:rsidRDefault="00A074B4">
      <w:pPr>
        <w:spacing w:after="200"/>
        <w:jc w:val="left"/>
        <w:rPr>
          <w:rFonts w:eastAsiaTheme="majorEastAsia"/>
          <w:bCs/>
          <w:sz w:val="24"/>
          <w:szCs w:val="24"/>
          <w:u w:val="single"/>
        </w:rPr>
      </w:pPr>
      <w:bookmarkStart w:id="66" w:name="_Ref307415950"/>
      <w:r>
        <w:br w:type="page"/>
      </w:r>
    </w:p>
    <w:p w:rsidR="006F1A2C" w:rsidRPr="00A24018" w:rsidRDefault="00F52B0A" w:rsidP="00BA2792">
      <w:pPr>
        <w:pStyle w:val="Heading2"/>
      </w:pPr>
      <w:bookmarkStart w:id="67" w:name="_Toc326892934"/>
      <w:r>
        <w:lastRenderedPageBreak/>
        <w:t xml:space="preserve">Promote </w:t>
      </w:r>
      <w:r w:rsidR="00071B36">
        <w:t xml:space="preserve">Low Emission </w:t>
      </w:r>
      <w:r>
        <w:t xml:space="preserve">Freight Transport </w:t>
      </w:r>
      <w:r w:rsidR="00071B36">
        <w:t>Modes</w:t>
      </w:r>
      <w:bookmarkEnd w:id="67"/>
    </w:p>
    <w:p w:rsidR="006F1A2C" w:rsidRPr="00E046E9" w:rsidRDefault="006F1A2C" w:rsidP="00525183">
      <w:pPr>
        <w:spacing w:after="80"/>
        <w:rPr>
          <w:b/>
          <w:i/>
        </w:rPr>
      </w:pPr>
      <w:r w:rsidRPr="00E046E9">
        <w:rPr>
          <w:b/>
          <w:i/>
        </w:rPr>
        <w:t>Why this measure?</w:t>
      </w:r>
    </w:p>
    <w:p w:rsidR="001B6F7A" w:rsidRDefault="001B6F7A" w:rsidP="001B6F7A">
      <w:r w:rsidRPr="0083585F">
        <w:rPr>
          <w:b/>
        </w:rPr>
        <w:t>Current condition</w:t>
      </w:r>
      <w:r>
        <w:rPr>
          <w:b/>
        </w:rPr>
        <w:t xml:space="preserve">: </w:t>
      </w:r>
      <w:r w:rsidR="00112F0C">
        <w:rPr>
          <w:b/>
        </w:rPr>
        <w:t xml:space="preserve">international </w:t>
      </w:r>
      <w:r w:rsidR="00C85E99">
        <w:rPr>
          <w:b/>
        </w:rPr>
        <w:t xml:space="preserve">truck </w:t>
      </w:r>
      <w:r w:rsidR="00112F0C">
        <w:rPr>
          <w:b/>
        </w:rPr>
        <w:t xml:space="preserve">transit </w:t>
      </w:r>
      <w:r w:rsidR="00E52778">
        <w:rPr>
          <w:b/>
        </w:rPr>
        <w:t>traffic</w:t>
      </w:r>
      <w:r w:rsidR="00112F0C">
        <w:rPr>
          <w:b/>
        </w:rPr>
        <w:t xml:space="preserve"> is increasing, </w:t>
      </w:r>
      <w:r w:rsidR="00E52778">
        <w:rPr>
          <w:b/>
        </w:rPr>
        <w:t>in absolute term</w:t>
      </w:r>
      <w:r w:rsidR="00AE67B5">
        <w:rPr>
          <w:b/>
        </w:rPr>
        <w:t>s</w:t>
      </w:r>
      <w:r w:rsidR="00E52778">
        <w:rPr>
          <w:b/>
        </w:rPr>
        <w:t xml:space="preserve"> and relative</w:t>
      </w:r>
      <w:r w:rsidR="00C85E99">
        <w:rPr>
          <w:b/>
        </w:rPr>
        <w:t>ly</w:t>
      </w:r>
      <w:r w:rsidR="00E52778">
        <w:rPr>
          <w:b/>
        </w:rPr>
        <w:t xml:space="preserve"> </w:t>
      </w:r>
      <w:r w:rsidR="007362BA">
        <w:rPr>
          <w:b/>
        </w:rPr>
        <w:t xml:space="preserve">to </w:t>
      </w:r>
      <w:r w:rsidR="00112F0C">
        <w:rPr>
          <w:b/>
        </w:rPr>
        <w:t xml:space="preserve">total road freight transport </w:t>
      </w:r>
      <w:r w:rsidR="007362BA" w:rsidRPr="007362BA">
        <w:rPr>
          <w:b/>
        </w:rPr>
        <w:t>(</w:t>
      </w:r>
      <w:fldSimple w:instr=" REF _Ref323914855 \h  \* MERGEFORMAT ">
        <w:r w:rsidR="00AA3F1A" w:rsidRPr="00AA3F1A">
          <w:rPr>
            <w:b/>
          </w:rPr>
          <w:t xml:space="preserve">Figure </w:t>
        </w:r>
        <w:r w:rsidR="00AA3F1A" w:rsidRPr="00AA3F1A">
          <w:rPr>
            <w:b/>
            <w:noProof/>
          </w:rPr>
          <w:t>15</w:t>
        </w:r>
      </w:fldSimple>
      <w:r w:rsidR="007362BA" w:rsidRPr="007362BA">
        <w:rPr>
          <w:b/>
        </w:rPr>
        <w:t xml:space="preserve">) </w:t>
      </w:r>
      <w:r w:rsidR="00112F0C" w:rsidRPr="007362BA">
        <w:rPr>
          <w:b/>
        </w:rPr>
        <w:t>and total transit transport</w:t>
      </w:r>
      <w:r w:rsidR="00C85E99">
        <w:rPr>
          <w:b/>
        </w:rPr>
        <w:t xml:space="preserve">; the </w:t>
      </w:r>
      <w:r w:rsidR="00112F0C" w:rsidRPr="007362BA">
        <w:rPr>
          <w:b/>
        </w:rPr>
        <w:t>rail</w:t>
      </w:r>
      <w:r w:rsidR="00C85E99">
        <w:rPr>
          <w:b/>
        </w:rPr>
        <w:t xml:space="preserve"> transport share is declining </w:t>
      </w:r>
      <w:r w:rsidR="007362BA" w:rsidRPr="007362BA">
        <w:rPr>
          <w:b/>
        </w:rPr>
        <w:t>(</w:t>
      </w:r>
      <w:fldSimple w:instr=" REF _Ref324248598 \h  \* MERGEFORMAT ">
        <w:r w:rsidR="00AA3F1A" w:rsidRPr="00AA3F1A">
          <w:rPr>
            <w:b/>
          </w:rPr>
          <w:t xml:space="preserve">Figure </w:t>
        </w:r>
        <w:r w:rsidR="00AA3F1A" w:rsidRPr="00AA3F1A">
          <w:rPr>
            <w:b/>
            <w:noProof/>
          </w:rPr>
          <w:t>16</w:t>
        </w:r>
      </w:fldSimple>
      <w:r w:rsidR="007362BA" w:rsidRPr="007362BA">
        <w:rPr>
          <w:b/>
        </w:rPr>
        <w:t>)</w:t>
      </w:r>
      <w:r w:rsidR="00227C71" w:rsidRPr="00A818E5">
        <w:t xml:space="preserve">.  </w:t>
      </w:r>
      <w:r w:rsidR="007362BA" w:rsidRPr="00A818E5">
        <w:t xml:space="preserve">Since 2006, </w:t>
      </w:r>
      <w:r w:rsidR="00227C71" w:rsidRPr="00A818E5">
        <w:t>t</w:t>
      </w:r>
      <w:r w:rsidR="007362BA" w:rsidRPr="00A818E5">
        <w:t xml:space="preserve">otal </w:t>
      </w:r>
      <w:r w:rsidR="00C85E99">
        <w:t xml:space="preserve">annual </w:t>
      </w:r>
      <w:r w:rsidR="007362BA" w:rsidRPr="00A818E5">
        <w:t xml:space="preserve">international freight transport by road </w:t>
      </w:r>
      <w:r w:rsidR="00AE67B5">
        <w:t>has been</w:t>
      </w:r>
      <w:r w:rsidR="00AE67B5" w:rsidRPr="00A818E5">
        <w:t xml:space="preserve"> </w:t>
      </w:r>
      <w:r w:rsidR="007362BA" w:rsidRPr="00A818E5">
        <w:t>growing at an average of 13 percent</w:t>
      </w:r>
      <w:r w:rsidR="00C85E99">
        <w:t xml:space="preserve">; annual </w:t>
      </w:r>
      <w:r w:rsidR="007362BA" w:rsidRPr="007362BA">
        <w:t xml:space="preserve">transit </w:t>
      </w:r>
      <w:r w:rsidR="007362BA">
        <w:t xml:space="preserve">cargo is </w:t>
      </w:r>
      <w:r w:rsidR="007362BA" w:rsidRPr="007362BA">
        <w:t>growing at 21 percent per annum</w:t>
      </w:r>
      <w:r w:rsidR="00C85E99">
        <w:t xml:space="preserve">.  In contrast, </w:t>
      </w:r>
      <w:r w:rsidR="007362BA">
        <w:t xml:space="preserve">railway cargo throughput has fluctuated and </w:t>
      </w:r>
      <w:r w:rsidR="00C85E99">
        <w:t xml:space="preserve">declined </w:t>
      </w:r>
      <w:r w:rsidR="007362BA">
        <w:t xml:space="preserve">during the recession. If these trends continue, </w:t>
      </w:r>
      <w:r w:rsidR="00C85E99">
        <w:t xml:space="preserve">road transit transport </w:t>
      </w:r>
      <w:r w:rsidR="007362BA">
        <w:t xml:space="preserve">externalities will continue </w:t>
      </w:r>
      <w:r w:rsidR="00C85E99">
        <w:t>to rise within Georgian territory</w:t>
      </w:r>
      <w:r w:rsidR="007362BA">
        <w:t>, including local emissions, GHG emission</w:t>
      </w:r>
      <w:r w:rsidR="00C85E99">
        <w:t>s</w:t>
      </w:r>
      <w:r w:rsidR="007362BA">
        <w:t xml:space="preserve">, traffic congestion, and </w:t>
      </w:r>
      <w:r w:rsidR="00C85E99">
        <w:t xml:space="preserve">collisions </w:t>
      </w:r>
      <w:r w:rsidR="007362BA">
        <w:t>and casualties</w:t>
      </w:r>
      <w:r w:rsidR="00AE67B5">
        <w:t>.</w:t>
      </w:r>
      <w:r w:rsidR="007362BA" w:rsidRPr="0010601C">
        <w:rPr>
          <w:rStyle w:val="FootnoteReference"/>
        </w:rPr>
        <w:footnoteReference w:id="33"/>
      </w:r>
      <w:r w:rsidR="007362BA">
        <w:t xml:space="preserve">  </w:t>
      </w:r>
      <w:r w:rsidR="004640D4">
        <w:t xml:space="preserve">In </w:t>
      </w:r>
      <w:r w:rsidR="007362BA">
        <w:t>2010, total fuel consumption by road freight transport</w:t>
      </w:r>
      <w:r w:rsidR="00C85E99">
        <w:t xml:space="preserve"> (</w:t>
      </w:r>
      <w:r w:rsidR="007362BA">
        <w:t>including both international and local goods movement</w:t>
      </w:r>
      <w:r w:rsidR="00C85E99">
        <w:t>)</w:t>
      </w:r>
      <w:r w:rsidR="007362BA">
        <w:t xml:space="preserve"> </w:t>
      </w:r>
      <w:r w:rsidR="004640D4">
        <w:t xml:space="preserve">was </w:t>
      </w:r>
      <w:r w:rsidR="00C85E99">
        <w:t xml:space="preserve">an </w:t>
      </w:r>
      <w:r w:rsidR="007362BA">
        <w:t xml:space="preserve">estimated </w:t>
      </w:r>
      <w:r w:rsidR="00E72EC9" w:rsidRPr="00E72EC9">
        <w:t xml:space="preserve">462 thousand </w:t>
      </w:r>
      <w:r w:rsidR="007362BA" w:rsidRPr="00E72EC9">
        <w:t xml:space="preserve">tons (about </w:t>
      </w:r>
      <w:r w:rsidR="00E72EC9" w:rsidRPr="00E72EC9">
        <w:t>49</w:t>
      </w:r>
      <w:r w:rsidR="007362BA" w:rsidRPr="00E72EC9">
        <w:t xml:space="preserve"> percent of total fuel consumption)</w:t>
      </w:r>
      <w:r w:rsidR="00C85E99">
        <w:t>;</w:t>
      </w:r>
      <w:r w:rsidR="007362BA" w:rsidRPr="00E72EC9">
        <w:t xml:space="preserve"> NOx emissions </w:t>
      </w:r>
      <w:r w:rsidR="00E72EC9" w:rsidRPr="00E72EC9">
        <w:t xml:space="preserve">20 thousand </w:t>
      </w:r>
      <w:r w:rsidR="007362BA" w:rsidRPr="00E72EC9">
        <w:t xml:space="preserve">tons (about </w:t>
      </w:r>
      <w:r w:rsidR="00E72EC9" w:rsidRPr="00E72EC9">
        <w:t xml:space="preserve">78 </w:t>
      </w:r>
      <w:r w:rsidR="007362BA" w:rsidRPr="00E72EC9">
        <w:t xml:space="preserve">percent of total emissions), and PM emissions </w:t>
      </w:r>
      <w:r w:rsidR="00E72EC9" w:rsidRPr="00E72EC9">
        <w:t xml:space="preserve">900 </w:t>
      </w:r>
      <w:r w:rsidR="007362BA" w:rsidRPr="00E72EC9">
        <w:t xml:space="preserve">tons (about </w:t>
      </w:r>
      <w:r w:rsidR="00E72EC9" w:rsidRPr="00E72EC9">
        <w:t xml:space="preserve">88 </w:t>
      </w:r>
      <w:r w:rsidR="007362BA" w:rsidRPr="00E72EC9">
        <w:t>percent of total emission</w:t>
      </w:r>
      <w:r w:rsidR="00C85E99">
        <w:t>s</w:t>
      </w:r>
      <w:r w:rsidR="007362BA" w:rsidRPr="00E72EC9">
        <w:t>), per</w:t>
      </w:r>
      <w:r w:rsidR="007362BA">
        <w:t xml:space="preserve"> year.</w:t>
      </w:r>
      <w:r w:rsidR="004640D4">
        <w:rPr>
          <w:rStyle w:val="FootnoteReference"/>
        </w:rPr>
        <w:footnoteReference w:id="34"/>
      </w:r>
    </w:p>
    <w:tbl>
      <w:tblPr>
        <w:tblStyle w:val="TableGrid"/>
        <w:tblW w:w="9714" w:type="dxa"/>
        <w:jc w:val="center"/>
        <w:tblLayout w:type="fixed"/>
        <w:tblCellMar>
          <w:left w:w="0" w:type="dxa"/>
          <w:right w:w="0" w:type="dxa"/>
        </w:tblCellMar>
        <w:tblLook w:val="04A0"/>
      </w:tblPr>
      <w:tblGrid>
        <w:gridCol w:w="4765"/>
        <w:gridCol w:w="4765"/>
        <w:gridCol w:w="184"/>
      </w:tblGrid>
      <w:tr w:rsidR="005870D8" w:rsidTr="005870D8">
        <w:trPr>
          <w:gridAfter w:val="1"/>
          <w:wAfter w:w="184" w:type="dxa"/>
          <w:jc w:val="center"/>
        </w:trPr>
        <w:tc>
          <w:tcPr>
            <w:tcW w:w="4765" w:type="dxa"/>
            <w:tcBorders>
              <w:top w:val="nil"/>
              <w:left w:val="nil"/>
              <w:bottom w:val="single" w:sz="4" w:space="0" w:color="auto"/>
              <w:right w:val="nil"/>
            </w:tcBorders>
          </w:tcPr>
          <w:p w:rsidR="005870D8" w:rsidRPr="005631F9" w:rsidRDefault="005870D8" w:rsidP="00C85E99">
            <w:pPr>
              <w:spacing w:before="120" w:after="60"/>
              <w:jc w:val="center"/>
              <w:rPr>
                <w:sz w:val="20"/>
                <w:szCs w:val="20"/>
              </w:rPr>
            </w:pPr>
            <w:bookmarkStart w:id="68" w:name="_Ref323914855"/>
            <w:bookmarkStart w:id="69" w:name="_Toc326892836"/>
            <w:r w:rsidRPr="00394B4B">
              <w:rPr>
                <w:b/>
                <w:sz w:val="20"/>
                <w:szCs w:val="20"/>
              </w:rPr>
              <w:t xml:space="preserve">Figure </w:t>
            </w:r>
            <w:r w:rsidR="001A7AF8" w:rsidRPr="00394B4B">
              <w:rPr>
                <w:b/>
                <w:sz w:val="20"/>
                <w:szCs w:val="20"/>
              </w:rPr>
              <w:fldChar w:fldCharType="begin"/>
            </w:r>
            <w:r w:rsidRPr="00394B4B">
              <w:rPr>
                <w:b/>
                <w:sz w:val="20"/>
                <w:szCs w:val="20"/>
              </w:rPr>
              <w:instrText xml:space="preserve"> SEQ Figure \* ARABIC </w:instrText>
            </w:r>
            <w:r w:rsidR="001A7AF8" w:rsidRPr="00394B4B">
              <w:rPr>
                <w:b/>
                <w:sz w:val="20"/>
                <w:szCs w:val="20"/>
              </w:rPr>
              <w:fldChar w:fldCharType="separate"/>
            </w:r>
            <w:r w:rsidR="00AA3F1A">
              <w:rPr>
                <w:b/>
                <w:noProof/>
                <w:sz w:val="20"/>
                <w:szCs w:val="20"/>
              </w:rPr>
              <w:t>15</w:t>
            </w:r>
            <w:r w:rsidR="001A7AF8" w:rsidRPr="00394B4B">
              <w:rPr>
                <w:b/>
                <w:sz w:val="20"/>
                <w:szCs w:val="20"/>
              </w:rPr>
              <w:fldChar w:fldCharType="end"/>
            </w:r>
            <w:bookmarkEnd w:id="68"/>
            <w:r w:rsidRPr="00394B4B">
              <w:rPr>
                <w:sz w:val="20"/>
                <w:szCs w:val="20"/>
              </w:rPr>
              <w:t xml:space="preserve">: </w:t>
            </w:r>
            <w:r>
              <w:rPr>
                <w:sz w:val="20"/>
                <w:szCs w:val="20"/>
              </w:rPr>
              <w:t xml:space="preserve">The </w:t>
            </w:r>
            <w:r w:rsidR="00C13431">
              <w:rPr>
                <w:sz w:val="20"/>
                <w:szCs w:val="20"/>
              </w:rPr>
              <w:t xml:space="preserve">growing </w:t>
            </w:r>
            <w:r>
              <w:rPr>
                <w:sz w:val="20"/>
                <w:szCs w:val="20"/>
              </w:rPr>
              <w:t xml:space="preserve">share of transit </w:t>
            </w:r>
            <w:r w:rsidR="00A2135B">
              <w:rPr>
                <w:sz w:val="20"/>
                <w:szCs w:val="20"/>
              </w:rPr>
              <w:t>cargo</w:t>
            </w:r>
            <w:r>
              <w:rPr>
                <w:sz w:val="20"/>
                <w:szCs w:val="20"/>
              </w:rPr>
              <w:t xml:space="preserve"> of total </w:t>
            </w:r>
            <w:r w:rsidR="00A2135B">
              <w:rPr>
                <w:sz w:val="20"/>
                <w:szCs w:val="20"/>
              </w:rPr>
              <w:t xml:space="preserve">international </w:t>
            </w:r>
            <w:r>
              <w:rPr>
                <w:sz w:val="20"/>
                <w:szCs w:val="20"/>
              </w:rPr>
              <w:t>road transport</w:t>
            </w:r>
            <w:bookmarkEnd w:id="69"/>
          </w:p>
        </w:tc>
        <w:tc>
          <w:tcPr>
            <w:tcW w:w="4765" w:type="dxa"/>
            <w:tcBorders>
              <w:top w:val="nil"/>
              <w:left w:val="nil"/>
              <w:bottom w:val="single" w:sz="4" w:space="0" w:color="auto"/>
              <w:right w:val="nil"/>
            </w:tcBorders>
          </w:tcPr>
          <w:p w:rsidR="005870D8" w:rsidRPr="00394B4B" w:rsidRDefault="005870D8" w:rsidP="00C85E99">
            <w:pPr>
              <w:spacing w:before="120" w:after="60"/>
              <w:jc w:val="center"/>
              <w:rPr>
                <w:b/>
                <w:sz w:val="20"/>
                <w:szCs w:val="20"/>
              </w:rPr>
            </w:pPr>
            <w:bookmarkStart w:id="70" w:name="_Ref324248598"/>
            <w:bookmarkStart w:id="71" w:name="_Toc326892837"/>
            <w:r w:rsidRPr="00394B4B">
              <w:rPr>
                <w:b/>
                <w:sz w:val="20"/>
                <w:szCs w:val="20"/>
              </w:rPr>
              <w:t xml:space="preserve">Figure </w:t>
            </w:r>
            <w:r w:rsidR="001A7AF8" w:rsidRPr="00394B4B">
              <w:rPr>
                <w:b/>
                <w:sz w:val="20"/>
                <w:szCs w:val="20"/>
              </w:rPr>
              <w:fldChar w:fldCharType="begin"/>
            </w:r>
            <w:r w:rsidRPr="00394B4B">
              <w:rPr>
                <w:b/>
                <w:sz w:val="20"/>
                <w:szCs w:val="20"/>
              </w:rPr>
              <w:instrText xml:space="preserve"> SEQ Figure \* ARABIC </w:instrText>
            </w:r>
            <w:r w:rsidR="001A7AF8" w:rsidRPr="00394B4B">
              <w:rPr>
                <w:b/>
                <w:sz w:val="20"/>
                <w:szCs w:val="20"/>
              </w:rPr>
              <w:fldChar w:fldCharType="separate"/>
            </w:r>
            <w:r w:rsidR="00096FD0">
              <w:rPr>
                <w:b/>
                <w:noProof/>
                <w:sz w:val="20"/>
                <w:szCs w:val="20"/>
              </w:rPr>
              <w:t>16</w:t>
            </w:r>
            <w:r w:rsidR="001A7AF8" w:rsidRPr="00394B4B">
              <w:rPr>
                <w:b/>
                <w:sz w:val="20"/>
                <w:szCs w:val="20"/>
              </w:rPr>
              <w:fldChar w:fldCharType="end"/>
            </w:r>
            <w:bookmarkEnd w:id="70"/>
            <w:r w:rsidRPr="00394B4B">
              <w:rPr>
                <w:sz w:val="20"/>
                <w:szCs w:val="20"/>
              </w:rPr>
              <w:t xml:space="preserve">: </w:t>
            </w:r>
            <w:r w:rsidR="008F6A97">
              <w:rPr>
                <w:sz w:val="20"/>
                <w:szCs w:val="20"/>
              </w:rPr>
              <w:t xml:space="preserve">The </w:t>
            </w:r>
            <w:r w:rsidR="00C13431">
              <w:rPr>
                <w:sz w:val="20"/>
                <w:szCs w:val="20"/>
              </w:rPr>
              <w:t xml:space="preserve">decreasing </w:t>
            </w:r>
            <w:r>
              <w:rPr>
                <w:sz w:val="20"/>
                <w:szCs w:val="20"/>
              </w:rPr>
              <w:t>share of rail</w:t>
            </w:r>
            <w:r w:rsidR="00F64295">
              <w:rPr>
                <w:sz w:val="20"/>
                <w:szCs w:val="20"/>
              </w:rPr>
              <w:t>way</w:t>
            </w:r>
            <w:r>
              <w:rPr>
                <w:sz w:val="20"/>
                <w:szCs w:val="20"/>
              </w:rPr>
              <w:t xml:space="preserve"> transport</w:t>
            </w:r>
            <w:r w:rsidR="001B6F7A" w:rsidRPr="001B6F7A">
              <w:rPr>
                <w:sz w:val="20"/>
                <w:szCs w:val="20"/>
                <w:vertAlign w:val="superscript"/>
              </w:rPr>
              <w:t>†</w:t>
            </w:r>
            <w:r>
              <w:rPr>
                <w:sz w:val="20"/>
                <w:szCs w:val="20"/>
              </w:rPr>
              <w:t xml:space="preserve"> </w:t>
            </w:r>
            <w:r w:rsidR="009D0CBB">
              <w:rPr>
                <w:sz w:val="20"/>
                <w:szCs w:val="20"/>
              </w:rPr>
              <w:t>of total transit cargo</w:t>
            </w:r>
            <w:bookmarkEnd w:id="71"/>
          </w:p>
        </w:tc>
      </w:tr>
      <w:tr w:rsidR="005870D8" w:rsidTr="005870D8">
        <w:trPr>
          <w:gridAfter w:val="1"/>
          <w:wAfter w:w="184" w:type="dxa"/>
          <w:trHeight w:val="3878"/>
          <w:jc w:val="center"/>
        </w:trPr>
        <w:tc>
          <w:tcPr>
            <w:tcW w:w="4765" w:type="dxa"/>
            <w:tcBorders>
              <w:bottom w:val="single" w:sz="4" w:space="0" w:color="auto"/>
            </w:tcBorders>
          </w:tcPr>
          <w:p w:rsidR="005870D8" w:rsidRDefault="005870D8" w:rsidP="005870D8">
            <w:pPr>
              <w:spacing w:after="0"/>
              <w:jc w:val="center"/>
            </w:pPr>
            <w:r w:rsidRPr="005870D8">
              <w:rPr>
                <w:noProof/>
                <w:lang w:bidi="ar-SA"/>
              </w:rPr>
              <w:drawing>
                <wp:inline distT="0" distB="0" distL="0" distR="0">
                  <wp:extent cx="2971800" cy="2581275"/>
                  <wp:effectExtent l="0" t="0" r="0" b="0"/>
                  <wp:docPr id="2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c>
          <w:tcPr>
            <w:tcW w:w="4765" w:type="dxa"/>
            <w:tcBorders>
              <w:bottom w:val="single" w:sz="4" w:space="0" w:color="auto"/>
            </w:tcBorders>
          </w:tcPr>
          <w:p w:rsidR="005870D8" w:rsidRPr="00A00828" w:rsidRDefault="005870D8" w:rsidP="005870D8">
            <w:pPr>
              <w:spacing w:after="0"/>
              <w:jc w:val="center"/>
              <w:rPr>
                <w:noProof/>
                <w:lang w:eastAsia="ko-KR" w:bidi="ar-SA"/>
              </w:rPr>
            </w:pPr>
            <w:r w:rsidRPr="005870D8">
              <w:rPr>
                <w:noProof/>
                <w:lang w:bidi="ar-SA"/>
              </w:rPr>
              <w:drawing>
                <wp:inline distT="0" distB="0" distL="0" distR="0">
                  <wp:extent cx="2962275" cy="2581275"/>
                  <wp:effectExtent l="0" t="0" r="0" b="0"/>
                  <wp:docPr id="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r>
      <w:tr w:rsidR="004670A3" w:rsidRPr="00961A10" w:rsidTr="007362BA">
        <w:trPr>
          <w:jc w:val="center"/>
        </w:trPr>
        <w:tc>
          <w:tcPr>
            <w:tcW w:w="9714" w:type="dxa"/>
            <w:gridSpan w:val="3"/>
            <w:tcBorders>
              <w:left w:val="nil"/>
              <w:bottom w:val="nil"/>
              <w:right w:val="nil"/>
            </w:tcBorders>
            <w:tcMar>
              <w:top w:w="14" w:type="dxa"/>
              <w:left w:w="43" w:type="dxa"/>
              <w:bottom w:w="14" w:type="dxa"/>
              <w:right w:w="43" w:type="dxa"/>
            </w:tcMar>
          </w:tcPr>
          <w:p w:rsidR="004670A3" w:rsidRPr="00961A10" w:rsidRDefault="004670A3" w:rsidP="00C85AA5">
            <w:pPr>
              <w:spacing w:after="0"/>
              <w:jc w:val="center"/>
              <w:rPr>
                <w:i/>
                <w:sz w:val="18"/>
                <w:szCs w:val="18"/>
              </w:rPr>
            </w:pPr>
            <w:r w:rsidRPr="00961A10">
              <w:rPr>
                <w:i/>
                <w:sz w:val="18"/>
                <w:szCs w:val="18"/>
              </w:rPr>
              <w:t xml:space="preserve">Source:  </w:t>
            </w:r>
            <w:r w:rsidR="004B2646">
              <w:rPr>
                <w:i/>
                <w:sz w:val="18"/>
                <w:szCs w:val="18"/>
              </w:rPr>
              <w:t xml:space="preserve">WB staff calculation based on the data from the </w:t>
            </w:r>
            <w:r w:rsidRPr="00961A10">
              <w:rPr>
                <w:i/>
                <w:sz w:val="18"/>
                <w:szCs w:val="18"/>
              </w:rPr>
              <w:t>Georgian Ministry of Economy and Sustainable Development</w:t>
            </w:r>
          </w:p>
          <w:p w:rsidR="001B6F7A" w:rsidRPr="00961A10" w:rsidRDefault="001B6F7A" w:rsidP="00C85AA5">
            <w:pPr>
              <w:spacing w:after="180"/>
              <w:jc w:val="center"/>
              <w:rPr>
                <w:i/>
                <w:sz w:val="18"/>
                <w:szCs w:val="18"/>
              </w:rPr>
            </w:pPr>
            <w:r w:rsidRPr="00961A10">
              <w:rPr>
                <w:i/>
                <w:sz w:val="18"/>
                <w:szCs w:val="18"/>
                <w:vertAlign w:val="superscript"/>
              </w:rPr>
              <w:t>†</w:t>
            </w:r>
            <w:r w:rsidRPr="00961A10">
              <w:rPr>
                <w:i/>
                <w:sz w:val="18"/>
                <w:szCs w:val="18"/>
              </w:rPr>
              <w:t>Excluding liquid cargo</w:t>
            </w:r>
          </w:p>
        </w:tc>
      </w:tr>
    </w:tbl>
    <w:p w:rsidR="00A332F6" w:rsidRDefault="00A332F6" w:rsidP="00A332F6">
      <w:r>
        <w:rPr>
          <w:b/>
        </w:rPr>
        <w:t>Rationale for change</w:t>
      </w:r>
      <w:r w:rsidRPr="00D05459">
        <w:rPr>
          <w:b/>
        </w:rPr>
        <w:t xml:space="preserve">: </w:t>
      </w:r>
      <w:r>
        <w:rPr>
          <w:b/>
        </w:rPr>
        <w:t xml:space="preserve">all transit trucks </w:t>
      </w:r>
      <w:r w:rsidR="002D6435">
        <w:rPr>
          <w:b/>
        </w:rPr>
        <w:t xml:space="preserve">are charged </w:t>
      </w:r>
      <w:r>
        <w:rPr>
          <w:b/>
        </w:rPr>
        <w:t>a flat fee (200 GEL) regardless of vehicle emission class or weight</w:t>
      </w:r>
      <w:r w:rsidR="002D6435">
        <w:rPr>
          <w:b/>
        </w:rPr>
        <w:t xml:space="preserve">; this fails to capture </w:t>
      </w:r>
      <w:r>
        <w:rPr>
          <w:b/>
        </w:rPr>
        <w:t>marginal social costs incurred by truck transport</w:t>
      </w:r>
      <w:r w:rsidRPr="00A818E5">
        <w:t xml:space="preserve">.  </w:t>
      </w:r>
      <w:r w:rsidR="002D6435">
        <w:t>O</w:t>
      </w:r>
      <w:r w:rsidRPr="00A818E5">
        <w:t>ther European transit countries—Austria and Switzerland—</w:t>
      </w:r>
      <w:r w:rsidR="002D6435">
        <w:t xml:space="preserve">charge more </w:t>
      </w:r>
      <w:r w:rsidRPr="00A818E5">
        <w:t>per vehicl</w:t>
      </w:r>
      <w:r>
        <w:t>e or per ton-km</w:t>
      </w:r>
      <w:r w:rsidR="002D6435">
        <w:t xml:space="preserve"> than</w:t>
      </w:r>
      <w:r>
        <w:t xml:space="preserve"> the current flat fee rate in Georgia, </w:t>
      </w:r>
      <w:r w:rsidR="002D6435">
        <w:t xml:space="preserve">even though </w:t>
      </w:r>
      <w:r>
        <w:t>trucks operating in Georgia are of lower emission class than those in Western Europe, mostly E</w:t>
      </w:r>
      <w:r w:rsidR="00D93B9E">
        <w:t>uro-3</w:t>
      </w:r>
      <w:r>
        <w:t xml:space="preserve"> or lower (</w:t>
      </w:r>
      <w:fldSimple w:instr=" REF _Ref324249057 \h  \* MERGEFORMAT ">
        <w:r w:rsidR="00AA3F1A" w:rsidRPr="00AA3F1A">
          <w:t xml:space="preserve">Table </w:t>
        </w:r>
        <w:r w:rsidR="00AA3F1A" w:rsidRPr="00AA3F1A">
          <w:rPr>
            <w:noProof/>
          </w:rPr>
          <w:t>5</w:t>
        </w:r>
      </w:fldSimple>
      <w:r>
        <w:t xml:space="preserve">).  The </w:t>
      </w:r>
      <w:r w:rsidR="002D6435">
        <w:t xml:space="preserve">EU </w:t>
      </w:r>
      <w:r>
        <w:t xml:space="preserve">transport policy aims </w:t>
      </w:r>
      <w:r w:rsidR="002D6435">
        <w:t>to internalize</w:t>
      </w:r>
      <w:r>
        <w:t xml:space="preserve"> external costs and is based on the </w:t>
      </w:r>
      <w:r w:rsidR="00CE1B9E">
        <w:t xml:space="preserve">principle of </w:t>
      </w:r>
      <w:r>
        <w:t>“users-pay-principle”</w:t>
      </w:r>
      <w:r w:rsidR="00CE1B9E">
        <w:t>—</w:t>
      </w:r>
      <w:r>
        <w:t>transport</w:t>
      </w:r>
      <w:r w:rsidR="00CE1B9E">
        <w:t xml:space="preserve"> </w:t>
      </w:r>
      <w:r>
        <w:t>users (passengers and carriers) pay infrastructure and social costs</w:t>
      </w:r>
      <w:r w:rsidR="00CE1B9E">
        <w:t xml:space="preserve"> that they incur</w:t>
      </w:r>
      <w:r>
        <w:t>.</w:t>
      </w:r>
      <w:r w:rsidR="00CE1B9E">
        <w:t xml:space="preserve"> </w:t>
      </w:r>
      <w:r>
        <w:t xml:space="preserve"> In fact, road use charges in </w:t>
      </w:r>
      <w:r>
        <w:lastRenderedPageBreak/>
        <w:t xml:space="preserve">European countries are often set </w:t>
      </w:r>
      <w:r w:rsidR="00512C82">
        <w:t xml:space="preserve">to cover the average cost, </w:t>
      </w:r>
      <w:r>
        <w:t xml:space="preserve">higher than marginal costs, which include costs associated with road deterioration, emissions and congestion, </w:t>
      </w:r>
      <w:r w:rsidR="00CE1B9E">
        <w:t xml:space="preserve">plus </w:t>
      </w:r>
      <w:r>
        <w:t xml:space="preserve">fixed </w:t>
      </w:r>
      <w:r w:rsidR="00CE1B9E">
        <w:t xml:space="preserve">infrastructure </w:t>
      </w:r>
      <w:r>
        <w:t xml:space="preserve">costs. </w:t>
      </w:r>
      <w:r w:rsidR="00CE1B9E">
        <w:t>I</w:t>
      </w:r>
      <w:r>
        <w:t>n Georgia</w:t>
      </w:r>
      <w:r w:rsidR="00CE1B9E">
        <w:t xml:space="preserve">, transit charges are </w:t>
      </w:r>
      <w:r>
        <w:t xml:space="preserve">based on a similar principle—transit trucks, which bring </w:t>
      </w:r>
      <w:r w:rsidR="00CE1B9E">
        <w:t xml:space="preserve">no </w:t>
      </w:r>
      <w:r>
        <w:t xml:space="preserve">direct benefits to </w:t>
      </w:r>
      <w:r w:rsidR="00CE1B9E">
        <w:t xml:space="preserve">the </w:t>
      </w:r>
      <w:r>
        <w:t xml:space="preserve">Georgian economy, pay for </w:t>
      </w:r>
      <w:r w:rsidR="00CE1B9E">
        <w:t xml:space="preserve">using the </w:t>
      </w:r>
      <w:r>
        <w:t>Georgian transport network—</w:t>
      </w:r>
      <w:r w:rsidR="00CE1B9E">
        <w:t xml:space="preserve">but existing transit charge levels fail </w:t>
      </w:r>
      <w:r w:rsidR="00512C82">
        <w:t>to cover the average cost</w:t>
      </w:r>
      <w:r w:rsidR="00CE1B9E">
        <w:t>s, nor</w:t>
      </w:r>
      <w:r w:rsidR="00512C82">
        <w:t xml:space="preserve"> </w:t>
      </w:r>
      <w:r w:rsidR="00CE1B9E">
        <w:t xml:space="preserve">do they provide </w:t>
      </w:r>
      <w:r>
        <w:t>incentives for truckers to be greener.</w:t>
      </w:r>
    </w:p>
    <w:p w:rsidR="00A332F6" w:rsidRPr="001B5EB8" w:rsidRDefault="00A332F6" w:rsidP="00A332F6">
      <w:pPr>
        <w:pStyle w:val="Caption"/>
        <w:keepNext/>
        <w:spacing w:before="120" w:after="120"/>
        <w:jc w:val="left"/>
        <w:rPr>
          <w:color w:val="auto"/>
          <w:sz w:val="20"/>
          <w:szCs w:val="20"/>
        </w:rPr>
      </w:pPr>
      <w:bookmarkStart w:id="72" w:name="_Ref324249057"/>
      <w:bookmarkStart w:id="73" w:name="_Toc324684704"/>
      <w:bookmarkStart w:id="74" w:name="_Toc326892896"/>
      <w:r w:rsidRPr="00624B2C">
        <w:rPr>
          <w:color w:val="auto"/>
          <w:sz w:val="20"/>
          <w:szCs w:val="20"/>
        </w:rPr>
        <w:t xml:space="preserve">Table </w:t>
      </w:r>
      <w:r w:rsidR="001A7AF8" w:rsidRPr="00624B2C">
        <w:rPr>
          <w:color w:val="auto"/>
          <w:sz w:val="20"/>
          <w:szCs w:val="20"/>
        </w:rPr>
        <w:fldChar w:fldCharType="begin"/>
      </w:r>
      <w:r w:rsidRPr="00624B2C">
        <w:rPr>
          <w:color w:val="auto"/>
          <w:sz w:val="20"/>
          <w:szCs w:val="20"/>
        </w:rPr>
        <w:instrText xml:space="preserve"> SEQ Table \* ARABIC </w:instrText>
      </w:r>
      <w:r w:rsidR="001A7AF8" w:rsidRPr="00624B2C">
        <w:rPr>
          <w:color w:val="auto"/>
          <w:sz w:val="20"/>
          <w:szCs w:val="20"/>
        </w:rPr>
        <w:fldChar w:fldCharType="separate"/>
      </w:r>
      <w:r w:rsidR="00AA3F1A">
        <w:rPr>
          <w:noProof/>
          <w:color w:val="auto"/>
          <w:sz w:val="20"/>
          <w:szCs w:val="20"/>
        </w:rPr>
        <w:t>5</w:t>
      </w:r>
      <w:r w:rsidR="001A7AF8" w:rsidRPr="00624B2C">
        <w:rPr>
          <w:color w:val="auto"/>
          <w:sz w:val="20"/>
          <w:szCs w:val="20"/>
        </w:rPr>
        <w:fldChar w:fldCharType="end"/>
      </w:r>
      <w:bookmarkEnd w:id="72"/>
      <w:r w:rsidRPr="00624B2C">
        <w:rPr>
          <w:b w:val="0"/>
          <w:color w:val="auto"/>
          <w:sz w:val="20"/>
          <w:szCs w:val="20"/>
        </w:rPr>
        <w:t xml:space="preserve">: </w:t>
      </w:r>
      <w:r w:rsidR="00586244">
        <w:rPr>
          <w:b w:val="0"/>
          <w:color w:val="auto"/>
          <w:sz w:val="20"/>
          <w:szCs w:val="20"/>
        </w:rPr>
        <w:t>Comparing t</w:t>
      </w:r>
      <w:r w:rsidRPr="00624B2C">
        <w:rPr>
          <w:b w:val="0"/>
          <w:color w:val="auto"/>
          <w:sz w:val="20"/>
          <w:szCs w:val="20"/>
        </w:rPr>
        <w:t>ransit charges for heavy vehicles</w:t>
      </w:r>
      <w:bookmarkEnd w:id="73"/>
      <w:bookmarkEnd w:id="74"/>
    </w:p>
    <w:tbl>
      <w:tblPr>
        <w:tblStyle w:val="TableGrid"/>
        <w:tblW w:w="9446" w:type="dxa"/>
        <w:tblBorders>
          <w:top w:val="single" w:sz="12" w:space="0" w:color="auto"/>
          <w:left w:val="none" w:sz="0" w:space="0" w:color="auto"/>
          <w:bottom w:val="single" w:sz="12" w:space="0" w:color="auto"/>
          <w:right w:val="none" w:sz="0" w:space="0" w:color="auto"/>
        </w:tblBorders>
        <w:tblLayout w:type="fixed"/>
        <w:tblCellMar>
          <w:left w:w="86" w:type="dxa"/>
          <w:right w:w="86" w:type="dxa"/>
        </w:tblCellMar>
        <w:tblLook w:val="04A0"/>
      </w:tblPr>
      <w:tblGrid>
        <w:gridCol w:w="1436"/>
        <w:gridCol w:w="1050"/>
        <w:gridCol w:w="1050"/>
        <w:gridCol w:w="1050"/>
        <w:gridCol w:w="1050"/>
        <w:gridCol w:w="1050"/>
        <w:gridCol w:w="1050"/>
        <w:gridCol w:w="1710"/>
      </w:tblGrid>
      <w:tr w:rsidR="00A332F6" w:rsidRPr="00645874" w:rsidTr="00FF06A2">
        <w:trPr>
          <w:trHeight w:val="125"/>
        </w:trPr>
        <w:tc>
          <w:tcPr>
            <w:tcW w:w="1436" w:type="dxa"/>
            <w:vMerge w:val="restart"/>
            <w:noWrap/>
            <w:vAlign w:val="center"/>
            <w:hideMark/>
          </w:tcPr>
          <w:p w:rsidR="00A332F6" w:rsidRPr="00933A61" w:rsidRDefault="00A332F6" w:rsidP="00FF06A2">
            <w:pPr>
              <w:spacing w:after="0"/>
              <w:jc w:val="left"/>
              <w:rPr>
                <w:b/>
                <w:i/>
                <w:sz w:val="20"/>
                <w:szCs w:val="20"/>
              </w:rPr>
            </w:pPr>
            <w:r w:rsidRPr="00933A61">
              <w:rPr>
                <w:b/>
                <w:i/>
                <w:sz w:val="20"/>
                <w:szCs w:val="20"/>
              </w:rPr>
              <w:t>Vehicle Emission Class</w:t>
            </w:r>
          </w:p>
        </w:tc>
        <w:tc>
          <w:tcPr>
            <w:tcW w:w="8010" w:type="dxa"/>
            <w:gridSpan w:val="7"/>
            <w:noWrap/>
            <w:vAlign w:val="center"/>
            <w:hideMark/>
          </w:tcPr>
          <w:p w:rsidR="00A332F6" w:rsidRPr="00933A61" w:rsidRDefault="00A332F6" w:rsidP="00FF06A2">
            <w:pPr>
              <w:spacing w:after="0"/>
              <w:jc w:val="left"/>
              <w:rPr>
                <w:b/>
                <w:i/>
                <w:sz w:val="20"/>
                <w:szCs w:val="20"/>
              </w:rPr>
            </w:pPr>
            <w:r>
              <w:rPr>
                <w:b/>
                <w:i/>
                <w:sz w:val="20"/>
                <w:szCs w:val="20"/>
              </w:rPr>
              <w:t xml:space="preserve">Truck </w:t>
            </w:r>
            <w:r w:rsidRPr="00933A61">
              <w:rPr>
                <w:b/>
                <w:i/>
                <w:sz w:val="20"/>
                <w:szCs w:val="20"/>
              </w:rPr>
              <w:t xml:space="preserve">charges </w:t>
            </w:r>
            <w:r>
              <w:rPr>
                <w:b/>
                <w:i/>
                <w:sz w:val="20"/>
                <w:szCs w:val="20"/>
              </w:rPr>
              <w:t xml:space="preserve">per kilometer </w:t>
            </w:r>
            <w:r w:rsidRPr="00933A61">
              <w:rPr>
                <w:b/>
                <w:i/>
                <w:sz w:val="20"/>
                <w:szCs w:val="20"/>
              </w:rPr>
              <w:t>(in EURO)</w:t>
            </w:r>
          </w:p>
        </w:tc>
      </w:tr>
      <w:tr w:rsidR="00A332F6" w:rsidRPr="00645874" w:rsidTr="00FF06A2">
        <w:trPr>
          <w:trHeight w:val="125"/>
        </w:trPr>
        <w:tc>
          <w:tcPr>
            <w:tcW w:w="1436" w:type="dxa"/>
            <w:vMerge/>
            <w:noWrap/>
            <w:vAlign w:val="center"/>
            <w:hideMark/>
          </w:tcPr>
          <w:p w:rsidR="00A332F6" w:rsidRPr="009C7F8A" w:rsidRDefault="00A332F6" w:rsidP="00FF06A2">
            <w:pPr>
              <w:spacing w:after="0"/>
              <w:jc w:val="left"/>
              <w:rPr>
                <w:i/>
                <w:sz w:val="20"/>
                <w:szCs w:val="20"/>
              </w:rPr>
            </w:pPr>
          </w:p>
        </w:tc>
        <w:tc>
          <w:tcPr>
            <w:tcW w:w="3150" w:type="dxa"/>
            <w:gridSpan w:val="3"/>
            <w:noWrap/>
            <w:vAlign w:val="center"/>
            <w:hideMark/>
          </w:tcPr>
          <w:p w:rsidR="00A332F6" w:rsidRPr="00933A61" w:rsidRDefault="00A332F6" w:rsidP="00FF06A2">
            <w:pPr>
              <w:spacing w:after="0"/>
              <w:jc w:val="left"/>
              <w:rPr>
                <w:b/>
                <w:i/>
                <w:sz w:val="20"/>
                <w:szCs w:val="20"/>
              </w:rPr>
            </w:pPr>
            <w:r w:rsidRPr="00933A61">
              <w:rPr>
                <w:b/>
                <w:i/>
                <w:sz w:val="20"/>
                <w:szCs w:val="20"/>
              </w:rPr>
              <w:t>Austria</w:t>
            </w:r>
          </w:p>
        </w:tc>
        <w:tc>
          <w:tcPr>
            <w:tcW w:w="3150" w:type="dxa"/>
            <w:gridSpan w:val="3"/>
            <w:vAlign w:val="center"/>
          </w:tcPr>
          <w:p w:rsidR="00A332F6" w:rsidRPr="00933A61" w:rsidRDefault="00A332F6" w:rsidP="00FF06A2">
            <w:pPr>
              <w:spacing w:after="0"/>
              <w:jc w:val="left"/>
              <w:rPr>
                <w:b/>
                <w:i/>
                <w:sz w:val="20"/>
                <w:szCs w:val="20"/>
              </w:rPr>
            </w:pPr>
            <w:r w:rsidRPr="00933A61">
              <w:rPr>
                <w:b/>
                <w:i/>
                <w:sz w:val="20"/>
                <w:szCs w:val="20"/>
              </w:rPr>
              <w:t>Switzerland</w:t>
            </w:r>
            <w:r>
              <w:rPr>
                <w:b/>
                <w:i/>
                <w:sz w:val="20"/>
                <w:szCs w:val="20"/>
              </w:rPr>
              <w:t xml:space="preserve"> </w:t>
            </w:r>
            <w:r w:rsidRPr="00F64295">
              <w:rPr>
                <w:i/>
                <w:sz w:val="20"/>
                <w:szCs w:val="20"/>
                <w:vertAlign w:val="superscript"/>
              </w:rPr>
              <w:t>b</w:t>
            </w:r>
          </w:p>
        </w:tc>
        <w:tc>
          <w:tcPr>
            <w:tcW w:w="1710" w:type="dxa"/>
            <w:noWrap/>
            <w:vAlign w:val="center"/>
            <w:hideMark/>
          </w:tcPr>
          <w:p w:rsidR="00A332F6" w:rsidRPr="00933A61" w:rsidRDefault="00A332F6" w:rsidP="00FF06A2">
            <w:pPr>
              <w:spacing w:after="0"/>
              <w:jc w:val="left"/>
              <w:rPr>
                <w:b/>
                <w:i/>
                <w:sz w:val="20"/>
                <w:szCs w:val="20"/>
              </w:rPr>
            </w:pPr>
            <w:r w:rsidRPr="00933A61">
              <w:rPr>
                <w:b/>
                <w:i/>
                <w:sz w:val="20"/>
                <w:szCs w:val="20"/>
              </w:rPr>
              <w:t>Georgia</w:t>
            </w:r>
          </w:p>
        </w:tc>
      </w:tr>
      <w:tr w:rsidR="00A332F6" w:rsidRPr="00645874" w:rsidTr="00FF06A2">
        <w:trPr>
          <w:trHeight w:val="98"/>
        </w:trPr>
        <w:tc>
          <w:tcPr>
            <w:tcW w:w="1436" w:type="dxa"/>
            <w:vMerge/>
            <w:tcBorders>
              <w:bottom w:val="double" w:sz="4" w:space="0" w:color="auto"/>
            </w:tcBorders>
            <w:noWrap/>
            <w:vAlign w:val="center"/>
            <w:hideMark/>
          </w:tcPr>
          <w:p w:rsidR="00A332F6" w:rsidRPr="00A4257F" w:rsidRDefault="00A332F6" w:rsidP="00FF06A2">
            <w:pPr>
              <w:spacing w:after="0"/>
              <w:jc w:val="left"/>
              <w:rPr>
                <w:sz w:val="20"/>
                <w:szCs w:val="20"/>
              </w:rPr>
            </w:pPr>
          </w:p>
        </w:tc>
        <w:tc>
          <w:tcPr>
            <w:tcW w:w="1050" w:type="dxa"/>
            <w:tcBorders>
              <w:bottom w:val="double" w:sz="4" w:space="0" w:color="auto"/>
              <w:right w:val="nil"/>
            </w:tcBorders>
            <w:noWrap/>
            <w:vAlign w:val="center"/>
            <w:hideMark/>
          </w:tcPr>
          <w:p w:rsidR="00A332F6" w:rsidRPr="00DF3722" w:rsidRDefault="00A332F6" w:rsidP="00FF06A2">
            <w:pPr>
              <w:spacing w:after="0"/>
              <w:jc w:val="left"/>
              <w:rPr>
                <w:i/>
                <w:sz w:val="20"/>
                <w:szCs w:val="20"/>
              </w:rPr>
            </w:pPr>
            <w:r w:rsidRPr="00DF3722">
              <w:rPr>
                <w:i/>
                <w:sz w:val="20"/>
                <w:szCs w:val="20"/>
              </w:rPr>
              <w:t>2-axle</w:t>
            </w:r>
          </w:p>
        </w:tc>
        <w:tc>
          <w:tcPr>
            <w:tcW w:w="1050" w:type="dxa"/>
            <w:tcBorders>
              <w:top w:val="single" w:sz="4" w:space="0" w:color="auto"/>
              <w:left w:val="nil"/>
              <w:bottom w:val="double" w:sz="4" w:space="0" w:color="auto"/>
              <w:right w:val="nil"/>
            </w:tcBorders>
            <w:vAlign w:val="center"/>
          </w:tcPr>
          <w:p w:rsidR="00A332F6" w:rsidRPr="00DF3722" w:rsidRDefault="00A332F6" w:rsidP="00FF06A2">
            <w:pPr>
              <w:spacing w:after="0"/>
              <w:jc w:val="left"/>
              <w:rPr>
                <w:i/>
                <w:sz w:val="20"/>
                <w:szCs w:val="20"/>
              </w:rPr>
            </w:pPr>
            <w:r w:rsidRPr="00DF3722">
              <w:rPr>
                <w:i/>
                <w:sz w:val="20"/>
                <w:szCs w:val="20"/>
              </w:rPr>
              <w:t>3-axle</w:t>
            </w:r>
          </w:p>
        </w:tc>
        <w:tc>
          <w:tcPr>
            <w:tcW w:w="1050" w:type="dxa"/>
            <w:tcBorders>
              <w:left w:val="nil"/>
              <w:bottom w:val="double" w:sz="4" w:space="0" w:color="auto"/>
            </w:tcBorders>
            <w:noWrap/>
            <w:vAlign w:val="center"/>
            <w:hideMark/>
          </w:tcPr>
          <w:p w:rsidR="00A332F6" w:rsidRPr="00DF3722" w:rsidRDefault="00A332F6" w:rsidP="00FF06A2">
            <w:pPr>
              <w:spacing w:after="0"/>
              <w:jc w:val="left"/>
              <w:rPr>
                <w:i/>
                <w:sz w:val="20"/>
                <w:szCs w:val="20"/>
              </w:rPr>
            </w:pPr>
            <w:r w:rsidRPr="00DF3722">
              <w:rPr>
                <w:i/>
                <w:sz w:val="20"/>
                <w:szCs w:val="20"/>
              </w:rPr>
              <w:t>4+ axle</w:t>
            </w:r>
          </w:p>
        </w:tc>
        <w:tc>
          <w:tcPr>
            <w:tcW w:w="1050" w:type="dxa"/>
            <w:tcBorders>
              <w:bottom w:val="double" w:sz="4" w:space="0" w:color="auto"/>
              <w:right w:val="nil"/>
            </w:tcBorders>
            <w:vAlign w:val="center"/>
          </w:tcPr>
          <w:p w:rsidR="00A332F6" w:rsidRPr="00DF3722" w:rsidRDefault="00A332F6" w:rsidP="00FF06A2">
            <w:pPr>
              <w:spacing w:after="0"/>
              <w:jc w:val="left"/>
              <w:rPr>
                <w:i/>
                <w:sz w:val="20"/>
                <w:szCs w:val="20"/>
              </w:rPr>
            </w:pPr>
            <w:r w:rsidRPr="00DF3722">
              <w:rPr>
                <w:i/>
                <w:sz w:val="20"/>
                <w:szCs w:val="20"/>
              </w:rPr>
              <w:t>2-axle</w:t>
            </w:r>
          </w:p>
        </w:tc>
        <w:tc>
          <w:tcPr>
            <w:tcW w:w="1050" w:type="dxa"/>
            <w:tcBorders>
              <w:top w:val="single" w:sz="4" w:space="0" w:color="auto"/>
              <w:left w:val="nil"/>
              <w:bottom w:val="double" w:sz="4" w:space="0" w:color="auto"/>
              <w:right w:val="nil"/>
            </w:tcBorders>
            <w:vAlign w:val="center"/>
          </w:tcPr>
          <w:p w:rsidR="00A332F6" w:rsidRPr="00DF3722" w:rsidRDefault="00A332F6" w:rsidP="00FF06A2">
            <w:pPr>
              <w:spacing w:after="0"/>
              <w:jc w:val="left"/>
              <w:rPr>
                <w:i/>
                <w:sz w:val="20"/>
                <w:szCs w:val="20"/>
              </w:rPr>
            </w:pPr>
            <w:r w:rsidRPr="00DF3722">
              <w:rPr>
                <w:i/>
                <w:sz w:val="20"/>
                <w:szCs w:val="20"/>
              </w:rPr>
              <w:t>3-axle</w:t>
            </w:r>
          </w:p>
        </w:tc>
        <w:tc>
          <w:tcPr>
            <w:tcW w:w="1050" w:type="dxa"/>
            <w:tcBorders>
              <w:left w:val="nil"/>
              <w:bottom w:val="double" w:sz="4" w:space="0" w:color="auto"/>
            </w:tcBorders>
            <w:vAlign w:val="center"/>
          </w:tcPr>
          <w:p w:rsidR="00A332F6" w:rsidRPr="00DF3722" w:rsidRDefault="00A332F6" w:rsidP="00FF06A2">
            <w:pPr>
              <w:spacing w:after="0"/>
              <w:jc w:val="left"/>
              <w:rPr>
                <w:i/>
                <w:sz w:val="20"/>
                <w:szCs w:val="20"/>
              </w:rPr>
            </w:pPr>
            <w:r w:rsidRPr="00DF3722">
              <w:rPr>
                <w:i/>
                <w:sz w:val="20"/>
                <w:szCs w:val="20"/>
              </w:rPr>
              <w:t>4+ axle</w:t>
            </w:r>
          </w:p>
        </w:tc>
        <w:tc>
          <w:tcPr>
            <w:tcW w:w="1710" w:type="dxa"/>
            <w:tcBorders>
              <w:bottom w:val="double" w:sz="4" w:space="0" w:color="auto"/>
            </w:tcBorders>
            <w:noWrap/>
            <w:vAlign w:val="center"/>
            <w:hideMark/>
          </w:tcPr>
          <w:p w:rsidR="00A332F6" w:rsidRPr="00DF3722" w:rsidRDefault="00A332F6" w:rsidP="00FF06A2">
            <w:pPr>
              <w:spacing w:after="0"/>
              <w:jc w:val="left"/>
              <w:rPr>
                <w:i/>
                <w:sz w:val="20"/>
                <w:szCs w:val="20"/>
              </w:rPr>
            </w:pPr>
            <w:r w:rsidRPr="00DF3722">
              <w:rPr>
                <w:i/>
                <w:sz w:val="20"/>
                <w:szCs w:val="20"/>
              </w:rPr>
              <w:t xml:space="preserve">No </w:t>
            </w:r>
            <w:r>
              <w:rPr>
                <w:i/>
                <w:sz w:val="20"/>
                <w:szCs w:val="20"/>
              </w:rPr>
              <w:t>classification</w:t>
            </w:r>
          </w:p>
        </w:tc>
      </w:tr>
      <w:tr w:rsidR="00A332F6" w:rsidRPr="00645874" w:rsidTr="00FF06A2">
        <w:trPr>
          <w:trHeight w:val="98"/>
        </w:trPr>
        <w:tc>
          <w:tcPr>
            <w:tcW w:w="1436" w:type="dxa"/>
            <w:tcBorders>
              <w:top w:val="double" w:sz="4" w:space="0" w:color="auto"/>
            </w:tcBorders>
            <w:noWrap/>
            <w:vAlign w:val="center"/>
            <w:hideMark/>
          </w:tcPr>
          <w:p w:rsidR="00A332F6" w:rsidRPr="00DF3722" w:rsidRDefault="00472E78" w:rsidP="00D93B9E">
            <w:pPr>
              <w:spacing w:after="0"/>
              <w:rPr>
                <w:color w:val="000000"/>
                <w:sz w:val="20"/>
                <w:szCs w:val="20"/>
              </w:rPr>
            </w:pPr>
            <w:r w:rsidRPr="00DF3722">
              <w:rPr>
                <w:color w:val="000000"/>
                <w:sz w:val="20"/>
                <w:szCs w:val="20"/>
              </w:rPr>
              <w:t xml:space="preserve">Euro </w:t>
            </w:r>
            <w:r w:rsidR="00A332F6" w:rsidRPr="00DF3722">
              <w:rPr>
                <w:color w:val="000000"/>
                <w:sz w:val="20"/>
                <w:szCs w:val="20"/>
              </w:rPr>
              <w:t>0</w:t>
            </w:r>
            <w:r w:rsidR="00A332F6">
              <w:rPr>
                <w:color w:val="000000"/>
                <w:sz w:val="20"/>
                <w:szCs w:val="20"/>
              </w:rPr>
              <w:t>–</w:t>
            </w:r>
            <w:r w:rsidR="00D93B9E">
              <w:rPr>
                <w:color w:val="000000"/>
                <w:sz w:val="20"/>
                <w:szCs w:val="20"/>
              </w:rPr>
              <w:t>2</w:t>
            </w:r>
          </w:p>
        </w:tc>
        <w:tc>
          <w:tcPr>
            <w:tcW w:w="1050" w:type="dxa"/>
            <w:vMerge w:val="restart"/>
            <w:tcBorders>
              <w:top w:val="double" w:sz="4" w:space="0" w:color="auto"/>
              <w:right w:val="nil"/>
            </w:tcBorders>
            <w:noWrap/>
            <w:vAlign w:val="center"/>
            <w:hideMark/>
          </w:tcPr>
          <w:p w:rsidR="00A332F6" w:rsidRPr="00DF3722" w:rsidRDefault="00A332F6" w:rsidP="00FF06A2">
            <w:pPr>
              <w:spacing w:after="0"/>
              <w:jc w:val="center"/>
              <w:rPr>
                <w:color w:val="000000"/>
                <w:sz w:val="20"/>
                <w:szCs w:val="20"/>
              </w:rPr>
            </w:pPr>
            <w:r w:rsidRPr="00DF3722">
              <w:rPr>
                <w:color w:val="000000"/>
                <w:sz w:val="20"/>
                <w:szCs w:val="20"/>
              </w:rPr>
              <w:t>0.187</w:t>
            </w:r>
          </w:p>
        </w:tc>
        <w:tc>
          <w:tcPr>
            <w:tcW w:w="1050" w:type="dxa"/>
            <w:vMerge w:val="restart"/>
            <w:tcBorders>
              <w:top w:val="double" w:sz="4" w:space="0" w:color="auto"/>
              <w:left w:val="nil"/>
              <w:right w:val="nil"/>
            </w:tcBorders>
            <w:vAlign w:val="center"/>
          </w:tcPr>
          <w:p w:rsidR="00A332F6" w:rsidRPr="00DF3722" w:rsidRDefault="00A332F6" w:rsidP="00FF06A2">
            <w:pPr>
              <w:spacing w:after="0"/>
              <w:jc w:val="center"/>
              <w:rPr>
                <w:color w:val="000000"/>
                <w:sz w:val="20"/>
                <w:szCs w:val="20"/>
              </w:rPr>
            </w:pPr>
            <w:r w:rsidRPr="00DF3722">
              <w:rPr>
                <w:color w:val="000000"/>
                <w:sz w:val="20"/>
                <w:szCs w:val="20"/>
              </w:rPr>
              <w:t>0.262</w:t>
            </w:r>
          </w:p>
        </w:tc>
        <w:tc>
          <w:tcPr>
            <w:tcW w:w="1050" w:type="dxa"/>
            <w:vMerge w:val="restart"/>
            <w:tcBorders>
              <w:top w:val="double" w:sz="4" w:space="0" w:color="auto"/>
              <w:left w:val="nil"/>
            </w:tcBorders>
            <w:noWrap/>
            <w:vAlign w:val="center"/>
            <w:hideMark/>
          </w:tcPr>
          <w:p w:rsidR="00A332F6" w:rsidRPr="00DF3722" w:rsidRDefault="00A332F6" w:rsidP="00FF06A2">
            <w:pPr>
              <w:spacing w:after="0"/>
              <w:jc w:val="center"/>
              <w:rPr>
                <w:color w:val="000000"/>
                <w:sz w:val="20"/>
                <w:szCs w:val="20"/>
              </w:rPr>
            </w:pPr>
            <w:r w:rsidRPr="00DF3722">
              <w:rPr>
                <w:color w:val="000000"/>
                <w:sz w:val="20"/>
                <w:szCs w:val="20"/>
              </w:rPr>
              <w:t>0.393</w:t>
            </w:r>
          </w:p>
        </w:tc>
        <w:tc>
          <w:tcPr>
            <w:tcW w:w="1050" w:type="dxa"/>
            <w:tcBorders>
              <w:top w:val="double" w:sz="4" w:space="0" w:color="auto"/>
              <w:right w:val="nil"/>
            </w:tcBorders>
            <w:vAlign w:val="center"/>
          </w:tcPr>
          <w:p w:rsidR="00A332F6" w:rsidRPr="00DF3722" w:rsidRDefault="00A332F6" w:rsidP="00FF06A2">
            <w:pPr>
              <w:spacing w:after="0"/>
              <w:jc w:val="center"/>
              <w:rPr>
                <w:color w:val="000000"/>
                <w:sz w:val="20"/>
                <w:szCs w:val="20"/>
              </w:rPr>
            </w:pPr>
            <w:r w:rsidRPr="00DF3722">
              <w:rPr>
                <w:color w:val="000000"/>
                <w:sz w:val="20"/>
                <w:szCs w:val="20"/>
              </w:rPr>
              <w:t>0.460</w:t>
            </w:r>
          </w:p>
        </w:tc>
        <w:tc>
          <w:tcPr>
            <w:tcW w:w="1050" w:type="dxa"/>
            <w:tcBorders>
              <w:top w:val="double" w:sz="4" w:space="0" w:color="auto"/>
              <w:left w:val="nil"/>
              <w:bottom w:val="single" w:sz="4" w:space="0" w:color="auto"/>
              <w:right w:val="nil"/>
            </w:tcBorders>
            <w:vAlign w:val="center"/>
          </w:tcPr>
          <w:p w:rsidR="00A332F6" w:rsidRPr="00DF3722" w:rsidRDefault="00A332F6" w:rsidP="00FF06A2">
            <w:pPr>
              <w:spacing w:after="0"/>
              <w:jc w:val="center"/>
              <w:rPr>
                <w:color w:val="000000"/>
                <w:sz w:val="20"/>
                <w:szCs w:val="20"/>
              </w:rPr>
            </w:pPr>
            <w:r w:rsidRPr="00DF3722">
              <w:rPr>
                <w:color w:val="000000"/>
                <w:sz w:val="20"/>
                <w:szCs w:val="20"/>
              </w:rPr>
              <w:t>0.767</w:t>
            </w:r>
          </w:p>
        </w:tc>
        <w:tc>
          <w:tcPr>
            <w:tcW w:w="1050" w:type="dxa"/>
            <w:tcBorders>
              <w:top w:val="double" w:sz="4" w:space="0" w:color="auto"/>
              <w:left w:val="nil"/>
            </w:tcBorders>
            <w:vAlign w:val="center"/>
          </w:tcPr>
          <w:p w:rsidR="00A332F6" w:rsidRPr="00DF3722" w:rsidRDefault="00A332F6" w:rsidP="00FF06A2">
            <w:pPr>
              <w:spacing w:after="0"/>
              <w:jc w:val="center"/>
              <w:rPr>
                <w:color w:val="000000"/>
                <w:sz w:val="20"/>
                <w:szCs w:val="20"/>
              </w:rPr>
            </w:pPr>
            <w:r w:rsidRPr="00DF3722">
              <w:rPr>
                <w:color w:val="000000"/>
                <w:sz w:val="20"/>
                <w:szCs w:val="20"/>
              </w:rPr>
              <w:t>1.022</w:t>
            </w:r>
          </w:p>
        </w:tc>
        <w:tc>
          <w:tcPr>
            <w:tcW w:w="1710" w:type="dxa"/>
            <w:vMerge w:val="restart"/>
            <w:tcBorders>
              <w:top w:val="double" w:sz="4" w:space="0" w:color="auto"/>
            </w:tcBorders>
            <w:noWrap/>
            <w:vAlign w:val="center"/>
            <w:hideMark/>
          </w:tcPr>
          <w:p w:rsidR="00A332F6" w:rsidRPr="00DF3722" w:rsidRDefault="00A332F6" w:rsidP="00FF06A2">
            <w:pPr>
              <w:spacing w:after="0"/>
              <w:jc w:val="center"/>
              <w:rPr>
                <w:sz w:val="20"/>
                <w:szCs w:val="20"/>
              </w:rPr>
            </w:pPr>
            <w:r>
              <w:rPr>
                <w:sz w:val="20"/>
                <w:szCs w:val="20"/>
              </w:rPr>
              <w:t xml:space="preserve">0.188 </w:t>
            </w:r>
            <w:r w:rsidRPr="00F64295">
              <w:rPr>
                <w:i/>
                <w:sz w:val="20"/>
                <w:szCs w:val="20"/>
                <w:vertAlign w:val="superscript"/>
              </w:rPr>
              <w:t>c</w:t>
            </w:r>
          </w:p>
        </w:tc>
      </w:tr>
      <w:tr w:rsidR="00A332F6" w:rsidRPr="00645874" w:rsidTr="00FF06A2">
        <w:trPr>
          <w:trHeight w:val="98"/>
        </w:trPr>
        <w:tc>
          <w:tcPr>
            <w:tcW w:w="1436" w:type="dxa"/>
            <w:noWrap/>
            <w:vAlign w:val="center"/>
            <w:hideMark/>
          </w:tcPr>
          <w:p w:rsidR="00A332F6" w:rsidRPr="00DF3722" w:rsidRDefault="00472E78" w:rsidP="00D93B9E">
            <w:pPr>
              <w:spacing w:after="0"/>
              <w:rPr>
                <w:color w:val="000000"/>
                <w:sz w:val="20"/>
                <w:szCs w:val="20"/>
              </w:rPr>
            </w:pPr>
            <w:r w:rsidRPr="00DF3722">
              <w:rPr>
                <w:color w:val="000000"/>
                <w:sz w:val="20"/>
                <w:szCs w:val="20"/>
              </w:rPr>
              <w:t xml:space="preserve">Euro </w:t>
            </w:r>
            <w:r w:rsidR="00D93B9E">
              <w:rPr>
                <w:color w:val="000000"/>
                <w:sz w:val="20"/>
                <w:szCs w:val="20"/>
              </w:rPr>
              <w:t>3</w:t>
            </w:r>
          </w:p>
        </w:tc>
        <w:tc>
          <w:tcPr>
            <w:tcW w:w="1050" w:type="dxa"/>
            <w:vMerge/>
            <w:tcBorders>
              <w:right w:val="nil"/>
            </w:tcBorders>
            <w:noWrap/>
            <w:vAlign w:val="center"/>
            <w:hideMark/>
          </w:tcPr>
          <w:p w:rsidR="00A332F6" w:rsidRPr="00DF3722" w:rsidRDefault="00A332F6" w:rsidP="00FF06A2">
            <w:pPr>
              <w:spacing w:after="0"/>
              <w:jc w:val="center"/>
              <w:rPr>
                <w:color w:val="000000"/>
                <w:sz w:val="20"/>
                <w:szCs w:val="20"/>
              </w:rPr>
            </w:pPr>
          </w:p>
        </w:tc>
        <w:tc>
          <w:tcPr>
            <w:tcW w:w="1050" w:type="dxa"/>
            <w:vMerge/>
            <w:tcBorders>
              <w:left w:val="nil"/>
              <w:bottom w:val="single" w:sz="4" w:space="0" w:color="auto"/>
              <w:right w:val="nil"/>
            </w:tcBorders>
            <w:vAlign w:val="center"/>
          </w:tcPr>
          <w:p w:rsidR="00A332F6" w:rsidRPr="00DF3722" w:rsidRDefault="00A332F6" w:rsidP="00FF06A2">
            <w:pPr>
              <w:spacing w:after="0"/>
              <w:jc w:val="center"/>
              <w:rPr>
                <w:color w:val="000000"/>
                <w:sz w:val="20"/>
                <w:szCs w:val="20"/>
              </w:rPr>
            </w:pPr>
          </w:p>
        </w:tc>
        <w:tc>
          <w:tcPr>
            <w:tcW w:w="1050" w:type="dxa"/>
            <w:vMerge/>
            <w:tcBorders>
              <w:left w:val="nil"/>
            </w:tcBorders>
            <w:noWrap/>
            <w:vAlign w:val="center"/>
            <w:hideMark/>
          </w:tcPr>
          <w:p w:rsidR="00A332F6" w:rsidRPr="00DF3722" w:rsidRDefault="00A332F6" w:rsidP="00FF06A2">
            <w:pPr>
              <w:spacing w:after="0"/>
              <w:jc w:val="center"/>
              <w:rPr>
                <w:color w:val="000000"/>
                <w:sz w:val="20"/>
                <w:szCs w:val="20"/>
              </w:rPr>
            </w:pPr>
          </w:p>
        </w:tc>
        <w:tc>
          <w:tcPr>
            <w:tcW w:w="1050" w:type="dxa"/>
            <w:tcBorders>
              <w:right w:val="nil"/>
            </w:tcBorders>
            <w:vAlign w:val="center"/>
          </w:tcPr>
          <w:p w:rsidR="00A332F6" w:rsidRPr="00DF3722" w:rsidRDefault="00A332F6" w:rsidP="00FF06A2">
            <w:pPr>
              <w:spacing w:after="0"/>
              <w:jc w:val="center"/>
              <w:rPr>
                <w:color w:val="000000"/>
                <w:sz w:val="20"/>
                <w:szCs w:val="20"/>
              </w:rPr>
            </w:pPr>
            <w:r w:rsidRPr="00DF3722">
              <w:rPr>
                <w:color w:val="000000"/>
                <w:sz w:val="20"/>
                <w:szCs w:val="20"/>
              </w:rPr>
              <w:t>0.399</w:t>
            </w:r>
          </w:p>
        </w:tc>
        <w:tc>
          <w:tcPr>
            <w:tcW w:w="1050" w:type="dxa"/>
            <w:tcBorders>
              <w:top w:val="single" w:sz="4" w:space="0" w:color="auto"/>
              <w:left w:val="nil"/>
              <w:bottom w:val="single" w:sz="4" w:space="0" w:color="auto"/>
              <w:right w:val="nil"/>
            </w:tcBorders>
            <w:vAlign w:val="center"/>
          </w:tcPr>
          <w:p w:rsidR="00A332F6" w:rsidRPr="00DF3722" w:rsidRDefault="00A332F6" w:rsidP="00FF06A2">
            <w:pPr>
              <w:spacing w:after="0"/>
              <w:jc w:val="center"/>
              <w:rPr>
                <w:color w:val="000000"/>
                <w:sz w:val="20"/>
                <w:szCs w:val="20"/>
              </w:rPr>
            </w:pPr>
            <w:r w:rsidRPr="00DF3722">
              <w:rPr>
                <w:color w:val="000000"/>
                <w:sz w:val="20"/>
                <w:szCs w:val="20"/>
              </w:rPr>
              <w:t>0.664</w:t>
            </w:r>
          </w:p>
        </w:tc>
        <w:tc>
          <w:tcPr>
            <w:tcW w:w="1050" w:type="dxa"/>
            <w:tcBorders>
              <w:left w:val="nil"/>
            </w:tcBorders>
            <w:vAlign w:val="center"/>
          </w:tcPr>
          <w:p w:rsidR="00A332F6" w:rsidRPr="00DF3722" w:rsidRDefault="00A332F6" w:rsidP="00FF06A2">
            <w:pPr>
              <w:spacing w:after="0"/>
              <w:jc w:val="center"/>
              <w:rPr>
                <w:color w:val="000000"/>
                <w:sz w:val="20"/>
                <w:szCs w:val="20"/>
              </w:rPr>
            </w:pPr>
            <w:r w:rsidRPr="00DF3722">
              <w:rPr>
                <w:color w:val="000000"/>
                <w:sz w:val="20"/>
                <w:szCs w:val="20"/>
              </w:rPr>
              <w:t>0.886</w:t>
            </w:r>
          </w:p>
        </w:tc>
        <w:tc>
          <w:tcPr>
            <w:tcW w:w="1710" w:type="dxa"/>
            <w:vMerge/>
            <w:noWrap/>
            <w:vAlign w:val="center"/>
            <w:hideMark/>
          </w:tcPr>
          <w:p w:rsidR="00A332F6" w:rsidRPr="00DF3722" w:rsidRDefault="00A332F6" w:rsidP="00FF06A2">
            <w:pPr>
              <w:spacing w:after="0"/>
              <w:jc w:val="center"/>
              <w:rPr>
                <w:sz w:val="20"/>
                <w:szCs w:val="20"/>
              </w:rPr>
            </w:pPr>
          </w:p>
        </w:tc>
      </w:tr>
      <w:tr w:rsidR="00A332F6" w:rsidRPr="00645874" w:rsidTr="00FF06A2">
        <w:trPr>
          <w:trHeight w:val="98"/>
        </w:trPr>
        <w:tc>
          <w:tcPr>
            <w:tcW w:w="1436" w:type="dxa"/>
            <w:noWrap/>
            <w:vAlign w:val="center"/>
            <w:hideMark/>
          </w:tcPr>
          <w:p w:rsidR="00A332F6" w:rsidRPr="00DF3722" w:rsidRDefault="00472E78" w:rsidP="00D93B9E">
            <w:pPr>
              <w:spacing w:after="0"/>
              <w:rPr>
                <w:color w:val="000000"/>
                <w:sz w:val="20"/>
                <w:szCs w:val="20"/>
              </w:rPr>
            </w:pPr>
            <w:r w:rsidRPr="00DF3722">
              <w:rPr>
                <w:color w:val="000000"/>
                <w:sz w:val="20"/>
                <w:szCs w:val="20"/>
              </w:rPr>
              <w:t xml:space="preserve">Euro </w:t>
            </w:r>
            <w:r w:rsidR="00D93B9E">
              <w:rPr>
                <w:color w:val="000000"/>
                <w:sz w:val="20"/>
                <w:szCs w:val="20"/>
              </w:rPr>
              <w:t>4</w:t>
            </w:r>
            <w:r w:rsidR="00A332F6">
              <w:rPr>
                <w:color w:val="000000"/>
                <w:sz w:val="20"/>
                <w:szCs w:val="20"/>
              </w:rPr>
              <w:t>–</w:t>
            </w:r>
            <w:r w:rsidR="00D93B9E">
              <w:rPr>
                <w:color w:val="000000"/>
                <w:sz w:val="20"/>
                <w:szCs w:val="20"/>
              </w:rPr>
              <w:t>5</w:t>
            </w:r>
          </w:p>
        </w:tc>
        <w:tc>
          <w:tcPr>
            <w:tcW w:w="1050" w:type="dxa"/>
            <w:tcBorders>
              <w:right w:val="nil"/>
            </w:tcBorders>
            <w:noWrap/>
            <w:vAlign w:val="center"/>
            <w:hideMark/>
          </w:tcPr>
          <w:p w:rsidR="00A332F6" w:rsidRPr="00DF3722" w:rsidRDefault="00A332F6" w:rsidP="00FF06A2">
            <w:pPr>
              <w:spacing w:after="0"/>
              <w:jc w:val="center"/>
              <w:rPr>
                <w:color w:val="000000"/>
                <w:sz w:val="20"/>
                <w:szCs w:val="20"/>
              </w:rPr>
            </w:pPr>
            <w:r w:rsidRPr="00DF3722">
              <w:rPr>
                <w:color w:val="000000"/>
                <w:sz w:val="20"/>
                <w:szCs w:val="20"/>
              </w:rPr>
              <w:t>0.165</w:t>
            </w:r>
          </w:p>
        </w:tc>
        <w:tc>
          <w:tcPr>
            <w:tcW w:w="1050" w:type="dxa"/>
            <w:tcBorders>
              <w:top w:val="single" w:sz="4" w:space="0" w:color="auto"/>
              <w:left w:val="nil"/>
              <w:bottom w:val="single" w:sz="4" w:space="0" w:color="auto"/>
              <w:right w:val="nil"/>
            </w:tcBorders>
            <w:vAlign w:val="center"/>
          </w:tcPr>
          <w:p w:rsidR="00A332F6" w:rsidRPr="00DF3722" w:rsidRDefault="00A332F6" w:rsidP="00FF06A2">
            <w:pPr>
              <w:spacing w:after="0"/>
              <w:jc w:val="center"/>
              <w:rPr>
                <w:color w:val="000000"/>
                <w:sz w:val="20"/>
                <w:szCs w:val="20"/>
              </w:rPr>
            </w:pPr>
            <w:r w:rsidRPr="00DF3722">
              <w:rPr>
                <w:color w:val="000000"/>
                <w:sz w:val="20"/>
                <w:szCs w:val="20"/>
              </w:rPr>
              <w:t>0.231</w:t>
            </w:r>
          </w:p>
        </w:tc>
        <w:tc>
          <w:tcPr>
            <w:tcW w:w="1050" w:type="dxa"/>
            <w:tcBorders>
              <w:left w:val="nil"/>
            </w:tcBorders>
            <w:noWrap/>
            <w:vAlign w:val="center"/>
            <w:hideMark/>
          </w:tcPr>
          <w:p w:rsidR="00A332F6" w:rsidRPr="00DF3722" w:rsidRDefault="00A332F6" w:rsidP="00FF06A2">
            <w:pPr>
              <w:spacing w:after="0"/>
              <w:jc w:val="center"/>
              <w:rPr>
                <w:color w:val="000000"/>
                <w:sz w:val="20"/>
                <w:szCs w:val="20"/>
              </w:rPr>
            </w:pPr>
            <w:r w:rsidRPr="00DF3722">
              <w:rPr>
                <w:color w:val="000000"/>
                <w:sz w:val="20"/>
                <w:szCs w:val="20"/>
              </w:rPr>
              <w:t>0.347</w:t>
            </w:r>
          </w:p>
        </w:tc>
        <w:tc>
          <w:tcPr>
            <w:tcW w:w="1050" w:type="dxa"/>
            <w:vMerge w:val="restart"/>
            <w:tcBorders>
              <w:right w:val="nil"/>
            </w:tcBorders>
            <w:vAlign w:val="center"/>
          </w:tcPr>
          <w:p w:rsidR="00A332F6" w:rsidRPr="00DF3722" w:rsidRDefault="00A332F6" w:rsidP="00FF06A2">
            <w:pPr>
              <w:spacing w:after="0"/>
              <w:jc w:val="center"/>
              <w:rPr>
                <w:color w:val="000000"/>
                <w:sz w:val="20"/>
                <w:szCs w:val="20"/>
              </w:rPr>
            </w:pPr>
            <w:r w:rsidRPr="00DF3722">
              <w:rPr>
                <w:color w:val="000000"/>
                <w:sz w:val="20"/>
                <w:szCs w:val="20"/>
              </w:rPr>
              <w:t>0.339</w:t>
            </w:r>
          </w:p>
        </w:tc>
        <w:tc>
          <w:tcPr>
            <w:tcW w:w="1050" w:type="dxa"/>
            <w:vMerge w:val="restart"/>
            <w:tcBorders>
              <w:top w:val="single" w:sz="4" w:space="0" w:color="auto"/>
              <w:left w:val="nil"/>
              <w:right w:val="nil"/>
            </w:tcBorders>
            <w:vAlign w:val="center"/>
          </w:tcPr>
          <w:p w:rsidR="00A332F6" w:rsidRPr="00DF3722" w:rsidRDefault="00A332F6" w:rsidP="00FF06A2">
            <w:pPr>
              <w:spacing w:after="0"/>
              <w:jc w:val="center"/>
              <w:rPr>
                <w:color w:val="000000"/>
                <w:sz w:val="20"/>
                <w:szCs w:val="20"/>
              </w:rPr>
            </w:pPr>
            <w:r w:rsidRPr="00DF3722">
              <w:rPr>
                <w:color w:val="000000"/>
                <w:sz w:val="20"/>
                <w:szCs w:val="20"/>
              </w:rPr>
              <w:t>0.564</w:t>
            </w:r>
          </w:p>
        </w:tc>
        <w:tc>
          <w:tcPr>
            <w:tcW w:w="1050" w:type="dxa"/>
            <w:vMerge w:val="restart"/>
            <w:tcBorders>
              <w:left w:val="nil"/>
            </w:tcBorders>
            <w:vAlign w:val="center"/>
          </w:tcPr>
          <w:p w:rsidR="00A332F6" w:rsidRPr="00DF3722" w:rsidRDefault="00A332F6" w:rsidP="00FF06A2">
            <w:pPr>
              <w:spacing w:after="0"/>
              <w:jc w:val="center"/>
              <w:rPr>
                <w:color w:val="000000"/>
                <w:sz w:val="20"/>
                <w:szCs w:val="20"/>
              </w:rPr>
            </w:pPr>
            <w:r w:rsidRPr="00DF3722">
              <w:rPr>
                <w:color w:val="000000"/>
                <w:sz w:val="20"/>
                <w:szCs w:val="20"/>
              </w:rPr>
              <w:t>0.752</w:t>
            </w:r>
          </w:p>
        </w:tc>
        <w:tc>
          <w:tcPr>
            <w:tcW w:w="1710" w:type="dxa"/>
            <w:vMerge/>
            <w:noWrap/>
            <w:vAlign w:val="center"/>
            <w:hideMark/>
          </w:tcPr>
          <w:p w:rsidR="00A332F6" w:rsidRPr="00DF3722" w:rsidRDefault="00A332F6" w:rsidP="00FF06A2">
            <w:pPr>
              <w:spacing w:after="0"/>
              <w:jc w:val="center"/>
              <w:rPr>
                <w:sz w:val="20"/>
                <w:szCs w:val="20"/>
              </w:rPr>
            </w:pPr>
          </w:p>
        </w:tc>
      </w:tr>
      <w:tr w:rsidR="00A332F6" w:rsidRPr="00645874" w:rsidTr="00FF06A2">
        <w:trPr>
          <w:trHeight w:val="98"/>
        </w:trPr>
        <w:tc>
          <w:tcPr>
            <w:tcW w:w="1436" w:type="dxa"/>
            <w:noWrap/>
            <w:vAlign w:val="center"/>
            <w:hideMark/>
          </w:tcPr>
          <w:p w:rsidR="00A332F6" w:rsidRPr="00DF3722" w:rsidRDefault="00472E78" w:rsidP="00FF06A2">
            <w:pPr>
              <w:spacing w:after="0"/>
              <w:rPr>
                <w:color w:val="000000"/>
                <w:sz w:val="20"/>
                <w:szCs w:val="20"/>
              </w:rPr>
            </w:pPr>
            <w:r w:rsidRPr="00DF3722">
              <w:rPr>
                <w:color w:val="000000"/>
                <w:sz w:val="20"/>
                <w:szCs w:val="20"/>
              </w:rPr>
              <w:t xml:space="preserve">Euro </w:t>
            </w:r>
            <w:r w:rsidR="00A332F6" w:rsidRPr="00DF3722">
              <w:rPr>
                <w:color w:val="000000"/>
                <w:sz w:val="20"/>
                <w:szCs w:val="20"/>
              </w:rPr>
              <w:t>EEV</w:t>
            </w:r>
            <w:r w:rsidR="00A332F6">
              <w:rPr>
                <w:color w:val="000000"/>
                <w:sz w:val="20"/>
                <w:szCs w:val="20"/>
              </w:rPr>
              <w:t xml:space="preserve"> </w:t>
            </w:r>
            <w:r w:rsidR="00A332F6" w:rsidRPr="00F64295">
              <w:rPr>
                <w:i/>
                <w:sz w:val="20"/>
                <w:szCs w:val="20"/>
                <w:vertAlign w:val="superscript"/>
              </w:rPr>
              <w:t>a</w:t>
            </w:r>
          </w:p>
        </w:tc>
        <w:tc>
          <w:tcPr>
            <w:tcW w:w="1050" w:type="dxa"/>
            <w:tcBorders>
              <w:right w:val="nil"/>
            </w:tcBorders>
            <w:noWrap/>
            <w:vAlign w:val="center"/>
            <w:hideMark/>
          </w:tcPr>
          <w:p w:rsidR="00A332F6" w:rsidRPr="00DF3722" w:rsidRDefault="00A332F6" w:rsidP="00FF06A2">
            <w:pPr>
              <w:spacing w:after="0"/>
              <w:jc w:val="center"/>
              <w:rPr>
                <w:color w:val="000000"/>
                <w:sz w:val="20"/>
                <w:szCs w:val="20"/>
              </w:rPr>
            </w:pPr>
            <w:r w:rsidRPr="00DF3722">
              <w:rPr>
                <w:color w:val="000000"/>
                <w:sz w:val="20"/>
                <w:szCs w:val="20"/>
              </w:rPr>
              <w:t>0.150</w:t>
            </w:r>
          </w:p>
        </w:tc>
        <w:tc>
          <w:tcPr>
            <w:tcW w:w="1050" w:type="dxa"/>
            <w:tcBorders>
              <w:top w:val="single" w:sz="4" w:space="0" w:color="auto"/>
              <w:left w:val="nil"/>
              <w:bottom w:val="single" w:sz="4" w:space="0" w:color="auto"/>
              <w:right w:val="nil"/>
            </w:tcBorders>
            <w:vAlign w:val="center"/>
          </w:tcPr>
          <w:p w:rsidR="00A332F6" w:rsidRPr="00DF3722" w:rsidRDefault="00A332F6" w:rsidP="00FF06A2">
            <w:pPr>
              <w:spacing w:after="0"/>
              <w:jc w:val="center"/>
              <w:rPr>
                <w:color w:val="000000"/>
                <w:sz w:val="20"/>
                <w:szCs w:val="20"/>
              </w:rPr>
            </w:pPr>
            <w:r w:rsidRPr="00DF3722">
              <w:rPr>
                <w:color w:val="000000"/>
                <w:sz w:val="20"/>
                <w:szCs w:val="20"/>
              </w:rPr>
              <w:t>0.210</w:t>
            </w:r>
          </w:p>
        </w:tc>
        <w:tc>
          <w:tcPr>
            <w:tcW w:w="1050" w:type="dxa"/>
            <w:tcBorders>
              <w:left w:val="nil"/>
            </w:tcBorders>
            <w:noWrap/>
            <w:vAlign w:val="center"/>
            <w:hideMark/>
          </w:tcPr>
          <w:p w:rsidR="00A332F6" w:rsidRPr="00DF3722" w:rsidRDefault="00A332F6" w:rsidP="00FF06A2">
            <w:pPr>
              <w:spacing w:after="0"/>
              <w:jc w:val="center"/>
              <w:rPr>
                <w:color w:val="000000"/>
                <w:sz w:val="20"/>
                <w:szCs w:val="20"/>
              </w:rPr>
            </w:pPr>
            <w:r w:rsidRPr="00DF3722">
              <w:rPr>
                <w:color w:val="000000"/>
                <w:sz w:val="20"/>
                <w:szCs w:val="20"/>
              </w:rPr>
              <w:t>0.315</w:t>
            </w:r>
          </w:p>
        </w:tc>
        <w:tc>
          <w:tcPr>
            <w:tcW w:w="1050" w:type="dxa"/>
            <w:vMerge/>
            <w:tcBorders>
              <w:right w:val="nil"/>
            </w:tcBorders>
            <w:vAlign w:val="center"/>
          </w:tcPr>
          <w:p w:rsidR="00A332F6" w:rsidRPr="00DF3722" w:rsidRDefault="00A332F6" w:rsidP="00FF06A2">
            <w:pPr>
              <w:spacing w:after="0"/>
              <w:jc w:val="center"/>
              <w:rPr>
                <w:color w:val="000000"/>
                <w:sz w:val="20"/>
                <w:szCs w:val="20"/>
              </w:rPr>
            </w:pPr>
          </w:p>
        </w:tc>
        <w:tc>
          <w:tcPr>
            <w:tcW w:w="1050" w:type="dxa"/>
            <w:vMerge/>
            <w:tcBorders>
              <w:left w:val="nil"/>
              <w:right w:val="nil"/>
            </w:tcBorders>
            <w:vAlign w:val="center"/>
          </w:tcPr>
          <w:p w:rsidR="00A332F6" w:rsidRPr="00DF3722" w:rsidRDefault="00A332F6" w:rsidP="00FF06A2">
            <w:pPr>
              <w:spacing w:after="0"/>
              <w:jc w:val="center"/>
              <w:rPr>
                <w:color w:val="000000"/>
                <w:sz w:val="20"/>
                <w:szCs w:val="20"/>
              </w:rPr>
            </w:pPr>
          </w:p>
        </w:tc>
        <w:tc>
          <w:tcPr>
            <w:tcW w:w="1050" w:type="dxa"/>
            <w:vMerge/>
            <w:tcBorders>
              <w:left w:val="nil"/>
            </w:tcBorders>
            <w:vAlign w:val="center"/>
          </w:tcPr>
          <w:p w:rsidR="00A332F6" w:rsidRPr="00DF3722" w:rsidRDefault="00A332F6" w:rsidP="00FF06A2">
            <w:pPr>
              <w:spacing w:after="0"/>
              <w:jc w:val="center"/>
              <w:rPr>
                <w:color w:val="000000"/>
                <w:sz w:val="20"/>
                <w:szCs w:val="20"/>
              </w:rPr>
            </w:pPr>
          </w:p>
        </w:tc>
        <w:tc>
          <w:tcPr>
            <w:tcW w:w="1710" w:type="dxa"/>
            <w:vMerge/>
            <w:noWrap/>
            <w:vAlign w:val="center"/>
            <w:hideMark/>
          </w:tcPr>
          <w:p w:rsidR="00A332F6" w:rsidRPr="00DF3722" w:rsidRDefault="00A332F6" w:rsidP="00FF06A2">
            <w:pPr>
              <w:spacing w:after="0"/>
              <w:jc w:val="center"/>
              <w:rPr>
                <w:sz w:val="20"/>
                <w:szCs w:val="20"/>
              </w:rPr>
            </w:pPr>
          </w:p>
        </w:tc>
      </w:tr>
      <w:tr w:rsidR="00A332F6" w:rsidRPr="00645874" w:rsidTr="00FF06A2">
        <w:trPr>
          <w:trHeight w:val="98"/>
        </w:trPr>
        <w:tc>
          <w:tcPr>
            <w:tcW w:w="1436" w:type="dxa"/>
            <w:noWrap/>
            <w:vAlign w:val="center"/>
            <w:hideMark/>
          </w:tcPr>
          <w:p w:rsidR="00A332F6" w:rsidRPr="00DF3722" w:rsidRDefault="00472E78" w:rsidP="00FF06A2">
            <w:pPr>
              <w:spacing w:after="0"/>
              <w:rPr>
                <w:color w:val="000000"/>
                <w:sz w:val="20"/>
                <w:szCs w:val="20"/>
              </w:rPr>
            </w:pPr>
            <w:r w:rsidRPr="00DF3722">
              <w:rPr>
                <w:color w:val="000000"/>
                <w:sz w:val="20"/>
                <w:szCs w:val="20"/>
              </w:rPr>
              <w:t xml:space="preserve">Euro </w:t>
            </w:r>
            <w:r w:rsidR="00A332F6" w:rsidRPr="00DF3722">
              <w:rPr>
                <w:color w:val="000000"/>
                <w:sz w:val="20"/>
                <w:szCs w:val="20"/>
              </w:rPr>
              <w:t>VI</w:t>
            </w:r>
          </w:p>
        </w:tc>
        <w:tc>
          <w:tcPr>
            <w:tcW w:w="1050" w:type="dxa"/>
            <w:tcBorders>
              <w:right w:val="nil"/>
            </w:tcBorders>
            <w:noWrap/>
            <w:vAlign w:val="center"/>
            <w:hideMark/>
          </w:tcPr>
          <w:p w:rsidR="00A332F6" w:rsidRPr="00DF3722" w:rsidRDefault="00A332F6" w:rsidP="00FF06A2">
            <w:pPr>
              <w:spacing w:after="0"/>
              <w:jc w:val="center"/>
              <w:rPr>
                <w:color w:val="000000"/>
                <w:sz w:val="20"/>
                <w:szCs w:val="20"/>
              </w:rPr>
            </w:pPr>
            <w:r w:rsidRPr="00DF3722">
              <w:rPr>
                <w:color w:val="000000"/>
                <w:sz w:val="20"/>
                <w:szCs w:val="20"/>
              </w:rPr>
              <w:t>0.145</w:t>
            </w:r>
          </w:p>
        </w:tc>
        <w:tc>
          <w:tcPr>
            <w:tcW w:w="1050" w:type="dxa"/>
            <w:tcBorders>
              <w:top w:val="single" w:sz="4" w:space="0" w:color="auto"/>
              <w:left w:val="nil"/>
              <w:bottom w:val="single" w:sz="12" w:space="0" w:color="auto"/>
              <w:right w:val="nil"/>
            </w:tcBorders>
            <w:vAlign w:val="center"/>
          </w:tcPr>
          <w:p w:rsidR="00A332F6" w:rsidRPr="00DF3722" w:rsidRDefault="00A332F6" w:rsidP="00FF06A2">
            <w:pPr>
              <w:spacing w:after="0"/>
              <w:jc w:val="center"/>
              <w:rPr>
                <w:color w:val="000000"/>
                <w:sz w:val="20"/>
                <w:szCs w:val="20"/>
              </w:rPr>
            </w:pPr>
            <w:r w:rsidRPr="00DF3722">
              <w:rPr>
                <w:color w:val="000000"/>
                <w:sz w:val="20"/>
                <w:szCs w:val="20"/>
              </w:rPr>
              <w:t>0.203</w:t>
            </w:r>
          </w:p>
        </w:tc>
        <w:tc>
          <w:tcPr>
            <w:tcW w:w="1050" w:type="dxa"/>
            <w:tcBorders>
              <w:left w:val="nil"/>
            </w:tcBorders>
            <w:noWrap/>
            <w:vAlign w:val="center"/>
            <w:hideMark/>
          </w:tcPr>
          <w:p w:rsidR="00A332F6" w:rsidRPr="00DF3722" w:rsidRDefault="00A332F6" w:rsidP="00FF06A2">
            <w:pPr>
              <w:spacing w:after="0"/>
              <w:jc w:val="center"/>
              <w:rPr>
                <w:color w:val="000000"/>
                <w:sz w:val="20"/>
                <w:szCs w:val="20"/>
              </w:rPr>
            </w:pPr>
            <w:r w:rsidRPr="00DF3722">
              <w:rPr>
                <w:color w:val="000000"/>
                <w:sz w:val="20"/>
                <w:szCs w:val="20"/>
              </w:rPr>
              <w:t>0.305</w:t>
            </w:r>
          </w:p>
        </w:tc>
        <w:tc>
          <w:tcPr>
            <w:tcW w:w="1050" w:type="dxa"/>
            <w:vMerge/>
            <w:tcBorders>
              <w:right w:val="nil"/>
            </w:tcBorders>
            <w:vAlign w:val="center"/>
          </w:tcPr>
          <w:p w:rsidR="00A332F6" w:rsidRPr="00DF3722" w:rsidRDefault="00A332F6" w:rsidP="00FF06A2">
            <w:pPr>
              <w:spacing w:after="0"/>
              <w:jc w:val="center"/>
              <w:rPr>
                <w:color w:val="000000"/>
                <w:sz w:val="20"/>
                <w:szCs w:val="20"/>
              </w:rPr>
            </w:pPr>
          </w:p>
        </w:tc>
        <w:tc>
          <w:tcPr>
            <w:tcW w:w="1050" w:type="dxa"/>
            <w:vMerge/>
            <w:tcBorders>
              <w:left w:val="nil"/>
              <w:bottom w:val="single" w:sz="12" w:space="0" w:color="auto"/>
              <w:right w:val="nil"/>
            </w:tcBorders>
            <w:vAlign w:val="center"/>
          </w:tcPr>
          <w:p w:rsidR="00A332F6" w:rsidRPr="00DF3722" w:rsidRDefault="00A332F6" w:rsidP="00FF06A2">
            <w:pPr>
              <w:spacing w:after="0"/>
              <w:jc w:val="center"/>
              <w:rPr>
                <w:color w:val="000000"/>
                <w:sz w:val="20"/>
                <w:szCs w:val="20"/>
              </w:rPr>
            </w:pPr>
          </w:p>
        </w:tc>
        <w:tc>
          <w:tcPr>
            <w:tcW w:w="1050" w:type="dxa"/>
            <w:vMerge/>
            <w:tcBorders>
              <w:left w:val="nil"/>
            </w:tcBorders>
            <w:vAlign w:val="center"/>
          </w:tcPr>
          <w:p w:rsidR="00A332F6" w:rsidRPr="00DF3722" w:rsidRDefault="00A332F6" w:rsidP="00FF06A2">
            <w:pPr>
              <w:spacing w:after="0"/>
              <w:jc w:val="center"/>
              <w:rPr>
                <w:color w:val="000000"/>
                <w:sz w:val="20"/>
                <w:szCs w:val="20"/>
              </w:rPr>
            </w:pPr>
          </w:p>
        </w:tc>
        <w:tc>
          <w:tcPr>
            <w:tcW w:w="1710" w:type="dxa"/>
            <w:vMerge/>
            <w:noWrap/>
            <w:vAlign w:val="center"/>
            <w:hideMark/>
          </w:tcPr>
          <w:p w:rsidR="00A332F6" w:rsidRPr="00DF3722" w:rsidRDefault="00A332F6" w:rsidP="00FF06A2">
            <w:pPr>
              <w:spacing w:after="0"/>
              <w:jc w:val="center"/>
              <w:rPr>
                <w:sz w:val="20"/>
                <w:szCs w:val="20"/>
              </w:rPr>
            </w:pPr>
          </w:p>
        </w:tc>
      </w:tr>
    </w:tbl>
    <w:p w:rsidR="00A332F6" w:rsidRDefault="00A332F6" w:rsidP="00A332F6">
      <w:pPr>
        <w:spacing w:before="40" w:after="40" w:line="240" w:lineRule="auto"/>
        <w:rPr>
          <w:i/>
          <w:sz w:val="18"/>
          <w:szCs w:val="18"/>
        </w:rPr>
      </w:pPr>
      <w:r w:rsidRPr="00B23B1B">
        <w:rPr>
          <w:i/>
          <w:sz w:val="18"/>
          <w:szCs w:val="18"/>
        </w:rPr>
        <w:t xml:space="preserve">Sources: </w:t>
      </w:r>
      <w:r>
        <w:rPr>
          <w:i/>
          <w:sz w:val="18"/>
          <w:szCs w:val="18"/>
        </w:rPr>
        <w:t xml:space="preserve">WB staff calculation based on data from </w:t>
      </w:r>
      <w:r w:rsidRPr="00B23B1B">
        <w:rPr>
          <w:i/>
          <w:sz w:val="18"/>
          <w:szCs w:val="18"/>
        </w:rPr>
        <w:t>Austrian Motorway Agency (ASFiNAG</w:t>
      </w:r>
      <w:r>
        <w:rPr>
          <w:i/>
          <w:sz w:val="18"/>
          <w:szCs w:val="18"/>
        </w:rPr>
        <w:t xml:space="preserve">, </w:t>
      </w:r>
      <w:hyperlink r:id="rId53" w:history="1">
        <w:r w:rsidRPr="00B23B1B">
          <w:rPr>
            <w:rStyle w:val="Hyperlink"/>
            <w:i/>
            <w:sz w:val="18"/>
            <w:szCs w:val="18"/>
          </w:rPr>
          <w:t>www.asfinag.at</w:t>
        </w:r>
      </w:hyperlink>
      <w:r w:rsidRPr="00B23B1B">
        <w:rPr>
          <w:i/>
          <w:sz w:val="18"/>
          <w:szCs w:val="18"/>
        </w:rPr>
        <w:t xml:space="preserve">); Swiss Federal Office for Spatial Development (2012); </w:t>
      </w:r>
      <w:r>
        <w:rPr>
          <w:i/>
          <w:sz w:val="18"/>
          <w:szCs w:val="18"/>
        </w:rPr>
        <w:t xml:space="preserve">and </w:t>
      </w:r>
      <w:r w:rsidRPr="00B23B1B">
        <w:rPr>
          <w:i/>
          <w:sz w:val="18"/>
          <w:szCs w:val="18"/>
        </w:rPr>
        <w:t xml:space="preserve">Georgian Ministry of </w:t>
      </w:r>
      <w:r>
        <w:rPr>
          <w:i/>
          <w:sz w:val="18"/>
          <w:szCs w:val="18"/>
        </w:rPr>
        <w:t>Economy and Sustainable Development</w:t>
      </w:r>
    </w:p>
    <w:p w:rsidR="00A332F6" w:rsidRPr="00F64295" w:rsidRDefault="00A332F6" w:rsidP="00A332F6">
      <w:pPr>
        <w:spacing w:before="40" w:after="40" w:line="240" w:lineRule="auto"/>
        <w:rPr>
          <w:i/>
          <w:sz w:val="18"/>
          <w:szCs w:val="18"/>
        </w:rPr>
      </w:pPr>
      <w:r w:rsidRPr="00F64295">
        <w:rPr>
          <w:i/>
          <w:sz w:val="18"/>
          <w:szCs w:val="18"/>
          <w:vertAlign w:val="superscript"/>
        </w:rPr>
        <w:t>a</w:t>
      </w:r>
      <w:r>
        <w:rPr>
          <w:i/>
          <w:sz w:val="18"/>
          <w:szCs w:val="18"/>
          <w:vertAlign w:val="superscript"/>
        </w:rPr>
        <w:t xml:space="preserve"> </w:t>
      </w:r>
      <w:r w:rsidRPr="00F64295">
        <w:rPr>
          <w:i/>
          <w:sz w:val="18"/>
          <w:szCs w:val="18"/>
        </w:rPr>
        <w:t>Enhanced Environmentally</w:t>
      </w:r>
      <w:r>
        <w:rPr>
          <w:i/>
          <w:sz w:val="18"/>
          <w:szCs w:val="18"/>
        </w:rPr>
        <w:t>-</w:t>
      </w:r>
      <w:r w:rsidRPr="00F64295">
        <w:rPr>
          <w:i/>
          <w:sz w:val="18"/>
          <w:szCs w:val="18"/>
        </w:rPr>
        <w:t>friendly Vehicles</w:t>
      </w:r>
    </w:p>
    <w:p w:rsidR="00A332F6" w:rsidRDefault="00A332F6" w:rsidP="00A332F6">
      <w:pPr>
        <w:spacing w:after="40" w:line="240" w:lineRule="auto"/>
        <w:rPr>
          <w:i/>
          <w:sz w:val="18"/>
          <w:szCs w:val="18"/>
        </w:rPr>
      </w:pPr>
      <w:r>
        <w:rPr>
          <w:i/>
          <w:sz w:val="18"/>
          <w:szCs w:val="18"/>
          <w:vertAlign w:val="superscript"/>
        </w:rPr>
        <w:t xml:space="preserve">b </w:t>
      </w:r>
      <w:r w:rsidRPr="00B23B1B">
        <w:rPr>
          <w:i/>
          <w:sz w:val="18"/>
          <w:szCs w:val="18"/>
        </w:rPr>
        <w:t xml:space="preserve">These values are converted from Swiss Franc (CHF) rates set </w:t>
      </w:r>
      <w:r>
        <w:rPr>
          <w:i/>
          <w:sz w:val="18"/>
          <w:szCs w:val="18"/>
        </w:rPr>
        <w:t>per</w:t>
      </w:r>
      <w:r w:rsidRPr="00B23B1B">
        <w:rPr>
          <w:i/>
          <w:sz w:val="18"/>
          <w:szCs w:val="18"/>
        </w:rPr>
        <w:t xml:space="preserve"> ton-km, assuming on average weight of 18 tons for 2-axle trucks, 30 tons for 3-axle trucks, and 40 tons trucks/trailers</w:t>
      </w:r>
      <w:r w:rsidR="00CE1B9E">
        <w:rPr>
          <w:i/>
          <w:sz w:val="18"/>
          <w:szCs w:val="18"/>
        </w:rPr>
        <w:t xml:space="preserve"> with </w:t>
      </w:r>
      <w:r w:rsidR="00CE1B9E" w:rsidRPr="00B23B1B">
        <w:rPr>
          <w:i/>
          <w:sz w:val="18"/>
          <w:szCs w:val="18"/>
        </w:rPr>
        <w:t xml:space="preserve">for </w:t>
      </w:r>
      <w:r w:rsidR="00CE1B9E">
        <w:rPr>
          <w:i/>
          <w:sz w:val="18"/>
          <w:szCs w:val="18"/>
        </w:rPr>
        <w:t xml:space="preserve">four </w:t>
      </w:r>
      <w:r w:rsidR="00CE1B9E" w:rsidRPr="00B23B1B">
        <w:rPr>
          <w:i/>
          <w:sz w:val="18"/>
          <w:szCs w:val="18"/>
        </w:rPr>
        <w:t>or more axle</w:t>
      </w:r>
      <w:r w:rsidRPr="00B23B1B">
        <w:rPr>
          <w:i/>
          <w:sz w:val="18"/>
          <w:szCs w:val="18"/>
        </w:rPr>
        <w:t>. The original fee schedule is</w:t>
      </w:r>
      <w:r>
        <w:rPr>
          <w:i/>
          <w:sz w:val="18"/>
          <w:szCs w:val="18"/>
        </w:rPr>
        <w:t xml:space="preserve"> </w:t>
      </w:r>
      <w:r w:rsidRPr="00B23B1B">
        <w:rPr>
          <w:i/>
          <w:sz w:val="18"/>
          <w:szCs w:val="18"/>
        </w:rPr>
        <w:t>3.07</w:t>
      </w:r>
      <w:r w:rsidRPr="00F64295">
        <w:rPr>
          <w:i/>
          <w:sz w:val="18"/>
          <w:szCs w:val="18"/>
        </w:rPr>
        <w:t xml:space="preserve"> </w:t>
      </w:r>
      <w:r w:rsidRPr="00B23B1B">
        <w:rPr>
          <w:i/>
          <w:sz w:val="18"/>
          <w:szCs w:val="18"/>
        </w:rPr>
        <w:t>CHF cents per ton-km</w:t>
      </w:r>
      <w:r>
        <w:rPr>
          <w:i/>
          <w:sz w:val="18"/>
          <w:szCs w:val="18"/>
        </w:rPr>
        <w:t xml:space="preserve"> for</w:t>
      </w:r>
      <w:r w:rsidRPr="00B23B1B">
        <w:rPr>
          <w:i/>
          <w:sz w:val="18"/>
          <w:szCs w:val="18"/>
        </w:rPr>
        <w:t xml:space="preserve"> Category 1</w:t>
      </w:r>
      <w:r>
        <w:rPr>
          <w:i/>
          <w:sz w:val="18"/>
          <w:szCs w:val="18"/>
        </w:rPr>
        <w:t xml:space="preserve"> </w:t>
      </w:r>
      <w:r w:rsidRPr="00B23B1B">
        <w:rPr>
          <w:i/>
          <w:sz w:val="18"/>
          <w:szCs w:val="18"/>
        </w:rPr>
        <w:t xml:space="preserve">(Euro 0, </w:t>
      </w:r>
      <w:r w:rsidR="00472E78">
        <w:rPr>
          <w:i/>
          <w:sz w:val="18"/>
          <w:szCs w:val="18"/>
        </w:rPr>
        <w:t>1</w:t>
      </w:r>
      <w:r w:rsidRPr="00B23B1B">
        <w:rPr>
          <w:i/>
          <w:sz w:val="18"/>
          <w:szCs w:val="18"/>
        </w:rPr>
        <w:t xml:space="preserve"> and </w:t>
      </w:r>
      <w:r w:rsidR="00472E78">
        <w:rPr>
          <w:i/>
          <w:sz w:val="18"/>
          <w:szCs w:val="18"/>
        </w:rPr>
        <w:t>2</w:t>
      </w:r>
      <w:r w:rsidRPr="00B23B1B">
        <w:rPr>
          <w:i/>
          <w:sz w:val="18"/>
          <w:szCs w:val="18"/>
        </w:rPr>
        <w:t>), 2.66</w:t>
      </w:r>
      <w:r>
        <w:rPr>
          <w:i/>
          <w:sz w:val="18"/>
          <w:szCs w:val="18"/>
        </w:rPr>
        <w:t xml:space="preserve"> for </w:t>
      </w:r>
      <w:r w:rsidRPr="00B23B1B">
        <w:rPr>
          <w:i/>
          <w:sz w:val="18"/>
          <w:szCs w:val="18"/>
        </w:rPr>
        <w:t xml:space="preserve">Category 2 (Euro </w:t>
      </w:r>
      <w:r w:rsidR="00472E78">
        <w:rPr>
          <w:i/>
          <w:sz w:val="18"/>
          <w:szCs w:val="18"/>
        </w:rPr>
        <w:t>3</w:t>
      </w:r>
      <w:r w:rsidRPr="00B23B1B">
        <w:rPr>
          <w:i/>
          <w:sz w:val="18"/>
          <w:szCs w:val="18"/>
        </w:rPr>
        <w:t>)</w:t>
      </w:r>
      <w:r>
        <w:rPr>
          <w:i/>
          <w:sz w:val="18"/>
          <w:szCs w:val="18"/>
        </w:rPr>
        <w:t>,</w:t>
      </w:r>
      <w:r w:rsidRPr="00B23B1B">
        <w:rPr>
          <w:i/>
          <w:sz w:val="18"/>
          <w:szCs w:val="18"/>
        </w:rPr>
        <w:t xml:space="preserve"> and 2.26</w:t>
      </w:r>
      <w:r>
        <w:rPr>
          <w:i/>
          <w:sz w:val="18"/>
          <w:szCs w:val="18"/>
        </w:rPr>
        <w:t xml:space="preserve"> for </w:t>
      </w:r>
      <w:r w:rsidRPr="00B23B1B">
        <w:rPr>
          <w:i/>
          <w:sz w:val="18"/>
          <w:szCs w:val="18"/>
        </w:rPr>
        <w:t xml:space="preserve">Category 3 (Euro </w:t>
      </w:r>
      <w:r w:rsidR="00472E78">
        <w:rPr>
          <w:i/>
          <w:sz w:val="18"/>
          <w:szCs w:val="18"/>
        </w:rPr>
        <w:t>4</w:t>
      </w:r>
      <w:r w:rsidRPr="00B23B1B">
        <w:rPr>
          <w:i/>
          <w:sz w:val="18"/>
          <w:szCs w:val="18"/>
        </w:rPr>
        <w:t>–</w:t>
      </w:r>
      <w:r w:rsidR="00472E78">
        <w:rPr>
          <w:i/>
          <w:sz w:val="18"/>
          <w:szCs w:val="18"/>
        </w:rPr>
        <w:t>5</w:t>
      </w:r>
      <w:r w:rsidRPr="00B23B1B">
        <w:rPr>
          <w:i/>
          <w:sz w:val="18"/>
          <w:szCs w:val="18"/>
        </w:rPr>
        <w:t>).</w:t>
      </w:r>
    </w:p>
    <w:p w:rsidR="00A332F6" w:rsidRPr="00B23B1B" w:rsidRDefault="00A332F6" w:rsidP="00A332F6">
      <w:pPr>
        <w:spacing w:after="240" w:line="240" w:lineRule="auto"/>
        <w:rPr>
          <w:i/>
          <w:sz w:val="18"/>
          <w:szCs w:val="18"/>
        </w:rPr>
      </w:pPr>
      <w:r>
        <w:rPr>
          <w:i/>
          <w:sz w:val="18"/>
          <w:szCs w:val="18"/>
          <w:vertAlign w:val="superscript"/>
        </w:rPr>
        <w:t xml:space="preserve">c </w:t>
      </w:r>
      <w:r>
        <w:rPr>
          <w:i/>
          <w:sz w:val="18"/>
          <w:szCs w:val="18"/>
        </w:rPr>
        <w:t>This was calculated from the flat fee for all transit traffic: 200 GEL divided by the average transit distance between Sarpi and Red Bridge (approximately 500 km).</w:t>
      </w:r>
    </w:p>
    <w:tbl>
      <w:tblPr>
        <w:tblStyle w:val="TableGrid"/>
        <w:tblpPr w:leftFromText="180" w:rightFromText="180" w:vertAnchor="text" w:horzAnchor="margin" w:tblpXSpec="right" w:tblpY="53"/>
        <w:tblW w:w="0" w:type="auto"/>
        <w:tblLayout w:type="fixed"/>
        <w:tblCellMar>
          <w:left w:w="0" w:type="dxa"/>
          <w:right w:w="0" w:type="dxa"/>
        </w:tblCellMar>
        <w:tblLook w:val="04A0"/>
      </w:tblPr>
      <w:tblGrid>
        <w:gridCol w:w="4410"/>
      </w:tblGrid>
      <w:tr w:rsidR="00A332F6" w:rsidTr="00A332F6">
        <w:tc>
          <w:tcPr>
            <w:tcW w:w="4410" w:type="dxa"/>
            <w:tcBorders>
              <w:top w:val="nil"/>
              <w:left w:val="nil"/>
              <w:bottom w:val="single" w:sz="4" w:space="0" w:color="auto"/>
              <w:right w:val="nil"/>
            </w:tcBorders>
          </w:tcPr>
          <w:p w:rsidR="00A332F6" w:rsidRPr="005631F9" w:rsidRDefault="00A332F6" w:rsidP="00A332F6">
            <w:pPr>
              <w:spacing w:after="0"/>
              <w:jc w:val="center"/>
              <w:rPr>
                <w:sz w:val="20"/>
                <w:szCs w:val="20"/>
              </w:rPr>
            </w:pPr>
            <w:bookmarkStart w:id="75" w:name="_Ref324679354"/>
            <w:bookmarkStart w:id="76" w:name="_Toc326892838"/>
            <w:r w:rsidRPr="00394B4B">
              <w:rPr>
                <w:b/>
                <w:sz w:val="20"/>
                <w:szCs w:val="20"/>
              </w:rPr>
              <w:t xml:space="preserve">Figure </w:t>
            </w:r>
            <w:r w:rsidR="001A7AF8" w:rsidRPr="00394B4B">
              <w:rPr>
                <w:b/>
                <w:sz w:val="20"/>
                <w:szCs w:val="20"/>
              </w:rPr>
              <w:fldChar w:fldCharType="begin"/>
            </w:r>
            <w:r w:rsidRPr="00394B4B">
              <w:rPr>
                <w:b/>
                <w:sz w:val="20"/>
                <w:szCs w:val="20"/>
              </w:rPr>
              <w:instrText xml:space="preserve"> SEQ Figure \* ARABIC </w:instrText>
            </w:r>
            <w:r w:rsidR="001A7AF8" w:rsidRPr="00394B4B">
              <w:rPr>
                <w:b/>
                <w:sz w:val="20"/>
                <w:szCs w:val="20"/>
              </w:rPr>
              <w:fldChar w:fldCharType="separate"/>
            </w:r>
            <w:r w:rsidR="00AA3F1A">
              <w:rPr>
                <w:b/>
                <w:noProof/>
                <w:sz w:val="20"/>
                <w:szCs w:val="20"/>
              </w:rPr>
              <w:t>17</w:t>
            </w:r>
            <w:r w:rsidR="001A7AF8" w:rsidRPr="00394B4B">
              <w:rPr>
                <w:b/>
                <w:sz w:val="20"/>
                <w:szCs w:val="20"/>
              </w:rPr>
              <w:fldChar w:fldCharType="end"/>
            </w:r>
            <w:bookmarkEnd w:id="75"/>
            <w:r w:rsidRPr="00394B4B">
              <w:rPr>
                <w:sz w:val="20"/>
                <w:szCs w:val="20"/>
              </w:rPr>
              <w:t>:</w:t>
            </w:r>
            <w:r>
              <w:rPr>
                <w:sz w:val="20"/>
                <w:szCs w:val="20"/>
              </w:rPr>
              <w:t xml:space="preserve"> Containerized cargo volume handled in Georgian seaports has increased rapidly</w:t>
            </w:r>
            <w:bookmarkEnd w:id="76"/>
          </w:p>
        </w:tc>
      </w:tr>
      <w:tr w:rsidR="00A332F6" w:rsidTr="00A332F6">
        <w:tc>
          <w:tcPr>
            <w:tcW w:w="4410" w:type="dxa"/>
            <w:tcBorders>
              <w:bottom w:val="single" w:sz="4" w:space="0" w:color="auto"/>
            </w:tcBorders>
          </w:tcPr>
          <w:p w:rsidR="00A332F6" w:rsidRDefault="00A332F6" w:rsidP="00A332F6">
            <w:pPr>
              <w:spacing w:after="0"/>
              <w:jc w:val="center"/>
            </w:pPr>
            <w:r w:rsidRPr="00926860">
              <w:rPr>
                <w:noProof/>
                <w:lang w:bidi="ar-SA"/>
              </w:rPr>
              <w:drawing>
                <wp:inline distT="0" distB="0" distL="0" distR="0">
                  <wp:extent cx="2762250" cy="2085975"/>
                  <wp:effectExtent l="0" t="0" r="38100" b="0"/>
                  <wp:docPr id="1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r>
      <w:tr w:rsidR="00A332F6" w:rsidTr="00A332F6">
        <w:tc>
          <w:tcPr>
            <w:tcW w:w="4410" w:type="dxa"/>
            <w:tcBorders>
              <w:left w:val="nil"/>
              <w:bottom w:val="nil"/>
              <w:right w:val="nil"/>
            </w:tcBorders>
            <w:tcMar>
              <w:top w:w="14" w:type="dxa"/>
              <w:left w:w="43" w:type="dxa"/>
              <w:bottom w:w="14" w:type="dxa"/>
              <w:right w:w="43" w:type="dxa"/>
            </w:tcMar>
          </w:tcPr>
          <w:p w:rsidR="00A332F6" w:rsidRPr="00961A10" w:rsidRDefault="00A332F6" w:rsidP="004B2646">
            <w:pPr>
              <w:spacing w:after="60"/>
              <w:jc w:val="center"/>
              <w:rPr>
                <w:i/>
                <w:sz w:val="18"/>
                <w:szCs w:val="18"/>
              </w:rPr>
            </w:pPr>
            <w:r w:rsidRPr="00961A10">
              <w:rPr>
                <w:i/>
                <w:sz w:val="18"/>
                <w:szCs w:val="18"/>
              </w:rPr>
              <w:t xml:space="preserve">Source:  </w:t>
            </w:r>
            <w:r w:rsidR="004B2646">
              <w:rPr>
                <w:i/>
                <w:sz w:val="18"/>
                <w:szCs w:val="18"/>
              </w:rPr>
              <w:t xml:space="preserve">WB staff calculation based on the data from the </w:t>
            </w:r>
            <w:r w:rsidRPr="00961A10">
              <w:rPr>
                <w:i/>
                <w:sz w:val="18"/>
                <w:szCs w:val="18"/>
              </w:rPr>
              <w:t>Ministry of Economy and Sustainable Development</w:t>
            </w:r>
          </w:p>
        </w:tc>
      </w:tr>
    </w:tbl>
    <w:p w:rsidR="00F80D88" w:rsidRDefault="00A332F6" w:rsidP="00D40242">
      <w:r>
        <w:rPr>
          <w:b/>
        </w:rPr>
        <w:t>Rationale for change</w:t>
      </w:r>
      <w:r w:rsidR="00F80D88" w:rsidRPr="00D05459">
        <w:rPr>
          <w:b/>
        </w:rPr>
        <w:t xml:space="preserve">: </w:t>
      </w:r>
      <w:r w:rsidR="00CE1B9E">
        <w:rPr>
          <w:b/>
        </w:rPr>
        <w:t xml:space="preserve">existing weak physical and institutional </w:t>
      </w:r>
      <w:r w:rsidR="00F80D88" w:rsidRPr="00D05459">
        <w:rPr>
          <w:b/>
        </w:rPr>
        <w:t xml:space="preserve">intermodal </w:t>
      </w:r>
      <w:r w:rsidR="00F80D88">
        <w:rPr>
          <w:b/>
        </w:rPr>
        <w:t>connectivity</w:t>
      </w:r>
      <w:r w:rsidR="00F80D88" w:rsidRPr="00D05459">
        <w:rPr>
          <w:b/>
        </w:rPr>
        <w:t xml:space="preserve"> </w:t>
      </w:r>
      <w:r w:rsidR="00CE1B9E">
        <w:rPr>
          <w:b/>
        </w:rPr>
        <w:t>cannot</w:t>
      </w:r>
      <w:r w:rsidR="00861916">
        <w:rPr>
          <w:b/>
        </w:rPr>
        <w:t xml:space="preserve"> realize the potential for green, multimodal freight transportation and logistics</w:t>
      </w:r>
      <w:r w:rsidR="00F80D88">
        <w:t xml:space="preserve">.  </w:t>
      </w:r>
      <w:r w:rsidR="00CE1B9E">
        <w:t>R</w:t>
      </w:r>
      <w:r w:rsidR="00F80D88">
        <w:t xml:space="preserve">ailway connections at major ports, </w:t>
      </w:r>
      <w:r w:rsidR="007F2DFD">
        <w:t xml:space="preserve">including </w:t>
      </w:r>
      <w:r w:rsidR="00F80D88">
        <w:t xml:space="preserve">Batumi and Poti, are single-tracked and </w:t>
      </w:r>
      <w:r w:rsidR="00786F55">
        <w:t xml:space="preserve">terminal capacity is limited. </w:t>
      </w:r>
      <w:r w:rsidR="007F2DFD">
        <w:t xml:space="preserve"> </w:t>
      </w:r>
      <w:r w:rsidR="00E05D3D">
        <w:t>Container terminal capacity</w:t>
      </w:r>
      <w:r w:rsidR="00CE1B9E">
        <w:t xml:space="preserve"> remains </w:t>
      </w:r>
      <w:r w:rsidR="00E05D3D">
        <w:t xml:space="preserve">inadequate </w:t>
      </w:r>
      <w:r w:rsidR="007F2DFD">
        <w:t xml:space="preserve">to meet </w:t>
      </w:r>
      <w:r w:rsidR="00E05D3D">
        <w:t xml:space="preserve">growing </w:t>
      </w:r>
      <w:r w:rsidR="0012336C">
        <w:t>containeriz</w:t>
      </w:r>
      <w:r w:rsidR="00861916">
        <w:t>ation</w:t>
      </w:r>
      <w:r w:rsidR="00CE1B9E">
        <w:t xml:space="preserve"> trends</w:t>
      </w:r>
      <w:r w:rsidR="00861916">
        <w:t>.</w:t>
      </w:r>
      <w:r w:rsidR="003C5B26">
        <w:rPr>
          <w:rStyle w:val="FootnoteReference"/>
        </w:rPr>
        <w:footnoteReference w:id="35"/>
      </w:r>
      <w:r w:rsidR="00861916">
        <w:t xml:space="preserve">  </w:t>
      </w:r>
      <w:r w:rsidR="007F2DFD">
        <w:t xml:space="preserve">Since 2004, </w:t>
      </w:r>
      <w:r w:rsidR="00CE1B9E">
        <w:t xml:space="preserve">dry and liquid cargo volumes </w:t>
      </w:r>
      <w:r w:rsidR="007F2DFD">
        <w:t xml:space="preserve">handled in </w:t>
      </w:r>
      <w:r w:rsidR="00CE1B9E">
        <w:t xml:space="preserve">Georgian </w:t>
      </w:r>
      <w:r w:rsidR="007F2DFD">
        <w:t xml:space="preserve">seaports have increased </w:t>
      </w:r>
      <w:r w:rsidR="00D40242">
        <w:t xml:space="preserve">only </w:t>
      </w:r>
      <w:r w:rsidR="007F2DFD">
        <w:t>marginally</w:t>
      </w:r>
      <w:r w:rsidR="00D40242">
        <w:t>, at</w:t>
      </w:r>
      <w:r w:rsidR="007F2DFD">
        <w:t xml:space="preserve"> 4.3 and 0.8 percent per annum</w:t>
      </w:r>
      <w:r w:rsidR="00D40242">
        <w:t xml:space="preserve"> respectively</w:t>
      </w:r>
      <w:r w:rsidR="007F2DFD">
        <w:t xml:space="preserve">, </w:t>
      </w:r>
      <w:r w:rsidR="00CE1B9E">
        <w:t xml:space="preserve">although </w:t>
      </w:r>
      <w:r w:rsidR="007F2DFD">
        <w:t xml:space="preserve">containerized cargo </w:t>
      </w:r>
      <w:r w:rsidR="00CE1B9E">
        <w:t xml:space="preserve">volumes have </w:t>
      </w:r>
      <w:r w:rsidR="007F2DFD">
        <w:t>increased at an average rate of 18.9 percent annually (</w:t>
      </w:r>
      <w:fldSimple w:instr=" REF _Ref324679354 \h  \* MERGEFORMAT ">
        <w:r w:rsidR="00AA3F1A" w:rsidRPr="00AA3F1A">
          <w:t xml:space="preserve">Figure </w:t>
        </w:r>
        <w:r w:rsidR="00AA3F1A" w:rsidRPr="00AA3F1A">
          <w:rPr>
            <w:noProof/>
          </w:rPr>
          <w:t>17</w:t>
        </w:r>
      </w:fldSimple>
      <w:r w:rsidR="007F2DFD">
        <w:t xml:space="preserve">). </w:t>
      </w:r>
      <w:r w:rsidR="00624B2C">
        <w:t xml:space="preserve"> </w:t>
      </w:r>
      <w:r w:rsidR="00CE1B9E">
        <w:t xml:space="preserve">Georgia is located </w:t>
      </w:r>
      <w:r w:rsidR="00624B2C">
        <w:t>along an important international trade and transport corridor</w:t>
      </w:r>
      <w:r w:rsidR="00AA0F9A">
        <w:t>—</w:t>
      </w:r>
      <w:r w:rsidR="003C5B26">
        <w:t>the</w:t>
      </w:r>
      <w:r w:rsidR="00AA0F9A">
        <w:t xml:space="preserve"> </w:t>
      </w:r>
      <w:r w:rsidR="00624B2C" w:rsidRPr="00584B38">
        <w:t>Transport Corridor Europe-Caucasus-Asia</w:t>
      </w:r>
      <w:r w:rsidR="00CE1B9E">
        <w:t>.  But, d</w:t>
      </w:r>
      <w:r w:rsidR="00624B2C">
        <w:t>evelopment</w:t>
      </w:r>
      <w:r w:rsidR="00AA0F9A">
        <w:t xml:space="preserve"> </w:t>
      </w:r>
      <w:r w:rsidR="00624B2C">
        <w:t xml:space="preserve">of key intermodal junctions </w:t>
      </w:r>
      <w:r w:rsidR="00566274">
        <w:t xml:space="preserve">is </w:t>
      </w:r>
      <w:r w:rsidR="00CE1B9E">
        <w:t xml:space="preserve">handled by </w:t>
      </w:r>
      <w:r w:rsidR="00AA0F9A">
        <w:t>mode-based agencies and companies, such as Ministry of Regional Development and Infrastructure (road sector development) Georgian Railway and private sector port operators</w:t>
      </w:r>
      <w:r w:rsidR="00CE1B9E">
        <w:t>, rather than a strategic objective of central Government</w:t>
      </w:r>
      <w:r w:rsidR="00624B2C">
        <w:t xml:space="preserve">. </w:t>
      </w:r>
      <w:r w:rsidR="003C5B26">
        <w:t xml:space="preserve"> </w:t>
      </w:r>
      <w:r w:rsidR="00CE1B9E">
        <w:t xml:space="preserve">This mode-based </w:t>
      </w:r>
      <w:r w:rsidR="00F80D88">
        <w:t>transport sector capital investment planning creates silos</w:t>
      </w:r>
      <w:r w:rsidR="003C5B26">
        <w:t xml:space="preserve">, and inter-agency and inter-jurisdiction coordination is weak. </w:t>
      </w:r>
      <w:r w:rsidR="00AA0F9A">
        <w:t xml:space="preserve"> </w:t>
      </w:r>
      <w:r w:rsidR="003C5B26">
        <w:t xml:space="preserve">Inadequate </w:t>
      </w:r>
      <w:r w:rsidR="00F80D88">
        <w:t xml:space="preserve">coordination </w:t>
      </w:r>
      <w:r w:rsidR="003C5B26">
        <w:t xml:space="preserve">among </w:t>
      </w:r>
      <w:r w:rsidR="00F80D88">
        <w:t xml:space="preserve">major </w:t>
      </w:r>
      <w:r w:rsidR="003C5B26">
        <w:t xml:space="preserve">transport </w:t>
      </w:r>
      <w:r w:rsidR="00F80D88">
        <w:lastRenderedPageBreak/>
        <w:t>modes</w:t>
      </w:r>
      <w:r w:rsidR="003C5B26">
        <w:t xml:space="preserve"> and a lack of </w:t>
      </w:r>
      <w:r w:rsidR="00AA0F9A">
        <w:t xml:space="preserve">a </w:t>
      </w:r>
      <w:r w:rsidR="003C5B26">
        <w:t xml:space="preserve">nationwide multimodal transport corridor development </w:t>
      </w:r>
      <w:r w:rsidR="00AA0F9A">
        <w:t>strategy</w:t>
      </w:r>
      <w:r w:rsidR="003C5B26">
        <w:t xml:space="preserve"> </w:t>
      </w:r>
      <w:r w:rsidR="00F80D88">
        <w:t>preclude opportunities to create a better-connected network, lower transport costs, and greening transportation.</w:t>
      </w:r>
    </w:p>
    <w:p w:rsidR="00861916" w:rsidRPr="00E046E9" w:rsidRDefault="00861916" w:rsidP="00525183">
      <w:pPr>
        <w:spacing w:after="80"/>
        <w:rPr>
          <w:b/>
          <w:i/>
        </w:rPr>
      </w:pPr>
      <w:r w:rsidRPr="00E046E9">
        <w:rPr>
          <w:b/>
          <w:i/>
        </w:rPr>
        <w:t>How can this be done?</w:t>
      </w:r>
    </w:p>
    <w:p w:rsidR="00FF06A2" w:rsidRDefault="00861916" w:rsidP="00861916">
      <w:r w:rsidRPr="008E6F10">
        <w:rPr>
          <w:b/>
        </w:rPr>
        <w:t>Institution</w:t>
      </w:r>
      <w:r w:rsidR="00C2368C">
        <w:rPr>
          <w:b/>
        </w:rPr>
        <w:t>al</w:t>
      </w:r>
      <w:r>
        <w:rPr>
          <w:b/>
        </w:rPr>
        <w:t xml:space="preserve">: </w:t>
      </w:r>
      <w:r w:rsidR="00CE1B9E">
        <w:rPr>
          <w:b/>
        </w:rPr>
        <w:t xml:space="preserve">develop </w:t>
      </w:r>
      <w:r>
        <w:rPr>
          <w:b/>
        </w:rPr>
        <w:t xml:space="preserve">coherent transport policy that </w:t>
      </w:r>
      <w:r w:rsidR="00586244">
        <w:rPr>
          <w:b/>
        </w:rPr>
        <w:t xml:space="preserve">aims at modal shift from roads to railway through strengthened </w:t>
      </w:r>
      <w:r>
        <w:rPr>
          <w:b/>
        </w:rPr>
        <w:t>inter</w:t>
      </w:r>
      <w:r w:rsidR="00C2368C">
        <w:rPr>
          <w:b/>
        </w:rPr>
        <w:t>-</w:t>
      </w:r>
      <w:r>
        <w:rPr>
          <w:b/>
        </w:rPr>
        <w:t>modality and international collaboration with key trading partners</w:t>
      </w:r>
      <w:r w:rsidRPr="008E6F10">
        <w:t xml:space="preserve">.  </w:t>
      </w:r>
      <w:r w:rsidR="00FF06A2">
        <w:t>Transport s</w:t>
      </w:r>
      <w:r>
        <w:t xml:space="preserve">ervices operated by private entities in railway and port sectors </w:t>
      </w:r>
      <w:r w:rsidR="00FF06A2">
        <w:t xml:space="preserve">of Georgia </w:t>
      </w:r>
      <w:r>
        <w:t xml:space="preserve">have been reasonably efficient </w:t>
      </w:r>
      <w:r w:rsidR="00FF06A2">
        <w:t>and competitive: they are financially self-sustaining and use profit</w:t>
      </w:r>
      <w:r w:rsidR="00500A6D">
        <w:t>s</w:t>
      </w:r>
      <w:r w:rsidR="00FF06A2">
        <w:t xml:space="preserve"> </w:t>
      </w:r>
      <w:r w:rsidR="00CE1B9E">
        <w:t>to invest</w:t>
      </w:r>
      <w:r w:rsidR="00FF06A2">
        <w:t xml:space="preserve"> in new developments to remain competitive in the market.  Nevertheless</w:t>
      </w:r>
      <w:r>
        <w:t xml:space="preserve">, </w:t>
      </w:r>
      <w:r w:rsidR="00FF06A2">
        <w:t xml:space="preserve">their roles </w:t>
      </w:r>
      <w:r w:rsidR="00CE1B9E">
        <w:t xml:space="preserve">are limited </w:t>
      </w:r>
      <w:r w:rsidR="00FF06A2">
        <w:t xml:space="preserve">in </w:t>
      </w:r>
      <w:r w:rsidR="00CE1B9E">
        <w:t>developing</w:t>
      </w:r>
      <w:r w:rsidR="00FF06A2">
        <w:t xml:space="preserve"> intermodal connectivity since these entities and their commercial decisions </w:t>
      </w:r>
      <w:r w:rsidR="00CE1B9E">
        <w:t xml:space="preserve">depend on national-level </w:t>
      </w:r>
      <w:r w:rsidR="00FF06A2">
        <w:t xml:space="preserve">policy decisions and international relationships. </w:t>
      </w:r>
      <w:r w:rsidR="00CE1B9E">
        <w:t>Therefore s</w:t>
      </w:r>
      <w:r w:rsidR="00FF06A2">
        <w:t>trong national leadership is critical</w:t>
      </w:r>
      <w:r w:rsidR="00500A6D">
        <w:t xml:space="preserve"> in </w:t>
      </w:r>
      <w:r w:rsidR="0082211F">
        <w:t xml:space="preserve">the following </w:t>
      </w:r>
      <w:r w:rsidR="00500A6D">
        <w:t>areas:</w:t>
      </w:r>
    </w:p>
    <w:p w:rsidR="00DE45B5" w:rsidRDefault="00CE1B9E" w:rsidP="00197EC3">
      <w:pPr>
        <w:pStyle w:val="ListParagraph"/>
        <w:numPr>
          <w:ilvl w:val="0"/>
          <w:numId w:val="9"/>
        </w:numPr>
        <w:spacing w:after="60"/>
        <w:contextualSpacing w:val="0"/>
      </w:pPr>
      <w:r>
        <w:rPr>
          <w:u w:val="single"/>
        </w:rPr>
        <w:t>To d</w:t>
      </w:r>
      <w:r w:rsidR="00E57067" w:rsidRPr="00712C17">
        <w:rPr>
          <w:u w:val="single"/>
        </w:rPr>
        <w:t>evelop</w:t>
      </w:r>
      <w:r>
        <w:rPr>
          <w:u w:val="single"/>
        </w:rPr>
        <w:t xml:space="preserve"> </w:t>
      </w:r>
      <w:r w:rsidR="00E57067" w:rsidRPr="00712C17">
        <w:rPr>
          <w:u w:val="single"/>
        </w:rPr>
        <w:t xml:space="preserve">a </w:t>
      </w:r>
      <w:r w:rsidR="00500A6D" w:rsidRPr="00712C17">
        <w:rPr>
          <w:u w:val="single"/>
        </w:rPr>
        <w:t xml:space="preserve">national </w:t>
      </w:r>
      <w:r w:rsidR="00E57067" w:rsidRPr="00712C17">
        <w:rPr>
          <w:u w:val="single"/>
        </w:rPr>
        <w:t>transport strategy and investment programs</w:t>
      </w:r>
      <w:r w:rsidR="00E57067">
        <w:t xml:space="preserve"> that coordinate all modes</w:t>
      </w:r>
      <w:r w:rsidR="00AA3F1A">
        <w:t xml:space="preserve"> and pursue further modal shift to railway</w:t>
      </w:r>
      <w:r w:rsidR="00E57067">
        <w:t>, under a strategic vision to lower the overall cost</w:t>
      </w:r>
      <w:r w:rsidR="00C14AB8">
        <w:t>s</w:t>
      </w:r>
      <w:r w:rsidR="00E57067">
        <w:t xml:space="preserve"> </w:t>
      </w:r>
      <w:r w:rsidR="00C14AB8">
        <w:t xml:space="preserve">for </w:t>
      </w:r>
      <w:r w:rsidR="00E57067">
        <w:t>transportation</w:t>
      </w:r>
      <w:r w:rsidR="00500A6D">
        <w:t xml:space="preserve"> and harmful </w:t>
      </w:r>
      <w:r w:rsidR="00C14AB8">
        <w:t xml:space="preserve">environment </w:t>
      </w:r>
      <w:r w:rsidR="00500A6D">
        <w:t>effects</w:t>
      </w:r>
      <w:r w:rsidR="00AA3F1A" w:rsidRPr="00AA3F1A">
        <w:t xml:space="preserve"> </w:t>
      </w:r>
      <w:r w:rsidR="00AA3F1A">
        <w:t>through improved intermodal connectivity</w:t>
      </w:r>
      <w:r w:rsidR="00E57067">
        <w:t>.</w:t>
      </w:r>
      <w:r w:rsidR="000000B7">
        <w:t xml:space="preserve">  </w:t>
      </w:r>
      <w:r w:rsidR="00C14AB8">
        <w:t xml:space="preserve">The </w:t>
      </w:r>
      <w:r w:rsidR="000000B7">
        <w:t xml:space="preserve">strategy should </w:t>
      </w:r>
      <w:r w:rsidR="00C14AB8">
        <w:t xml:space="preserve">build on accurate </w:t>
      </w:r>
      <w:r w:rsidR="000000B7">
        <w:t>baseline data, multimodal diagnostic analysis, future market forecast</w:t>
      </w:r>
      <w:r w:rsidR="00C14AB8">
        <w:t>s</w:t>
      </w:r>
      <w:r w:rsidR="000000B7">
        <w:t>, and risk assessments.</w:t>
      </w:r>
    </w:p>
    <w:p w:rsidR="004F5FDF" w:rsidRDefault="00C14AB8" w:rsidP="00197EC3">
      <w:pPr>
        <w:pStyle w:val="ListParagraph"/>
        <w:numPr>
          <w:ilvl w:val="0"/>
          <w:numId w:val="9"/>
        </w:numPr>
        <w:spacing w:after="60"/>
        <w:contextualSpacing w:val="0"/>
      </w:pPr>
      <w:r>
        <w:rPr>
          <w:u w:val="single"/>
        </w:rPr>
        <w:t>To strengthen</w:t>
      </w:r>
      <w:r w:rsidR="004F5FDF" w:rsidRPr="00712C17">
        <w:rPr>
          <w:u w:val="single"/>
        </w:rPr>
        <w:t xml:space="preserve"> international collaboration</w:t>
      </w:r>
      <w:r w:rsidR="004F5FDF">
        <w:t xml:space="preserve"> </w:t>
      </w:r>
      <w:r>
        <w:t xml:space="preserve">for </w:t>
      </w:r>
      <w:r w:rsidR="004F5FDF">
        <w:t>efficient custom processing and border-crossing, particularly at Azeri and Armenian borders, for railway and road connections.</w:t>
      </w:r>
    </w:p>
    <w:p w:rsidR="004F5FDF" w:rsidRDefault="00C14AB8" w:rsidP="00197EC3">
      <w:pPr>
        <w:pStyle w:val="ListParagraph"/>
        <w:numPr>
          <w:ilvl w:val="0"/>
          <w:numId w:val="9"/>
        </w:numPr>
      </w:pPr>
      <w:r>
        <w:rPr>
          <w:u w:val="single"/>
        </w:rPr>
        <w:t>To explore</w:t>
      </w:r>
      <w:r w:rsidR="004F5FDF">
        <w:rPr>
          <w:u w:val="single"/>
        </w:rPr>
        <w:t xml:space="preserve"> potential for s</w:t>
      </w:r>
      <w:r w:rsidR="004F5FDF" w:rsidRPr="00AB437F">
        <w:rPr>
          <w:u w:val="single"/>
        </w:rPr>
        <w:t>ea-railway connection</w:t>
      </w:r>
      <w:r w:rsidR="004F5FDF">
        <w:t xml:space="preserve">: </w:t>
      </w:r>
      <w:r>
        <w:t xml:space="preserve">Potential exists </w:t>
      </w:r>
      <w:r w:rsidR="004F5FDF">
        <w:t xml:space="preserve">for a further shift </w:t>
      </w:r>
      <w:r>
        <w:t xml:space="preserve">from </w:t>
      </w:r>
      <w:r w:rsidR="004F5FDF">
        <w:t>truck traffic to seaway connection</w:t>
      </w:r>
      <w:r>
        <w:t>s</w:t>
      </w:r>
      <w:r w:rsidR="004F5FDF">
        <w:t xml:space="preserve"> from Turkish ports, such as Istanbul, Samsun and Trabzon, directly to Georgian ports. This </w:t>
      </w:r>
      <w:r>
        <w:t xml:space="preserve">would serve </w:t>
      </w:r>
      <w:r w:rsidR="004F5FDF">
        <w:t xml:space="preserve">green objectives, </w:t>
      </w:r>
      <w:r>
        <w:t xml:space="preserve">but it </w:t>
      </w:r>
      <w:r w:rsidR="004F5FDF">
        <w:t>requires sophisticated logistical arrangement</w:t>
      </w:r>
      <w:r w:rsidR="00C2368C">
        <w:t>s</w:t>
      </w:r>
      <w:r w:rsidR="004F5FDF">
        <w:t xml:space="preserve"> and international collaboration</w:t>
      </w:r>
      <w:r>
        <w:t xml:space="preserve"> with</w:t>
      </w:r>
      <w:r w:rsidR="004F5FDF">
        <w:t xml:space="preserve"> public and private sector</w:t>
      </w:r>
      <w:r>
        <w:t xml:space="preserve"> actor</w:t>
      </w:r>
      <w:r w:rsidR="004F5FDF">
        <w:t>s</w:t>
      </w:r>
      <w:r w:rsidR="00E57067">
        <w:t>.</w:t>
      </w:r>
    </w:p>
    <w:p w:rsidR="00861916" w:rsidRDefault="00861916" w:rsidP="00861916">
      <w:r w:rsidRPr="0083585F">
        <w:rPr>
          <w:b/>
        </w:rPr>
        <w:t>Investments</w:t>
      </w:r>
      <w:r w:rsidR="00E57067">
        <w:rPr>
          <w:b/>
        </w:rPr>
        <w:t xml:space="preserve"> in infrastructure</w:t>
      </w:r>
      <w:r w:rsidR="00AA098E">
        <w:rPr>
          <w:b/>
        </w:rPr>
        <w:t xml:space="preserve">: </w:t>
      </w:r>
      <w:r>
        <w:rPr>
          <w:b/>
        </w:rPr>
        <w:t>develop</w:t>
      </w:r>
      <w:r w:rsidR="00C14AB8">
        <w:rPr>
          <w:b/>
        </w:rPr>
        <w:t xml:space="preserve"> </w:t>
      </w:r>
      <w:r>
        <w:rPr>
          <w:b/>
        </w:rPr>
        <w:t xml:space="preserve">multimodal, green transit corridors </w:t>
      </w:r>
      <w:r w:rsidR="00500A6D">
        <w:rPr>
          <w:b/>
        </w:rPr>
        <w:t>by</w:t>
      </w:r>
      <w:r>
        <w:rPr>
          <w:b/>
        </w:rPr>
        <w:t xml:space="preserve"> </w:t>
      </w:r>
      <w:r w:rsidR="00500A6D">
        <w:rPr>
          <w:b/>
        </w:rPr>
        <w:t xml:space="preserve">improving </w:t>
      </w:r>
      <w:r>
        <w:rPr>
          <w:b/>
        </w:rPr>
        <w:t xml:space="preserve">intermodal connectivity, </w:t>
      </w:r>
      <w:r w:rsidR="00500A6D">
        <w:rPr>
          <w:b/>
        </w:rPr>
        <w:t xml:space="preserve">eliminating </w:t>
      </w:r>
      <w:r>
        <w:rPr>
          <w:b/>
        </w:rPr>
        <w:t xml:space="preserve">bottlenecks and </w:t>
      </w:r>
      <w:r w:rsidR="00500A6D">
        <w:rPr>
          <w:b/>
        </w:rPr>
        <w:t xml:space="preserve">supporting </w:t>
      </w:r>
      <w:r>
        <w:rPr>
          <w:b/>
        </w:rPr>
        <w:t>containerization</w:t>
      </w:r>
      <w:r w:rsidR="00AA098E">
        <w:t xml:space="preserve">. </w:t>
      </w:r>
      <w:r w:rsidR="00C14AB8">
        <w:t xml:space="preserve">The </w:t>
      </w:r>
      <w:r w:rsidR="000000B7">
        <w:t>geographical and geopolitical</w:t>
      </w:r>
      <w:r w:rsidR="00C14AB8">
        <w:t xml:space="preserve"> position of key gateways in Georgia</w:t>
      </w:r>
      <w:r w:rsidR="000000B7">
        <w:t>—</w:t>
      </w:r>
      <w:r w:rsidR="00CD2C04">
        <w:t>along</w:t>
      </w:r>
      <w:r w:rsidR="000000B7">
        <w:t xml:space="preserve"> </w:t>
      </w:r>
      <w:r w:rsidR="00CD2C04">
        <w:t xml:space="preserve">the TRACECA corridors </w:t>
      </w:r>
      <w:r w:rsidR="00CD2C04" w:rsidRPr="00CD2C04">
        <w:t>(</w:t>
      </w:r>
      <w:fldSimple w:instr=" REF _Ref324691702 \h  \* MERGEFORMAT ">
        <w:r w:rsidR="00AA3F1A" w:rsidRPr="00AA3F1A">
          <w:t xml:space="preserve">Figure </w:t>
        </w:r>
        <w:r w:rsidR="00AA3F1A" w:rsidRPr="00AA3F1A">
          <w:rPr>
            <w:noProof/>
          </w:rPr>
          <w:t>6</w:t>
        </w:r>
      </w:fldSimple>
      <w:r w:rsidR="00CD2C04" w:rsidRPr="00CD2C04">
        <w:t>)</w:t>
      </w:r>
      <w:r w:rsidR="00C14AB8">
        <w:t>—lend</w:t>
      </w:r>
      <w:r w:rsidR="00AA3F1A">
        <w:t>s</w:t>
      </w:r>
      <w:r w:rsidR="00C14AB8">
        <w:t xml:space="preserve"> </w:t>
      </w:r>
      <w:r w:rsidR="00AA3F1A">
        <w:t>itself</w:t>
      </w:r>
      <w:r w:rsidR="00C14AB8">
        <w:t xml:space="preserve"> to playing </w:t>
      </w:r>
      <w:r w:rsidR="001759B9">
        <w:t>a bigger role as multimodal and intermodal junctions</w:t>
      </w:r>
      <w:r w:rsidR="005E42C6">
        <w:t xml:space="preserve">. </w:t>
      </w:r>
      <w:r>
        <w:t xml:space="preserve">At the national level, </w:t>
      </w:r>
      <w:r w:rsidR="00C14AB8">
        <w:t>this would require coordinating</w:t>
      </w:r>
      <w:r>
        <w:t xml:space="preserve"> an infrastructure investment strategy that goes beyond modal plans. From the perspective of green transportation, guiding principle</w:t>
      </w:r>
      <w:r w:rsidR="00C14AB8">
        <w:t>s</w:t>
      </w:r>
      <w:r>
        <w:t xml:space="preserve"> of the strategy </w:t>
      </w:r>
      <w:r w:rsidR="00C14AB8">
        <w:t>are</w:t>
      </w:r>
      <w:r>
        <w:t xml:space="preserve">: (i) </w:t>
      </w:r>
      <w:r w:rsidR="00C14AB8">
        <w:t>to increase</w:t>
      </w:r>
      <w:r>
        <w:t xml:space="preserve"> the </w:t>
      </w:r>
      <w:r w:rsidR="00C14AB8">
        <w:t xml:space="preserve">share </w:t>
      </w:r>
      <w:r>
        <w:t>of rail</w:t>
      </w:r>
      <w:r w:rsidR="00C14AB8">
        <w:t xml:space="preserve"> transport </w:t>
      </w:r>
      <w:r>
        <w:t xml:space="preserve">particularly for international transit traffic; and (ii) </w:t>
      </w:r>
      <w:r w:rsidR="00C14AB8">
        <w:t>to improve</w:t>
      </w:r>
      <w:r>
        <w:t xml:space="preserve"> sea-rail</w:t>
      </w:r>
      <w:r w:rsidR="00B94249">
        <w:t>way</w:t>
      </w:r>
      <w:r>
        <w:t xml:space="preserve"> and road-rail</w:t>
      </w:r>
      <w:r w:rsidR="00B94249">
        <w:t>way</w:t>
      </w:r>
      <w:r>
        <w:t xml:space="preserve"> connection</w:t>
      </w:r>
      <w:r w:rsidR="00B94249">
        <w:t>s</w:t>
      </w:r>
      <w:r>
        <w:t>.</w:t>
      </w:r>
      <w:r w:rsidR="000000B7">
        <w:t xml:space="preserve">  Specific recommendations are as follows:</w:t>
      </w:r>
    </w:p>
    <w:p w:rsidR="000000B7" w:rsidRDefault="000000B7" w:rsidP="00197EC3">
      <w:pPr>
        <w:pStyle w:val="ListParagraph"/>
        <w:numPr>
          <w:ilvl w:val="0"/>
          <w:numId w:val="8"/>
        </w:numPr>
        <w:spacing w:after="60"/>
        <w:contextualSpacing w:val="0"/>
      </w:pPr>
      <w:r w:rsidRPr="000000B7">
        <w:rPr>
          <w:u w:val="single"/>
        </w:rPr>
        <w:t>Tbilisi as a regional logistics hub</w:t>
      </w:r>
      <w:r>
        <w:t xml:space="preserve">:  </w:t>
      </w:r>
      <w:r w:rsidR="0059088C">
        <w:t xml:space="preserve">The capital city is a primary junction of </w:t>
      </w:r>
      <w:r w:rsidR="00C14AB8">
        <w:t>road and rail</w:t>
      </w:r>
      <w:r w:rsidR="0059088C">
        <w:t xml:space="preserve"> networks connecting to all neighboring countries. </w:t>
      </w:r>
      <w:r>
        <w:t>It is of strategic importance to strengthen Tbilisi</w:t>
      </w:r>
      <w:r w:rsidR="00C14AB8">
        <w:t>’s role</w:t>
      </w:r>
      <w:r>
        <w:t xml:space="preserve"> as a multimodal hub for international and domestic cargo movement</w:t>
      </w:r>
      <w:r w:rsidR="00C14AB8">
        <w:t>s</w:t>
      </w:r>
      <w:r>
        <w:t xml:space="preserve">.  </w:t>
      </w:r>
      <w:r w:rsidR="00C14AB8">
        <w:t xml:space="preserve">Recently, the Georgian </w:t>
      </w:r>
      <w:r w:rsidR="00AB437F">
        <w:t xml:space="preserve">Railway </w:t>
      </w:r>
      <w:r w:rsidR="00C14AB8">
        <w:t xml:space="preserve">has expanded railway </w:t>
      </w:r>
      <w:r>
        <w:t xml:space="preserve">container terminal capacity </w:t>
      </w:r>
      <w:r w:rsidR="00127F11">
        <w:t xml:space="preserve">and coordination with other modes should be carefully </w:t>
      </w:r>
      <w:r w:rsidR="00C14AB8">
        <w:t>planned</w:t>
      </w:r>
      <w:r w:rsidR="00AB437F">
        <w:t>.</w:t>
      </w:r>
    </w:p>
    <w:p w:rsidR="00861916" w:rsidRDefault="000000B7" w:rsidP="00197EC3">
      <w:pPr>
        <w:pStyle w:val="ListParagraph"/>
        <w:numPr>
          <w:ilvl w:val="0"/>
          <w:numId w:val="8"/>
        </w:numPr>
        <w:spacing w:after="60"/>
        <w:contextualSpacing w:val="0"/>
      </w:pPr>
      <w:r w:rsidRPr="000000B7">
        <w:rPr>
          <w:u w:val="single"/>
        </w:rPr>
        <w:t>Batumi as an intermodal junction</w:t>
      </w:r>
      <w:r>
        <w:t xml:space="preserve">: </w:t>
      </w:r>
      <w:r w:rsidR="00861916">
        <w:t>The Port of Batumi has potential to expand its role as a container and Ro-Ro (roll-on roll-off) port</w:t>
      </w:r>
      <w:r w:rsidR="00156A35">
        <w:t>.</w:t>
      </w:r>
      <w:r w:rsidR="00861916">
        <w:t xml:space="preserve"> </w:t>
      </w:r>
      <w:r w:rsidR="004F149D">
        <w:t xml:space="preserve"> </w:t>
      </w:r>
      <w:r w:rsidR="00C14AB8">
        <w:t xml:space="preserve">The </w:t>
      </w:r>
      <w:r w:rsidR="00AB437F">
        <w:t xml:space="preserve">berths have adequate depth, there is room for </w:t>
      </w:r>
      <w:r w:rsidR="00861916">
        <w:t xml:space="preserve">capacity </w:t>
      </w:r>
      <w:r w:rsidR="00AB437F">
        <w:t xml:space="preserve">expansion, and </w:t>
      </w:r>
      <w:r w:rsidR="00C14AB8">
        <w:t>the port connects</w:t>
      </w:r>
      <w:r w:rsidR="00AB437F">
        <w:t xml:space="preserve"> to</w:t>
      </w:r>
      <w:r w:rsidR="00C14AB8">
        <w:t xml:space="preserve"> the rail</w:t>
      </w:r>
      <w:r w:rsidR="00AB437F">
        <w:t xml:space="preserve"> network</w:t>
      </w:r>
      <w:r w:rsidR="00861916">
        <w:t>.</w:t>
      </w:r>
      <w:r w:rsidR="00AB437F">
        <w:t xml:space="preserve"> </w:t>
      </w:r>
      <w:r w:rsidR="00861916">
        <w:t xml:space="preserve"> However, Batumi municipality</w:t>
      </w:r>
      <w:r w:rsidR="00C14AB8">
        <w:t>’s city development plans</w:t>
      </w:r>
      <w:r w:rsidR="00861916">
        <w:t xml:space="preserve"> </w:t>
      </w:r>
      <w:r w:rsidR="00C14AB8">
        <w:t>focus</w:t>
      </w:r>
      <w:r w:rsidR="00861916">
        <w:t xml:space="preserve"> on </w:t>
      </w:r>
      <w:r w:rsidR="00C14AB8">
        <w:t>attracting</w:t>
      </w:r>
      <w:r w:rsidR="00861916">
        <w:t xml:space="preserve"> </w:t>
      </w:r>
      <w:r w:rsidR="00C14AB8">
        <w:t>tourists and urban transport</w:t>
      </w:r>
      <w:r w:rsidR="00861916">
        <w:t xml:space="preserve">, while substantially reducing the role of its seaport, </w:t>
      </w:r>
      <w:r w:rsidR="009D1BEC">
        <w:t xml:space="preserve">which </w:t>
      </w:r>
      <w:r w:rsidR="00861916">
        <w:t>appears to be at odd</w:t>
      </w:r>
      <w:r w:rsidR="009D1BEC">
        <w:t>s</w:t>
      </w:r>
      <w:r w:rsidR="00861916">
        <w:t xml:space="preserve"> with </w:t>
      </w:r>
      <w:r w:rsidR="009D1BEC">
        <w:t xml:space="preserve">goals for enhancing </w:t>
      </w:r>
      <w:r w:rsidR="00861916">
        <w:t>international transport connectivity.</w:t>
      </w:r>
      <w:r w:rsidR="00AB437F">
        <w:t xml:space="preserve"> </w:t>
      </w:r>
      <w:r w:rsidR="009D1BEC">
        <w:t>However, t</w:t>
      </w:r>
      <w:r w:rsidR="00AB437F">
        <w:t>hese two objectives</w:t>
      </w:r>
      <w:r w:rsidR="00566274">
        <w:t xml:space="preserve"> </w:t>
      </w:r>
      <w:r w:rsidR="00AB437F">
        <w:t xml:space="preserve">can be </w:t>
      </w:r>
      <w:r w:rsidR="00566274">
        <w:t>reconciled</w:t>
      </w:r>
      <w:r w:rsidR="009D1BEC">
        <w:t xml:space="preserve">. </w:t>
      </w:r>
      <w:r w:rsidR="00AB437F">
        <w:t>Transferring liquid cargo</w:t>
      </w:r>
      <w:r w:rsidR="009D1BEC">
        <w:t>-handling</w:t>
      </w:r>
      <w:r w:rsidR="00AB437F">
        <w:t xml:space="preserve"> </w:t>
      </w:r>
      <w:r w:rsidR="00566274">
        <w:t>(</w:t>
      </w:r>
      <w:r w:rsidR="004F149D">
        <w:t xml:space="preserve">primarily </w:t>
      </w:r>
      <w:r w:rsidR="00566274">
        <w:t xml:space="preserve">petroleum products) </w:t>
      </w:r>
      <w:r w:rsidR="00AB437F">
        <w:t>capacity from Batumi to Kulevi</w:t>
      </w:r>
      <w:r w:rsidR="004F149D">
        <w:t xml:space="preserve"> </w:t>
      </w:r>
      <w:r w:rsidR="00AB437F">
        <w:t xml:space="preserve">ports seems to be </w:t>
      </w:r>
      <w:r w:rsidR="00AB437F">
        <w:lastRenderedPageBreak/>
        <w:t>a rational choice</w:t>
      </w:r>
      <w:r w:rsidR="009D1BEC">
        <w:t xml:space="preserve"> to take</w:t>
      </w:r>
      <w:r w:rsidR="00AB437F">
        <w:t xml:space="preserve"> full advantage of specialization </w:t>
      </w:r>
      <w:r w:rsidR="009D1BEC">
        <w:t xml:space="preserve">at </w:t>
      </w:r>
      <w:r w:rsidR="00AB437F">
        <w:t>each port</w:t>
      </w:r>
      <w:r w:rsidR="00566274">
        <w:t xml:space="preserve"> while improving the environment and attractiveness of the city</w:t>
      </w:r>
      <w:r w:rsidR="00D975A0">
        <w:t xml:space="preserve">.  </w:t>
      </w:r>
      <w:r w:rsidR="00156A35">
        <w:t xml:space="preserve">Meanwhile, </w:t>
      </w:r>
      <w:r w:rsidR="00D975A0">
        <w:t>transshipment</w:t>
      </w:r>
      <w:r w:rsidR="00D123FA">
        <w:t xml:space="preserve"> of containers and Ro-Ro cargo </w:t>
      </w:r>
      <w:r w:rsidR="00D975A0">
        <w:t xml:space="preserve">at </w:t>
      </w:r>
      <w:r w:rsidR="00D123FA">
        <w:t xml:space="preserve">Batumi Port needs to be improved by providing </w:t>
      </w:r>
      <w:r w:rsidR="00D975A0">
        <w:t xml:space="preserve">a </w:t>
      </w:r>
      <w:r w:rsidR="00D123FA">
        <w:t>double-track railway connection and expanding terminal capacity.</w:t>
      </w:r>
    </w:p>
    <w:p w:rsidR="0013368E" w:rsidRDefault="000000B7" w:rsidP="00197EC3">
      <w:pPr>
        <w:pStyle w:val="ListParagraph"/>
        <w:numPr>
          <w:ilvl w:val="0"/>
          <w:numId w:val="8"/>
        </w:numPr>
        <w:spacing w:after="60"/>
        <w:contextualSpacing w:val="0"/>
      </w:pPr>
      <w:r w:rsidRPr="0013368E">
        <w:rPr>
          <w:u w:val="single"/>
        </w:rPr>
        <w:t>Poti as a container port</w:t>
      </w:r>
      <w:r w:rsidR="004F149D" w:rsidRPr="0013368E">
        <w:rPr>
          <w:u w:val="single"/>
        </w:rPr>
        <w:t xml:space="preserve"> with strong railway connection</w:t>
      </w:r>
      <w:r w:rsidRPr="000000B7">
        <w:t>:</w:t>
      </w:r>
      <w:r>
        <w:t xml:space="preserve"> </w:t>
      </w:r>
      <w:r w:rsidR="009D1BEC">
        <w:t>O</w:t>
      </w:r>
      <w:r w:rsidR="004F149D">
        <w:t xml:space="preserve">perators are most active </w:t>
      </w:r>
      <w:r w:rsidR="009D1BEC">
        <w:t xml:space="preserve">here </w:t>
      </w:r>
      <w:r w:rsidR="004F149D">
        <w:t xml:space="preserve">in infrastructure development. The </w:t>
      </w:r>
      <w:r w:rsidR="004F149D" w:rsidRPr="004F149D">
        <w:t xml:space="preserve">Georgian Railway has recently expanded the </w:t>
      </w:r>
      <w:r w:rsidR="009D1BEC">
        <w:t xml:space="preserve">port </w:t>
      </w:r>
      <w:r w:rsidR="004F149D" w:rsidRPr="004F149D">
        <w:t xml:space="preserve">container terminal and </w:t>
      </w:r>
      <w:r w:rsidR="004F149D">
        <w:t xml:space="preserve">improved </w:t>
      </w:r>
      <w:r w:rsidR="004F149D" w:rsidRPr="004F149D">
        <w:t xml:space="preserve">the </w:t>
      </w:r>
      <w:r w:rsidR="009D1BEC">
        <w:t xml:space="preserve">port </w:t>
      </w:r>
      <w:r w:rsidR="004F149D" w:rsidRPr="004F149D">
        <w:t>rail connection</w:t>
      </w:r>
      <w:r w:rsidR="004F149D">
        <w:t>.  The container terminal operator,</w:t>
      </w:r>
      <w:r w:rsidR="004F149D" w:rsidRPr="004F149D">
        <w:t xml:space="preserve"> APM Terminals</w:t>
      </w:r>
      <w:r w:rsidR="004F149D">
        <w:t>,</w:t>
      </w:r>
      <w:r w:rsidR="004F149D" w:rsidRPr="004F149D">
        <w:t xml:space="preserve"> </w:t>
      </w:r>
      <w:r w:rsidR="004F149D">
        <w:t>has plan</w:t>
      </w:r>
      <w:r w:rsidR="009D1BEC">
        <w:t>s</w:t>
      </w:r>
      <w:r w:rsidR="004F149D" w:rsidRPr="004F149D">
        <w:t xml:space="preserve"> to invest in port </w:t>
      </w:r>
      <w:r w:rsidR="004F149D">
        <w:t xml:space="preserve">capacity </w:t>
      </w:r>
      <w:r w:rsidR="004F149D" w:rsidRPr="004F149D">
        <w:t>expansion</w:t>
      </w:r>
      <w:r w:rsidR="004F149D">
        <w:t>; it will</w:t>
      </w:r>
      <w:r w:rsidR="004F149D" w:rsidRPr="004F149D">
        <w:t xml:space="preserve"> build new container and bulk cargo terminals and deepen the berths</w:t>
      </w:r>
      <w:r w:rsidR="004F149D">
        <w:t>, which will increase the cargo handling capacity by 50 percent</w:t>
      </w:r>
      <w:r w:rsidR="004F149D" w:rsidRPr="004F149D">
        <w:t>.</w:t>
      </w:r>
      <w:r w:rsidR="004F149D">
        <w:rPr>
          <w:rStyle w:val="FootnoteReference"/>
        </w:rPr>
        <w:footnoteReference w:id="36"/>
      </w:r>
    </w:p>
    <w:p w:rsidR="0082211F" w:rsidRDefault="0082211F" w:rsidP="00197EC3">
      <w:pPr>
        <w:pStyle w:val="ListParagraph"/>
        <w:numPr>
          <w:ilvl w:val="0"/>
          <w:numId w:val="8"/>
        </w:numPr>
        <w:spacing w:after="60"/>
        <w:contextualSpacing w:val="0"/>
      </w:pPr>
      <w:r>
        <w:rPr>
          <w:u w:val="single"/>
        </w:rPr>
        <w:t xml:space="preserve">Exploring potential for </w:t>
      </w:r>
      <w:r w:rsidRPr="0013368E">
        <w:rPr>
          <w:u w:val="single"/>
        </w:rPr>
        <w:t xml:space="preserve">Rolling </w:t>
      </w:r>
      <w:r>
        <w:rPr>
          <w:u w:val="single"/>
        </w:rPr>
        <w:t>M</w:t>
      </w:r>
      <w:r w:rsidRPr="0013368E">
        <w:rPr>
          <w:u w:val="single"/>
        </w:rPr>
        <w:t>otorway (Ro-Mo)</w:t>
      </w:r>
      <w:r>
        <w:t xml:space="preserve">: Ro-Mo, also known as “Contrailer”, is a combined transport system in which the trucks are transported by rail (Box </w:t>
      </w:r>
      <w:r w:rsidR="00AA3F1A">
        <w:t>5</w:t>
      </w:r>
      <w:r>
        <w:t xml:space="preserve">). </w:t>
      </w:r>
      <w:r w:rsidR="009D1BEC">
        <w:t xml:space="preserve">The </w:t>
      </w:r>
      <w:r>
        <w:t>increasing truck traffic through Sarpi and Adjara Region</w:t>
      </w:r>
      <w:r w:rsidR="009D1BEC">
        <w:t xml:space="preserve"> has led </w:t>
      </w:r>
      <w:r>
        <w:t xml:space="preserve">Georgian Railway </w:t>
      </w:r>
      <w:r w:rsidR="009D1BEC">
        <w:t>to consider a</w:t>
      </w:r>
      <w:r>
        <w:t xml:space="preserve"> Ro-Mo terminal near Batumi, where the planned Batumi bypass motorway will </w:t>
      </w:r>
      <w:r w:rsidR="009D1BEC">
        <w:t xml:space="preserve">pass </w:t>
      </w:r>
      <w:r>
        <w:t xml:space="preserve">by the railway line. The Ro-Mo system has clear environmental benefits over truck traffic, but </w:t>
      </w:r>
      <w:r w:rsidR="009D1BEC">
        <w:t xml:space="preserve">the </w:t>
      </w:r>
      <w:r>
        <w:t>cost</w:t>
      </w:r>
      <w:r w:rsidR="009D1BEC">
        <w:t>s</w:t>
      </w:r>
      <w:r>
        <w:t xml:space="preserve"> (high costs of wagons), patronage (estimated shift from roads), and the long-term competitiveness, especially against containerized transport, should be carefully examined.</w:t>
      </w:r>
    </w:p>
    <w:p w:rsidR="007C6B4D" w:rsidRDefault="007C6B4D" w:rsidP="0082211F">
      <w:pPr>
        <w:spacing w:after="60"/>
      </w:pPr>
    </w:p>
    <w:tbl>
      <w:tblPr>
        <w:tblStyle w:val="TableGrid"/>
        <w:tblW w:w="0" w:type="auto"/>
        <w:jc w:val="center"/>
        <w:tblInd w:w="-3330" w:type="dxa"/>
        <w:tblLook w:val="04A0"/>
      </w:tblPr>
      <w:tblGrid>
        <w:gridCol w:w="9468"/>
      </w:tblGrid>
      <w:tr w:rsidR="007545A1" w:rsidTr="00D975A0">
        <w:trPr>
          <w:jc w:val="center"/>
        </w:trPr>
        <w:tc>
          <w:tcPr>
            <w:tcW w:w="9468" w:type="dxa"/>
          </w:tcPr>
          <w:p w:rsidR="007545A1" w:rsidRPr="00D24AAF" w:rsidRDefault="007545A1" w:rsidP="00D975A0">
            <w:pPr>
              <w:pStyle w:val="Caption"/>
              <w:spacing w:after="120"/>
              <w:rPr>
                <w:rFonts w:asciiTheme="minorHAnsi" w:hAnsiTheme="minorHAnsi"/>
                <w:color w:val="000000"/>
                <w:sz w:val="20"/>
                <w:szCs w:val="20"/>
              </w:rPr>
            </w:pPr>
            <w:r w:rsidRPr="00D24AAF">
              <w:rPr>
                <w:rFonts w:asciiTheme="minorHAnsi" w:hAnsiTheme="minorHAnsi"/>
                <w:color w:val="000000"/>
                <w:sz w:val="20"/>
                <w:szCs w:val="20"/>
              </w:rPr>
              <w:t xml:space="preserve">Box </w:t>
            </w:r>
            <w:r w:rsidR="001A7AF8" w:rsidRPr="00D24AAF">
              <w:rPr>
                <w:rFonts w:asciiTheme="minorHAnsi" w:hAnsiTheme="minorHAnsi"/>
                <w:color w:val="000000"/>
                <w:sz w:val="20"/>
                <w:szCs w:val="20"/>
              </w:rPr>
              <w:fldChar w:fldCharType="begin"/>
            </w:r>
            <w:r w:rsidRPr="00D24AAF">
              <w:rPr>
                <w:rFonts w:asciiTheme="minorHAnsi" w:hAnsiTheme="minorHAnsi"/>
                <w:color w:val="000000"/>
                <w:sz w:val="20"/>
                <w:szCs w:val="20"/>
              </w:rPr>
              <w:instrText xml:space="preserve"> SEQ Box \* ARABIC </w:instrText>
            </w:r>
            <w:r w:rsidR="001A7AF8" w:rsidRPr="00D24AAF">
              <w:rPr>
                <w:rFonts w:asciiTheme="minorHAnsi" w:hAnsiTheme="minorHAnsi"/>
                <w:color w:val="000000"/>
                <w:sz w:val="20"/>
                <w:szCs w:val="20"/>
              </w:rPr>
              <w:fldChar w:fldCharType="separate"/>
            </w:r>
            <w:r w:rsidR="00AA3F1A">
              <w:rPr>
                <w:rFonts w:asciiTheme="minorHAnsi" w:hAnsiTheme="minorHAnsi"/>
                <w:noProof/>
                <w:color w:val="000000"/>
                <w:sz w:val="20"/>
                <w:szCs w:val="20"/>
              </w:rPr>
              <w:t>5</w:t>
            </w:r>
            <w:r w:rsidR="001A7AF8" w:rsidRPr="00D24AAF">
              <w:rPr>
                <w:rFonts w:asciiTheme="minorHAnsi" w:hAnsiTheme="minorHAnsi"/>
                <w:color w:val="000000"/>
                <w:sz w:val="20"/>
                <w:szCs w:val="20"/>
              </w:rPr>
              <w:fldChar w:fldCharType="end"/>
            </w:r>
            <w:r>
              <w:rPr>
                <w:rFonts w:asciiTheme="minorHAnsi" w:hAnsiTheme="minorHAnsi"/>
                <w:color w:val="000000"/>
                <w:sz w:val="20"/>
                <w:szCs w:val="20"/>
              </w:rPr>
              <w:t xml:space="preserve">. </w:t>
            </w:r>
            <w:r w:rsidRPr="00D24AAF">
              <w:rPr>
                <w:rFonts w:asciiTheme="minorHAnsi" w:hAnsiTheme="minorHAnsi"/>
                <w:color w:val="000000"/>
                <w:sz w:val="20"/>
                <w:szCs w:val="20"/>
              </w:rPr>
              <w:t xml:space="preserve"> </w:t>
            </w:r>
            <w:r>
              <w:rPr>
                <w:rFonts w:asciiTheme="minorHAnsi" w:hAnsiTheme="minorHAnsi"/>
                <w:color w:val="000000"/>
                <w:sz w:val="20"/>
                <w:szCs w:val="20"/>
              </w:rPr>
              <w:t>Rolling Motorway (Ro-Mo) Systems</w:t>
            </w:r>
          </w:p>
          <w:p w:rsidR="009D1BEC" w:rsidRDefault="009D1BEC" w:rsidP="009D1BEC">
            <w:pPr>
              <w:spacing w:after="60"/>
              <w:rPr>
                <w:rFonts w:ascii="Calibri" w:hAnsi="Calibri"/>
                <w:sz w:val="18"/>
                <w:szCs w:val="18"/>
              </w:rPr>
            </w:pPr>
            <w:r>
              <w:rPr>
                <w:rFonts w:ascii="Calibri" w:hAnsi="Calibri"/>
                <w:b/>
                <w:sz w:val="18"/>
                <w:szCs w:val="18"/>
              </w:rPr>
              <w:t>Definition and types of operation</w:t>
            </w:r>
            <w:r>
              <w:rPr>
                <w:rFonts w:ascii="Calibri" w:hAnsi="Calibri"/>
                <w:sz w:val="18"/>
                <w:szCs w:val="18"/>
              </w:rPr>
              <w:t xml:space="preserve">. </w:t>
            </w:r>
            <w:r w:rsidRPr="007545A1">
              <w:rPr>
                <w:rFonts w:ascii="Calibri" w:hAnsi="Calibri"/>
                <w:sz w:val="18"/>
                <w:szCs w:val="18"/>
              </w:rPr>
              <w:t>Rolling motorway</w:t>
            </w:r>
            <w:r>
              <w:rPr>
                <w:rFonts w:ascii="Calibri" w:hAnsi="Calibri"/>
                <w:sz w:val="18"/>
                <w:szCs w:val="18"/>
              </w:rPr>
              <w:t xml:space="preserve"> </w:t>
            </w:r>
            <w:r w:rsidRPr="007545A1">
              <w:rPr>
                <w:rFonts w:ascii="Calibri" w:hAnsi="Calibri"/>
                <w:sz w:val="18"/>
                <w:szCs w:val="18"/>
              </w:rPr>
              <w:t>is a combined transport system in which trucks are transported by rail</w:t>
            </w:r>
            <w:r>
              <w:rPr>
                <w:rFonts w:ascii="Calibri" w:hAnsi="Calibri"/>
                <w:sz w:val="18"/>
                <w:szCs w:val="18"/>
              </w:rPr>
              <w:t xml:space="preserve">. </w:t>
            </w:r>
            <w:r w:rsidRPr="007545A1">
              <w:rPr>
                <w:rFonts w:ascii="Calibri" w:hAnsi="Calibri"/>
                <w:sz w:val="18"/>
                <w:szCs w:val="18"/>
              </w:rPr>
              <w:t>Combined transport can be unaccompanied or accompanied by driver</w:t>
            </w:r>
            <w:r>
              <w:rPr>
                <w:rFonts w:ascii="Calibri" w:hAnsi="Calibri"/>
                <w:sz w:val="18"/>
                <w:szCs w:val="18"/>
              </w:rPr>
              <w:t>s</w:t>
            </w:r>
            <w:r w:rsidRPr="007545A1">
              <w:rPr>
                <w:rFonts w:ascii="Calibri" w:hAnsi="Calibri"/>
                <w:sz w:val="18"/>
                <w:szCs w:val="18"/>
              </w:rPr>
              <w:t xml:space="preserve">. </w:t>
            </w:r>
            <w:r w:rsidRPr="001A3BD0">
              <w:rPr>
                <w:rFonts w:ascii="Calibri" w:hAnsi="Calibri"/>
                <w:sz w:val="18"/>
                <w:szCs w:val="18"/>
              </w:rPr>
              <w:t>In unaccompanied combined transport,</w:t>
            </w:r>
            <w:r>
              <w:rPr>
                <w:rFonts w:ascii="Calibri" w:hAnsi="Calibri"/>
                <w:sz w:val="18"/>
                <w:szCs w:val="18"/>
              </w:rPr>
              <w:t xml:space="preserve"> </w:t>
            </w:r>
            <w:r w:rsidRPr="001A3BD0">
              <w:rPr>
                <w:rFonts w:ascii="Calibri" w:hAnsi="Calibri"/>
                <w:sz w:val="18"/>
                <w:szCs w:val="18"/>
              </w:rPr>
              <w:t>goods travel in swap bodies, standardized containers</w:t>
            </w:r>
            <w:r>
              <w:rPr>
                <w:rFonts w:ascii="Calibri" w:hAnsi="Calibri"/>
                <w:sz w:val="18"/>
                <w:szCs w:val="18"/>
              </w:rPr>
              <w:t>,</w:t>
            </w:r>
            <w:r w:rsidRPr="001A3BD0">
              <w:rPr>
                <w:rFonts w:ascii="Calibri" w:hAnsi="Calibri"/>
                <w:sz w:val="18"/>
                <w:szCs w:val="18"/>
              </w:rPr>
              <w:t xml:space="preserve"> or semi-trailers. These are</w:t>
            </w:r>
            <w:r>
              <w:rPr>
                <w:rFonts w:ascii="Calibri" w:hAnsi="Calibri"/>
                <w:sz w:val="18"/>
                <w:szCs w:val="18"/>
              </w:rPr>
              <w:t xml:space="preserve"> </w:t>
            </w:r>
            <w:r w:rsidRPr="001A3BD0">
              <w:rPr>
                <w:rFonts w:ascii="Calibri" w:hAnsi="Calibri"/>
                <w:sz w:val="18"/>
                <w:szCs w:val="18"/>
              </w:rPr>
              <w:t xml:space="preserve">transferred at transshipment facilities, called terminals, which are links between </w:t>
            </w:r>
            <w:r>
              <w:rPr>
                <w:rFonts w:ascii="Calibri" w:hAnsi="Calibri"/>
                <w:sz w:val="18"/>
                <w:szCs w:val="18"/>
              </w:rPr>
              <w:t xml:space="preserve">transport </w:t>
            </w:r>
            <w:r w:rsidRPr="001A3BD0">
              <w:rPr>
                <w:rFonts w:ascii="Calibri" w:hAnsi="Calibri"/>
                <w:sz w:val="18"/>
                <w:szCs w:val="18"/>
              </w:rPr>
              <w:t>methods</w:t>
            </w:r>
            <w:r>
              <w:rPr>
                <w:rFonts w:ascii="Calibri" w:hAnsi="Calibri"/>
                <w:sz w:val="18"/>
                <w:szCs w:val="18"/>
              </w:rPr>
              <w:t xml:space="preserve">. </w:t>
            </w:r>
            <w:r w:rsidRPr="001A3BD0">
              <w:rPr>
                <w:rFonts w:ascii="Calibri" w:hAnsi="Calibri"/>
                <w:sz w:val="18"/>
                <w:szCs w:val="18"/>
              </w:rPr>
              <w:t>In accompanied combined transport, the road vehicle is transported by rail,</w:t>
            </w:r>
            <w:r>
              <w:rPr>
                <w:rFonts w:ascii="Calibri" w:hAnsi="Calibri"/>
                <w:sz w:val="18"/>
                <w:szCs w:val="18"/>
              </w:rPr>
              <w:t xml:space="preserve"> </w:t>
            </w:r>
            <w:r w:rsidRPr="001A3BD0">
              <w:rPr>
                <w:rFonts w:ascii="Calibri" w:hAnsi="Calibri"/>
                <w:sz w:val="18"/>
                <w:szCs w:val="18"/>
              </w:rPr>
              <w:t xml:space="preserve">including the traction cabin and drivers. </w:t>
            </w:r>
            <w:r>
              <w:rPr>
                <w:rFonts w:ascii="Calibri" w:hAnsi="Calibri"/>
                <w:sz w:val="18"/>
                <w:szCs w:val="18"/>
              </w:rPr>
              <w:t>W</w:t>
            </w:r>
            <w:r w:rsidRPr="001A3BD0">
              <w:rPr>
                <w:rFonts w:ascii="Calibri" w:hAnsi="Calibri"/>
                <w:sz w:val="18"/>
                <w:szCs w:val="18"/>
              </w:rPr>
              <w:t xml:space="preserve">agons consist </w:t>
            </w:r>
            <w:r>
              <w:rPr>
                <w:rFonts w:ascii="Calibri" w:hAnsi="Calibri"/>
                <w:sz w:val="18"/>
                <w:szCs w:val="18"/>
              </w:rPr>
              <w:t>of</w:t>
            </w:r>
            <w:r w:rsidRPr="001A3BD0">
              <w:rPr>
                <w:rFonts w:ascii="Calibri" w:hAnsi="Calibri"/>
                <w:sz w:val="18"/>
                <w:szCs w:val="18"/>
              </w:rPr>
              <w:t xml:space="preserve"> special close-coupled</w:t>
            </w:r>
            <w:r>
              <w:rPr>
                <w:rFonts w:ascii="Calibri" w:hAnsi="Calibri"/>
                <w:sz w:val="18"/>
                <w:szCs w:val="18"/>
              </w:rPr>
              <w:t xml:space="preserve"> </w:t>
            </w:r>
            <w:r w:rsidRPr="001A3BD0">
              <w:rPr>
                <w:rFonts w:ascii="Calibri" w:hAnsi="Calibri"/>
                <w:sz w:val="18"/>
                <w:szCs w:val="18"/>
              </w:rPr>
              <w:t xml:space="preserve">flatcars </w:t>
            </w:r>
            <w:r>
              <w:rPr>
                <w:rFonts w:ascii="Calibri" w:hAnsi="Calibri"/>
                <w:sz w:val="18"/>
                <w:szCs w:val="18"/>
              </w:rPr>
              <w:t>that</w:t>
            </w:r>
            <w:r w:rsidRPr="001A3BD0">
              <w:rPr>
                <w:rFonts w:ascii="Calibri" w:hAnsi="Calibri"/>
                <w:sz w:val="18"/>
                <w:szCs w:val="18"/>
              </w:rPr>
              <w:t xml:space="preserve"> provide a drivable track along the entire train. </w:t>
            </w:r>
            <w:r>
              <w:rPr>
                <w:rFonts w:ascii="Calibri" w:hAnsi="Calibri"/>
                <w:sz w:val="18"/>
                <w:szCs w:val="18"/>
              </w:rPr>
              <w:t>Wagon</w:t>
            </w:r>
            <w:r w:rsidRPr="001A3BD0">
              <w:rPr>
                <w:rFonts w:ascii="Calibri" w:hAnsi="Calibri"/>
                <w:sz w:val="18"/>
                <w:szCs w:val="18"/>
              </w:rPr>
              <w:t xml:space="preserve"> wheels are small, 380/360/335 mm</w:t>
            </w:r>
            <w:r>
              <w:rPr>
                <w:rFonts w:ascii="Calibri" w:hAnsi="Calibri"/>
                <w:sz w:val="18"/>
                <w:szCs w:val="18"/>
              </w:rPr>
              <w:t xml:space="preserve"> in diameter</w:t>
            </w:r>
            <w:r w:rsidRPr="001A3BD0">
              <w:rPr>
                <w:rFonts w:ascii="Calibri" w:hAnsi="Calibri"/>
                <w:sz w:val="18"/>
                <w:szCs w:val="18"/>
              </w:rPr>
              <w:t xml:space="preserve">. </w:t>
            </w:r>
            <w:r>
              <w:rPr>
                <w:rFonts w:ascii="Calibri" w:hAnsi="Calibri"/>
                <w:sz w:val="18"/>
                <w:szCs w:val="18"/>
              </w:rPr>
              <w:t>B</w:t>
            </w:r>
            <w:r w:rsidRPr="001A3BD0">
              <w:rPr>
                <w:rFonts w:ascii="Calibri" w:hAnsi="Calibri"/>
                <w:sz w:val="18"/>
                <w:szCs w:val="18"/>
              </w:rPr>
              <w:t xml:space="preserve">oth ends of the rail link </w:t>
            </w:r>
            <w:r>
              <w:rPr>
                <w:rFonts w:ascii="Calibri" w:hAnsi="Calibri"/>
                <w:sz w:val="18"/>
                <w:szCs w:val="18"/>
              </w:rPr>
              <w:t>have</w:t>
            </w:r>
            <w:r w:rsidRPr="001A3BD0">
              <w:rPr>
                <w:rFonts w:ascii="Calibri" w:hAnsi="Calibri"/>
                <w:sz w:val="18"/>
                <w:szCs w:val="18"/>
              </w:rPr>
              <w:t xml:space="preserve"> purpose-built terminals </w:t>
            </w:r>
            <w:r>
              <w:rPr>
                <w:rFonts w:ascii="Calibri" w:hAnsi="Calibri"/>
                <w:sz w:val="18"/>
                <w:szCs w:val="18"/>
              </w:rPr>
              <w:t>that</w:t>
            </w:r>
            <w:r w:rsidRPr="001A3BD0">
              <w:rPr>
                <w:rFonts w:ascii="Calibri" w:hAnsi="Calibri"/>
                <w:sz w:val="18"/>
                <w:szCs w:val="18"/>
              </w:rPr>
              <w:t xml:space="preserve"> allow the train to be easily loaded and unloaded. </w:t>
            </w:r>
            <w:r>
              <w:rPr>
                <w:rFonts w:ascii="Calibri" w:hAnsi="Calibri"/>
                <w:sz w:val="18"/>
                <w:szCs w:val="18"/>
              </w:rPr>
              <w:t>R</w:t>
            </w:r>
            <w:r w:rsidRPr="001A3BD0">
              <w:rPr>
                <w:rFonts w:ascii="Calibri" w:hAnsi="Calibri"/>
                <w:sz w:val="18"/>
                <w:szCs w:val="18"/>
              </w:rPr>
              <w:t>oad vehicle</w:t>
            </w:r>
            <w:r>
              <w:rPr>
                <w:rFonts w:ascii="Calibri" w:hAnsi="Calibri"/>
                <w:sz w:val="18"/>
                <w:szCs w:val="18"/>
              </w:rPr>
              <w:t xml:space="preserve"> drivers</w:t>
            </w:r>
            <w:r w:rsidRPr="001A3BD0">
              <w:rPr>
                <w:rFonts w:ascii="Calibri" w:hAnsi="Calibri"/>
                <w:sz w:val="18"/>
                <w:szCs w:val="18"/>
              </w:rPr>
              <w:t xml:space="preserve"> carry out loading (called “horizontal loading”)</w:t>
            </w:r>
            <w:r>
              <w:rPr>
                <w:rFonts w:ascii="Calibri" w:hAnsi="Calibri"/>
                <w:sz w:val="18"/>
                <w:szCs w:val="18"/>
              </w:rPr>
              <w:t xml:space="preserve">, </w:t>
            </w:r>
            <w:r w:rsidRPr="001A3BD0">
              <w:rPr>
                <w:rFonts w:ascii="Calibri" w:hAnsi="Calibri"/>
                <w:sz w:val="18"/>
                <w:szCs w:val="18"/>
              </w:rPr>
              <w:t>accompany the railway shipment</w:t>
            </w:r>
            <w:r>
              <w:rPr>
                <w:rFonts w:ascii="Calibri" w:hAnsi="Calibri"/>
                <w:sz w:val="18"/>
                <w:szCs w:val="18"/>
              </w:rPr>
              <w:t xml:space="preserve"> as a passenger</w:t>
            </w:r>
            <w:r w:rsidRPr="001A3BD0">
              <w:rPr>
                <w:rFonts w:ascii="Calibri" w:hAnsi="Calibri"/>
                <w:sz w:val="18"/>
                <w:szCs w:val="18"/>
              </w:rPr>
              <w:t xml:space="preserve"> in a couchette carriage</w:t>
            </w:r>
            <w:r>
              <w:rPr>
                <w:rFonts w:ascii="Calibri" w:hAnsi="Calibri"/>
                <w:sz w:val="18"/>
                <w:szCs w:val="18"/>
              </w:rPr>
              <w:t>,</w:t>
            </w:r>
            <w:r w:rsidRPr="001A3BD0">
              <w:rPr>
                <w:rFonts w:ascii="Calibri" w:hAnsi="Calibri"/>
                <w:sz w:val="18"/>
                <w:szCs w:val="18"/>
              </w:rPr>
              <w:t xml:space="preserve"> </w:t>
            </w:r>
            <w:r>
              <w:rPr>
                <w:rFonts w:ascii="Calibri" w:hAnsi="Calibri"/>
                <w:sz w:val="18"/>
                <w:szCs w:val="18"/>
              </w:rPr>
              <w:t>and</w:t>
            </w:r>
            <w:r w:rsidRPr="001A3BD0">
              <w:rPr>
                <w:rFonts w:ascii="Calibri" w:hAnsi="Calibri"/>
                <w:sz w:val="18"/>
                <w:szCs w:val="18"/>
              </w:rPr>
              <w:t xml:space="preserve"> deliver</w:t>
            </w:r>
            <w:r>
              <w:rPr>
                <w:rFonts w:ascii="Calibri" w:hAnsi="Calibri"/>
                <w:sz w:val="18"/>
                <w:szCs w:val="18"/>
              </w:rPr>
              <w:t xml:space="preserve"> the shipment</w:t>
            </w:r>
            <w:r w:rsidRPr="001A3BD0">
              <w:rPr>
                <w:rFonts w:ascii="Calibri" w:hAnsi="Calibri"/>
                <w:sz w:val="18"/>
                <w:szCs w:val="18"/>
              </w:rPr>
              <w:t xml:space="preserve"> by road at the destination. Before and after </w:t>
            </w:r>
            <w:r>
              <w:rPr>
                <w:rFonts w:ascii="Calibri" w:hAnsi="Calibri"/>
                <w:sz w:val="18"/>
                <w:szCs w:val="18"/>
              </w:rPr>
              <w:t xml:space="preserve">rail </w:t>
            </w:r>
            <w:r w:rsidRPr="001A3BD0">
              <w:rPr>
                <w:rFonts w:ascii="Calibri" w:hAnsi="Calibri"/>
                <w:sz w:val="18"/>
                <w:szCs w:val="18"/>
              </w:rPr>
              <w:t>wagon</w:t>
            </w:r>
            <w:r>
              <w:rPr>
                <w:rFonts w:ascii="Calibri" w:hAnsi="Calibri"/>
                <w:sz w:val="18"/>
                <w:szCs w:val="18"/>
              </w:rPr>
              <w:t xml:space="preserve"> transport</w:t>
            </w:r>
            <w:r w:rsidRPr="001A3BD0">
              <w:rPr>
                <w:rFonts w:ascii="Calibri" w:hAnsi="Calibri"/>
                <w:sz w:val="18"/>
                <w:szCs w:val="18"/>
              </w:rPr>
              <w:t xml:space="preserve">, the vehicle is driven on the road. Often, rail transport </w:t>
            </w:r>
            <w:r>
              <w:rPr>
                <w:rFonts w:ascii="Calibri" w:hAnsi="Calibri"/>
                <w:sz w:val="18"/>
                <w:szCs w:val="18"/>
              </w:rPr>
              <w:t>surmounts</w:t>
            </w:r>
            <w:r w:rsidRPr="001A3BD0">
              <w:rPr>
                <w:rFonts w:ascii="Calibri" w:hAnsi="Calibri"/>
                <w:sz w:val="18"/>
                <w:szCs w:val="18"/>
              </w:rPr>
              <w:t xml:space="preserve"> a geographical obstacle</w:t>
            </w:r>
            <w:r>
              <w:rPr>
                <w:rFonts w:ascii="Calibri" w:hAnsi="Calibri"/>
                <w:sz w:val="18"/>
                <w:szCs w:val="18"/>
              </w:rPr>
              <w:t>,</w:t>
            </w:r>
            <w:r w:rsidRPr="001A3BD0">
              <w:rPr>
                <w:rFonts w:ascii="Calibri" w:hAnsi="Calibri"/>
                <w:sz w:val="18"/>
                <w:szCs w:val="18"/>
              </w:rPr>
              <w:t xml:space="preserve"> or weight or access</w:t>
            </w:r>
            <w:r>
              <w:rPr>
                <w:rFonts w:ascii="Calibri" w:hAnsi="Calibri"/>
                <w:sz w:val="18"/>
                <w:szCs w:val="18"/>
              </w:rPr>
              <w:t xml:space="preserve"> </w:t>
            </w:r>
            <w:r w:rsidRPr="001A3BD0">
              <w:rPr>
                <w:rFonts w:ascii="Calibri" w:hAnsi="Calibri"/>
                <w:sz w:val="18"/>
                <w:szCs w:val="18"/>
              </w:rPr>
              <w:t>restrictions</w:t>
            </w:r>
            <w:r>
              <w:rPr>
                <w:rFonts w:ascii="Calibri" w:hAnsi="Calibri"/>
                <w:sz w:val="18"/>
                <w:szCs w:val="18"/>
              </w:rPr>
              <w:t xml:space="preserve"> along the road route</w:t>
            </w:r>
            <w:r w:rsidRPr="001A3BD0">
              <w:rPr>
                <w:rFonts w:ascii="Calibri" w:hAnsi="Calibri"/>
                <w:sz w:val="18"/>
                <w:szCs w:val="18"/>
              </w:rPr>
              <w:t xml:space="preserve">. The distance covered by rail depends on the length of road </w:t>
            </w:r>
            <w:r>
              <w:rPr>
                <w:rFonts w:ascii="Calibri" w:hAnsi="Calibri"/>
                <w:sz w:val="18"/>
                <w:szCs w:val="18"/>
              </w:rPr>
              <w:t xml:space="preserve">“obstacles” </w:t>
            </w:r>
            <w:r w:rsidRPr="001A3BD0">
              <w:rPr>
                <w:rFonts w:ascii="Calibri" w:hAnsi="Calibri"/>
                <w:sz w:val="18"/>
                <w:szCs w:val="18"/>
              </w:rPr>
              <w:t xml:space="preserve">and on required statutory night rests. </w:t>
            </w:r>
            <w:r>
              <w:rPr>
                <w:rFonts w:ascii="Calibri" w:hAnsi="Calibri"/>
                <w:sz w:val="18"/>
                <w:szCs w:val="18"/>
              </w:rPr>
              <w:t>Combined transport allows the</w:t>
            </w:r>
            <w:r w:rsidRPr="001A3BD0">
              <w:rPr>
                <w:rFonts w:ascii="Calibri" w:hAnsi="Calibri"/>
                <w:sz w:val="18"/>
                <w:szCs w:val="18"/>
              </w:rPr>
              <w:t xml:space="preserve"> driver </w:t>
            </w:r>
            <w:r>
              <w:rPr>
                <w:rFonts w:ascii="Calibri" w:hAnsi="Calibri"/>
                <w:sz w:val="18"/>
                <w:szCs w:val="18"/>
              </w:rPr>
              <w:t>to</w:t>
            </w:r>
            <w:r w:rsidRPr="001A3BD0">
              <w:rPr>
                <w:rFonts w:ascii="Calibri" w:hAnsi="Calibri"/>
                <w:sz w:val="18"/>
                <w:szCs w:val="18"/>
              </w:rPr>
              <w:t xml:space="preserve"> rest during a</w:t>
            </w:r>
            <w:r>
              <w:rPr>
                <w:rFonts w:ascii="Calibri" w:hAnsi="Calibri"/>
                <w:sz w:val="18"/>
                <w:szCs w:val="18"/>
              </w:rPr>
              <w:t xml:space="preserve"> </w:t>
            </w:r>
            <w:r w:rsidRPr="001A3BD0">
              <w:rPr>
                <w:rFonts w:ascii="Calibri" w:hAnsi="Calibri"/>
                <w:sz w:val="18"/>
                <w:szCs w:val="18"/>
              </w:rPr>
              <w:t xml:space="preserve">section of the route or </w:t>
            </w:r>
            <w:r>
              <w:rPr>
                <w:rFonts w:ascii="Calibri" w:hAnsi="Calibri"/>
                <w:sz w:val="18"/>
                <w:szCs w:val="18"/>
              </w:rPr>
              <w:t>while</w:t>
            </w:r>
            <w:r w:rsidRPr="001A3BD0">
              <w:rPr>
                <w:rFonts w:ascii="Calibri" w:hAnsi="Calibri"/>
                <w:sz w:val="18"/>
                <w:szCs w:val="18"/>
              </w:rPr>
              <w:t xml:space="preserve"> crossing the Alps. On arrival </w:t>
            </w:r>
            <w:r>
              <w:rPr>
                <w:rFonts w:ascii="Calibri" w:hAnsi="Calibri"/>
                <w:sz w:val="18"/>
                <w:szCs w:val="18"/>
              </w:rPr>
              <w:t>drivers</w:t>
            </w:r>
            <w:r w:rsidRPr="001A3BD0">
              <w:rPr>
                <w:rFonts w:ascii="Calibri" w:hAnsi="Calibri"/>
                <w:sz w:val="18"/>
                <w:szCs w:val="18"/>
              </w:rPr>
              <w:t xml:space="preserve"> can </w:t>
            </w:r>
            <w:r>
              <w:rPr>
                <w:rFonts w:ascii="Calibri" w:hAnsi="Calibri"/>
                <w:sz w:val="18"/>
                <w:szCs w:val="18"/>
              </w:rPr>
              <w:t>resume</w:t>
            </w:r>
            <w:r w:rsidRPr="001A3BD0">
              <w:rPr>
                <w:rFonts w:ascii="Calibri" w:hAnsi="Calibri"/>
                <w:sz w:val="18"/>
                <w:szCs w:val="18"/>
              </w:rPr>
              <w:t xml:space="preserve"> </w:t>
            </w:r>
            <w:r>
              <w:rPr>
                <w:rFonts w:ascii="Calibri" w:hAnsi="Calibri"/>
                <w:sz w:val="18"/>
                <w:szCs w:val="18"/>
              </w:rPr>
              <w:t xml:space="preserve">the road </w:t>
            </w:r>
            <w:r w:rsidRPr="001A3BD0">
              <w:rPr>
                <w:rFonts w:ascii="Calibri" w:hAnsi="Calibri"/>
                <w:sz w:val="18"/>
                <w:szCs w:val="18"/>
              </w:rPr>
              <w:t>trip completely rested.</w:t>
            </w:r>
            <w:r>
              <w:rPr>
                <w:rFonts w:ascii="Calibri" w:hAnsi="Calibri"/>
                <w:sz w:val="18"/>
                <w:szCs w:val="18"/>
              </w:rPr>
              <w:t xml:space="preserve"> </w:t>
            </w:r>
          </w:p>
          <w:p w:rsidR="009D1BEC" w:rsidRDefault="009D1BEC" w:rsidP="009D1BEC">
            <w:pPr>
              <w:spacing w:after="60"/>
              <w:rPr>
                <w:rFonts w:ascii="Calibri" w:hAnsi="Calibri"/>
                <w:sz w:val="18"/>
                <w:szCs w:val="18"/>
              </w:rPr>
            </w:pPr>
            <w:r w:rsidRPr="007545A1">
              <w:rPr>
                <w:rFonts w:ascii="Calibri" w:hAnsi="Calibri"/>
                <w:b/>
                <w:sz w:val="18"/>
                <w:szCs w:val="18"/>
              </w:rPr>
              <w:t>Existing Systems in Europe</w:t>
            </w:r>
            <w:r>
              <w:rPr>
                <w:rFonts w:ascii="Calibri" w:hAnsi="Calibri"/>
                <w:sz w:val="18"/>
                <w:szCs w:val="18"/>
              </w:rPr>
              <w:t xml:space="preserve">. </w:t>
            </w:r>
            <w:r w:rsidRPr="007545A1">
              <w:rPr>
                <w:rFonts w:ascii="Calibri" w:hAnsi="Calibri"/>
                <w:sz w:val="18"/>
                <w:szCs w:val="18"/>
              </w:rPr>
              <w:t>Among Ro-Mo systems operational in Europe, the Austrian Federal Railways (ÖBB) carried 254,000 trucks, equivalent to 8.5 million tons of cargo in 1999; in Switzerland the capacity of the Ro-Mo crossing Alps is continually increasing, from 105,000 trucks in 2003 to 350,000 in 2007.</w:t>
            </w:r>
            <w:r>
              <w:rPr>
                <w:rFonts w:ascii="Calibri" w:hAnsi="Calibri"/>
                <w:sz w:val="18"/>
                <w:szCs w:val="18"/>
              </w:rPr>
              <w:t xml:space="preserve"> </w:t>
            </w:r>
          </w:p>
          <w:p w:rsidR="009D1BEC" w:rsidRDefault="009D1BEC" w:rsidP="009D1BEC">
            <w:pPr>
              <w:spacing w:after="60"/>
              <w:rPr>
                <w:rFonts w:ascii="Calibri" w:hAnsi="Calibri"/>
                <w:sz w:val="18"/>
                <w:szCs w:val="18"/>
              </w:rPr>
            </w:pPr>
            <w:r w:rsidRPr="007545A1">
              <w:rPr>
                <w:rFonts w:ascii="Calibri" w:hAnsi="Calibri"/>
                <w:b/>
                <w:sz w:val="18"/>
                <w:szCs w:val="18"/>
              </w:rPr>
              <w:t>Advantages and disadvantages</w:t>
            </w:r>
            <w:r>
              <w:rPr>
                <w:rFonts w:ascii="Calibri" w:hAnsi="Calibri"/>
                <w:sz w:val="18"/>
                <w:szCs w:val="18"/>
              </w:rPr>
              <w:t xml:space="preserve">. </w:t>
            </w:r>
            <w:r w:rsidRPr="007545A1">
              <w:rPr>
                <w:rFonts w:ascii="Calibri" w:hAnsi="Calibri"/>
                <w:sz w:val="18"/>
                <w:szCs w:val="18"/>
              </w:rPr>
              <w:t>Ro-Mo system advantages</w:t>
            </w:r>
            <w:r>
              <w:rPr>
                <w:rFonts w:ascii="Calibri" w:hAnsi="Calibri"/>
                <w:sz w:val="18"/>
                <w:szCs w:val="18"/>
              </w:rPr>
              <w:t>,</w:t>
            </w:r>
            <w:r w:rsidRPr="007545A1">
              <w:rPr>
                <w:rFonts w:ascii="Calibri" w:hAnsi="Calibri"/>
                <w:sz w:val="18"/>
                <w:szCs w:val="18"/>
              </w:rPr>
              <w:t xml:space="preserve"> </w:t>
            </w:r>
            <w:r>
              <w:rPr>
                <w:rFonts w:ascii="Calibri" w:hAnsi="Calibri"/>
                <w:sz w:val="18"/>
                <w:szCs w:val="18"/>
              </w:rPr>
              <w:t>relative to other transshipment technologies</w:t>
            </w:r>
            <w:r w:rsidRPr="007545A1">
              <w:rPr>
                <w:rFonts w:ascii="Calibri" w:hAnsi="Calibri"/>
                <w:sz w:val="18"/>
                <w:szCs w:val="18"/>
              </w:rPr>
              <w:t xml:space="preserve"> include high capacity, rapid</w:t>
            </w:r>
            <w:r>
              <w:rPr>
                <w:rFonts w:ascii="Calibri" w:hAnsi="Calibri"/>
                <w:sz w:val="18"/>
                <w:szCs w:val="18"/>
              </w:rPr>
              <w:t>ity</w:t>
            </w:r>
            <w:r w:rsidRPr="007545A1">
              <w:rPr>
                <w:rFonts w:ascii="Calibri" w:hAnsi="Calibri"/>
                <w:sz w:val="18"/>
                <w:szCs w:val="18"/>
              </w:rPr>
              <w:t>, low fixed terminal costs, and technical reliability</w:t>
            </w:r>
            <w:r>
              <w:rPr>
                <w:rFonts w:ascii="Calibri" w:hAnsi="Calibri"/>
                <w:sz w:val="18"/>
                <w:szCs w:val="18"/>
              </w:rPr>
              <w:t>. Its</w:t>
            </w:r>
            <w:r w:rsidRPr="007545A1">
              <w:rPr>
                <w:rFonts w:ascii="Calibri" w:hAnsi="Calibri"/>
                <w:sz w:val="18"/>
                <w:szCs w:val="18"/>
              </w:rPr>
              <w:t xml:space="preserve"> disadvantages </w:t>
            </w:r>
            <w:r>
              <w:rPr>
                <w:rFonts w:ascii="Calibri" w:hAnsi="Calibri"/>
                <w:sz w:val="18"/>
                <w:szCs w:val="18"/>
              </w:rPr>
              <w:t xml:space="preserve">include </w:t>
            </w:r>
            <w:r w:rsidRPr="007545A1">
              <w:rPr>
                <w:rFonts w:ascii="Calibri" w:hAnsi="Calibri"/>
                <w:sz w:val="18"/>
                <w:szCs w:val="18"/>
              </w:rPr>
              <w:t>low detachability of individual units</w:t>
            </w:r>
            <w:r>
              <w:rPr>
                <w:rFonts w:ascii="Calibri" w:hAnsi="Calibri"/>
                <w:sz w:val="18"/>
                <w:szCs w:val="18"/>
              </w:rPr>
              <w:t>,</w:t>
            </w:r>
            <w:r w:rsidRPr="007545A1">
              <w:rPr>
                <w:rFonts w:ascii="Calibri" w:hAnsi="Calibri"/>
                <w:sz w:val="18"/>
                <w:szCs w:val="18"/>
              </w:rPr>
              <w:t xml:space="preserve"> and accessibility</w:t>
            </w:r>
            <w:r>
              <w:rPr>
                <w:rFonts w:ascii="Calibri" w:hAnsi="Calibri"/>
                <w:sz w:val="18"/>
                <w:szCs w:val="18"/>
              </w:rPr>
              <w:t>.</w:t>
            </w:r>
          </w:p>
          <w:p w:rsidR="009D1BEC" w:rsidRDefault="001A7AF8" w:rsidP="009D1BEC">
            <w:pPr>
              <w:spacing w:after="60"/>
              <w:rPr>
                <w:rFonts w:ascii="Calibri" w:hAnsi="Calibri"/>
                <w:sz w:val="18"/>
                <w:szCs w:val="18"/>
              </w:rPr>
            </w:pPr>
            <w:r w:rsidRPr="001A7AF8">
              <w:rPr>
                <w:rFonts w:asciiTheme="minorHAnsi" w:hAnsiTheme="minorHAnsi"/>
                <w:i/>
                <w:noProof/>
                <w:sz w:val="18"/>
                <w:szCs w:val="18"/>
                <w:lang w:bidi="ar-SA"/>
              </w:rPr>
              <w:pict>
                <v:shape id="Text Box 80" o:spid="_x0000_s1142" type="#_x0000_t202" style="position:absolute;left:0;text-align:left;margin-left:267.9pt;margin-top:19.2pt;width:106.7pt;height:14.05pt;z-index:251690496;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" stroked="f">
                  <v:fill opacity="39321f"/>
                  <v:textbox inset="0,0,0,0">
                    <w:txbxContent>
                      <w:p w:rsidR="005E7173" w:rsidRPr="001A3BD0" w:rsidRDefault="005E7173" w:rsidP="009D1BEC">
                        <w:pPr>
                          <w:spacing w:after="0"/>
                          <w:jc w:val="center"/>
                          <w:rPr>
                            <w:rFonts w:asciiTheme="minorHAnsi" w:hAnsiTheme="minorHAnsi"/>
                            <w:b/>
                            <w:color w:val="17365D" w:themeColor="text2" w:themeShade="BF"/>
                            <w:sz w:val="18"/>
                            <w:szCs w:val="18"/>
                          </w:rPr>
                        </w:pPr>
                        <w:r w:rsidRPr="001A3BD0">
                          <w:rPr>
                            <w:rFonts w:asciiTheme="minorHAnsi" w:hAnsiTheme="minorHAnsi"/>
                            <w:b/>
                            <w:color w:val="17365D" w:themeColor="text2" w:themeShade="BF"/>
                            <w:sz w:val="18"/>
                            <w:szCs w:val="18"/>
                          </w:rPr>
                          <w:t>Ro-Mo Systems in Europe</w:t>
                        </w:r>
                      </w:p>
                    </w:txbxContent>
                  </v:textbox>
                </v:shape>
              </w:pict>
            </w:r>
            <w:r w:rsidR="009D1BEC" w:rsidRPr="00512C82">
              <w:rPr>
                <w:noProof/>
                <w:lang w:bidi="ar-SA"/>
              </w:rPr>
              <w:drawing>
                <wp:anchor distT="0" distB="0" distL="114300" distR="114300" simplePos="0" relativeHeight="251689472" behindDoc="0" locked="0" layoutInCell="1" allowOverlap="1">
                  <wp:simplePos x="0" y="0"/>
                  <wp:positionH relativeFrom="column">
                    <wp:posOffset>3400425</wp:posOffset>
                  </wp:positionH>
                  <wp:positionV relativeFrom="paragraph">
                    <wp:posOffset>-872490</wp:posOffset>
                  </wp:positionV>
                  <wp:extent cx="2440305" cy="1734185"/>
                  <wp:effectExtent l="19050" t="0" r="0" b="0"/>
                  <wp:wrapSquare wrapText="bothSides"/>
                  <wp:docPr id="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screen">
                            <a:lum bright="-15000" contrast="10000"/>
                          </a:blip>
                          <a:srcRect/>
                          <a:stretch>
                            <a:fillRect/>
                          </a:stretch>
                        </pic:blipFill>
                        <pic:spPr bwMode="auto">
                          <a:xfrm>
                            <a:off x="0" y="0"/>
                            <a:ext cx="2440305" cy="1734185"/>
                          </a:xfrm>
                          <a:prstGeom prst="rect">
                            <a:avLst/>
                          </a:prstGeom>
                          <a:noFill/>
                          <a:ln w="9525">
                            <a:noFill/>
                            <a:miter lim="800000"/>
                            <a:headEnd/>
                            <a:tailEnd/>
                          </a:ln>
                        </pic:spPr>
                      </pic:pic>
                    </a:graphicData>
                  </a:graphic>
                </wp:anchor>
              </w:drawing>
            </w:r>
            <w:r w:rsidR="009D1BEC">
              <w:rPr>
                <w:rFonts w:ascii="Calibri" w:hAnsi="Calibri"/>
                <w:b/>
                <w:sz w:val="18"/>
                <w:szCs w:val="18"/>
              </w:rPr>
              <w:t>Mode-choice d</w:t>
            </w:r>
            <w:r w:rsidR="009D1BEC" w:rsidRPr="000924AC">
              <w:rPr>
                <w:rFonts w:ascii="Calibri" w:hAnsi="Calibri"/>
                <w:b/>
                <w:sz w:val="18"/>
                <w:szCs w:val="18"/>
              </w:rPr>
              <w:t>ecision criteria</w:t>
            </w:r>
            <w:r w:rsidR="009D1BEC">
              <w:rPr>
                <w:rFonts w:ascii="Calibri" w:hAnsi="Calibri"/>
                <w:sz w:val="18"/>
                <w:szCs w:val="18"/>
              </w:rPr>
              <w:t xml:space="preserve">. </w:t>
            </w:r>
            <w:r w:rsidR="009D1BEC" w:rsidRPr="000924AC">
              <w:rPr>
                <w:rFonts w:ascii="Calibri" w:hAnsi="Calibri"/>
                <w:sz w:val="18"/>
                <w:szCs w:val="18"/>
              </w:rPr>
              <w:t>Reffet et</w:t>
            </w:r>
            <w:r w:rsidR="009D1BEC">
              <w:rPr>
                <w:rFonts w:ascii="Calibri" w:hAnsi="Calibri"/>
                <w:sz w:val="18"/>
                <w:szCs w:val="18"/>
              </w:rPr>
              <w:t xml:space="preserve"> </w:t>
            </w:r>
            <w:r w:rsidR="009D1BEC" w:rsidRPr="000924AC">
              <w:rPr>
                <w:rFonts w:ascii="Calibri" w:hAnsi="Calibri"/>
                <w:sz w:val="18"/>
                <w:szCs w:val="18"/>
              </w:rPr>
              <w:t>al. (2008) tried to understand how and under which conditions a road carrier would</w:t>
            </w:r>
            <w:r w:rsidR="009D1BEC">
              <w:rPr>
                <w:rFonts w:ascii="Calibri" w:hAnsi="Calibri"/>
                <w:sz w:val="18"/>
                <w:szCs w:val="18"/>
              </w:rPr>
              <w:t xml:space="preserve"> select</w:t>
            </w:r>
            <w:r w:rsidR="009D1BEC" w:rsidRPr="000924AC">
              <w:rPr>
                <w:rFonts w:ascii="Calibri" w:hAnsi="Calibri"/>
                <w:sz w:val="18"/>
                <w:szCs w:val="18"/>
              </w:rPr>
              <w:t xml:space="preserve"> a </w:t>
            </w:r>
            <w:r w:rsidR="009D1BEC">
              <w:rPr>
                <w:rFonts w:ascii="Calibri" w:hAnsi="Calibri"/>
                <w:sz w:val="18"/>
                <w:szCs w:val="18"/>
              </w:rPr>
              <w:t xml:space="preserve">Ro-Mo system </w:t>
            </w:r>
            <w:r w:rsidR="009D1BEC" w:rsidRPr="000924AC">
              <w:rPr>
                <w:rFonts w:ascii="Calibri" w:hAnsi="Calibri"/>
                <w:sz w:val="18"/>
                <w:szCs w:val="18"/>
              </w:rPr>
              <w:t>instead of road</w:t>
            </w:r>
            <w:r w:rsidR="009D1BEC">
              <w:rPr>
                <w:rFonts w:ascii="Calibri" w:hAnsi="Calibri"/>
                <w:sz w:val="18"/>
                <w:szCs w:val="18"/>
              </w:rPr>
              <w:t>s</w:t>
            </w:r>
            <w:r w:rsidR="009D1BEC" w:rsidRPr="000924AC">
              <w:rPr>
                <w:rFonts w:ascii="Calibri" w:hAnsi="Calibri"/>
                <w:sz w:val="18"/>
                <w:szCs w:val="18"/>
              </w:rPr>
              <w:t>. They interviewed 22 road carriers, users of the alpine Ro</w:t>
            </w:r>
            <w:r w:rsidR="009D1BEC">
              <w:rPr>
                <w:rFonts w:ascii="Calibri" w:hAnsi="Calibri"/>
                <w:sz w:val="18"/>
                <w:szCs w:val="18"/>
              </w:rPr>
              <w:t>-</w:t>
            </w:r>
            <w:r w:rsidR="009D1BEC" w:rsidRPr="000924AC">
              <w:rPr>
                <w:rFonts w:ascii="Calibri" w:hAnsi="Calibri"/>
                <w:sz w:val="18"/>
                <w:szCs w:val="18"/>
              </w:rPr>
              <w:t>Mo</w:t>
            </w:r>
            <w:r w:rsidR="009D1BEC">
              <w:rPr>
                <w:rFonts w:ascii="Calibri" w:hAnsi="Calibri"/>
                <w:sz w:val="18"/>
                <w:szCs w:val="18"/>
              </w:rPr>
              <w:t xml:space="preserve"> </w:t>
            </w:r>
            <w:r w:rsidR="009D1BEC" w:rsidRPr="000924AC">
              <w:rPr>
                <w:rFonts w:ascii="Calibri" w:hAnsi="Calibri"/>
                <w:sz w:val="18"/>
                <w:szCs w:val="18"/>
              </w:rPr>
              <w:t xml:space="preserve">between Toulon (France) and Civitavecchia (Italy). </w:t>
            </w:r>
            <w:r w:rsidR="009D1BEC">
              <w:rPr>
                <w:rFonts w:ascii="Calibri" w:hAnsi="Calibri"/>
                <w:sz w:val="18"/>
                <w:szCs w:val="18"/>
              </w:rPr>
              <w:t xml:space="preserve">Most </w:t>
            </w:r>
            <w:r w:rsidR="009D1BEC" w:rsidRPr="000924AC">
              <w:rPr>
                <w:rFonts w:ascii="Calibri" w:hAnsi="Calibri"/>
                <w:sz w:val="18"/>
                <w:szCs w:val="18"/>
              </w:rPr>
              <w:t xml:space="preserve">road carriers </w:t>
            </w:r>
            <w:r w:rsidR="009D1BEC">
              <w:rPr>
                <w:rFonts w:ascii="Calibri" w:hAnsi="Calibri"/>
                <w:sz w:val="18"/>
                <w:szCs w:val="18"/>
              </w:rPr>
              <w:t xml:space="preserve">wanted </w:t>
            </w:r>
            <w:r w:rsidR="009D1BEC" w:rsidRPr="000924AC">
              <w:rPr>
                <w:rFonts w:ascii="Calibri" w:hAnsi="Calibri"/>
                <w:sz w:val="18"/>
                <w:szCs w:val="18"/>
              </w:rPr>
              <w:t>mo</w:t>
            </w:r>
            <w:r w:rsidR="009D1BEC">
              <w:rPr>
                <w:rFonts w:ascii="Calibri" w:hAnsi="Calibri"/>
                <w:sz w:val="18"/>
                <w:szCs w:val="18"/>
              </w:rPr>
              <w:t>r</w:t>
            </w:r>
            <w:r w:rsidR="009D1BEC" w:rsidRPr="000924AC">
              <w:rPr>
                <w:rFonts w:ascii="Calibri" w:hAnsi="Calibri"/>
                <w:sz w:val="18"/>
                <w:szCs w:val="18"/>
              </w:rPr>
              <w:t>e regular and planned freight flows. The choice between</w:t>
            </w:r>
            <w:r w:rsidR="009D1BEC">
              <w:rPr>
                <w:rFonts w:ascii="Calibri" w:hAnsi="Calibri"/>
                <w:sz w:val="18"/>
                <w:szCs w:val="18"/>
              </w:rPr>
              <w:t xml:space="preserve"> </w:t>
            </w:r>
            <w:r w:rsidR="009D1BEC" w:rsidRPr="000924AC">
              <w:rPr>
                <w:rFonts w:ascii="Calibri" w:hAnsi="Calibri"/>
                <w:sz w:val="18"/>
                <w:szCs w:val="18"/>
              </w:rPr>
              <w:t>accompanied or unaccompanied transport depends on origins and destinations.</w:t>
            </w:r>
            <w:r w:rsidR="009D1BEC">
              <w:rPr>
                <w:rFonts w:ascii="Calibri" w:hAnsi="Calibri"/>
                <w:sz w:val="18"/>
                <w:szCs w:val="18"/>
              </w:rPr>
              <w:t xml:space="preserve"> </w:t>
            </w:r>
            <w:r w:rsidR="009D1BEC" w:rsidRPr="000924AC">
              <w:rPr>
                <w:rFonts w:ascii="Calibri" w:hAnsi="Calibri"/>
                <w:sz w:val="18"/>
                <w:szCs w:val="18"/>
              </w:rPr>
              <w:t xml:space="preserve">Unaccompanied transport is used mainly with short pre- or post-transfers. </w:t>
            </w:r>
            <w:r w:rsidR="009D1BEC">
              <w:rPr>
                <w:rFonts w:ascii="Calibri" w:hAnsi="Calibri"/>
                <w:sz w:val="18"/>
                <w:szCs w:val="18"/>
              </w:rPr>
              <w:t>Typically c</w:t>
            </w:r>
            <w:r w:rsidR="009D1BEC" w:rsidRPr="000924AC">
              <w:rPr>
                <w:rFonts w:ascii="Calibri" w:hAnsi="Calibri"/>
                <w:sz w:val="18"/>
                <w:szCs w:val="18"/>
              </w:rPr>
              <w:t>ompanies</w:t>
            </w:r>
            <w:r w:rsidR="009D1BEC">
              <w:rPr>
                <w:rFonts w:ascii="Calibri" w:hAnsi="Calibri"/>
                <w:sz w:val="18"/>
                <w:szCs w:val="18"/>
              </w:rPr>
              <w:t xml:space="preserve"> begin</w:t>
            </w:r>
            <w:r w:rsidR="009D1BEC" w:rsidRPr="000924AC">
              <w:rPr>
                <w:rFonts w:ascii="Calibri" w:hAnsi="Calibri"/>
                <w:sz w:val="18"/>
                <w:szCs w:val="18"/>
              </w:rPr>
              <w:t xml:space="preserve"> </w:t>
            </w:r>
            <w:r w:rsidR="009D1BEC">
              <w:rPr>
                <w:rFonts w:ascii="Calibri" w:hAnsi="Calibri"/>
                <w:sz w:val="18"/>
                <w:szCs w:val="18"/>
              </w:rPr>
              <w:t xml:space="preserve">by </w:t>
            </w:r>
            <w:r w:rsidR="009D1BEC" w:rsidRPr="000924AC">
              <w:rPr>
                <w:rFonts w:ascii="Calibri" w:hAnsi="Calibri"/>
                <w:sz w:val="18"/>
                <w:szCs w:val="18"/>
              </w:rPr>
              <w:t xml:space="preserve">operating accompanied transport, which is more flexible, </w:t>
            </w:r>
            <w:r w:rsidR="009D1BEC">
              <w:rPr>
                <w:rFonts w:ascii="Calibri" w:hAnsi="Calibri"/>
                <w:sz w:val="18"/>
                <w:szCs w:val="18"/>
              </w:rPr>
              <w:t xml:space="preserve">to </w:t>
            </w:r>
            <w:r w:rsidR="009D1BEC" w:rsidRPr="000924AC">
              <w:rPr>
                <w:rFonts w:ascii="Calibri" w:hAnsi="Calibri"/>
                <w:sz w:val="18"/>
                <w:szCs w:val="18"/>
              </w:rPr>
              <w:t xml:space="preserve">test </w:t>
            </w:r>
            <w:r w:rsidR="009D1BEC">
              <w:rPr>
                <w:rFonts w:ascii="Calibri" w:hAnsi="Calibri"/>
                <w:sz w:val="18"/>
                <w:szCs w:val="18"/>
              </w:rPr>
              <w:t>service</w:t>
            </w:r>
            <w:r w:rsidR="009D1BEC" w:rsidRPr="000924AC">
              <w:rPr>
                <w:rFonts w:ascii="Calibri" w:hAnsi="Calibri"/>
                <w:sz w:val="18"/>
                <w:szCs w:val="18"/>
              </w:rPr>
              <w:t xml:space="preserve"> quality</w:t>
            </w:r>
            <w:r w:rsidR="009D1BEC">
              <w:rPr>
                <w:rFonts w:ascii="Calibri" w:hAnsi="Calibri"/>
                <w:sz w:val="18"/>
                <w:szCs w:val="18"/>
              </w:rPr>
              <w:t>,</w:t>
            </w:r>
            <w:r w:rsidR="009D1BEC" w:rsidRPr="000924AC">
              <w:rPr>
                <w:rFonts w:ascii="Calibri" w:hAnsi="Calibri"/>
                <w:sz w:val="18"/>
                <w:szCs w:val="18"/>
              </w:rPr>
              <w:t xml:space="preserve"> while preparing </w:t>
            </w:r>
            <w:r w:rsidR="009D1BEC" w:rsidRPr="000924AC">
              <w:rPr>
                <w:rFonts w:ascii="Calibri" w:hAnsi="Calibri"/>
                <w:sz w:val="18"/>
                <w:szCs w:val="18"/>
              </w:rPr>
              <w:lastRenderedPageBreak/>
              <w:t>their organization for a later use of unaccompanied</w:t>
            </w:r>
            <w:r w:rsidR="009D1BEC">
              <w:rPr>
                <w:rFonts w:ascii="Calibri" w:hAnsi="Calibri"/>
                <w:sz w:val="18"/>
                <w:szCs w:val="18"/>
              </w:rPr>
              <w:t xml:space="preserve"> transport</w:t>
            </w:r>
            <w:r w:rsidR="009D1BEC" w:rsidRPr="000924AC">
              <w:rPr>
                <w:rFonts w:ascii="Calibri" w:hAnsi="Calibri"/>
                <w:sz w:val="18"/>
                <w:szCs w:val="18"/>
              </w:rPr>
              <w:t xml:space="preserve">. </w:t>
            </w:r>
            <w:r w:rsidR="009D1BEC">
              <w:rPr>
                <w:rFonts w:ascii="Calibri" w:hAnsi="Calibri"/>
                <w:sz w:val="18"/>
                <w:szCs w:val="18"/>
              </w:rPr>
              <w:t>Primarily larger companies use u</w:t>
            </w:r>
            <w:r w:rsidR="009D1BEC" w:rsidRPr="000924AC">
              <w:rPr>
                <w:rFonts w:ascii="Calibri" w:hAnsi="Calibri"/>
                <w:sz w:val="18"/>
                <w:szCs w:val="18"/>
              </w:rPr>
              <w:t>naccompanied transport because they carry high</w:t>
            </w:r>
            <w:r w:rsidR="009D1BEC">
              <w:rPr>
                <w:rFonts w:ascii="Calibri" w:hAnsi="Calibri"/>
                <w:sz w:val="18"/>
                <w:szCs w:val="18"/>
              </w:rPr>
              <w:t xml:space="preserve">er </w:t>
            </w:r>
            <w:r w:rsidR="009D1BEC" w:rsidRPr="000924AC">
              <w:rPr>
                <w:rFonts w:ascii="Calibri" w:hAnsi="Calibri"/>
                <w:sz w:val="18"/>
                <w:szCs w:val="18"/>
              </w:rPr>
              <w:t xml:space="preserve">volumes </w:t>
            </w:r>
            <w:r w:rsidR="009D1BEC">
              <w:rPr>
                <w:rFonts w:ascii="Calibri" w:hAnsi="Calibri"/>
                <w:sz w:val="18"/>
                <w:szCs w:val="18"/>
              </w:rPr>
              <w:t xml:space="preserve">of cargo </w:t>
            </w:r>
            <w:r w:rsidR="009D1BEC" w:rsidRPr="000924AC">
              <w:rPr>
                <w:rFonts w:ascii="Calibri" w:hAnsi="Calibri"/>
                <w:sz w:val="18"/>
                <w:szCs w:val="18"/>
              </w:rPr>
              <w:t xml:space="preserve">on a regular basis, own enough trailers, and </w:t>
            </w:r>
            <w:r w:rsidR="009D1BEC">
              <w:rPr>
                <w:rFonts w:ascii="Calibri" w:hAnsi="Calibri"/>
                <w:sz w:val="18"/>
                <w:szCs w:val="18"/>
              </w:rPr>
              <w:t xml:space="preserve">can </w:t>
            </w:r>
            <w:r w:rsidR="009D1BEC" w:rsidRPr="000924AC">
              <w:rPr>
                <w:rFonts w:ascii="Calibri" w:hAnsi="Calibri"/>
                <w:sz w:val="18"/>
                <w:szCs w:val="18"/>
              </w:rPr>
              <w:t xml:space="preserve">partner with foreign companies or </w:t>
            </w:r>
            <w:r w:rsidR="009D1BEC">
              <w:rPr>
                <w:rFonts w:ascii="Calibri" w:hAnsi="Calibri"/>
                <w:sz w:val="18"/>
                <w:szCs w:val="18"/>
              </w:rPr>
              <w:t xml:space="preserve">can </w:t>
            </w:r>
            <w:r w:rsidR="009D1BEC" w:rsidRPr="000924AC">
              <w:rPr>
                <w:rFonts w:ascii="Calibri" w:hAnsi="Calibri"/>
                <w:sz w:val="18"/>
                <w:szCs w:val="18"/>
              </w:rPr>
              <w:t>even open subsidiaries in the other country. However,</w:t>
            </w:r>
            <w:r w:rsidR="009D1BEC">
              <w:rPr>
                <w:rFonts w:ascii="Calibri" w:hAnsi="Calibri"/>
                <w:sz w:val="18"/>
                <w:szCs w:val="18"/>
              </w:rPr>
              <w:t xml:space="preserve"> </w:t>
            </w:r>
            <w:r w:rsidR="009D1BEC" w:rsidRPr="000924AC">
              <w:rPr>
                <w:rFonts w:ascii="Calibri" w:hAnsi="Calibri"/>
                <w:sz w:val="18"/>
                <w:szCs w:val="18"/>
              </w:rPr>
              <w:t>some small</w:t>
            </w:r>
            <w:r w:rsidR="009D1BEC">
              <w:rPr>
                <w:rFonts w:ascii="Calibri" w:hAnsi="Calibri"/>
                <w:sz w:val="18"/>
                <w:szCs w:val="18"/>
              </w:rPr>
              <w:t xml:space="preserve">er </w:t>
            </w:r>
            <w:r w:rsidR="009D1BEC" w:rsidRPr="000924AC">
              <w:rPr>
                <w:rFonts w:ascii="Calibri" w:hAnsi="Calibri"/>
                <w:sz w:val="18"/>
                <w:szCs w:val="18"/>
              </w:rPr>
              <w:t>businesses managed to optimize their organization to switch to</w:t>
            </w:r>
            <w:r w:rsidR="009D1BEC">
              <w:rPr>
                <w:rFonts w:ascii="Calibri" w:hAnsi="Calibri"/>
                <w:sz w:val="18"/>
                <w:szCs w:val="18"/>
              </w:rPr>
              <w:t xml:space="preserve"> </w:t>
            </w:r>
            <w:r w:rsidR="009D1BEC" w:rsidRPr="000924AC">
              <w:rPr>
                <w:rFonts w:ascii="Calibri" w:hAnsi="Calibri"/>
                <w:sz w:val="18"/>
                <w:szCs w:val="18"/>
              </w:rPr>
              <w:t>unaccompanied transport.</w:t>
            </w:r>
            <w:r w:rsidR="009D1BEC">
              <w:rPr>
                <w:rFonts w:ascii="Calibri" w:hAnsi="Calibri"/>
                <w:sz w:val="18"/>
                <w:szCs w:val="18"/>
              </w:rPr>
              <w:t xml:space="preserve"> A</w:t>
            </w:r>
            <w:r w:rsidR="009D1BEC" w:rsidRPr="000924AC">
              <w:rPr>
                <w:rFonts w:ascii="Calibri" w:hAnsi="Calibri"/>
                <w:sz w:val="18"/>
                <w:szCs w:val="18"/>
              </w:rPr>
              <w:t>ccompanied or not, carriers choose these alternative modes to reduce costs, improve driving time, and deliver on time with the same</w:t>
            </w:r>
            <w:r w:rsidR="009D1BEC">
              <w:rPr>
                <w:rFonts w:ascii="Calibri" w:hAnsi="Calibri"/>
                <w:sz w:val="18"/>
                <w:szCs w:val="18"/>
              </w:rPr>
              <w:t xml:space="preserve"> </w:t>
            </w:r>
            <w:r w:rsidR="009D1BEC" w:rsidRPr="000924AC">
              <w:rPr>
                <w:rFonts w:ascii="Calibri" w:hAnsi="Calibri"/>
                <w:sz w:val="18"/>
                <w:szCs w:val="18"/>
              </w:rPr>
              <w:t>quality of service. Environmental issues did not seem to be a criterion for carriers to</w:t>
            </w:r>
            <w:r w:rsidR="009D1BEC">
              <w:rPr>
                <w:rFonts w:ascii="Calibri" w:hAnsi="Calibri"/>
                <w:sz w:val="18"/>
                <w:szCs w:val="18"/>
              </w:rPr>
              <w:t xml:space="preserve"> </w:t>
            </w:r>
            <w:r w:rsidR="009D1BEC" w:rsidRPr="000924AC">
              <w:rPr>
                <w:rFonts w:ascii="Calibri" w:hAnsi="Calibri"/>
                <w:sz w:val="18"/>
                <w:szCs w:val="18"/>
              </w:rPr>
              <w:t>choose these new modes.</w:t>
            </w:r>
            <w:r w:rsidR="009D1BEC">
              <w:rPr>
                <w:rFonts w:ascii="Calibri" w:hAnsi="Calibri"/>
                <w:sz w:val="18"/>
                <w:szCs w:val="18"/>
              </w:rPr>
              <w:t xml:space="preserve"> </w:t>
            </w:r>
            <w:r w:rsidR="009D1BEC" w:rsidRPr="000924AC">
              <w:rPr>
                <w:rFonts w:ascii="Calibri" w:hAnsi="Calibri"/>
                <w:sz w:val="18"/>
                <w:szCs w:val="18"/>
              </w:rPr>
              <w:t xml:space="preserve">Finally, </w:t>
            </w:r>
            <w:r w:rsidR="009D1BEC">
              <w:rPr>
                <w:rFonts w:ascii="Calibri" w:hAnsi="Calibri"/>
                <w:sz w:val="18"/>
                <w:szCs w:val="18"/>
              </w:rPr>
              <w:t>researchers</w:t>
            </w:r>
            <w:r w:rsidR="009D1BEC" w:rsidRPr="000924AC">
              <w:rPr>
                <w:rFonts w:ascii="Calibri" w:hAnsi="Calibri"/>
                <w:sz w:val="18"/>
                <w:szCs w:val="18"/>
              </w:rPr>
              <w:t xml:space="preserve"> found that, although satisfied with </w:t>
            </w:r>
            <w:r w:rsidR="009D1BEC">
              <w:rPr>
                <w:rFonts w:ascii="Calibri" w:hAnsi="Calibri"/>
                <w:sz w:val="18"/>
                <w:szCs w:val="18"/>
              </w:rPr>
              <w:t>existing</w:t>
            </w:r>
            <w:r w:rsidR="009D1BEC" w:rsidRPr="000924AC">
              <w:rPr>
                <w:rFonts w:ascii="Calibri" w:hAnsi="Calibri"/>
                <w:sz w:val="18"/>
                <w:szCs w:val="18"/>
              </w:rPr>
              <w:t xml:space="preserve"> offers, carriers </w:t>
            </w:r>
            <w:r w:rsidR="009D1BEC">
              <w:rPr>
                <w:rFonts w:ascii="Calibri" w:hAnsi="Calibri"/>
                <w:sz w:val="18"/>
                <w:szCs w:val="18"/>
              </w:rPr>
              <w:t xml:space="preserve">would prefer </w:t>
            </w:r>
            <w:r w:rsidR="009D1BEC" w:rsidRPr="000924AC">
              <w:rPr>
                <w:rFonts w:ascii="Calibri" w:hAnsi="Calibri"/>
                <w:sz w:val="18"/>
                <w:szCs w:val="18"/>
              </w:rPr>
              <w:t>higher frequencies for existing services.</w:t>
            </w:r>
          </w:p>
          <w:p w:rsidR="007545A1" w:rsidRPr="00AB440A" w:rsidRDefault="007545A1" w:rsidP="001A3BD0">
            <w:pPr>
              <w:spacing w:after="60"/>
              <w:rPr>
                <w:rFonts w:asciiTheme="minorHAnsi" w:hAnsiTheme="minorHAnsi"/>
                <w:i/>
                <w:sz w:val="18"/>
                <w:szCs w:val="18"/>
              </w:rPr>
            </w:pPr>
            <w:r w:rsidRPr="00AB440A">
              <w:rPr>
                <w:rFonts w:asciiTheme="minorHAnsi" w:hAnsiTheme="minorHAnsi"/>
                <w:i/>
                <w:sz w:val="18"/>
                <w:szCs w:val="18"/>
              </w:rPr>
              <w:t xml:space="preserve">Source: </w:t>
            </w:r>
            <w:r w:rsidRPr="007545A1">
              <w:rPr>
                <w:rFonts w:asciiTheme="minorHAnsi" w:hAnsiTheme="minorHAnsi"/>
                <w:i/>
                <w:sz w:val="18"/>
                <w:szCs w:val="18"/>
              </w:rPr>
              <w:t>Danielis, R., L. Rotaris, L. Buzzulini, E. Biktimirova (2010)</w:t>
            </w:r>
            <w:r>
              <w:rPr>
                <w:rFonts w:asciiTheme="minorHAnsi" w:hAnsiTheme="minorHAnsi"/>
                <w:i/>
                <w:sz w:val="18"/>
                <w:szCs w:val="18"/>
              </w:rPr>
              <w:t>;</w:t>
            </w:r>
            <w:r w:rsidRPr="007545A1">
              <w:rPr>
                <w:rFonts w:asciiTheme="minorHAnsi" w:hAnsiTheme="minorHAnsi"/>
                <w:i/>
                <w:sz w:val="18"/>
                <w:szCs w:val="18"/>
              </w:rPr>
              <w:t xml:space="preserve"> Woxenius, J. (2007)</w:t>
            </w:r>
            <w:r w:rsidR="000924AC">
              <w:rPr>
                <w:rFonts w:asciiTheme="minorHAnsi" w:hAnsiTheme="minorHAnsi"/>
                <w:i/>
                <w:sz w:val="18"/>
                <w:szCs w:val="18"/>
              </w:rPr>
              <w:t xml:space="preserve">; </w:t>
            </w:r>
            <w:r w:rsidR="000924AC" w:rsidRPr="000924AC">
              <w:rPr>
                <w:rFonts w:asciiTheme="minorHAnsi" w:hAnsiTheme="minorHAnsi"/>
                <w:i/>
                <w:sz w:val="18"/>
                <w:szCs w:val="18"/>
              </w:rPr>
              <w:t>Reffet et al. (2008)</w:t>
            </w:r>
          </w:p>
        </w:tc>
      </w:tr>
    </w:tbl>
    <w:p w:rsidR="007545A1" w:rsidRDefault="007545A1" w:rsidP="006F1A2C">
      <w:pPr>
        <w:rPr>
          <w:b/>
        </w:rPr>
      </w:pPr>
    </w:p>
    <w:p w:rsidR="0024174B" w:rsidRDefault="006F1A2C" w:rsidP="0082211F">
      <w:r>
        <w:rPr>
          <w:b/>
        </w:rPr>
        <w:t>Fiscal policy and p</w:t>
      </w:r>
      <w:r w:rsidRPr="003E048C">
        <w:rPr>
          <w:b/>
        </w:rPr>
        <w:t>ricing</w:t>
      </w:r>
      <w:r w:rsidR="00B23B1B">
        <w:rPr>
          <w:b/>
        </w:rPr>
        <w:t xml:space="preserve">: </w:t>
      </w:r>
      <w:r w:rsidR="00F14805">
        <w:rPr>
          <w:b/>
        </w:rPr>
        <w:t>differentiate charges on transit trucks by vehicle emission class and axle weight</w:t>
      </w:r>
      <w:r w:rsidR="00B94249">
        <w:rPr>
          <w:b/>
        </w:rPr>
        <w:t xml:space="preserve"> and</w:t>
      </w:r>
      <w:r w:rsidR="00B94249" w:rsidRPr="00B94249">
        <w:rPr>
          <w:b/>
        </w:rPr>
        <w:t xml:space="preserve"> </w:t>
      </w:r>
      <w:r w:rsidR="00B94249">
        <w:rPr>
          <w:b/>
        </w:rPr>
        <w:t xml:space="preserve">allocate </w:t>
      </w:r>
      <w:r w:rsidR="00B94249" w:rsidRPr="00C75F22">
        <w:rPr>
          <w:b/>
        </w:rPr>
        <w:t xml:space="preserve">revenues for </w:t>
      </w:r>
      <w:r w:rsidR="00B94249">
        <w:rPr>
          <w:b/>
        </w:rPr>
        <w:t xml:space="preserve">maintenance of </w:t>
      </w:r>
      <w:r w:rsidR="00B94249" w:rsidRPr="00C75F22">
        <w:rPr>
          <w:b/>
        </w:rPr>
        <w:t>road network assets and green transport</w:t>
      </w:r>
      <w:r w:rsidR="00B94249">
        <w:rPr>
          <w:b/>
        </w:rPr>
        <w:t xml:space="preserve"> investments</w:t>
      </w:r>
      <w:r>
        <w:t xml:space="preserve">. </w:t>
      </w:r>
      <w:r w:rsidR="0082211F">
        <w:t>Georgia’s r</w:t>
      </w:r>
      <w:r>
        <w:t xml:space="preserve">oad user charges on </w:t>
      </w:r>
      <w:r w:rsidR="0082211F">
        <w:t>transit trucks, when combined with major investments for intermodal connectivity discussed above,</w:t>
      </w:r>
      <w:r>
        <w:t xml:space="preserve"> would contribute to green transportation by </w:t>
      </w:r>
      <w:r w:rsidR="009D1BEC">
        <w:t xml:space="preserve">encouraging a </w:t>
      </w:r>
      <w:r w:rsidR="0082211F">
        <w:t>modal shift from roads to railway</w:t>
      </w:r>
      <w:r>
        <w:t xml:space="preserve">. </w:t>
      </w:r>
      <w:r w:rsidR="0082211F">
        <w:t xml:space="preserve"> </w:t>
      </w:r>
      <w:r w:rsidR="009D1BEC">
        <w:t xml:space="preserve">Existing </w:t>
      </w:r>
      <w:r w:rsidR="0082211F">
        <w:t xml:space="preserve">transit fees </w:t>
      </w:r>
      <w:r w:rsidR="009D1BEC">
        <w:t xml:space="preserve">rates are </w:t>
      </w:r>
      <w:r w:rsidR="0082211F">
        <w:t>not excessively low relative to income level</w:t>
      </w:r>
      <w:r w:rsidR="009D1BEC">
        <w:t>s</w:t>
      </w:r>
      <w:r w:rsidR="0082211F">
        <w:t xml:space="preserve">, but to achieve greening objectives, fee rates should be </w:t>
      </w:r>
      <w:r w:rsidR="009D1BEC">
        <w:t xml:space="preserve">based on </w:t>
      </w:r>
      <w:r w:rsidR="0082211F">
        <w:t xml:space="preserve">emission standards.  Moreover, </w:t>
      </w:r>
      <w:r w:rsidR="009D1BEC">
        <w:t xml:space="preserve">rates should be reviewed </w:t>
      </w:r>
      <w:r w:rsidR="0082211F">
        <w:t xml:space="preserve">regularly </w:t>
      </w:r>
      <w:r w:rsidR="009D1BEC">
        <w:t xml:space="preserve">and adjusted </w:t>
      </w:r>
      <w:r w:rsidR="0082211F">
        <w:t>to reflect social cost</w:t>
      </w:r>
      <w:r w:rsidR="009D1BEC">
        <w:t>s of</w:t>
      </w:r>
      <w:r w:rsidR="0082211F">
        <w:t xml:space="preserve"> transit traffic.  As discussed above, European c</w:t>
      </w:r>
      <w:r>
        <w:t xml:space="preserve">ountries with intense transit traffic such as Switzerland, Austria, and Germany have imposed heavy-duty vehicle charges based on weight, distance driven, and vehicle emission standards (Box </w:t>
      </w:r>
      <w:r w:rsidR="00AA3F1A">
        <w:t>6</w:t>
      </w:r>
      <w:r>
        <w:t xml:space="preserve">). </w:t>
      </w:r>
      <w:r w:rsidR="0082211F">
        <w:t xml:space="preserve"> </w:t>
      </w:r>
      <w:r w:rsidR="009D1BEC">
        <w:t xml:space="preserve">In addition to encourage modal shift, </w:t>
      </w:r>
      <w:r w:rsidR="0082211F">
        <w:t>charges</w:t>
      </w:r>
      <w:r w:rsidR="009D1BEC">
        <w:t xml:space="preserve"> </w:t>
      </w:r>
      <w:r w:rsidR="0082211F">
        <w:t xml:space="preserve">should aim </w:t>
      </w:r>
      <w:r w:rsidR="009D1BEC">
        <w:t>to cover</w:t>
      </w:r>
      <w:r w:rsidR="0082211F">
        <w:t xml:space="preserve"> i</w:t>
      </w:r>
      <w:r w:rsidR="009D1BEC">
        <w:t>nfrastructure costs and reduce</w:t>
      </w:r>
      <w:r w:rsidR="0082211F">
        <w:t xml:space="preserve"> taxpayers’ burden</w:t>
      </w:r>
      <w:r w:rsidR="009D1BEC">
        <w:t>s</w:t>
      </w:r>
      <w:r w:rsidR="0082211F">
        <w:t xml:space="preserve">.  </w:t>
      </w:r>
      <w:r w:rsidR="009D1BEC">
        <w:t>P</w:t>
      </w:r>
      <w:r w:rsidR="0024174B">
        <w:t>ricing policies that aim to cover infrastructure costs</w:t>
      </w:r>
      <w:r w:rsidR="0082211F">
        <w:t xml:space="preserve"> </w:t>
      </w:r>
      <w:r>
        <w:t xml:space="preserve">enjoy strong political support </w:t>
      </w:r>
      <w:r w:rsidR="009D1BEC">
        <w:t xml:space="preserve">from </w:t>
      </w:r>
      <w:r w:rsidR="0024174B">
        <w:t xml:space="preserve">tax payers </w:t>
      </w:r>
      <w:r w:rsidR="0082211F">
        <w:t xml:space="preserve">in </w:t>
      </w:r>
      <w:r w:rsidR="0024174B">
        <w:t xml:space="preserve">European </w:t>
      </w:r>
      <w:r w:rsidR="0082211F">
        <w:t>countries</w:t>
      </w:r>
      <w:r>
        <w:t>. In Georgia, average cost-based road user charges would improve the economic feasibility of some new investments in the railway</w:t>
      </w:r>
      <w:r w:rsidR="0024174B">
        <w:t xml:space="preserve"> and port</w:t>
      </w:r>
      <w:r>
        <w:t xml:space="preserve"> </w:t>
      </w:r>
      <w:r w:rsidR="0024174B">
        <w:t>sub-</w:t>
      </w:r>
      <w:r>
        <w:t>sector</w:t>
      </w:r>
      <w:r w:rsidR="0024174B">
        <w:t>s</w:t>
      </w:r>
      <w:r>
        <w:t xml:space="preserve"> </w:t>
      </w:r>
      <w:r w:rsidR="0024174B">
        <w:t xml:space="preserve">described above.  Road user charges should be viewed </w:t>
      </w:r>
      <w:r w:rsidR="009D1BEC">
        <w:t xml:space="preserve">the cost of </w:t>
      </w:r>
      <w:r w:rsidR="0024174B">
        <w:t xml:space="preserve">using Georgia’s infrastructure, rather than impediments to transport. </w:t>
      </w:r>
      <w:r w:rsidR="009D1BEC">
        <w:t xml:space="preserve">Considering </w:t>
      </w:r>
      <w:r w:rsidR="0024174B">
        <w:t xml:space="preserve">the planned upgrading of East-West Highway, charging </w:t>
      </w:r>
      <w:r w:rsidR="009D1BEC">
        <w:t xml:space="preserve">appropriately </w:t>
      </w:r>
      <w:r w:rsidR="0024174B">
        <w:t xml:space="preserve">for </w:t>
      </w:r>
      <w:r w:rsidR="009D1BEC">
        <w:t xml:space="preserve">using the </w:t>
      </w:r>
      <w:r w:rsidR="0024174B">
        <w:t xml:space="preserve">road </w:t>
      </w:r>
      <w:r w:rsidR="009D1BEC">
        <w:t xml:space="preserve">system </w:t>
      </w:r>
      <w:r w:rsidR="0024174B">
        <w:t xml:space="preserve">would also improve </w:t>
      </w:r>
      <w:r w:rsidR="009D1BEC">
        <w:t xml:space="preserve">road network </w:t>
      </w:r>
      <w:r w:rsidR="0024174B">
        <w:t>sustainability.</w:t>
      </w:r>
    </w:p>
    <w:p w:rsidR="006E27BC" w:rsidRDefault="006E27BC" w:rsidP="0082211F"/>
    <w:tbl>
      <w:tblPr>
        <w:tblStyle w:val="TableGrid"/>
        <w:tblW w:w="0" w:type="auto"/>
        <w:jc w:val="right"/>
        <w:tblInd w:w="-3330" w:type="dxa"/>
        <w:tblLook w:val="04A0"/>
      </w:tblPr>
      <w:tblGrid>
        <w:gridCol w:w="9468"/>
      </w:tblGrid>
      <w:tr w:rsidR="006F1A2C" w:rsidTr="006F1A2C">
        <w:trPr>
          <w:jc w:val="right"/>
        </w:trPr>
        <w:tc>
          <w:tcPr>
            <w:tcW w:w="9468" w:type="dxa"/>
          </w:tcPr>
          <w:p w:rsidR="006F1A2C" w:rsidRPr="00D24AAF" w:rsidRDefault="006F1A2C" w:rsidP="006F1A2C">
            <w:pPr>
              <w:pStyle w:val="Caption"/>
              <w:spacing w:after="120"/>
              <w:rPr>
                <w:rFonts w:asciiTheme="minorHAnsi" w:hAnsiTheme="minorHAnsi"/>
                <w:color w:val="000000"/>
                <w:sz w:val="20"/>
                <w:szCs w:val="20"/>
              </w:rPr>
            </w:pPr>
            <w:r w:rsidRPr="00D24AAF">
              <w:rPr>
                <w:rFonts w:asciiTheme="minorHAnsi" w:hAnsiTheme="minorHAnsi"/>
                <w:color w:val="000000"/>
                <w:sz w:val="20"/>
                <w:szCs w:val="20"/>
              </w:rPr>
              <w:t xml:space="preserve">Box </w:t>
            </w:r>
            <w:r w:rsidR="001A7AF8" w:rsidRPr="00D24AAF">
              <w:rPr>
                <w:rFonts w:asciiTheme="minorHAnsi" w:hAnsiTheme="minorHAnsi"/>
                <w:color w:val="000000"/>
                <w:sz w:val="20"/>
                <w:szCs w:val="20"/>
              </w:rPr>
              <w:fldChar w:fldCharType="begin"/>
            </w:r>
            <w:r w:rsidRPr="00D24AAF">
              <w:rPr>
                <w:rFonts w:asciiTheme="minorHAnsi" w:hAnsiTheme="minorHAnsi"/>
                <w:color w:val="000000"/>
                <w:sz w:val="20"/>
                <w:szCs w:val="20"/>
              </w:rPr>
              <w:instrText xml:space="preserve"> SEQ Box \* ARABIC </w:instrText>
            </w:r>
            <w:r w:rsidR="001A7AF8" w:rsidRPr="00D24AAF">
              <w:rPr>
                <w:rFonts w:asciiTheme="minorHAnsi" w:hAnsiTheme="minorHAnsi"/>
                <w:color w:val="000000"/>
                <w:sz w:val="20"/>
                <w:szCs w:val="20"/>
              </w:rPr>
              <w:fldChar w:fldCharType="separate"/>
            </w:r>
            <w:r w:rsidR="00AA3F1A">
              <w:rPr>
                <w:rFonts w:asciiTheme="minorHAnsi" w:hAnsiTheme="minorHAnsi"/>
                <w:noProof/>
                <w:color w:val="000000"/>
                <w:sz w:val="20"/>
                <w:szCs w:val="20"/>
              </w:rPr>
              <w:t>6</w:t>
            </w:r>
            <w:r w:rsidR="001A7AF8" w:rsidRPr="00D24AAF">
              <w:rPr>
                <w:rFonts w:asciiTheme="minorHAnsi" w:hAnsiTheme="minorHAnsi"/>
                <w:color w:val="000000"/>
                <w:sz w:val="20"/>
                <w:szCs w:val="20"/>
              </w:rPr>
              <w:fldChar w:fldCharType="end"/>
            </w:r>
            <w:r>
              <w:rPr>
                <w:rFonts w:asciiTheme="minorHAnsi" w:hAnsiTheme="minorHAnsi"/>
                <w:color w:val="000000"/>
                <w:sz w:val="20"/>
                <w:szCs w:val="20"/>
              </w:rPr>
              <w:t xml:space="preserve">. </w:t>
            </w:r>
            <w:r w:rsidRPr="00D24AAF">
              <w:rPr>
                <w:rFonts w:asciiTheme="minorHAnsi" w:hAnsiTheme="minorHAnsi"/>
                <w:color w:val="000000"/>
                <w:sz w:val="20"/>
                <w:szCs w:val="20"/>
              </w:rPr>
              <w:t xml:space="preserve"> Heavy Vehicle Charges in Transit Countries</w:t>
            </w:r>
            <w:r>
              <w:rPr>
                <w:rStyle w:val="FootnoteReference"/>
                <w:rFonts w:asciiTheme="minorHAnsi" w:hAnsiTheme="minorHAnsi"/>
                <w:color w:val="000000"/>
                <w:sz w:val="20"/>
                <w:szCs w:val="20"/>
              </w:rPr>
              <w:footnoteReference w:id="37"/>
            </w:r>
          </w:p>
          <w:p w:rsidR="006F1A2C" w:rsidRPr="00610C28" w:rsidRDefault="006F1A2C" w:rsidP="006F1A2C">
            <w:pPr>
              <w:spacing w:after="60"/>
              <w:rPr>
                <w:rFonts w:asciiTheme="minorHAnsi" w:hAnsiTheme="minorHAnsi"/>
                <w:b/>
                <w:i/>
                <w:sz w:val="20"/>
                <w:szCs w:val="20"/>
                <w:u w:val="single"/>
              </w:rPr>
            </w:pPr>
            <w:r w:rsidRPr="00610C28">
              <w:rPr>
                <w:rFonts w:asciiTheme="minorHAnsi" w:hAnsiTheme="minorHAnsi"/>
                <w:b/>
                <w:i/>
                <w:sz w:val="20"/>
                <w:szCs w:val="20"/>
                <w:u w:val="single"/>
              </w:rPr>
              <w:t>Switzerland</w:t>
            </w:r>
          </w:p>
          <w:p w:rsidR="009D1BEC" w:rsidRPr="009D1BEC" w:rsidRDefault="009D1BEC" w:rsidP="009D1BEC">
            <w:pPr>
              <w:spacing w:after="60"/>
              <w:rPr>
                <w:rFonts w:ascii="Calibri" w:hAnsi="Calibri"/>
                <w:sz w:val="18"/>
                <w:szCs w:val="18"/>
              </w:rPr>
            </w:pPr>
            <w:r w:rsidRPr="009D1BEC">
              <w:rPr>
                <w:rFonts w:ascii="Calibri" w:hAnsi="Calibri"/>
                <w:sz w:val="18"/>
                <w:szCs w:val="18"/>
              </w:rPr>
              <w:t xml:space="preserve">A distance-related heavy vehicle fee (HVF) has been levied in Switzerland since 1 January 2001. It replaces the previous flat-rate heavy vehicle fee. Full details of the heavy vehicle fee are presented in the brochure "Fair and efficient" published by the Federal Office for Spatial Development. The switch to a distance-related fee system aimed to: (i) limit the increase in heavy vehicles on the road; (ii) encourage rail freight shipping (road-to-rail policy), and (iii) relieve environmental impacts. The HVF applies to heavy-goods vehicles with a permissible laden weight exceeding 3.5 tons and is calculated on the basis of three criteria: (i) number of kilometers covered on Swiss territory; (ii) permissible laden weight of vehicle; and (iii) vehicle emissions. </w:t>
            </w:r>
          </w:p>
          <w:p w:rsidR="009D1BEC" w:rsidRPr="009D1BEC" w:rsidRDefault="009D1BEC" w:rsidP="009D1BEC">
            <w:pPr>
              <w:spacing w:after="60"/>
              <w:rPr>
                <w:rFonts w:ascii="Calibri" w:hAnsi="Calibri"/>
                <w:sz w:val="18"/>
                <w:szCs w:val="18"/>
              </w:rPr>
            </w:pPr>
            <w:r w:rsidRPr="009D1BEC">
              <w:rPr>
                <w:rFonts w:ascii="Calibri" w:hAnsi="Calibri"/>
                <w:b/>
                <w:sz w:val="18"/>
                <w:szCs w:val="18"/>
              </w:rPr>
              <w:t>Rate of charge</w:t>
            </w:r>
            <w:r w:rsidRPr="009D1BEC">
              <w:rPr>
                <w:rFonts w:ascii="Calibri" w:hAnsi="Calibri"/>
                <w:sz w:val="18"/>
                <w:szCs w:val="18"/>
              </w:rPr>
              <w:t>. The HVF introduced an initial rate of 1.68 centimes per ton-kilometer (tkm); this rose to 2.44 centimes per tkm in 2005, and 2.70 centimes per tkm on 1 January 2008. This rate reflects the uncovered costs imposed and total number of ton-kilometers driven by heavy road vehicles (calculated according to permissible laden weight).</w:t>
            </w:r>
          </w:p>
          <w:p w:rsidR="009D1BEC" w:rsidRPr="009D1BEC" w:rsidRDefault="009D1BEC" w:rsidP="009D1BEC">
            <w:pPr>
              <w:spacing w:after="60"/>
              <w:rPr>
                <w:rFonts w:ascii="Calibri" w:hAnsi="Calibri"/>
                <w:sz w:val="18"/>
                <w:szCs w:val="18"/>
              </w:rPr>
            </w:pPr>
            <w:r w:rsidRPr="009D1BEC">
              <w:rPr>
                <w:rFonts w:ascii="Calibri" w:hAnsi="Calibri"/>
                <w:b/>
                <w:sz w:val="18"/>
                <w:szCs w:val="18"/>
              </w:rPr>
              <w:t>Use of revenue</w:t>
            </w:r>
            <w:r w:rsidRPr="009D1BEC">
              <w:rPr>
                <w:rFonts w:ascii="Calibri" w:hAnsi="Calibri"/>
                <w:sz w:val="18"/>
                <w:szCs w:val="18"/>
              </w:rPr>
              <w:t>. One-third of net revenue goes to the cantons and two-thirds of net revenue goes to the federal government. The cantons use most of their allocation to meet their share of uncovered road transport costs. The federal government share is used primarily to finance major public transport projects: (i) Rail 2000; (ii) new trans-alpine rail routes (NEAT); (iii) links to the European high-speed network; and (iv) rail noise control program.</w:t>
            </w:r>
          </w:p>
          <w:p w:rsidR="009D1BEC" w:rsidRPr="009D1BEC" w:rsidRDefault="009D1BEC" w:rsidP="009D1BEC">
            <w:pPr>
              <w:spacing w:after="60"/>
              <w:rPr>
                <w:rFonts w:ascii="Calibri" w:hAnsi="Calibri"/>
                <w:sz w:val="18"/>
                <w:szCs w:val="18"/>
              </w:rPr>
            </w:pPr>
            <w:r w:rsidRPr="009D1BEC">
              <w:rPr>
                <w:rFonts w:ascii="Calibri" w:hAnsi="Calibri"/>
                <w:b/>
                <w:sz w:val="18"/>
                <w:szCs w:val="18"/>
              </w:rPr>
              <w:t>International context</w:t>
            </w:r>
            <w:r w:rsidRPr="009D1BEC">
              <w:rPr>
                <w:rFonts w:ascii="Calibri" w:hAnsi="Calibri"/>
                <w:sz w:val="18"/>
                <w:szCs w:val="18"/>
              </w:rPr>
              <w:t xml:space="preserve">. The HVF is supported by international law through the Overland Transport Agreement with the European Union. On January 1, 2004, Austria successfully introduced a distance-related heavy vehicle fee; one year later, Germany followed suit one year later. Both countries limit the fee to vehicles using motorways. The Czech Republic introduced a heavy-vehicle fee for motorways and clearways on 1 January 2007, and the Slovak Republic is planning a similar </w:t>
            </w:r>
            <w:r w:rsidRPr="009D1BEC">
              <w:rPr>
                <w:rFonts w:ascii="Calibri" w:hAnsi="Calibri"/>
                <w:sz w:val="18"/>
                <w:szCs w:val="18"/>
              </w:rPr>
              <w:lastRenderedPageBreak/>
              <w:t xml:space="preserve">solution. </w:t>
            </w:r>
          </w:p>
          <w:p w:rsidR="009D1BEC" w:rsidRPr="009D1BEC" w:rsidRDefault="009D1BEC" w:rsidP="009D1BEC">
            <w:pPr>
              <w:spacing w:after="60"/>
              <w:rPr>
                <w:rFonts w:ascii="Calibri" w:hAnsi="Calibri"/>
                <w:sz w:val="18"/>
                <w:szCs w:val="18"/>
              </w:rPr>
            </w:pPr>
            <w:r w:rsidRPr="009D1BEC">
              <w:rPr>
                <w:rFonts w:ascii="Calibri" w:hAnsi="Calibri"/>
                <w:b/>
                <w:sz w:val="18"/>
                <w:szCs w:val="18"/>
              </w:rPr>
              <w:t>Legal basis and enforcement</w:t>
            </w:r>
            <w:r w:rsidRPr="009D1BEC">
              <w:rPr>
                <w:rFonts w:ascii="Calibri" w:hAnsi="Calibri"/>
                <w:sz w:val="18"/>
                <w:szCs w:val="18"/>
              </w:rPr>
              <w:t>. Key legislation for HVF enforcement comprises the Federal Heavy Vehicle Fee Act (Schwerverkehrsabgabegesetz) and the Federal Heavy Vehicle Fee Ordinance (Schwerverkehrsabgabeverordnung). Article 85 of the Swiss Constitution provides the constitutional basis. The HVF was introduced without any notable problems and its enforcement is delegated to the Swiss Federal Customs Administration.</w:t>
            </w:r>
          </w:p>
          <w:p w:rsidR="009D1BEC" w:rsidRPr="009D1BEC" w:rsidRDefault="009D1BEC" w:rsidP="009D1BEC">
            <w:pPr>
              <w:spacing w:after="60"/>
              <w:rPr>
                <w:rFonts w:ascii="Calibri" w:hAnsi="Calibri"/>
                <w:sz w:val="18"/>
                <w:szCs w:val="18"/>
              </w:rPr>
            </w:pPr>
            <w:r w:rsidRPr="009D1BEC">
              <w:rPr>
                <w:rFonts w:ascii="Calibri" w:hAnsi="Calibri"/>
                <w:b/>
                <w:sz w:val="18"/>
                <w:szCs w:val="18"/>
              </w:rPr>
              <w:t>Monitoring</w:t>
            </w:r>
            <w:r w:rsidRPr="009D1BEC">
              <w:rPr>
                <w:rFonts w:ascii="Calibri" w:hAnsi="Calibri"/>
                <w:sz w:val="18"/>
                <w:szCs w:val="18"/>
              </w:rPr>
              <w:t>. The impact of HVF is monitored continuously and analyzed by the ARE. The principal result is a significant reduction in road use by heavy-goods vehicles. Prior to introducing the HVF, distances were steadily increasing; in the two subsequent years after, distances travelled fell sharply. By end-2005, distances were down by 6.5 percent from 2000. In addition, there was a noticeable surge vehicle fleet renewal and a trend to concentration in the road haulage sector.</w:t>
            </w:r>
          </w:p>
          <w:p w:rsidR="009D1BEC" w:rsidRPr="009D1BEC" w:rsidRDefault="009D1BEC" w:rsidP="009D1BEC">
            <w:pPr>
              <w:spacing w:after="60"/>
              <w:rPr>
                <w:rFonts w:ascii="Calibri" w:hAnsi="Calibri"/>
                <w:b/>
                <w:i/>
                <w:sz w:val="18"/>
                <w:szCs w:val="18"/>
                <w:u w:val="single"/>
              </w:rPr>
            </w:pPr>
            <w:r w:rsidRPr="009D1BEC">
              <w:rPr>
                <w:rFonts w:ascii="Calibri" w:hAnsi="Calibri"/>
                <w:b/>
                <w:i/>
                <w:sz w:val="18"/>
                <w:szCs w:val="18"/>
                <w:u w:val="single"/>
              </w:rPr>
              <w:t>Austria</w:t>
            </w:r>
          </w:p>
          <w:p w:rsidR="009D1BEC" w:rsidRPr="009D1BEC" w:rsidRDefault="009D1BEC" w:rsidP="009D1BEC">
            <w:pPr>
              <w:spacing w:after="60"/>
              <w:rPr>
                <w:rFonts w:ascii="Calibri" w:hAnsi="Calibri"/>
                <w:sz w:val="18"/>
                <w:szCs w:val="18"/>
              </w:rPr>
            </w:pPr>
            <w:r w:rsidRPr="009D1BEC">
              <w:rPr>
                <w:rFonts w:ascii="Calibri" w:hAnsi="Calibri"/>
                <w:sz w:val="18"/>
                <w:szCs w:val="18"/>
              </w:rPr>
              <w:t>In January 2004, Austria replaced a fixed annual road user charge for trucks with an electronic km charge for all vehicles over 3.5 tons maximum gross weight</w:t>
            </w:r>
            <w:r w:rsidRPr="009D1BEC">
              <w:rPr>
                <w:rFonts w:ascii="Calibri" w:hAnsi="Calibri"/>
                <w:sz w:val="18"/>
                <w:szCs w:val="18"/>
              </w:rPr>
              <w:sym w:font="Symbol" w:char="F0BE"/>
            </w:r>
            <w:r w:rsidRPr="009D1BEC">
              <w:rPr>
                <w:rFonts w:ascii="Calibri" w:hAnsi="Calibri"/>
                <w:sz w:val="18"/>
                <w:szCs w:val="18"/>
              </w:rPr>
              <w:t xml:space="preserve">trucks, buses and other heavy vehicles. </w:t>
            </w:r>
          </w:p>
          <w:p w:rsidR="009D1BEC" w:rsidRPr="009D1BEC" w:rsidRDefault="009D1BEC" w:rsidP="009D1BEC">
            <w:pPr>
              <w:spacing w:after="60"/>
              <w:rPr>
                <w:rFonts w:ascii="Calibri" w:hAnsi="Calibri"/>
                <w:sz w:val="18"/>
                <w:szCs w:val="18"/>
              </w:rPr>
            </w:pPr>
            <w:r w:rsidRPr="009D1BEC">
              <w:rPr>
                <w:rFonts w:ascii="Calibri" w:hAnsi="Calibri"/>
                <w:b/>
                <w:sz w:val="18"/>
                <w:szCs w:val="18"/>
              </w:rPr>
              <w:t>Charges and revenues</w:t>
            </w:r>
            <w:r w:rsidRPr="009D1BEC">
              <w:rPr>
                <w:rFonts w:ascii="Calibri" w:hAnsi="Calibri"/>
                <w:sz w:val="18"/>
                <w:szCs w:val="18"/>
              </w:rPr>
              <w:t xml:space="preserve">. Charges are set at a level that will recover infrastructure investment and maintenance costs and provide for new investments in motorway infrastructure due to rising demand. Toll revenues are the sole source of financing for the Austrian roads corporation (ASFINAG), which receives no government subsidy for highway network development and management. Initially, charges did not differentiate among vehicle emission classes; instead, charges were based on vehicle weights, and consequently, impacts on road deterioration. For the new charging schedule, introduced in 2011, rates were based on vehicle emissions. In 2004, revenues were estimated at Euro 600 million; all revenues accrue to the company charged with managing and expanding the motorway system. </w:t>
            </w:r>
          </w:p>
          <w:p w:rsidR="009D1BEC" w:rsidRPr="009D1BEC" w:rsidRDefault="009D1BEC" w:rsidP="009D1BEC">
            <w:pPr>
              <w:spacing w:after="60"/>
              <w:rPr>
                <w:rFonts w:ascii="Calibri" w:hAnsi="Calibri"/>
                <w:sz w:val="18"/>
                <w:szCs w:val="18"/>
              </w:rPr>
            </w:pPr>
            <w:r w:rsidRPr="009D1BEC">
              <w:rPr>
                <w:rFonts w:ascii="Calibri" w:hAnsi="Calibri"/>
                <w:b/>
                <w:sz w:val="18"/>
                <w:szCs w:val="18"/>
              </w:rPr>
              <w:t>Technology – microwave and transponders</w:t>
            </w:r>
            <w:r w:rsidRPr="009D1BEC">
              <w:rPr>
                <w:rFonts w:ascii="Calibri" w:hAnsi="Calibri"/>
                <w:sz w:val="18"/>
                <w:szCs w:val="18"/>
              </w:rPr>
              <w:t xml:space="preserve">. Toll collection is done using microwave technology, fully automated (multi-lane free-flow system). Like Switzerland, Austria uses roadside transponders and an on-board unit to levy charges. All vehicles over 3.5 tons that use the Austrian highways and expressway network must purchase and install a “GO-Box”, an on-board microwave communication unit. </w:t>
            </w:r>
          </w:p>
          <w:p w:rsidR="009D1BEC" w:rsidRPr="009D1BEC" w:rsidRDefault="009D1BEC" w:rsidP="009D1BEC">
            <w:pPr>
              <w:spacing w:after="60"/>
              <w:rPr>
                <w:rFonts w:ascii="Calibri" w:hAnsi="Calibri"/>
                <w:sz w:val="18"/>
                <w:szCs w:val="18"/>
              </w:rPr>
            </w:pPr>
            <w:r w:rsidRPr="009D1BEC">
              <w:rPr>
                <w:rFonts w:ascii="Calibri" w:hAnsi="Calibri"/>
                <w:b/>
                <w:sz w:val="18"/>
                <w:szCs w:val="18"/>
              </w:rPr>
              <w:t>Payment</w:t>
            </w:r>
            <w:r w:rsidRPr="009D1BEC">
              <w:rPr>
                <w:rFonts w:ascii="Calibri" w:hAnsi="Calibri"/>
                <w:sz w:val="18"/>
                <w:szCs w:val="18"/>
              </w:rPr>
              <w:t>. Pre-pay or post-pay methods are available. Customers may pre-pay toll values up to a maximum allowable amount. Alternatively, registered customers can select weekly, bi-weekly, or monthly billing.</w:t>
            </w:r>
          </w:p>
          <w:p w:rsidR="009D1BEC" w:rsidRPr="009D1BEC" w:rsidRDefault="009D1BEC" w:rsidP="009D1BEC">
            <w:pPr>
              <w:spacing w:after="60"/>
              <w:rPr>
                <w:rFonts w:ascii="Calibri" w:hAnsi="Calibri"/>
                <w:sz w:val="18"/>
                <w:szCs w:val="18"/>
              </w:rPr>
            </w:pPr>
            <w:r w:rsidRPr="009D1BEC">
              <w:rPr>
                <w:rFonts w:ascii="Calibri" w:hAnsi="Calibri"/>
                <w:b/>
                <w:sz w:val="18"/>
                <w:szCs w:val="18"/>
              </w:rPr>
              <w:t>Interoperability</w:t>
            </w:r>
            <w:r w:rsidRPr="009D1BEC">
              <w:rPr>
                <w:rFonts w:ascii="Calibri" w:hAnsi="Calibri"/>
                <w:sz w:val="18"/>
                <w:szCs w:val="18"/>
              </w:rPr>
              <w:t>. In accordance with the EETS (European Electronic Toll Services), the system is interoperable with most European countries, using 5.8 GHz DSRC microwave technology. Since 2004, ASFINAG and the Swiss Federal Customs Administration—operator of the Swiss toll system—collaborated for full interoperability between the two systems, including all in-vehicle equipment, communication, and back-office functions. These arrangements will be expanded to include other European countries, including Germany, and the Scandinavian Consortium.</w:t>
            </w:r>
          </w:p>
          <w:p w:rsidR="009D1BEC" w:rsidRPr="009D1BEC" w:rsidRDefault="009D1BEC" w:rsidP="009D1BEC">
            <w:pPr>
              <w:spacing w:after="60"/>
              <w:rPr>
                <w:rFonts w:ascii="Calibri" w:hAnsi="Calibri"/>
                <w:b/>
                <w:i/>
                <w:sz w:val="18"/>
                <w:szCs w:val="18"/>
                <w:u w:val="single"/>
              </w:rPr>
            </w:pPr>
            <w:r w:rsidRPr="009D1BEC">
              <w:rPr>
                <w:rFonts w:ascii="Calibri" w:hAnsi="Calibri"/>
                <w:b/>
                <w:i/>
                <w:sz w:val="18"/>
                <w:szCs w:val="18"/>
                <w:u w:val="single"/>
              </w:rPr>
              <w:t>Germany - LKW-Maut</w:t>
            </w:r>
          </w:p>
          <w:p w:rsidR="009D1BEC" w:rsidRPr="009D1BEC" w:rsidRDefault="009D1BEC" w:rsidP="009D1BEC">
            <w:pPr>
              <w:spacing w:after="60"/>
              <w:rPr>
                <w:rFonts w:ascii="Calibri" w:hAnsi="Calibri"/>
                <w:sz w:val="18"/>
                <w:szCs w:val="18"/>
              </w:rPr>
            </w:pPr>
            <w:r w:rsidRPr="009D1BEC">
              <w:rPr>
                <w:rFonts w:ascii="Calibri" w:hAnsi="Calibri"/>
                <w:sz w:val="18"/>
                <w:szCs w:val="18"/>
              </w:rPr>
              <w:t xml:space="preserve">Germany's LKW-Maut (Lastkraftwagen-Maut, literally 'truck-toll') applies to cargo vehicles based on kilometers driven, number of axles, and vehicle emissions category. Up to 35 percent of truck miles traveled on German motorways (Autobahnen) are generated by foreign trucks. Germany experienced increased pressure from transit freight traffic and needed an additional source of revenue for motorway maintenance and expansion. Thus, Government implemented a distance-based toll for all trucks over 12 tons gross weight and abolished the former Eurovignette charge in anticipation of the new toll in January 2005. Motorway freight tolling was authorized by the Motorway Toll Act for Heavy Commercial Trucks (in effect since April 12, 2002) and the Toll Regulation. </w:t>
            </w:r>
          </w:p>
          <w:p w:rsidR="009D1BEC" w:rsidRPr="009D1BEC" w:rsidRDefault="009D1BEC" w:rsidP="009D1BEC">
            <w:pPr>
              <w:spacing w:after="60"/>
              <w:rPr>
                <w:rFonts w:ascii="Calibri" w:hAnsi="Calibri"/>
                <w:sz w:val="18"/>
                <w:szCs w:val="18"/>
              </w:rPr>
            </w:pPr>
            <w:r w:rsidRPr="009D1BEC">
              <w:rPr>
                <w:rFonts w:ascii="Calibri" w:hAnsi="Calibri"/>
                <w:b/>
                <w:sz w:val="18"/>
                <w:szCs w:val="18"/>
              </w:rPr>
              <w:t>Charges</w:t>
            </w:r>
            <w:r w:rsidRPr="009D1BEC">
              <w:rPr>
                <w:rFonts w:ascii="Calibri" w:hAnsi="Calibri"/>
                <w:sz w:val="18"/>
                <w:szCs w:val="18"/>
              </w:rPr>
              <w:t>. The charge is calculated based on estimated maintenance, upgrading, and renewal costs for the motorway system attributable to trucks. The charge is levied according to the number of axles (i.e., approximate truck weight) and based on exhaust emissions class. An average user is charged €0.15 per kilometer, or about $0.31 per mile. Emergency vehicles and buses are exempt. The charge aims to provide an appropriate financial environment for inter-modal competition for freight between road haulage and railways. The charge was designed to raise revenues to relieve public budgets of this expenditure, and charge all users equally, including foreign trucks. Revenues are dedicated to covering the costs of collection and investment in transport infrastructure, mainly federal highway construction. Replacing the time-based Eurovignette charge with a km charge, and increasing charge levels drove rationalization of the haulage industry and reduced km driven below what would have otherwise been the case. As with Austria, though, the impact can be expected to be much less than in Switzerland.</w:t>
            </w:r>
          </w:p>
          <w:p w:rsidR="009D1BEC" w:rsidRPr="009D1BEC" w:rsidRDefault="009D1BEC" w:rsidP="009D1BEC">
            <w:pPr>
              <w:spacing w:after="60"/>
              <w:rPr>
                <w:rFonts w:ascii="Calibri" w:hAnsi="Calibri"/>
                <w:sz w:val="18"/>
                <w:szCs w:val="18"/>
              </w:rPr>
            </w:pPr>
            <w:r w:rsidRPr="009D1BEC">
              <w:rPr>
                <w:rFonts w:ascii="Calibri" w:hAnsi="Calibri"/>
                <w:b/>
                <w:sz w:val="18"/>
                <w:szCs w:val="18"/>
              </w:rPr>
              <w:t>Technology</w:t>
            </w:r>
            <w:r w:rsidRPr="009D1BEC">
              <w:rPr>
                <w:rFonts w:ascii="Calibri" w:hAnsi="Calibri"/>
                <w:sz w:val="18"/>
                <w:szCs w:val="18"/>
              </w:rPr>
              <w:t xml:space="preserve">. Toll Collect oversees toll collection on behalf of the Federal Republic of Germany. Toll Collect has developed an automatic log-on system for truckers, based on a combination of GSM and GPS. To use the automatic log-on, truck drivers must register their freight company and the individual truck. After registration, an on-board unit (OBU) can be installed by an authorized Toll Collect partner. The OBU automatically determines the distance traveled on the toll route, calculates the toll based on vehicle class and toll rate information entered, and transmits the information to the Toll Collect center for processing via GSM (cellular) communication. After toll information is submitted to the Toll Collect center, a bill is generated and e-mailed to the truck driver or owner. The German government paid for about 450,000 OBUs now in use, and truck </w:t>
            </w:r>
            <w:r w:rsidRPr="009D1BEC">
              <w:rPr>
                <w:rFonts w:ascii="Calibri" w:hAnsi="Calibri"/>
                <w:sz w:val="18"/>
                <w:szCs w:val="18"/>
              </w:rPr>
              <w:lastRenderedPageBreak/>
              <w:t>drivers were responsible for installation.</w:t>
            </w:r>
          </w:p>
          <w:p w:rsidR="009D1BEC" w:rsidRPr="009D1BEC" w:rsidRDefault="009D1BEC" w:rsidP="009D1BEC">
            <w:pPr>
              <w:spacing w:after="60"/>
              <w:rPr>
                <w:rFonts w:ascii="Calibri" w:hAnsi="Calibri"/>
                <w:sz w:val="18"/>
                <w:szCs w:val="18"/>
              </w:rPr>
            </w:pPr>
            <w:r w:rsidRPr="009D1BEC">
              <w:rPr>
                <w:rFonts w:ascii="Calibri" w:hAnsi="Calibri"/>
                <w:b/>
                <w:sz w:val="18"/>
                <w:szCs w:val="18"/>
              </w:rPr>
              <w:t>Enforcement</w:t>
            </w:r>
            <w:r w:rsidRPr="009D1BEC">
              <w:rPr>
                <w:rFonts w:ascii="Calibri" w:hAnsi="Calibri"/>
                <w:sz w:val="18"/>
                <w:szCs w:val="18"/>
              </w:rPr>
              <w:t>. System enforcement is based on 300 gantries equipped with infrared detection equipment and high-resolution cameras that can recognize truck license plates. In addition, Federal Officers of Freight in 300 mobile enforcement vehicles patrol the motorways and have authority to pull trucks over and check for payment records. If a fee has not been paid and the GPS data are unclear, a charge is levied for 500 km of travel. Estimated collection costs are 20 percent of gross revenues. During the first eight months of Truck Toll scheme operation some 11.6 million trucks were checked and the violation rate was less than 2.0 percent.</w:t>
            </w:r>
          </w:p>
          <w:p w:rsidR="009D1BEC" w:rsidRPr="009D1BEC" w:rsidRDefault="009D1BEC" w:rsidP="009D1BEC">
            <w:pPr>
              <w:spacing w:after="60"/>
              <w:rPr>
                <w:rFonts w:ascii="Calibri" w:hAnsi="Calibri"/>
                <w:sz w:val="18"/>
                <w:szCs w:val="18"/>
              </w:rPr>
            </w:pPr>
            <w:r w:rsidRPr="009D1BEC">
              <w:rPr>
                <w:rFonts w:ascii="Calibri" w:hAnsi="Calibri"/>
                <w:b/>
                <w:sz w:val="18"/>
                <w:szCs w:val="18"/>
              </w:rPr>
              <w:t>Revenues and Impacts</w:t>
            </w:r>
            <w:r w:rsidRPr="009D1BEC">
              <w:rPr>
                <w:rFonts w:ascii="Calibri" w:hAnsi="Calibri"/>
                <w:sz w:val="18"/>
                <w:szCs w:val="18"/>
              </w:rPr>
              <w:t>. Toll revenues in excess of system operating costs provide funding for transportation infrastructure improvements. The truck tolling program has given freight companies incentive to purchase lower-emission vehicles. The UK Commission for Integrated Transport (2007) cites a 6.0 percent decrease in the number of empty-truck runs and a 6.0 percent modal shift to rail from road freight due to the truck toll system. Those decreases will likely reduce emissions of carbon dioxide and other pollutants on German roads. The only negative consequence of the freight toll system detected thus far has been that some trucks now use roads other than the autobahn, creating noise and congestion on these routes.</w:t>
            </w:r>
          </w:p>
          <w:p w:rsidR="006F1A2C" w:rsidRPr="00AB440A" w:rsidRDefault="006F1A2C" w:rsidP="009C1388">
            <w:pPr>
              <w:spacing w:after="60"/>
              <w:rPr>
                <w:rFonts w:asciiTheme="minorHAnsi" w:hAnsiTheme="minorHAnsi"/>
                <w:i/>
                <w:sz w:val="18"/>
                <w:szCs w:val="18"/>
              </w:rPr>
            </w:pPr>
            <w:r w:rsidRPr="00AB440A">
              <w:rPr>
                <w:rFonts w:asciiTheme="minorHAnsi" w:hAnsiTheme="minorHAnsi"/>
                <w:i/>
                <w:sz w:val="18"/>
                <w:szCs w:val="18"/>
              </w:rPr>
              <w:t>Source</w:t>
            </w:r>
            <w:r w:rsidR="000226E9">
              <w:rPr>
                <w:rFonts w:asciiTheme="minorHAnsi" w:hAnsiTheme="minorHAnsi"/>
                <w:i/>
                <w:sz w:val="18"/>
                <w:szCs w:val="18"/>
              </w:rPr>
              <w:t>s</w:t>
            </w:r>
            <w:r w:rsidRPr="00AB440A">
              <w:rPr>
                <w:rFonts w:asciiTheme="minorHAnsi" w:hAnsiTheme="minorHAnsi"/>
                <w:i/>
                <w:sz w:val="18"/>
                <w:szCs w:val="18"/>
              </w:rPr>
              <w:t xml:space="preserve">: </w:t>
            </w:r>
            <w:r w:rsidR="004C4226" w:rsidRPr="004C4226">
              <w:rPr>
                <w:rFonts w:asciiTheme="minorHAnsi" w:hAnsiTheme="minorHAnsi"/>
                <w:i/>
                <w:sz w:val="18"/>
                <w:szCs w:val="18"/>
              </w:rPr>
              <w:t xml:space="preserve">Swiss Federal Office for Spatial Development (2012); ASFiNAG website (www.asfinag.at); </w:t>
            </w:r>
            <w:r w:rsidRPr="00AB440A">
              <w:rPr>
                <w:rFonts w:asciiTheme="minorHAnsi" w:hAnsiTheme="minorHAnsi"/>
                <w:i/>
                <w:sz w:val="18"/>
                <w:szCs w:val="18"/>
              </w:rPr>
              <w:t>Report CEMT/CM(2004)19 to ECMT Council of Ministers Charges for the Use of Infrastructure</w:t>
            </w:r>
            <w:r w:rsidR="0008374F">
              <w:rPr>
                <w:rFonts w:asciiTheme="minorHAnsi" w:hAnsiTheme="minorHAnsi"/>
                <w:i/>
                <w:sz w:val="18"/>
                <w:szCs w:val="18"/>
              </w:rPr>
              <w:t>; and</w:t>
            </w:r>
            <w:r w:rsidR="000226E9">
              <w:rPr>
                <w:rFonts w:asciiTheme="minorHAnsi" w:hAnsiTheme="minorHAnsi"/>
                <w:i/>
                <w:sz w:val="18"/>
                <w:szCs w:val="18"/>
              </w:rPr>
              <w:t xml:space="preserve"> Wikipedia</w:t>
            </w:r>
            <w:r w:rsidR="009C1388">
              <w:rPr>
                <w:rFonts w:asciiTheme="minorHAnsi" w:hAnsiTheme="minorHAnsi"/>
                <w:i/>
                <w:sz w:val="18"/>
                <w:szCs w:val="18"/>
              </w:rPr>
              <w:t xml:space="preserve"> (</w:t>
            </w:r>
            <w:r w:rsidR="009C1388" w:rsidRPr="009C1388">
              <w:rPr>
                <w:rFonts w:asciiTheme="minorHAnsi" w:hAnsiTheme="minorHAnsi"/>
                <w:i/>
                <w:sz w:val="18"/>
                <w:szCs w:val="18"/>
              </w:rPr>
              <w:t>en.wikipedia.org/wiki/LKW-Maut</w:t>
            </w:r>
            <w:r w:rsidR="009C1388">
              <w:rPr>
                <w:rFonts w:asciiTheme="minorHAnsi" w:hAnsiTheme="minorHAnsi"/>
                <w:i/>
                <w:sz w:val="18"/>
                <w:szCs w:val="18"/>
              </w:rPr>
              <w:t>)</w:t>
            </w:r>
          </w:p>
        </w:tc>
      </w:tr>
    </w:tbl>
    <w:p w:rsidR="00FF1188" w:rsidRDefault="00FF1188">
      <w:pPr>
        <w:spacing w:after="200"/>
        <w:jc w:val="left"/>
        <w:rPr>
          <w:rFonts w:eastAsiaTheme="majorEastAsia"/>
          <w:bCs/>
          <w:sz w:val="24"/>
          <w:szCs w:val="24"/>
          <w:u w:val="single"/>
        </w:rPr>
      </w:pPr>
      <w:bookmarkStart w:id="77" w:name="_Ref307415964"/>
      <w:bookmarkStart w:id="78" w:name="_Toc308457685"/>
      <w:r>
        <w:lastRenderedPageBreak/>
        <w:br w:type="page"/>
      </w:r>
    </w:p>
    <w:p w:rsidR="006F1A2C" w:rsidRPr="00A24018" w:rsidRDefault="006F1A2C" w:rsidP="00BA2792">
      <w:pPr>
        <w:pStyle w:val="Heading2"/>
      </w:pPr>
      <w:bookmarkStart w:id="79" w:name="_Toc326892935"/>
      <w:r>
        <w:lastRenderedPageBreak/>
        <w:t>Support Commercial Development of Intercity Passenger Transport Services</w:t>
      </w:r>
      <w:bookmarkEnd w:id="77"/>
      <w:bookmarkEnd w:id="78"/>
      <w:bookmarkEnd w:id="79"/>
    </w:p>
    <w:p w:rsidR="006F1A2C" w:rsidRPr="00E046E9" w:rsidRDefault="006F1A2C" w:rsidP="00525183">
      <w:pPr>
        <w:spacing w:after="80"/>
        <w:rPr>
          <w:b/>
          <w:i/>
        </w:rPr>
      </w:pPr>
      <w:r w:rsidRPr="00E046E9">
        <w:rPr>
          <w:b/>
          <w:i/>
        </w:rPr>
        <w:t>Why this measure?</w:t>
      </w:r>
    </w:p>
    <w:p w:rsidR="00DE044E" w:rsidRDefault="00DE044E" w:rsidP="00DE044E">
      <w:r>
        <w:rPr>
          <w:b/>
        </w:rPr>
        <w:t>C</w:t>
      </w:r>
      <w:r w:rsidRPr="00932B7D">
        <w:rPr>
          <w:b/>
        </w:rPr>
        <w:t>urrent condition</w:t>
      </w:r>
      <w:r>
        <w:rPr>
          <w:b/>
        </w:rPr>
        <w:t>: the under-regulated and underdeveloped intercity passenger transport market offers inferior service quality and inadequate safety to users</w:t>
      </w:r>
      <w:r w:rsidR="009D1BEC">
        <w:rPr>
          <w:b/>
        </w:rPr>
        <w:t xml:space="preserve"> and generates </w:t>
      </w:r>
      <w:r>
        <w:rPr>
          <w:b/>
        </w:rPr>
        <w:t>environment</w:t>
      </w:r>
      <w:r w:rsidR="009D1BEC">
        <w:rPr>
          <w:b/>
        </w:rPr>
        <w:t>al damage</w:t>
      </w:r>
      <w:r w:rsidRPr="00A818E5">
        <w:t xml:space="preserve">. </w:t>
      </w:r>
      <w:r w:rsidR="009D1BEC">
        <w:t xml:space="preserve">Georgia’s </w:t>
      </w:r>
      <w:r>
        <w:t>i</w:t>
      </w:r>
      <w:r w:rsidRPr="00A818E5">
        <w:t>ntercity passenger transport sector is</w:t>
      </w:r>
      <w:r>
        <w:t xml:space="preserve"> not</w:t>
      </w:r>
      <w:r w:rsidRPr="00A818E5">
        <w:t xml:space="preserve"> well developed </w:t>
      </w:r>
      <w:r w:rsidR="009D1BEC">
        <w:t xml:space="preserve">commercially </w:t>
      </w:r>
      <w:r w:rsidRPr="00A818E5">
        <w:t>and</w:t>
      </w:r>
      <w:r>
        <w:t xml:space="preserve"> </w:t>
      </w:r>
      <w:r w:rsidR="009D1BEC">
        <w:t xml:space="preserve">most </w:t>
      </w:r>
      <w:r>
        <w:t>services are provided on an ad hoc basis by independent minibus “owner operators” from inner cities.</w:t>
      </w:r>
      <w:r w:rsidRPr="004D6DC4">
        <w:t xml:space="preserve">  </w:t>
      </w:r>
      <w:r>
        <w:t xml:space="preserve">As a result, the intercity bus </w:t>
      </w:r>
      <w:r w:rsidRPr="004D6DC4">
        <w:t>market</w:t>
      </w:r>
      <w:r>
        <w:t xml:space="preserve"> is very fragmented</w:t>
      </w:r>
      <w:r w:rsidR="009D1BEC">
        <w:t xml:space="preserve"> and </w:t>
      </w:r>
      <w:r>
        <w:t xml:space="preserve">transport services </w:t>
      </w:r>
      <w:r w:rsidR="009D1BEC">
        <w:t xml:space="preserve">are </w:t>
      </w:r>
      <w:r>
        <w:t>irregular and unattractive for consumers. To make matters worse</w:t>
      </w:r>
      <w:r w:rsidRPr="004D6DC4">
        <w:t>,</w:t>
      </w:r>
      <w:r>
        <w:t xml:space="preserve"> intercity</w:t>
      </w:r>
      <w:r w:rsidRPr="004D6DC4">
        <w:t xml:space="preserve"> vehicles are </w:t>
      </w:r>
      <w:r>
        <w:t xml:space="preserve">rarely </w:t>
      </w:r>
      <w:r w:rsidRPr="004D6DC4">
        <w:t>properly inspected</w:t>
      </w:r>
      <w:r w:rsidR="009D1BEC">
        <w:t xml:space="preserve"> for their technical conditions or emissions</w:t>
      </w:r>
      <w:r w:rsidRPr="004D6DC4">
        <w:t>.</w:t>
      </w:r>
      <w:r>
        <w:rPr>
          <w:rStyle w:val="FootnoteReference"/>
        </w:rPr>
        <w:footnoteReference w:id="38"/>
      </w:r>
      <w:r w:rsidRPr="004D6DC4">
        <w:t xml:space="preserve">  Operators are not required to obtain licenses or permits</w:t>
      </w:r>
      <w:r w:rsidR="009D1BEC">
        <w:t xml:space="preserve">; they simply have to </w:t>
      </w:r>
      <w:r w:rsidRPr="004D6DC4">
        <w:t xml:space="preserve">sign a contract with bus terminals in destination cities. </w:t>
      </w:r>
      <w:r w:rsidR="009D1BEC">
        <w:t xml:space="preserve">Since most of the buses are 10-20 years old, they contribute disproportionately to air pollution and traffic problems, and compromise road safety. </w:t>
      </w:r>
      <w:r>
        <w:t>S</w:t>
      </w:r>
      <w:r w:rsidRPr="004D6DC4">
        <w:t xml:space="preserve">ome municipalities </w:t>
      </w:r>
      <w:r>
        <w:t xml:space="preserve">have </w:t>
      </w:r>
      <w:r w:rsidR="009D1BEC">
        <w:t xml:space="preserve">already </w:t>
      </w:r>
      <w:r>
        <w:t xml:space="preserve">banned </w:t>
      </w:r>
      <w:r w:rsidR="00DD3B79">
        <w:t xml:space="preserve">the </w:t>
      </w:r>
      <w:r w:rsidRPr="004D6DC4">
        <w:t>buses</w:t>
      </w:r>
      <w:r w:rsidR="00DD3B79">
        <w:t xml:space="preserve"> </w:t>
      </w:r>
      <w:r w:rsidRPr="004D6DC4">
        <w:t>from</w:t>
      </w:r>
      <w:r>
        <w:t xml:space="preserve"> </w:t>
      </w:r>
      <w:r w:rsidRPr="004D6DC4">
        <w:t>entering their cities</w:t>
      </w:r>
      <w:r>
        <w:t xml:space="preserve">. </w:t>
      </w:r>
      <w:r w:rsidR="00DD3B79">
        <w:t xml:space="preserve">These </w:t>
      </w:r>
      <w:r>
        <w:t xml:space="preserve">minibuses </w:t>
      </w:r>
      <w:r w:rsidR="00DD3B79">
        <w:t>cause urban</w:t>
      </w:r>
      <w:r>
        <w:t xml:space="preserve"> traffic congestion </w:t>
      </w:r>
      <w:r w:rsidR="00DD3B79">
        <w:t xml:space="preserve">due to </w:t>
      </w:r>
      <w:r>
        <w:t>limited infrastructure</w:t>
      </w:r>
      <w:r w:rsidR="00DD3B79">
        <w:t xml:space="preserve">—there are few </w:t>
      </w:r>
      <w:r>
        <w:t xml:space="preserve">bus stops </w:t>
      </w:r>
      <w:r w:rsidR="0040173E">
        <w:t xml:space="preserve">and </w:t>
      </w:r>
      <w:r>
        <w:t>stations</w:t>
      </w:r>
      <w:r w:rsidR="00DD3B79">
        <w:t xml:space="preserve"> for buses to pick up and drop</w:t>
      </w:r>
      <w:r>
        <w:t xml:space="preserve"> off passengers.</w:t>
      </w:r>
    </w:p>
    <w:p w:rsidR="00DE044E" w:rsidRDefault="00DE044E" w:rsidP="00DE044E">
      <w:r w:rsidRPr="00562592">
        <w:rPr>
          <w:b/>
        </w:rPr>
        <w:t xml:space="preserve">Current condition: lack of </w:t>
      </w:r>
      <w:r>
        <w:rPr>
          <w:b/>
        </w:rPr>
        <w:t xml:space="preserve">intercity </w:t>
      </w:r>
      <w:r w:rsidRPr="00562592">
        <w:rPr>
          <w:b/>
        </w:rPr>
        <w:t xml:space="preserve">transportation options may hinder </w:t>
      </w:r>
      <w:r w:rsidR="00DD3B79">
        <w:rPr>
          <w:b/>
        </w:rPr>
        <w:t xml:space="preserve">future </w:t>
      </w:r>
      <w:r w:rsidRPr="00562592">
        <w:rPr>
          <w:b/>
        </w:rPr>
        <w:t>tourism potential</w:t>
      </w:r>
      <w:r>
        <w:rPr>
          <w:b/>
        </w:rPr>
        <w:t xml:space="preserve">, </w:t>
      </w:r>
      <w:r w:rsidR="00DD3B79">
        <w:rPr>
          <w:b/>
        </w:rPr>
        <w:t xml:space="preserve">leaving </w:t>
      </w:r>
      <w:r>
        <w:rPr>
          <w:b/>
        </w:rPr>
        <w:t xml:space="preserve">foreign transport services companies </w:t>
      </w:r>
      <w:r w:rsidR="00DD3B79">
        <w:rPr>
          <w:b/>
        </w:rPr>
        <w:t xml:space="preserve">to </w:t>
      </w:r>
      <w:r>
        <w:rPr>
          <w:b/>
        </w:rPr>
        <w:t xml:space="preserve">reap benefit </w:t>
      </w:r>
      <w:r w:rsidR="00DD3B79">
        <w:rPr>
          <w:b/>
        </w:rPr>
        <w:t xml:space="preserve">from </w:t>
      </w:r>
      <w:r>
        <w:rPr>
          <w:b/>
        </w:rPr>
        <w:t>the increasing number of visitors</w:t>
      </w:r>
      <w:r w:rsidRPr="00A818E5">
        <w:t xml:space="preserve">.  </w:t>
      </w:r>
      <w:r>
        <w:t>National</w:t>
      </w:r>
      <w:r w:rsidRPr="00A818E5">
        <w:t xml:space="preserve"> transportation for tourists is organized by foreign (mostly Turkish) and Georgian compan</w:t>
      </w:r>
      <w:r>
        <w:t>ies that provide transport services, thus individual tourists have limited options beyond private transport</w:t>
      </w:r>
      <w:r w:rsidR="00AA3F1A">
        <w:t xml:space="preserve"> (</w:t>
      </w:r>
      <w:fldSimple w:instr=" REF _Ref326883843 \h  \* MERGEFORMAT ">
        <w:r w:rsidR="00AA3F1A" w:rsidRPr="00AA3F1A">
          <w:t xml:space="preserve">Table </w:t>
        </w:r>
        <w:r w:rsidR="00AA3F1A" w:rsidRPr="00AA3F1A">
          <w:rPr>
            <w:noProof/>
          </w:rPr>
          <w:t>6</w:t>
        </w:r>
      </w:fldSimple>
      <w:r w:rsidR="00AA3F1A">
        <w:t xml:space="preserve">).  </w:t>
      </w:r>
      <w:r w:rsidR="00DD3B79">
        <w:t xml:space="preserve">Also, </w:t>
      </w:r>
      <w:r>
        <w:t xml:space="preserve">time schedules and booking arrangements are cumbersome for tourists, </w:t>
      </w:r>
      <w:r w:rsidR="00DD3B79">
        <w:t xml:space="preserve">and </w:t>
      </w:r>
      <w:r>
        <w:t xml:space="preserve">there consumers </w:t>
      </w:r>
      <w:r w:rsidR="00DD3B79">
        <w:t xml:space="preserve">have no way </w:t>
      </w:r>
      <w:r>
        <w:t xml:space="preserve">to compare the market and choose the best level of service. </w:t>
      </w:r>
      <w:r w:rsidR="002125F7">
        <w:t xml:space="preserve"> </w:t>
      </w:r>
      <w:r w:rsidR="002125F7" w:rsidRPr="004D6DC4">
        <w:t xml:space="preserve">Officials in the </w:t>
      </w:r>
      <w:r w:rsidR="002125F7">
        <w:t xml:space="preserve">LTA </w:t>
      </w:r>
      <w:r w:rsidR="002125F7" w:rsidRPr="004D6DC4">
        <w:t xml:space="preserve">observed that some passengers might be willing to pay higher prices for better vehicles and service quality, but </w:t>
      </w:r>
      <w:r w:rsidR="0040173E">
        <w:t>few</w:t>
      </w:r>
      <w:r w:rsidR="002125F7" w:rsidRPr="004D6DC4">
        <w:t xml:space="preserve"> operators are entering the </w:t>
      </w:r>
      <w:r w:rsidR="00DD3B79">
        <w:t xml:space="preserve">existing </w:t>
      </w:r>
      <w:r w:rsidR="002125F7" w:rsidRPr="004D6DC4">
        <w:t>market offering better services at higher prices.</w:t>
      </w:r>
    </w:p>
    <w:p w:rsidR="00DE044E" w:rsidRPr="001B5EB8" w:rsidRDefault="00DE044E" w:rsidP="00525183">
      <w:pPr>
        <w:pStyle w:val="Caption"/>
        <w:spacing w:after="80" w:line="276" w:lineRule="auto"/>
        <w:rPr>
          <w:color w:val="auto"/>
          <w:sz w:val="20"/>
          <w:szCs w:val="20"/>
        </w:rPr>
      </w:pPr>
      <w:bookmarkStart w:id="80" w:name="_Ref326883843"/>
      <w:bookmarkStart w:id="81" w:name="_Toc326892897"/>
      <w:r w:rsidRPr="001B5EB8">
        <w:rPr>
          <w:color w:val="auto"/>
          <w:sz w:val="20"/>
          <w:szCs w:val="20"/>
        </w:rPr>
        <w:t xml:space="preserve">Table </w:t>
      </w:r>
      <w:r w:rsidR="001A7AF8" w:rsidRPr="001B5EB8">
        <w:rPr>
          <w:color w:val="auto"/>
          <w:sz w:val="20"/>
          <w:szCs w:val="20"/>
        </w:rPr>
        <w:fldChar w:fldCharType="begin"/>
      </w:r>
      <w:r w:rsidRPr="001B5EB8">
        <w:rPr>
          <w:color w:val="auto"/>
          <w:sz w:val="20"/>
          <w:szCs w:val="20"/>
        </w:rPr>
        <w:instrText xml:space="preserve"> SEQ Table \* ARABIC </w:instrText>
      </w:r>
      <w:r w:rsidR="001A7AF8" w:rsidRPr="001B5EB8">
        <w:rPr>
          <w:color w:val="auto"/>
          <w:sz w:val="20"/>
          <w:szCs w:val="20"/>
        </w:rPr>
        <w:fldChar w:fldCharType="separate"/>
      </w:r>
      <w:r w:rsidR="00096FD0">
        <w:rPr>
          <w:noProof/>
          <w:color w:val="auto"/>
          <w:sz w:val="20"/>
          <w:szCs w:val="20"/>
        </w:rPr>
        <w:t>6</w:t>
      </w:r>
      <w:r w:rsidR="001A7AF8" w:rsidRPr="001B5EB8">
        <w:rPr>
          <w:color w:val="auto"/>
          <w:sz w:val="20"/>
          <w:szCs w:val="20"/>
        </w:rPr>
        <w:fldChar w:fldCharType="end"/>
      </w:r>
      <w:bookmarkEnd w:id="80"/>
      <w:r w:rsidRPr="001B5EB8">
        <w:rPr>
          <w:color w:val="auto"/>
          <w:sz w:val="20"/>
          <w:szCs w:val="20"/>
        </w:rPr>
        <w:t xml:space="preserve">: </w:t>
      </w:r>
      <w:r>
        <w:rPr>
          <w:color w:val="auto"/>
          <w:sz w:val="20"/>
          <w:szCs w:val="20"/>
        </w:rPr>
        <w:t>Compar</w:t>
      </w:r>
      <w:r w:rsidR="00AA3F1A">
        <w:rPr>
          <w:color w:val="auto"/>
          <w:sz w:val="20"/>
          <w:szCs w:val="20"/>
        </w:rPr>
        <w:t>ing</w:t>
      </w:r>
      <w:r>
        <w:rPr>
          <w:color w:val="auto"/>
          <w:sz w:val="20"/>
          <w:szCs w:val="20"/>
        </w:rPr>
        <w:t xml:space="preserve"> passenger transport modes between major destinations</w:t>
      </w:r>
      <w:bookmarkEnd w:id="81"/>
    </w:p>
    <w:tbl>
      <w:tblPr>
        <w:tblStyle w:val="TableGrid"/>
        <w:tblW w:w="5000" w:type="pct"/>
        <w:tblBorders>
          <w:top w:val="single" w:sz="12" w:space="0" w:color="auto"/>
          <w:left w:val="none" w:sz="0" w:space="0" w:color="auto"/>
          <w:bottom w:val="single" w:sz="12" w:space="0" w:color="auto"/>
          <w:right w:val="none" w:sz="0" w:space="0" w:color="auto"/>
        </w:tblBorders>
        <w:tblCellMar>
          <w:left w:w="72" w:type="dxa"/>
          <w:right w:w="72" w:type="dxa"/>
        </w:tblCellMar>
        <w:tblLook w:val="04A0"/>
      </w:tblPr>
      <w:tblGrid>
        <w:gridCol w:w="1160"/>
        <w:gridCol w:w="2079"/>
        <w:gridCol w:w="1422"/>
        <w:gridCol w:w="1175"/>
        <w:gridCol w:w="1175"/>
        <w:gridCol w:w="1256"/>
        <w:gridCol w:w="1237"/>
      </w:tblGrid>
      <w:tr w:rsidR="00DE044E" w:rsidRPr="00F3773F" w:rsidTr="005C37AE">
        <w:tc>
          <w:tcPr>
            <w:tcW w:w="610" w:type="pct"/>
            <w:vMerge w:val="restart"/>
          </w:tcPr>
          <w:p w:rsidR="00DE044E" w:rsidRPr="00AA5298" w:rsidRDefault="00DE044E" w:rsidP="005C37AE">
            <w:pPr>
              <w:spacing w:after="0"/>
              <w:jc w:val="left"/>
              <w:rPr>
                <w:b/>
                <w:sz w:val="20"/>
                <w:szCs w:val="20"/>
              </w:rPr>
            </w:pPr>
            <w:r w:rsidRPr="00AA5298">
              <w:rPr>
                <w:b/>
                <w:sz w:val="20"/>
                <w:szCs w:val="20"/>
              </w:rPr>
              <w:t>Routes</w:t>
            </w:r>
          </w:p>
        </w:tc>
        <w:tc>
          <w:tcPr>
            <w:tcW w:w="1094" w:type="pct"/>
            <w:vMerge w:val="restart"/>
            <w:hideMark/>
          </w:tcPr>
          <w:p w:rsidR="00DE044E" w:rsidRPr="00AA5298" w:rsidRDefault="00DE044E" w:rsidP="005C37AE">
            <w:pPr>
              <w:spacing w:after="0"/>
              <w:jc w:val="left"/>
              <w:rPr>
                <w:b/>
                <w:sz w:val="20"/>
                <w:szCs w:val="20"/>
              </w:rPr>
            </w:pPr>
            <w:r w:rsidRPr="00AA5298">
              <w:rPr>
                <w:b/>
                <w:sz w:val="20"/>
                <w:szCs w:val="20"/>
              </w:rPr>
              <w:t>Trip Characteristics</w:t>
            </w:r>
          </w:p>
        </w:tc>
        <w:tc>
          <w:tcPr>
            <w:tcW w:w="3296" w:type="pct"/>
            <w:gridSpan w:val="5"/>
            <w:hideMark/>
          </w:tcPr>
          <w:p w:rsidR="00DE044E" w:rsidRPr="00AA5298" w:rsidRDefault="00DE044E" w:rsidP="005C37AE">
            <w:pPr>
              <w:spacing w:after="0"/>
              <w:jc w:val="left"/>
              <w:rPr>
                <w:b/>
                <w:bCs/>
                <w:sz w:val="20"/>
                <w:szCs w:val="20"/>
              </w:rPr>
            </w:pPr>
            <w:r w:rsidRPr="00AA5298">
              <w:rPr>
                <w:b/>
                <w:bCs/>
                <w:sz w:val="20"/>
                <w:szCs w:val="20"/>
              </w:rPr>
              <w:t>Transport Modes</w:t>
            </w:r>
          </w:p>
        </w:tc>
      </w:tr>
      <w:tr w:rsidR="00DE044E" w:rsidRPr="00F3773F" w:rsidTr="005C37AE">
        <w:tc>
          <w:tcPr>
            <w:tcW w:w="610" w:type="pct"/>
            <w:vMerge/>
            <w:tcBorders>
              <w:bottom w:val="single" w:sz="4" w:space="0" w:color="auto"/>
            </w:tcBorders>
          </w:tcPr>
          <w:p w:rsidR="00DE044E" w:rsidRPr="00AA5298" w:rsidRDefault="00DE044E" w:rsidP="005C37AE">
            <w:pPr>
              <w:spacing w:after="0"/>
              <w:jc w:val="left"/>
              <w:rPr>
                <w:b/>
                <w:sz w:val="20"/>
                <w:szCs w:val="20"/>
              </w:rPr>
            </w:pPr>
          </w:p>
        </w:tc>
        <w:tc>
          <w:tcPr>
            <w:tcW w:w="1094" w:type="pct"/>
            <w:vMerge/>
            <w:tcBorders>
              <w:bottom w:val="single" w:sz="4" w:space="0" w:color="auto"/>
            </w:tcBorders>
            <w:hideMark/>
          </w:tcPr>
          <w:p w:rsidR="00DE044E" w:rsidRPr="00AA5298" w:rsidRDefault="00DE044E" w:rsidP="005C37AE">
            <w:pPr>
              <w:spacing w:after="0"/>
              <w:jc w:val="left"/>
              <w:rPr>
                <w:b/>
                <w:sz w:val="20"/>
                <w:szCs w:val="20"/>
              </w:rPr>
            </w:pPr>
          </w:p>
        </w:tc>
        <w:tc>
          <w:tcPr>
            <w:tcW w:w="748" w:type="pct"/>
            <w:tcBorders>
              <w:bottom w:val="single" w:sz="4" w:space="0" w:color="auto"/>
            </w:tcBorders>
            <w:hideMark/>
          </w:tcPr>
          <w:p w:rsidR="00DE044E" w:rsidRPr="00AA5298" w:rsidRDefault="00DE044E" w:rsidP="005C37AE">
            <w:pPr>
              <w:spacing w:after="0"/>
              <w:jc w:val="left"/>
              <w:rPr>
                <w:b/>
                <w:bCs/>
                <w:sz w:val="20"/>
                <w:szCs w:val="20"/>
              </w:rPr>
            </w:pPr>
            <w:r w:rsidRPr="00AA5298">
              <w:rPr>
                <w:b/>
                <w:bCs/>
                <w:sz w:val="20"/>
                <w:szCs w:val="20"/>
              </w:rPr>
              <w:t>Private cars</w:t>
            </w:r>
          </w:p>
        </w:tc>
        <w:tc>
          <w:tcPr>
            <w:tcW w:w="618" w:type="pct"/>
            <w:tcBorders>
              <w:bottom w:val="single" w:sz="4" w:space="0" w:color="auto"/>
            </w:tcBorders>
            <w:hideMark/>
          </w:tcPr>
          <w:p w:rsidR="00DE044E" w:rsidRPr="00AA5298" w:rsidRDefault="00DE044E" w:rsidP="005C37AE">
            <w:pPr>
              <w:spacing w:after="0"/>
              <w:jc w:val="left"/>
              <w:rPr>
                <w:b/>
                <w:bCs/>
                <w:sz w:val="20"/>
                <w:szCs w:val="20"/>
              </w:rPr>
            </w:pPr>
            <w:r w:rsidRPr="00AA5298">
              <w:rPr>
                <w:b/>
                <w:bCs/>
                <w:sz w:val="20"/>
                <w:szCs w:val="20"/>
              </w:rPr>
              <w:t>Air</w:t>
            </w:r>
          </w:p>
        </w:tc>
        <w:tc>
          <w:tcPr>
            <w:tcW w:w="618" w:type="pct"/>
            <w:tcBorders>
              <w:bottom w:val="single" w:sz="4" w:space="0" w:color="auto"/>
            </w:tcBorders>
            <w:hideMark/>
          </w:tcPr>
          <w:p w:rsidR="00DE044E" w:rsidRPr="00AA5298" w:rsidRDefault="00DE044E" w:rsidP="005C37AE">
            <w:pPr>
              <w:spacing w:after="0"/>
              <w:jc w:val="left"/>
              <w:rPr>
                <w:b/>
                <w:bCs/>
                <w:sz w:val="20"/>
                <w:szCs w:val="20"/>
              </w:rPr>
            </w:pPr>
            <w:r w:rsidRPr="00AA5298">
              <w:rPr>
                <w:b/>
                <w:bCs/>
                <w:sz w:val="20"/>
                <w:szCs w:val="20"/>
              </w:rPr>
              <w:t>Rail</w:t>
            </w:r>
          </w:p>
        </w:tc>
        <w:tc>
          <w:tcPr>
            <w:tcW w:w="661" w:type="pct"/>
            <w:tcBorders>
              <w:bottom w:val="single" w:sz="4" w:space="0" w:color="auto"/>
            </w:tcBorders>
            <w:hideMark/>
          </w:tcPr>
          <w:p w:rsidR="00DE044E" w:rsidRPr="00AA5298" w:rsidRDefault="00DE044E" w:rsidP="005C37AE">
            <w:pPr>
              <w:spacing w:after="0"/>
              <w:jc w:val="left"/>
              <w:rPr>
                <w:b/>
                <w:bCs/>
                <w:sz w:val="20"/>
                <w:szCs w:val="20"/>
              </w:rPr>
            </w:pPr>
            <w:r w:rsidRPr="00AA5298">
              <w:rPr>
                <w:b/>
                <w:bCs/>
                <w:sz w:val="20"/>
                <w:szCs w:val="20"/>
              </w:rPr>
              <w:t>Mini-bus</w:t>
            </w:r>
          </w:p>
        </w:tc>
        <w:tc>
          <w:tcPr>
            <w:tcW w:w="652" w:type="pct"/>
            <w:tcBorders>
              <w:bottom w:val="single" w:sz="4" w:space="0" w:color="auto"/>
            </w:tcBorders>
            <w:hideMark/>
          </w:tcPr>
          <w:p w:rsidR="00DE044E" w:rsidRPr="00AA5298" w:rsidRDefault="00DE044E" w:rsidP="005C37AE">
            <w:pPr>
              <w:spacing w:after="0"/>
              <w:jc w:val="left"/>
              <w:rPr>
                <w:b/>
                <w:bCs/>
                <w:sz w:val="20"/>
                <w:szCs w:val="20"/>
              </w:rPr>
            </w:pPr>
            <w:r w:rsidRPr="00AA5298">
              <w:rPr>
                <w:b/>
                <w:bCs/>
                <w:sz w:val="20"/>
                <w:szCs w:val="20"/>
              </w:rPr>
              <w:t xml:space="preserve">Tour bus </w:t>
            </w:r>
          </w:p>
        </w:tc>
      </w:tr>
      <w:tr w:rsidR="00DE044E" w:rsidRPr="00F3773F" w:rsidTr="005C37AE">
        <w:tc>
          <w:tcPr>
            <w:tcW w:w="610" w:type="pct"/>
            <w:vMerge w:val="restart"/>
            <w:tcBorders>
              <w:top w:val="dotted" w:sz="4" w:space="0" w:color="auto"/>
            </w:tcBorders>
          </w:tcPr>
          <w:p w:rsidR="00DE044E" w:rsidRPr="00AA5298" w:rsidRDefault="00DE044E" w:rsidP="005C37AE">
            <w:pPr>
              <w:spacing w:after="0"/>
              <w:jc w:val="left"/>
              <w:rPr>
                <w:sz w:val="20"/>
                <w:szCs w:val="20"/>
              </w:rPr>
            </w:pPr>
            <w:r w:rsidRPr="00AA5298">
              <w:rPr>
                <w:bCs/>
                <w:sz w:val="20"/>
                <w:szCs w:val="20"/>
              </w:rPr>
              <w:t>Tbilisi – Batumi</w:t>
            </w:r>
          </w:p>
        </w:tc>
        <w:tc>
          <w:tcPr>
            <w:tcW w:w="1094" w:type="pct"/>
            <w:tcBorders>
              <w:top w:val="dotted" w:sz="4" w:space="0" w:color="auto"/>
              <w:bottom w:val="dotted" w:sz="4" w:space="0" w:color="auto"/>
            </w:tcBorders>
            <w:hideMark/>
          </w:tcPr>
          <w:p w:rsidR="00DE044E" w:rsidRPr="00AA5298" w:rsidRDefault="00DE044E" w:rsidP="005C37AE">
            <w:pPr>
              <w:spacing w:after="0"/>
              <w:jc w:val="left"/>
              <w:rPr>
                <w:sz w:val="20"/>
                <w:szCs w:val="20"/>
              </w:rPr>
            </w:pPr>
            <w:r w:rsidRPr="00AA5298">
              <w:rPr>
                <w:sz w:val="20"/>
                <w:szCs w:val="20"/>
              </w:rPr>
              <w:t>travel cost (GEL)</w:t>
            </w:r>
          </w:p>
        </w:tc>
        <w:tc>
          <w:tcPr>
            <w:tcW w:w="748" w:type="pct"/>
            <w:tcBorders>
              <w:top w:val="dotted" w:sz="4" w:space="0" w:color="auto"/>
              <w:bottom w:val="dotted" w:sz="4" w:space="0" w:color="auto"/>
            </w:tcBorders>
            <w:hideMark/>
          </w:tcPr>
          <w:p w:rsidR="00DE044E" w:rsidRPr="00AA5298" w:rsidRDefault="00DE044E" w:rsidP="005C37AE">
            <w:pPr>
              <w:spacing w:after="0"/>
              <w:jc w:val="left"/>
              <w:rPr>
                <w:sz w:val="20"/>
                <w:szCs w:val="20"/>
              </w:rPr>
            </w:pPr>
            <w:r w:rsidRPr="00AA5298">
              <w:rPr>
                <w:sz w:val="20"/>
                <w:szCs w:val="20"/>
              </w:rPr>
              <w:t>60 or more</w:t>
            </w:r>
          </w:p>
        </w:tc>
        <w:tc>
          <w:tcPr>
            <w:tcW w:w="618" w:type="pct"/>
            <w:tcBorders>
              <w:top w:val="dotted" w:sz="4" w:space="0" w:color="auto"/>
              <w:bottom w:val="dotted" w:sz="4" w:space="0" w:color="auto"/>
            </w:tcBorders>
            <w:hideMark/>
          </w:tcPr>
          <w:p w:rsidR="00DE044E" w:rsidRPr="00AA5298" w:rsidRDefault="00DE044E" w:rsidP="005C37AE">
            <w:pPr>
              <w:spacing w:after="0"/>
              <w:jc w:val="left"/>
              <w:rPr>
                <w:sz w:val="20"/>
                <w:szCs w:val="20"/>
              </w:rPr>
            </w:pPr>
            <w:r w:rsidRPr="00AA5298">
              <w:rPr>
                <w:sz w:val="20"/>
                <w:szCs w:val="20"/>
              </w:rPr>
              <w:t>90</w:t>
            </w:r>
          </w:p>
        </w:tc>
        <w:tc>
          <w:tcPr>
            <w:tcW w:w="618" w:type="pct"/>
            <w:tcBorders>
              <w:top w:val="dotted" w:sz="4" w:space="0" w:color="auto"/>
              <w:bottom w:val="dotted" w:sz="4" w:space="0" w:color="auto"/>
            </w:tcBorders>
            <w:hideMark/>
          </w:tcPr>
          <w:p w:rsidR="00DE044E" w:rsidRPr="00AA5298" w:rsidRDefault="00DE044E" w:rsidP="005C37AE">
            <w:pPr>
              <w:spacing w:after="0"/>
              <w:jc w:val="left"/>
              <w:rPr>
                <w:sz w:val="20"/>
                <w:szCs w:val="20"/>
              </w:rPr>
            </w:pPr>
            <w:r w:rsidRPr="00AA5298">
              <w:rPr>
                <w:sz w:val="20"/>
                <w:szCs w:val="20"/>
              </w:rPr>
              <w:t>24</w:t>
            </w:r>
          </w:p>
        </w:tc>
        <w:tc>
          <w:tcPr>
            <w:tcW w:w="661" w:type="pct"/>
            <w:tcBorders>
              <w:top w:val="dotted" w:sz="4" w:space="0" w:color="auto"/>
              <w:bottom w:val="dotted" w:sz="4" w:space="0" w:color="auto"/>
            </w:tcBorders>
            <w:hideMark/>
          </w:tcPr>
          <w:p w:rsidR="00DE044E" w:rsidRPr="00AA5298" w:rsidRDefault="00DE044E" w:rsidP="005C37AE">
            <w:pPr>
              <w:spacing w:after="0"/>
              <w:jc w:val="left"/>
              <w:rPr>
                <w:sz w:val="20"/>
                <w:szCs w:val="20"/>
              </w:rPr>
            </w:pPr>
            <w:r w:rsidRPr="00AA5298">
              <w:rPr>
                <w:sz w:val="20"/>
                <w:szCs w:val="20"/>
              </w:rPr>
              <w:t>18</w:t>
            </w:r>
          </w:p>
        </w:tc>
        <w:tc>
          <w:tcPr>
            <w:tcW w:w="652" w:type="pct"/>
            <w:tcBorders>
              <w:top w:val="dotted" w:sz="4" w:space="0" w:color="auto"/>
              <w:bottom w:val="dotted" w:sz="4" w:space="0" w:color="auto"/>
            </w:tcBorders>
            <w:hideMark/>
          </w:tcPr>
          <w:p w:rsidR="00DE044E" w:rsidRPr="00AA5298" w:rsidRDefault="00DE044E" w:rsidP="005C37AE">
            <w:pPr>
              <w:spacing w:after="0"/>
              <w:jc w:val="left"/>
              <w:rPr>
                <w:sz w:val="20"/>
                <w:szCs w:val="20"/>
              </w:rPr>
            </w:pPr>
            <w:r w:rsidRPr="00AA5298">
              <w:rPr>
                <w:sz w:val="20"/>
                <w:szCs w:val="20"/>
              </w:rPr>
              <w:t>18</w:t>
            </w:r>
          </w:p>
        </w:tc>
      </w:tr>
      <w:tr w:rsidR="00DE044E" w:rsidRPr="00F3773F" w:rsidTr="005C37AE">
        <w:tc>
          <w:tcPr>
            <w:tcW w:w="610" w:type="pct"/>
            <w:vMerge/>
            <w:tcBorders>
              <w:bottom w:val="single" w:sz="4" w:space="0" w:color="auto"/>
            </w:tcBorders>
          </w:tcPr>
          <w:p w:rsidR="00DE044E" w:rsidRPr="00AA5298" w:rsidRDefault="00DE044E" w:rsidP="005C37AE">
            <w:pPr>
              <w:spacing w:after="0"/>
              <w:jc w:val="left"/>
              <w:rPr>
                <w:sz w:val="20"/>
                <w:szCs w:val="20"/>
              </w:rPr>
            </w:pPr>
          </w:p>
        </w:tc>
        <w:tc>
          <w:tcPr>
            <w:tcW w:w="1094" w:type="pct"/>
            <w:tcBorders>
              <w:top w:val="dotted" w:sz="4" w:space="0" w:color="auto"/>
              <w:bottom w:val="single" w:sz="4" w:space="0" w:color="auto"/>
            </w:tcBorders>
            <w:hideMark/>
          </w:tcPr>
          <w:p w:rsidR="00DE044E" w:rsidRPr="00AA5298" w:rsidRDefault="00DE044E" w:rsidP="005C37AE">
            <w:pPr>
              <w:spacing w:after="0"/>
              <w:jc w:val="left"/>
              <w:rPr>
                <w:sz w:val="20"/>
                <w:szCs w:val="20"/>
              </w:rPr>
            </w:pPr>
            <w:r w:rsidRPr="00AA5298">
              <w:rPr>
                <w:sz w:val="20"/>
                <w:szCs w:val="20"/>
              </w:rPr>
              <w:t>travel time (hours)</w:t>
            </w:r>
          </w:p>
        </w:tc>
        <w:tc>
          <w:tcPr>
            <w:tcW w:w="748" w:type="pct"/>
            <w:tcBorders>
              <w:top w:val="dotted" w:sz="4" w:space="0" w:color="auto"/>
              <w:bottom w:val="single" w:sz="4" w:space="0" w:color="auto"/>
            </w:tcBorders>
            <w:hideMark/>
          </w:tcPr>
          <w:p w:rsidR="00DE044E" w:rsidRPr="00AA5298" w:rsidRDefault="00DE044E" w:rsidP="005C37AE">
            <w:pPr>
              <w:spacing w:after="0"/>
              <w:jc w:val="left"/>
              <w:rPr>
                <w:sz w:val="20"/>
                <w:szCs w:val="20"/>
              </w:rPr>
            </w:pPr>
            <w:r w:rsidRPr="00AA5298">
              <w:rPr>
                <w:sz w:val="20"/>
                <w:szCs w:val="20"/>
                <w:lang w:val="ka-GE"/>
              </w:rPr>
              <w:t>6</w:t>
            </w:r>
          </w:p>
        </w:tc>
        <w:tc>
          <w:tcPr>
            <w:tcW w:w="618" w:type="pct"/>
            <w:tcBorders>
              <w:top w:val="dotted" w:sz="4" w:space="0" w:color="auto"/>
              <w:bottom w:val="single" w:sz="4" w:space="0" w:color="auto"/>
            </w:tcBorders>
            <w:hideMark/>
          </w:tcPr>
          <w:p w:rsidR="00DE044E" w:rsidRPr="00AA5298" w:rsidRDefault="00DE044E" w:rsidP="005C37AE">
            <w:pPr>
              <w:spacing w:after="0"/>
              <w:jc w:val="left"/>
              <w:rPr>
                <w:sz w:val="20"/>
                <w:szCs w:val="20"/>
              </w:rPr>
            </w:pPr>
            <w:r w:rsidRPr="00AA5298">
              <w:rPr>
                <w:sz w:val="20"/>
                <w:szCs w:val="20"/>
              </w:rPr>
              <w:t>1</w:t>
            </w:r>
          </w:p>
        </w:tc>
        <w:tc>
          <w:tcPr>
            <w:tcW w:w="618" w:type="pct"/>
            <w:tcBorders>
              <w:top w:val="dotted" w:sz="4" w:space="0" w:color="auto"/>
              <w:bottom w:val="single" w:sz="4" w:space="0" w:color="auto"/>
            </w:tcBorders>
            <w:hideMark/>
          </w:tcPr>
          <w:p w:rsidR="00DE044E" w:rsidRPr="00096FD0" w:rsidRDefault="00DE044E" w:rsidP="005C37AE">
            <w:pPr>
              <w:spacing w:after="0"/>
              <w:jc w:val="left"/>
              <w:rPr>
                <w:sz w:val="20"/>
                <w:szCs w:val="20"/>
              </w:rPr>
            </w:pPr>
            <w:r w:rsidRPr="00AA5298">
              <w:rPr>
                <w:noProof/>
                <w:sz w:val="20"/>
                <w:szCs w:val="20"/>
                <w:lang w:bidi="ar-SA"/>
              </w:rPr>
              <w:drawing>
                <wp:inline distT="0" distB="0" distL="0" distR="0">
                  <wp:extent cx="9525" cy="9525"/>
                  <wp:effectExtent l="0" t="0" r="0" b="0"/>
                  <wp:docPr id="23" name="Picture 128" descr="C:\Users\wb332037\AppData\Local\Temp\notes5E3537\~b77481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wb332037\AppData\Local\Temp\notes5E3537\~b774816.TMP"/>
                          <pic:cNvPicPr>
                            <a:picLocks noChangeAspect="1" noChangeArrowheads="1"/>
                          </pic:cNvPicPr>
                        </pic:nvPicPr>
                        <pic:blipFill>
                          <a:blip r:embed="rId56"/>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AA5298">
              <w:rPr>
                <w:sz w:val="20"/>
                <w:szCs w:val="20"/>
                <w:lang w:val="ka-GE"/>
              </w:rPr>
              <w:t>6</w:t>
            </w:r>
          </w:p>
        </w:tc>
        <w:tc>
          <w:tcPr>
            <w:tcW w:w="661" w:type="pct"/>
            <w:tcBorders>
              <w:top w:val="dotted" w:sz="4" w:space="0" w:color="auto"/>
              <w:bottom w:val="single" w:sz="4" w:space="0" w:color="auto"/>
            </w:tcBorders>
            <w:hideMark/>
          </w:tcPr>
          <w:p w:rsidR="00DE044E" w:rsidRPr="00AA5298" w:rsidRDefault="00DE044E" w:rsidP="005C37AE">
            <w:pPr>
              <w:spacing w:after="0"/>
              <w:jc w:val="left"/>
              <w:rPr>
                <w:sz w:val="20"/>
                <w:szCs w:val="20"/>
              </w:rPr>
            </w:pPr>
            <w:r w:rsidRPr="00AA5298">
              <w:rPr>
                <w:sz w:val="20"/>
                <w:szCs w:val="20"/>
              </w:rPr>
              <w:t>6</w:t>
            </w:r>
          </w:p>
        </w:tc>
        <w:tc>
          <w:tcPr>
            <w:tcW w:w="652" w:type="pct"/>
            <w:tcBorders>
              <w:top w:val="dotted" w:sz="4" w:space="0" w:color="auto"/>
              <w:bottom w:val="single" w:sz="4" w:space="0" w:color="auto"/>
            </w:tcBorders>
            <w:hideMark/>
          </w:tcPr>
          <w:p w:rsidR="00DE044E" w:rsidRPr="00AA5298" w:rsidRDefault="00DE044E" w:rsidP="005C37AE">
            <w:pPr>
              <w:spacing w:after="0"/>
              <w:jc w:val="left"/>
              <w:rPr>
                <w:sz w:val="20"/>
                <w:szCs w:val="20"/>
              </w:rPr>
            </w:pPr>
            <w:r w:rsidRPr="00AA5298">
              <w:rPr>
                <w:sz w:val="20"/>
                <w:szCs w:val="20"/>
              </w:rPr>
              <w:t>6</w:t>
            </w:r>
          </w:p>
        </w:tc>
      </w:tr>
      <w:tr w:rsidR="00DE044E" w:rsidRPr="00F3773F" w:rsidTr="005C37AE">
        <w:tc>
          <w:tcPr>
            <w:tcW w:w="610" w:type="pct"/>
            <w:vMerge w:val="restart"/>
            <w:tcBorders>
              <w:top w:val="dotted" w:sz="4" w:space="0" w:color="auto"/>
            </w:tcBorders>
          </w:tcPr>
          <w:p w:rsidR="00DE044E" w:rsidRPr="00AA5298" w:rsidRDefault="00DE044E" w:rsidP="005C37AE">
            <w:pPr>
              <w:spacing w:after="0"/>
              <w:jc w:val="left"/>
              <w:rPr>
                <w:sz w:val="20"/>
                <w:szCs w:val="20"/>
              </w:rPr>
            </w:pPr>
            <w:r w:rsidRPr="00AA5298">
              <w:rPr>
                <w:bCs/>
                <w:sz w:val="20"/>
                <w:szCs w:val="20"/>
              </w:rPr>
              <w:t>Tbilisi – Akhmeta</w:t>
            </w:r>
          </w:p>
        </w:tc>
        <w:tc>
          <w:tcPr>
            <w:tcW w:w="1094" w:type="pct"/>
            <w:tcBorders>
              <w:top w:val="dotted" w:sz="4" w:space="0" w:color="auto"/>
              <w:bottom w:val="dotted" w:sz="4" w:space="0" w:color="auto"/>
            </w:tcBorders>
          </w:tcPr>
          <w:p w:rsidR="00DE044E" w:rsidRPr="00AA5298" w:rsidRDefault="00DE044E" w:rsidP="005C37AE">
            <w:pPr>
              <w:spacing w:after="0"/>
              <w:jc w:val="left"/>
              <w:rPr>
                <w:sz w:val="20"/>
                <w:szCs w:val="20"/>
              </w:rPr>
            </w:pPr>
            <w:r w:rsidRPr="00AA5298">
              <w:rPr>
                <w:sz w:val="20"/>
                <w:szCs w:val="20"/>
              </w:rPr>
              <w:t>travel cost (GEL)</w:t>
            </w:r>
          </w:p>
        </w:tc>
        <w:tc>
          <w:tcPr>
            <w:tcW w:w="748" w:type="pct"/>
            <w:tcBorders>
              <w:top w:val="dotted" w:sz="4" w:space="0" w:color="auto"/>
              <w:bottom w:val="dotted" w:sz="4" w:space="0" w:color="auto"/>
            </w:tcBorders>
          </w:tcPr>
          <w:p w:rsidR="00DE044E" w:rsidRPr="00AA5298" w:rsidRDefault="00DE044E" w:rsidP="005C37AE">
            <w:pPr>
              <w:spacing w:after="0"/>
              <w:jc w:val="left"/>
              <w:rPr>
                <w:sz w:val="20"/>
                <w:szCs w:val="20"/>
              </w:rPr>
            </w:pPr>
            <w:r w:rsidRPr="00AA5298">
              <w:rPr>
                <w:sz w:val="20"/>
                <w:szCs w:val="20"/>
              </w:rPr>
              <w:t>45</w:t>
            </w:r>
          </w:p>
        </w:tc>
        <w:tc>
          <w:tcPr>
            <w:tcW w:w="618" w:type="pct"/>
            <w:tcBorders>
              <w:top w:val="dotted" w:sz="4" w:space="0" w:color="auto"/>
              <w:bottom w:val="dotted" w:sz="4" w:space="0" w:color="auto"/>
            </w:tcBorders>
          </w:tcPr>
          <w:p w:rsidR="00DE044E" w:rsidRPr="00AA5298" w:rsidRDefault="00DE044E" w:rsidP="005C37AE">
            <w:pPr>
              <w:spacing w:after="0"/>
              <w:jc w:val="left"/>
              <w:rPr>
                <w:sz w:val="20"/>
                <w:szCs w:val="20"/>
              </w:rPr>
            </w:pPr>
            <w:r w:rsidRPr="00AA5298">
              <w:rPr>
                <w:sz w:val="20"/>
                <w:szCs w:val="20"/>
              </w:rPr>
              <w:t>n/a</w:t>
            </w:r>
          </w:p>
        </w:tc>
        <w:tc>
          <w:tcPr>
            <w:tcW w:w="618" w:type="pct"/>
            <w:tcBorders>
              <w:top w:val="dotted" w:sz="4" w:space="0" w:color="auto"/>
              <w:bottom w:val="dotted" w:sz="4" w:space="0" w:color="auto"/>
            </w:tcBorders>
          </w:tcPr>
          <w:p w:rsidR="00DE044E" w:rsidRPr="00AA5298" w:rsidRDefault="00DE044E" w:rsidP="005C37AE">
            <w:pPr>
              <w:spacing w:after="0"/>
              <w:jc w:val="left"/>
              <w:rPr>
                <w:sz w:val="20"/>
                <w:szCs w:val="20"/>
              </w:rPr>
            </w:pPr>
            <w:r w:rsidRPr="00AA5298">
              <w:rPr>
                <w:sz w:val="20"/>
                <w:szCs w:val="20"/>
              </w:rPr>
              <w:t>n/a</w:t>
            </w:r>
          </w:p>
        </w:tc>
        <w:tc>
          <w:tcPr>
            <w:tcW w:w="661" w:type="pct"/>
            <w:tcBorders>
              <w:top w:val="dotted" w:sz="4" w:space="0" w:color="auto"/>
              <w:bottom w:val="dotted" w:sz="4" w:space="0" w:color="auto"/>
            </w:tcBorders>
          </w:tcPr>
          <w:p w:rsidR="00DE044E" w:rsidRPr="00AA5298" w:rsidRDefault="00DE044E" w:rsidP="005C37AE">
            <w:pPr>
              <w:spacing w:after="0"/>
              <w:jc w:val="left"/>
              <w:rPr>
                <w:sz w:val="20"/>
                <w:szCs w:val="20"/>
              </w:rPr>
            </w:pPr>
            <w:r w:rsidRPr="00AA5298">
              <w:rPr>
                <w:sz w:val="20"/>
                <w:szCs w:val="20"/>
              </w:rPr>
              <w:t>7</w:t>
            </w:r>
          </w:p>
        </w:tc>
        <w:tc>
          <w:tcPr>
            <w:tcW w:w="652" w:type="pct"/>
            <w:tcBorders>
              <w:top w:val="dotted" w:sz="4" w:space="0" w:color="auto"/>
              <w:bottom w:val="dotted" w:sz="4" w:space="0" w:color="auto"/>
            </w:tcBorders>
          </w:tcPr>
          <w:p w:rsidR="00DE044E" w:rsidRPr="00AA5298" w:rsidRDefault="00DE044E" w:rsidP="005C37AE">
            <w:pPr>
              <w:spacing w:after="0"/>
              <w:jc w:val="left"/>
              <w:rPr>
                <w:sz w:val="20"/>
                <w:szCs w:val="20"/>
              </w:rPr>
            </w:pPr>
            <w:r w:rsidRPr="00AA5298">
              <w:rPr>
                <w:sz w:val="20"/>
                <w:szCs w:val="20"/>
              </w:rPr>
              <w:t>n/a</w:t>
            </w:r>
          </w:p>
        </w:tc>
      </w:tr>
      <w:tr w:rsidR="00DE044E" w:rsidRPr="00F3773F" w:rsidTr="005C37AE">
        <w:tc>
          <w:tcPr>
            <w:tcW w:w="610" w:type="pct"/>
            <w:vMerge/>
            <w:tcBorders>
              <w:bottom w:val="single" w:sz="12" w:space="0" w:color="auto"/>
            </w:tcBorders>
          </w:tcPr>
          <w:p w:rsidR="00DE044E" w:rsidRPr="00AA5298" w:rsidRDefault="00DE044E" w:rsidP="005C37AE">
            <w:pPr>
              <w:spacing w:after="0"/>
              <w:jc w:val="left"/>
              <w:rPr>
                <w:sz w:val="20"/>
                <w:szCs w:val="20"/>
              </w:rPr>
            </w:pPr>
          </w:p>
        </w:tc>
        <w:tc>
          <w:tcPr>
            <w:tcW w:w="1094" w:type="pct"/>
            <w:tcBorders>
              <w:top w:val="dotted" w:sz="4" w:space="0" w:color="auto"/>
              <w:bottom w:val="single" w:sz="12" w:space="0" w:color="auto"/>
            </w:tcBorders>
          </w:tcPr>
          <w:p w:rsidR="00DE044E" w:rsidRPr="00AA5298" w:rsidRDefault="00DE044E" w:rsidP="005C37AE">
            <w:pPr>
              <w:spacing w:after="0"/>
              <w:jc w:val="left"/>
              <w:rPr>
                <w:sz w:val="20"/>
                <w:szCs w:val="20"/>
              </w:rPr>
            </w:pPr>
            <w:r w:rsidRPr="00AA5298">
              <w:rPr>
                <w:sz w:val="20"/>
                <w:szCs w:val="20"/>
              </w:rPr>
              <w:t>travel time (hours)</w:t>
            </w:r>
          </w:p>
        </w:tc>
        <w:tc>
          <w:tcPr>
            <w:tcW w:w="748" w:type="pct"/>
            <w:tcBorders>
              <w:top w:val="dotted" w:sz="4" w:space="0" w:color="auto"/>
              <w:bottom w:val="single" w:sz="12" w:space="0" w:color="auto"/>
            </w:tcBorders>
          </w:tcPr>
          <w:p w:rsidR="00DE044E" w:rsidRPr="00AA5298" w:rsidRDefault="00DE044E" w:rsidP="005C37AE">
            <w:pPr>
              <w:spacing w:after="0"/>
              <w:jc w:val="left"/>
              <w:rPr>
                <w:sz w:val="20"/>
                <w:szCs w:val="20"/>
              </w:rPr>
            </w:pPr>
            <w:r w:rsidRPr="00AA5298">
              <w:rPr>
                <w:sz w:val="20"/>
                <w:szCs w:val="20"/>
              </w:rPr>
              <w:t>2.5</w:t>
            </w:r>
          </w:p>
        </w:tc>
        <w:tc>
          <w:tcPr>
            <w:tcW w:w="618" w:type="pct"/>
            <w:tcBorders>
              <w:top w:val="dotted" w:sz="4" w:space="0" w:color="auto"/>
              <w:bottom w:val="single" w:sz="12" w:space="0" w:color="auto"/>
            </w:tcBorders>
          </w:tcPr>
          <w:p w:rsidR="00DE044E" w:rsidRPr="00AA5298" w:rsidRDefault="00DE044E" w:rsidP="005C37AE">
            <w:pPr>
              <w:spacing w:after="0"/>
              <w:jc w:val="left"/>
              <w:rPr>
                <w:sz w:val="20"/>
                <w:szCs w:val="20"/>
              </w:rPr>
            </w:pPr>
            <w:r w:rsidRPr="00AA5298">
              <w:rPr>
                <w:sz w:val="20"/>
                <w:szCs w:val="20"/>
              </w:rPr>
              <w:t>n/a</w:t>
            </w:r>
          </w:p>
        </w:tc>
        <w:tc>
          <w:tcPr>
            <w:tcW w:w="618" w:type="pct"/>
            <w:tcBorders>
              <w:top w:val="dotted" w:sz="4" w:space="0" w:color="auto"/>
              <w:bottom w:val="single" w:sz="12" w:space="0" w:color="auto"/>
            </w:tcBorders>
          </w:tcPr>
          <w:p w:rsidR="00DE044E" w:rsidRPr="00AA5298" w:rsidRDefault="00DE044E" w:rsidP="005C37AE">
            <w:pPr>
              <w:spacing w:after="0"/>
              <w:jc w:val="left"/>
              <w:rPr>
                <w:sz w:val="20"/>
                <w:szCs w:val="20"/>
              </w:rPr>
            </w:pPr>
            <w:r w:rsidRPr="00AA5298">
              <w:rPr>
                <w:sz w:val="20"/>
                <w:szCs w:val="20"/>
              </w:rPr>
              <w:t>n/a</w:t>
            </w:r>
          </w:p>
        </w:tc>
        <w:tc>
          <w:tcPr>
            <w:tcW w:w="661" w:type="pct"/>
            <w:tcBorders>
              <w:top w:val="dotted" w:sz="4" w:space="0" w:color="auto"/>
              <w:bottom w:val="single" w:sz="12" w:space="0" w:color="auto"/>
            </w:tcBorders>
          </w:tcPr>
          <w:p w:rsidR="00DE044E" w:rsidRPr="00AA5298" w:rsidRDefault="00DE044E" w:rsidP="005C37AE">
            <w:pPr>
              <w:spacing w:after="0"/>
              <w:jc w:val="left"/>
              <w:rPr>
                <w:sz w:val="20"/>
                <w:szCs w:val="20"/>
              </w:rPr>
            </w:pPr>
            <w:r w:rsidRPr="00AA5298">
              <w:rPr>
                <w:noProof/>
                <w:sz w:val="20"/>
                <w:szCs w:val="20"/>
                <w:lang w:bidi="ar-SA"/>
              </w:rPr>
              <w:drawing>
                <wp:inline distT="0" distB="0" distL="0" distR="0">
                  <wp:extent cx="9525" cy="9525"/>
                  <wp:effectExtent l="0" t="0" r="0" b="0"/>
                  <wp:docPr id="24" name="Picture 138" descr="C:\Users\wb332037\AppData\Local\Temp\notes5E3537\~b76682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wb332037\AppData\Local\Temp\notes5E3537\~b766828.TMP"/>
                          <pic:cNvPicPr>
                            <a:picLocks noChangeAspect="1" noChangeArrowheads="1"/>
                          </pic:cNvPicPr>
                        </pic:nvPicPr>
                        <pic:blipFill>
                          <a:blip r:embed="rId56"/>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AA5298">
              <w:rPr>
                <w:sz w:val="20"/>
                <w:szCs w:val="20"/>
                <w:lang w:val="ka-GE"/>
              </w:rPr>
              <w:t>3</w:t>
            </w:r>
          </w:p>
        </w:tc>
        <w:tc>
          <w:tcPr>
            <w:tcW w:w="652" w:type="pct"/>
            <w:tcBorders>
              <w:top w:val="dotted" w:sz="4" w:space="0" w:color="auto"/>
              <w:bottom w:val="single" w:sz="12" w:space="0" w:color="auto"/>
            </w:tcBorders>
          </w:tcPr>
          <w:p w:rsidR="00DE044E" w:rsidRPr="00AA5298" w:rsidRDefault="00DE044E" w:rsidP="005C37AE">
            <w:pPr>
              <w:spacing w:after="0"/>
              <w:jc w:val="left"/>
              <w:rPr>
                <w:sz w:val="20"/>
                <w:szCs w:val="20"/>
              </w:rPr>
            </w:pPr>
            <w:r w:rsidRPr="00AA5298">
              <w:rPr>
                <w:sz w:val="20"/>
                <w:szCs w:val="20"/>
              </w:rPr>
              <w:t>n/a</w:t>
            </w:r>
          </w:p>
        </w:tc>
      </w:tr>
    </w:tbl>
    <w:p w:rsidR="00DE044E" w:rsidRDefault="00DE044E" w:rsidP="00096FD0">
      <w:pPr>
        <w:spacing w:after="40"/>
        <w:rPr>
          <w:i/>
          <w:sz w:val="18"/>
          <w:szCs w:val="18"/>
        </w:rPr>
      </w:pPr>
      <w:r w:rsidRPr="00961A10">
        <w:rPr>
          <w:i/>
          <w:sz w:val="18"/>
          <w:szCs w:val="18"/>
        </w:rPr>
        <w:t>Source: Ministry of Economy and Sustainable Development, Transport Policy Department (2011)</w:t>
      </w:r>
    </w:p>
    <w:p w:rsidR="00096FD0" w:rsidRPr="00961A10" w:rsidRDefault="00096FD0" w:rsidP="00DE044E">
      <w:pPr>
        <w:spacing w:after="180"/>
        <w:rPr>
          <w:i/>
          <w:sz w:val="18"/>
          <w:szCs w:val="18"/>
        </w:rPr>
      </w:pPr>
      <w:r>
        <w:rPr>
          <w:i/>
          <w:sz w:val="18"/>
          <w:szCs w:val="18"/>
        </w:rPr>
        <w:t xml:space="preserve">Note: </w:t>
      </w:r>
      <w:r w:rsidRPr="00096FD0">
        <w:rPr>
          <w:i/>
          <w:sz w:val="18"/>
          <w:szCs w:val="18"/>
        </w:rPr>
        <w:t xml:space="preserve">The Georgian Railway plans to invest about US$550 million to improve the Tbilisi-Batumi passenger services, the major domestic tourist route, which will reduce travel time to three hours from the current six to eight hours. Thus rail transport would be competitive with road transport, </w:t>
      </w:r>
      <w:r>
        <w:rPr>
          <w:i/>
          <w:sz w:val="18"/>
          <w:szCs w:val="18"/>
        </w:rPr>
        <w:t>which now takes about five hour.</w:t>
      </w:r>
    </w:p>
    <w:p w:rsidR="00DE044E" w:rsidRDefault="00DE044E" w:rsidP="00DE044E">
      <w:r>
        <w:rPr>
          <w:b/>
        </w:rPr>
        <w:t>R</w:t>
      </w:r>
      <w:r w:rsidRPr="001E4BFB">
        <w:rPr>
          <w:b/>
        </w:rPr>
        <w:t>ational</w:t>
      </w:r>
      <w:r w:rsidR="006A5EA9">
        <w:rPr>
          <w:b/>
        </w:rPr>
        <w:t>e</w:t>
      </w:r>
      <w:r w:rsidRPr="001E4BFB">
        <w:rPr>
          <w:b/>
        </w:rPr>
        <w:t xml:space="preserve"> for change</w:t>
      </w:r>
      <w:r>
        <w:rPr>
          <w:b/>
        </w:rPr>
        <w:t xml:space="preserve">: developing clean and high-quality intercity bus services is </w:t>
      </w:r>
      <w:r w:rsidR="00DD3B79">
        <w:rPr>
          <w:b/>
        </w:rPr>
        <w:t xml:space="preserve">now </w:t>
      </w:r>
      <w:r>
        <w:rPr>
          <w:b/>
        </w:rPr>
        <w:t xml:space="preserve">critical </w:t>
      </w:r>
      <w:r w:rsidR="00DD3B79">
        <w:rPr>
          <w:b/>
        </w:rPr>
        <w:t>to enable competition</w:t>
      </w:r>
      <w:r>
        <w:rPr>
          <w:b/>
        </w:rPr>
        <w:t xml:space="preserve"> with private road transport in the age of rapid motorization</w:t>
      </w:r>
      <w:r w:rsidRPr="00A818E5">
        <w:t>.  The relatively short</w:t>
      </w:r>
      <w:r w:rsidR="00DD3B79">
        <w:t xml:space="preserve"> </w:t>
      </w:r>
      <w:r w:rsidRPr="00A818E5">
        <w:t xml:space="preserve">distances between cities and the mountainous terrain of the country are </w:t>
      </w:r>
      <w:r w:rsidR="00DD3B79">
        <w:t xml:space="preserve">more </w:t>
      </w:r>
      <w:r w:rsidRPr="00A818E5">
        <w:t>advantage</w:t>
      </w:r>
      <w:r w:rsidRPr="0098326A">
        <w:t>ous to road-based transport</w:t>
      </w:r>
      <w:r w:rsidR="00DD3B79">
        <w:t xml:space="preserve"> than </w:t>
      </w:r>
      <w:r w:rsidR="0040173E">
        <w:t>rail</w:t>
      </w:r>
      <w:r>
        <w:t xml:space="preserve">; and as </w:t>
      </w:r>
      <w:r w:rsidR="00DD3B79">
        <w:t xml:space="preserve">motorization rates increase among </w:t>
      </w:r>
      <w:r>
        <w:t>Georgians and citizens of neighboring countries (i.e., potential tourism clientele)</w:t>
      </w:r>
      <w:r w:rsidR="00DD3B79">
        <w:t>,</w:t>
      </w:r>
      <w:r>
        <w:t xml:space="preserve"> </w:t>
      </w:r>
      <w:r w:rsidR="00DD3B79">
        <w:t xml:space="preserve">travelers </w:t>
      </w:r>
      <w:r>
        <w:t>are likely to become more reliant on pr</w:t>
      </w:r>
      <w:r w:rsidR="00DD3B79">
        <w:t>ivate transport.  Lessons learned</w:t>
      </w:r>
      <w:r>
        <w:t xml:space="preserve"> from countries such as </w:t>
      </w:r>
      <w:r w:rsidR="00DD3B79">
        <w:t xml:space="preserve">the United States have shown </w:t>
      </w:r>
      <w:r>
        <w:t xml:space="preserve">that modern intercity buses are much greener, cheaper and safer </w:t>
      </w:r>
      <w:r w:rsidR="00DD3B79">
        <w:t xml:space="preserve">than </w:t>
      </w:r>
      <w:r>
        <w:t xml:space="preserve">other </w:t>
      </w:r>
      <w:r w:rsidR="00DD3B79">
        <w:t xml:space="preserve">modes of </w:t>
      </w:r>
      <w:r>
        <w:t>land transport such as private cars and rail</w:t>
      </w:r>
      <w:r w:rsidR="005C37AE">
        <w:t xml:space="preserve"> (Box </w:t>
      </w:r>
      <w:r w:rsidR="00AA3F1A">
        <w:t>7</w:t>
      </w:r>
      <w:r w:rsidR="005C37AE">
        <w:t>)</w:t>
      </w:r>
      <w:r>
        <w:t xml:space="preserve">. </w:t>
      </w:r>
      <w:r w:rsidR="005C37AE">
        <w:t xml:space="preserve"> </w:t>
      </w:r>
      <w:r>
        <w:t xml:space="preserve">Although </w:t>
      </w:r>
      <w:r w:rsidR="00DD3B79">
        <w:t xml:space="preserve">potentially </w:t>
      </w:r>
      <w:r>
        <w:t>private car ownership will rise in Georgia, other countries have shown that there wil</w:t>
      </w:r>
      <w:r w:rsidR="005C37AE">
        <w:t xml:space="preserve">l </w:t>
      </w:r>
      <w:r w:rsidR="005C37AE">
        <w:lastRenderedPageBreak/>
        <w:t>always be demand for cheaper and</w:t>
      </w:r>
      <w:r>
        <w:t xml:space="preserve"> </w:t>
      </w:r>
      <w:r w:rsidR="00DD3B79">
        <w:t xml:space="preserve">easier </w:t>
      </w:r>
      <w:r>
        <w:t>long-distance transportation.</w:t>
      </w:r>
      <w:r w:rsidR="005C37AE">
        <w:t xml:space="preserve"> </w:t>
      </w:r>
      <w:r>
        <w:t>Furthermore, intercity bus transportation</w:t>
      </w:r>
      <w:r w:rsidR="005C37AE">
        <w:t>, when properly regulated,</w:t>
      </w:r>
      <w:r>
        <w:t xml:space="preserve"> is</w:t>
      </w:r>
      <w:r w:rsidR="005C37AE">
        <w:t xml:space="preserve"> </w:t>
      </w:r>
      <w:r w:rsidR="00DD3B79">
        <w:t xml:space="preserve">a </w:t>
      </w:r>
      <w:r>
        <w:t xml:space="preserve">statistically </w:t>
      </w:r>
      <w:r w:rsidR="005C37AE">
        <w:t>safe and energy</w:t>
      </w:r>
      <w:r w:rsidR="00DD3B79">
        <w:t>-</w:t>
      </w:r>
      <w:r w:rsidR="005C37AE">
        <w:t xml:space="preserve">efficient </w:t>
      </w:r>
      <w:r>
        <w:t>form of land transport</w:t>
      </w:r>
      <w:r w:rsidR="005C37AE">
        <w:t xml:space="preserve">.  </w:t>
      </w:r>
      <w:r w:rsidR="00DD3B79">
        <w:t xml:space="preserve">American </w:t>
      </w:r>
      <w:r w:rsidR="005C37AE">
        <w:t xml:space="preserve">statistics </w:t>
      </w:r>
      <w:r w:rsidR="00DD3B79">
        <w:t xml:space="preserve">show that </w:t>
      </w:r>
      <w:r w:rsidR="005C37AE">
        <w:t>intercity bus</w:t>
      </w:r>
      <w:r w:rsidR="00DD3B79">
        <w:t>es</w:t>
      </w:r>
      <w:r w:rsidR="005C37AE">
        <w:t xml:space="preserve"> </w:t>
      </w:r>
      <w:r w:rsidR="00DD3B79">
        <w:t xml:space="preserve">are </w:t>
      </w:r>
      <w:r w:rsidR="005C37AE">
        <w:t>the safest ground tr</w:t>
      </w:r>
      <w:r w:rsidR="00DD3B79">
        <w:t>ansport option</w:t>
      </w:r>
      <w:r w:rsidR="005C37AE">
        <w:t xml:space="preserve">, </w:t>
      </w:r>
      <w:r w:rsidR="00DD3B79">
        <w:t xml:space="preserve">with </w:t>
      </w:r>
      <w:r>
        <w:t>three times as many passenger miles and 60</w:t>
      </w:r>
      <w:r w:rsidR="005C37AE">
        <w:t xml:space="preserve"> percent</w:t>
      </w:r>
      <w:r>
        <w:t xml:space="preserve"> less energy </w:t>
      </w:r>
      <w:r w:rsidR="00DD3B79">
        <w:t>use than rail</w:t>
      </w:r>
      <w:r>
        <w:t xml:space="preserve"> transportation. </w:t>
      </w:r>
      <w:r w:rsidR="00B023C6">
        <w:t xml:space="preserve"> </w:t>
      </w:r>
      <w:r w:rsidR="00DD3B79">
        <w:t xml:space="preserve">Statistically, </w:t>
      </w:r>
      <w:r>
        <w:t xml:space="preserve">air is the safest </w:t>
      </w:r>
      <w:r w:rsidR="00A41F30">
        <w:t xml:space="preserve">transport </w:t>
      </w:r>
      <w:r>
        <w:t xml:space="preserve">mode, </w:t>
      </w:r>
      <w:r w:rsidR="00A41F30">
        <w:t xml:space="preserve">but </w:t>
      </w:r>
      <w:r w:rsidR="00B023C6">
        <w:t>the emissions level is higher than long-distance buses.</w:t>
      </w:r>
      <w:r w:rsidR="00B023C6">
        <w:rPr>
          <w:rStyle w:val="FootnoteReference"/>
        </w:rPr>
        <w:footnoteReference w:id="39"/>
      </w:r>
    </w:p>
    <w:p w:rsidR="00DE044E" w:rsidRDefault="00DE044E" w:rsidP="00DE044E">
      <w:r w:rsidRPr="00CA130B">
        <w:rPr>
          <w:b/>
        </w:rPr>
        <w:t xml:space="preserve">Rationale for change: a </w:t>
      </w:r>
      <w:r>
        <w:rPr>
          <w:b/>
        </w:rPr>
        <w:t>well-developed</w:t>
      </w:r>
      <w:r w:rsidRPr="00CA130B">
        <w:rPr>
          <w:b/>
        </w:rPr>
        <w:t xml:space="preserve"> intercity passenger transport </w:t>
      </w:r>
      <w:r>
        <w:rPr>
          <w:b/>
        </w:rPr>
        <w:t xml:space="preserve">market </w:t>
      </w:r>
      <w:r w:rsidRPr="00CA130B">
        <w:rPr>
          <w:b/>
        </w:rPr>
        <w:t>would play a critical role in promoting tourism</w:t>
      </w:r>
      <w:r w:rsidRPr="00A818E5">
        <w:t xml:space="preserve">.  Availability of good in-country transportation could open up potential for </w:t>
      </w:r>
      <w:r w:rsidR="00A41F30">
        <w:t xml:space="preserve">some specialized </w:t>
      </w:r>
      <w:r>
        <w:t>tourism market</w:t>
      </w:r>
      <w:r w:rsidR="00A41F30">
        <w:t xml:space="preserve"> segments</w:t>
      </w:r>
      <w:r>
        <w:t xml:space="preserve">, </w:t>
      </w:r>
      <w:r w:rsidR="00A41F30">
        <w:t xml:space="preserve">particularly individual </w:t>
      </w:r>
      <w:r>
        <w:t>tourists</w:t>
      </w:r>
      <w:r w:rsidR="00A41F30">
        <w:t xml:space="preserve"> </w:t>
      </w:r>
      <w:r w:rsidR="00096FD0">
        <w:t xml:space="preserve">who </w:t>
      </w:r>
      <w:r>
        <w:t xml:space="preserve">do not rely on organized group tours and multiple-destination travels. </w:t>
      </w:r>
      <w:r w:rsidR="00096FD0">
        <w:t>Furthermore, t</w:t>
      </w:r>
      <w:r w:rsidR="00A41F30">
        <w:t xml:space="preserve">o make national tourist </w:t>
      </w:r>
      <w:r w:rsidR="00096FD0">
        <w:t xml:space="preserve">attractions </w:t>
      </w:r>
      <w:r w:rsidR="00A41F30">
        <w:t>more easily accessible</w:t>
      </w:r>
      <w:r w:rsidR="00096FD0">
        <w:t>,</w:t>
      </w:r>
      <w:r w:rsidR="00A41F30">
        <w:t xml:space="preserve"> </w:t>
      </w:r>
      <w:r>
        <w:t xml:space="preserve">it is critical </w:t>
      </w:r>
      <w:r w:rsidR="00A41F30">
        <w:t xml:space="preserve">to offer </w:t>
      </w:r>
      <w:r>
        <w:t xml:space="preserve">reliable bus services </w:t>
      </w:r>
      <w:r w:rsidR="00A41F30">
        <w:t xml:space="preserve">from </w:t>
      </w:r>
      <w:r>
        <w:t xml:space="preserve">airports and </w:t>
      </w:r>
      <w:r w:rsidR="00A41F30">
        <w:t xml:space="preserve">between </w:t>
      </w:r>
      <w:r>
        <w:t>cities</w:t>
      </w:r>
      <w:r w:rsidR="00B023C6">
        <w:t>.</w:t>
      </w:r>
    </w:p>
    <w:tbl>
      <w:tblPr>
        <w:tblStyle w:val="TableGrid"/>
        <w:tblW w:w="0" w:type="auto"/>
        <w:tblLook w:val="04A0"/>
      </w:tblPr>
      <w:tblGrid>
        <w:gridCol w:w="9576"/>
      </w:tblGrid>
      <w:tr w:rsidR="00DE044E" w:rsidTr="005C37AE">
        <w:tc>
          <w:tcPr>
            <w:tcW w:w="9576" w:type="dxa"/>
          </w:tcPr>
          <w:p w:rsidR="00DE044E" w:rsidRPr="00D24AAF" w:rsidRDefault="00DE044E" w:rsidP="005C37AE">
            <w:pPr>
              <w:pStyle w:val="Caption"/>
              <w:spacing w:after="120"/>
              <w:rPr>
                <w:rFonts w:asciiTheme="minorHAnsi" w:hAnsiTheme="minorHAnsi"/>
                <w:color w:val="000000"/>
                <w:sz w:val="20"/>
                <w:szCs w:val="20"/>
              </w:rPr>
            </w:pPr>
            <w:r w:rsidRPr="00D24AAF">
              <w:rPr>
                <w:rFonts w:asciiTheme="minorHAnsi" w:hAnsiTheme="minorHAnsi"/>
                <w:color w:val="000000"/>
                <w:sz w:val="20"/>
                <w:szCs w:val="20"/>
              </w:rPr>
              <w:t xml:space="preserve">Box </w:t>
            </w:r>
            <w:r w:rsidR="001A7AF8" w:rsidRPr="00D24AAF">
              <w:rPr>
                <w:rFonts w:asciiTheme="minorHAnsi" w:hAnsiTheme="minorHAnsi"/>
                <w:color w:val="000000"/>
                <w:sz w:val="20"/>
                <w:szCs w:val="20"/>
              </w:rPr>
              <w:fldChar w:fldCharType="begin"/>
            </w:r>
            <w:r w:rsidRPr="00D24AAF">
              <w:rPr>
                <w:rFonts w:asciiTheme="minorHAnsi" w:hAnsiTheme="minorHAnsi"/>
                <w:color w:val="000000"/>
                <w:sz w:val="20"/>
                <w:szCs w:val="20"/>
              </w:rPr>
              <w:instrText xml:space="preserve"> SEQ Box \* ARABIC </w:instrText>
            </w:r>
            <w:r w:rsidR="001A7AF8" w:rsidRPr="00D24AAF">
              <w:rPr>
                <w:rFonts w:asciiTheme="minorHAnsi" w:hAnsiTheme="minorHAnsi"/>
                <w:color w:val="000000"/>
                <w:sz w:val="20"/>
                <w:szCs w:val="20"/>
              </w:rPr>
              <w:fldChar w:fldCharType="separate"/>
            </w:r>
            <w:r w:rsidR="00AA3F1A">
              <w:rPr>
                <w:rFonts w:asciiTheme="minorHAnsi" w:hAnsiTheme="minorHAnsi"/>
                <w:noProof/>
                <w:color w:val="000000"/>
                <w:sz w:val="20"/>
                <w:szCs w:val="20"/>
              </w:rPr>
              <w:t>7</w:t>
            </w:r>
            <w:r w:rsidR="001A7AF8" w:rsidRPr="00D24AAF">
              <w:rPr>
                <w:rFonts w:asciiTheme="minorHAnsi" w:hAnsiTheme="minorHAnsi"/>
                <w:color w:val="000000"/>
                <w:sz w:val="20"/>
                <w:szCs w:val="20"/>
              </w:rPr>
              <w:fldChar w:fldCharType="end"/>
            </w:r>
            <w:r>
              <w:rPr>
                <w:rFonts w:asciiTheme="minorHAnsi" w:hAnsiTheme="minorHAnsi"/>
                <w:color w:val="000000"/>
                <w:sz w:val="20"/>
                <w:szCs w:val="20"/>
              </w:rPr>
              <w:t xml:space="preserve">. </w:t>
            </w:r>
            <w:r w:rsidRPr="00D24AAF">
              <w:rPr>
                <w:rFonts w:asciiTheme="minorHAnsi" w:hAnsiTheme="minorHAnsi"/>
                <w:color w:val="000000"/>
                <w:sz w:val="20"/>
                <w:szCs w:val="20"/>
              </w:rPr>
              <w:t xml:space="preserve"> </w:t>
            </w:r>
            <w:r>
              <w:rPr>
                <w:rFonts w:asciiTheme="minorHAnsi" w:hAnsiTheme="minorHAnsi"/>
                <w:color w:val="000000"/>
                <w:sz w:val="20"/>
                <w:szCs w:val="20"/>
              </w:rPr>
              <w:t>History of Intercity Buses in USA</w:t>
            </w:r>
          </w:p>
          <w:p w:rsidR="00A41F30" w:rsidRPr="00A41F30" w:rsidRDefault="00A41F30" w:rsidP="00A41F30">
            <w:pPr>
              <w:spacing w:after="60"/>
              <w:rPr>
                <w:rFonts w:asciiTheme="minorHAnsi" w:hAnsiTheme="minorHAnsi"/>
                <w:sz w:val="18"/>
                <w:szCs w:val="18"/>
              </w:rPr>
            </w:pPr>
            <w:r w:rsidRPr="00A41F30">
              <w:rPr>
                <w:rFonts w:asciiTheme="minorHAnsi" w:hAnsiTheme="minorHAnsi"/>
                <w:sz w:val="18"/>
                <w:szCs w:val="18"/>
              </w:rPr>
              <w:t>Intercity bus services have played an important role in American transport since the early twentieth century, connecting thousands of people between cities via regular bus services accommodating rich and poor alike. Prior to U.S. road infrastructure</w:t>
            </w:r>
            <w:r w:rsidRPr="00A41F30" w:rsidDel="009F429E">
              <w:rPr>
                <w:rFonts w:asciiTheme="minorHAnsi" w:hAnsiTheme="minorHAnsi"/>
                <w:sz w:val="18"/>
                <w:szCs w:val="18"/>
              </w:rPr>
              <w:t xml:space="preserve"> </w:t>
            </w:r>
            <w:r w:rsidRPr="00A41F30">
              <w:rPr>
                <w:rFonts w:asciiTheme="minorHAnsi" w:hAnsiTheme="minorHAnsi"/>
                <w:sz w:val="18"/>
                <w:szCs w:val="18"/>
              </w:rPr>
              <w:t xml:space="preserve">improvements, railway dominated long-distance transportation. By 1930, roads had improved, allowing the intercity bus industry to grow and compete with the rail sector. This prompted Government to enforce strict regulations for bus and truck operators to shelter the important rail industry. Consequently, intercity bus traffic was strictly regulated for the next 47 years following the Motor Carrier Act of 1935. The Act granted power to individual states to control market entry for bus operators, and regulate routes and rates. Tight regulations reduced competition and encouraged bus mergers, which led to the formation of Greyhound Bus Lines, which acquired many small bus companies and became the market leader. At first Government supported this monopoly in the intercity bus sector because it made the industry financially stronger and reduced the need for more infrastructure (bus terminals) in inner cities. In 1947, the U.S. government decided to create competition within the sector by merging several bus companies to form Trailways Bus Lines, which had a 20 percent market share by 1970. </w:t>
            </w:r>
          </w:p>
          <w:p w:rsidR="00A41F30" w:rsidRPr="00A41F30" w:rsidRDefault="00A41F30" w:rsidP="00A41F30">
            <w:pPr>
              <w:spacing w:after="60"/>
              <w:rPr>
                <w:rFonts w:asciiTheme="minorHAnsi" w:hAnsiTheme="minorHAnsi"/>
                <w:sz w:val="18"/>
                <w:szCs w:val="18"/>
              </w:rPr>
            </w:pPr>
            <w:r w:rsidRPr="00A41F30">
              <w:rPr>
                <w:rFonts w:asciiTheme="minorHAnsi" w:hAnsiTheme="minorHAnsi"/>
                <w:sz w:val="18"/>
                <w:szCs w:val="18"/>
              </w:rPr>
              <w:t>During the post-1960s, the intercity bus sector slumped due to (i) weakening consumer demand due to highway infrastructure improvements such as interstate highways; (ii) increased car ownership (by 1970, 80 percent of Americans owned car); (iii) deteriorating downtown business districts in major cities; (iv) affordability of air travel as a long-distance option due to discounted airline fares, which followed the airline sector boom. As a result, the intercity bus industry was deteriorating fast and tight regulations exacerbated its decline. In an attempt to resurrect the intercity bus sector, Government passed the Bus Regulatory Reform Act on September 22, 1982, which provided bus operators relief from federal pricing and route restrictions and offered a mechanism to appeal state-imposed regulations on intrastate routes. Unfortunately, this attempt to revive the industry through deregulation had limited success and failed to generate more traffic, unlike the effect of deregulation on other transportation sectors such as rail, trucking and air. Industry decline caused big players such as Greyhound Lines and Trailways, to undertake severe cutbacks and reorganization.</w:t>
            </w:r>
          </w:p>
          <w:p w:rsidR="00A41F30" w:rsidRPr="00A41F30" w:rsidRDefault="00A41F30" w:rsidP="00A41F30">
            <w:pPr>
              <w:spacing w:after="60"/>
              <w:rPr>
                <w:rFonts w:asciiTheme="minorHAnsi" w:hAnsiTheme="minorHAnsi"/>
                <w:sz w:val="18"/>
                <w:szCs w:val="18"/>
              </w:rPr>
            </w:pPr>
            <w:r w:rsidRPr="00A41F30">
              <w:rPr>
                <w:rFonts w:asciiTheme="minorHAnsi" w:hAnsiTheme="minorHAnsi"/>
                <w:sz w:val="18"/>
                <w:szCs w:val="18"/>
              </w:rPr>
              <w:t xml:space="preserve">After 14 years of deregulation, the intercity bus industry had </w:t>
            </w:r>
            <w:r w:rsidR="00096FD0" w:rsidRPr="00A41F30">
              <w:rPr>
                <w:rFonts w:asciiTheme="minorHAnsi" w:hAnsiTheme="minorHAnsi"/>
                <w:sz w:val="18"/>
                <w:szCs w:val="18"/>
              </w:rPr>
              <w:t>resurgence</w:t>
            </w:r>
            <w:r w:rsidRPr="00A41F30">
              <w:rPr>
                <w:rFonts w:asciiTheme="minorHAnsi" w:hAnsiTheme="minorHAnsi"/>
                <w:sz w:val="18"/>
                <w:szCs w:val="18"/>
              </w:rPr>
              <w:t xml:space="preserve"> in 2006. Rising highway congestion made travel in private vehicles less appealing and the spike in oil prices made driving personal vehicle less economical. As a result, a new breed of innovative intercity bus operators emerged (such as </w:t>
            </w:r>
            <w:r w:rsidRPr="00A41F30">
              <w:rPr>
                <w:rFonts w:asciiTheme="minorHAnsi" w:hAnsiTheme="minorHAnsi"/>
                <w:i/>
                <w:sz w:val="18"/>
                <w:szCs w:val="18"/>
              </w:rPr>
              <w:t>Megabus</w:t>
            </w:r>
            <w:r w:rsidRPr="00A41F30">
              <w:rPr>
                <w:rFonts w:asciiTheme="minorHAnsi" w:hAnsiTheme="minorHAnsi"/>
                <w:sz w:val="18"/>
                <w:szCs w:val="18"/>
              </w:rPr>
              <w:t xml:space="preserve">) that offer cheap tickets available through the internet using a concept known as “yield management,” and providing a level of service comparable to that available on express rail travel competitors  such as Amtrak. Consumer demand has shifted towards low-cost good-quality service for intercity transportation, which is convenient, safe and less harmful to the environment. Modern intercity buses carry an estimated three times as many passenger miles and use 60 percent less energy than railway operators. In addition, data show that intercity bus transportation is now the safest land transportation available. Therefore, it is not surprising that the intercity bus sector is the fastest-growing passenger transport mode in America, reporting 22 percent growth during 2007-2010, compared to 12 percent for railway passenger transportation. </w:t>
            </w:r>
          </w:p>
          <w:p w:rsidR="00A41F30" w:rsidRPr="00A41F30" w:rsidRDefault="00A41F30" w:rsidP="00A41F30">
            <w:pPr>
              <w:spacing w:after="60"/>
              <w:rPr>
                <w:rFonts w:asciiTheme="minorHAnsi" w:hAnsiTheme="minorHAnsi"/>
                <w:sz w:val="18"/>
                <w:szCs w:val="18"/>
              </w:rPr>
            </w:pPr>
            <w:r w:rsidRPr="00A41F30">
              <w:rPr>
                <w:rFonts w:asciiTheme="minorHAnsi" w:hAnsiTheme="minorHAnsi"/>
                <w:sz w:val="18"/>
                <w:szCs w:val="18"/>
              </w:rPr>
              <w:t xml:space="preserve">Intercity bus companies remain subject to federal and state regulations. Two main regulatory policies that affect competition relate to curbside parking and safety. Today, few intercity buses operate out of bus stations; instead, they pick up and drop off passengers at parking lots in strategic inner-city locations. This innovative practice has prompted state governments to regulate bus parking in urban areas. Operators must get permission to use curbside areas and may have to pay for the privilege. This regulation restricts the number of bus stops en route and may be a deterrent for potential bus passengers who live far away from the transit hub. In relation to safety, Government has regulatory policies for vehicle operating standards (regular bus inspections are carried out by a government agency), driver licensing (including training on safe driving) and passenger safety </w:t>
            </w:r>
            <w:r w:rsidRPr="00A41F30">
              <w:rPr>
                <w:rFonts w:asciiTheme="minorHAnsi" w:hAnsiTheme="minorHAnsi"/>
                <w:sz w:val="18"/>
                <w:szCs w:val="18"/>
              </w:rPr>
              <w:lastRenderedPageBreak/>
              <w:t xml:space="preserve">per se. Recently, the National Highway Transportation Safety Administration (NHTSA) called for all buses to be equipped with seatbelts. Although seatbelts are proven to reduce fatalities by 77 percent, it is speculated that this regulation is not economically viable and should be considered carefully to ensure that competition in the industry is unaffected. </w:t>
            </w:r>
          </w:p>
          <w:p w:rsidR="00A41F30" w:rsidRPr="00A41F30" w:rsidRDefault="00A41F30" w:rsidP="00A41F30">
            <w:pPr>
              <w:spacing w:after="60"/>
              <w:rPr>
                <w:rFonts w:asciiTheme="minorHAnsi" w:hAnsiTheme="minorHAnsi"/>
                <w:sz w:val="18"/>
                <w:szCs w:val="18"/>
              </w:rPr>
            </w:pPr>
            <w:r w:rsidRPr="00A41F30">
              <w:rPr>
                <w:rFonts w:asciiTheme="minorHAnsi" w:hAnsiTheme="minorHAnsi"/>
                <w:sz w:val="18"/>
                <w:szCs w:val="18"/>
              </w:rPr>
              <w:t xml:space="preserve">Government also subsidizes intercity bus companies by collecting lower federal fuel taxes (7.3 cents per gallon compared to 18.4 cents paid by other motorists) and through grants to help companies comply with the Americans with Disabilities Act and national security needs. Still, these grants are equal to just 1.0 percent of railway subsidies, which has created unfair competition in some states because rail can offer such low subsidized fares to its customers. </w:t>
            </w:r>
          </w:p>
          <w:p w:rsidR="003A7B57" w:rsidRPr="003A7B57" w:rsidRDefault="003A7B57" w:rsidP="003A7B57">
            <w:pPr>
              <w:spacing w:after="60"/>
              <w:rPr>
                <w:rFonts w:asciiTheme="minorHAnsi" w:hAnsiTheme="minorHAnsi"/>
                <w:i/>
                <w:sz w:val="18"/>
                <w:szCs w:val="18"/>
              </w:rPr>
            </w:pPr>
            <w:r w:rsidRPr="003A7B57">
              <w:rPr>
                <w:rFonts w:asciiTheme="minorHAnsi" w:hAnsiTheme="minorHAnsi"/>
                <w:i/>
                <w:sz w:val="18"/>
                <w:szCs w:val="18"/>
              </w:rPr>
              <w:t>Source: O’Toole, R. (2011)</w:t>
            </w:r>
          </w:p>
        </w:tc>
      </w:tr>
    </w:tbl>
    <w:p w:rsidR="005C37AE" w:rsidRPr="00E046E9" w:rsidRDefault="005C37AE" w:rsidP="005C37AE">
      <w:pPr>
        <w:spacing w:before="240"/>
        <w:rPr>
          <w:b/>
          <w:i/>
        </w:rPr>
      </w:pPr>
      <w:r w:rsidRPr="00E046E9">
        <w:rPr>
          <w:b/>
          <w:i/>
        </w:rPr>
        <w:lastRenderedPageBreak/>
        <w:t>How can this be done?</w:t>
      </w:r>
    </w:p>
    <w:p w:rsidR="00097C63" w:rsidRDefault="006D76C0" w:rsidP="003A7B57">
      <w:r>
        <w:rPr>
          <w:b/>
        </w:rPr>
        <w:t xml:space="preserve">Planning and regulatory framework: </w:t>
      </w:r>
      <w:r w:rsidR="00315E1E">
        <w:rPr>
          <w:b/>
        </w:rPr>
        <w:t xml:space="preserve">upgrading </w:t>
      </w:r>
      <w:r>
        <w:rPr>
          <w:b/>
        </w:rPr>
        <w:t xml:space="preserve">vehicle </w:t>
      </w:r>
      <w:r w:rsidR="00315E1E">
        <w:rPr>
          <w:b/>
        </w:rPr>
        <w:t xml:space="preserve">standards </w:t>
      </w:r>
      <w:r>
        <w:rPr>
          <w:b/>
        </w:rPr>
        <w:t xml:space="preserve">and service </w:t>
      </w:r>
      <w:r w:rsidR="00315E1E">
        <w:rPr>
          <w:b/>
        </w:rPr>
        <w:t xml:space="preserve">quality through </w:t>
      </w:r>
      <w:r w:rsidR="007A4B20">
        <w:rPr>
          <w:b/>
        </w:rPr>
        <w:t>regulations, and integrated passenger information services combined with market entry control</w:t>
      </w:r>
      <w:r w:rsidR="00DE044E" w:rsidRPr="00315E1E">
        <w:t xml:space="preserve">. </w:t>
      </w:r>
      <w:r w:rsidR="00315E1E">
        <w:t xml:space="preserve"> First, as discussed in Sections III.A and III.B, enforcement of vehicle emission </w:t>
      </w:r>
      <w:r w:rsidR="00097C63">
        <w:t xml:space="preserve">and safety </w:t>
      </w:r>
      <w:r w:rsidR="00315E1E">
        <w:t xml:space="preserve">standards </w:t>
      </w:r>
      <w:r w:rsidR="00A41F30">
        <w:t xml:space="preserve">should </w:t>
      </w:r>
      <w:r w:rsidR="00315E1E">
        <w:t>be extended to minibus intercity operators</w:t>
      </w:r>
      <w:r w:rsidR="00A41F30">
        <w:t xml:space="preserve">, and integrated passenger information services need to be provided </w:t>
      </w:r>
      <w:r w:rsidR="00097C63">
        <w:t xml:space="preserve">to improve overall </w:t>
      </w:r>
      <w:r w:rsidR="00A41F30">
        <w:t xml:space="preserve">passenger </w:t>
      </w:r>
      <w:r w:rsidR="00097C63">
        <w:t xml:space="preserve">travel experience, </w:t>
      </w:r>
      <w:r w:rsidR="00A41F30">
        <w:t xml:space="preserve">in particular, tourists. Information services could </w:t>
      </w:r>
      <w:r w:rsidR="00090EBD">
        <w:t xml:space="preserve">be </w:t>
      </w:r>
      <w:r w:rsidR="00097C63">
        <w:t xml:space="preserve">developed </w:t>
      </w:r>
      <w:r w:rsidR="00090EBD">
        <w:t xml:space="preserve">and maintained </w:t>
      </w:r>
      <w:r w:rsidR="007A4B20">
        <w:t xml:space="preserve">by a </w:t>
      </w:r>
      <w:r w:rsidR="00A41F30">
        <w:t xml:space="preserve">private </w:t>
      </w:r>
      <w:r w:rsidR="007A4B20">
        <w:t>firm</w:t>
      </w:r>
      <w:r w:rsidR="00A41F30">
        <w:t xml:space="preserve">, selected through competition by </w:t>
      </w:r>
      <w:r w:rsidR="007A4B20">
        <w:t>a government entity such as the National Tourism Agency</w:t>
      </w:r>
      <w:r w:rsidR="00A41F30">
        <w:t>; the firm could</w:t>
      </w:r>
      <w:r w:rsidR="00526DEA">
        <w:t xml:space="preserve"> consolidat</w:t>
      </w:r>
      <w:r w:rsidR="00A41F30">
        <w:t>e</w:t>
      </w:r>
      <w:r w:rsidR="00090EBD">
        <w:t xml:space="preserve"> service</w:t>
      </w:r>
      <w:r w:rsidR="00526DEA">
        <w:t xml:space="preserve"> information </w:t>
      </w:r>
      <w:r w:rsidR="00A41F30">
        <w:t xml:space="preserve">from </w:t>
      </w:r>
      <w:r w:rsidR="00090EBD">
        <w:t xml:space="preserve">participating operators </w:t>
      </w:r>
      <w:r w:rsidR="00526DEA">
        <w:t xml:space="preserve">(i.e. routes, timetables, fares) </w:t>
      </w:r>
      <w:r w:rsidR="00A41F30">
        <w:t xml:space="preserve">so that passengers </w:t>
      </w:r>
      <w:r w:rsidR="00526DEA">
        <w:t xml:space="preserve">access </w:t>
      </w:r>
      <w:r w:rsidR="00A41F30">
        <w:t>schedules</w:t>
      </w:r>
      <w:r w:rsidR="00526DEA">
        <w:t xml:space="preserve"> and book</w:t>
      </w:r>
      <w:r w:rsidR="00097C63">
        <w:t xml:space="preserve"> by </w:t>
      </w:r>
      <w:r w:rsidR="00A41F30">
        <w:t>tele</w:t>
      </w:r>
      <w:r w:rsidR="00097C63">
        <w:t xml:space="preserve">phone </w:t>
      </w:r>
      <w:r w:rsidR="00A41F30">
        <w:t>or on-line</w:t>
      </w:r>
      <w:r w:rsidR="00526DEA">
        <w:t xml:space="preserve">.  </w:t>
      </w:r>
      <w:r w:rsidR="00097C63">
        <w:t>Integrated information services</w:t>
      </w:r>
      <w:r w:rsidR="00090EBD">
        <w:t xml:space="preserve">—a coordinated marketing tool—can </w:t>
      </w:r>
      <w:r w:rsidR="00097C63">
        <w:t xml:space="preserve">be </w:t>
      </w:r>
      <w:r w:rsidR="00090EBD">
        <w:t>also used to control market entry and</w:t>
      </w:r>
      <w:r w:rsidR="00097C63">
        <w:t>/or</w:t>
      </w:r>
      <w:r w:rsidR="00090EBD">
        <w:t xml:space="preserve"> enforce </w:t>
      </w:r>
      <w:r w:rsidR="00097C63">
        <w:t xml:space="preserve">regulations.  Operators that wish to be included in a consolidated timetable and booking system </w:t>
      </w:r>
      <w:r w:rsidR="00A41F30">
        <w:t xml:space="preserve">must </w:t>
      </w:r>
      <w:r w:rsidR="00097C63">
        <w:t xml:space="preserve">comply with minimum standards for vehicle emissions, safety and service quality.  </w:t>
      </w:r>
      <w:r w:rsidR="00315E1E">
        <w:t>In most high-income countries</w:t>
      </w:r>
      <w:r w:rsidR="00DE044E">
        <w:t xml:space="preserve">, intercity bus operators </w:t>
      </w:r>
      <w:r w:rsidR="00097C63">
        <w:t xml:space="preserve">rely heavily on web-based booking systems </w:t>
      </w:r>
      <w:r w:rsidR="00A41F30">
        <w:t>to capture</w:t>
      </w:r>
      <w:r w:rsidR="00097C63">
        <w:t xml:space="preserve"> customers </w:t>
      </w:r>
      <w:r w:rsidR="00DE044E">
        <w:t xml:space="preserve">(such as Megabus in </w:t>
      </w:r>
      <w:r w:rsidR="00097C63">
        <w:t xml:space="preserve">the </w:t>
      </w:r>
      <w:r w:rsidR="00DE044E">
        <w:t>U</w:t>
      </w:r>
      <w:r w:rsidR="00472E78">
        <w:t>.</w:t>
      </w:r>
      <w:r w:rsidR="00DE044E">
        <w:t>S</w:t>
      </w:r>
      <w:r w:rsidR="00472E78">
        <w:t>.</w:t>
      </w:r>
      <w:r w:rsidR="00DE044E">
        <w:t xml:space="preserve">, Box </w:t>
      </w:r>
      <w:r w:rsidR="00AA3F1A">
        <w:t>7</w:t>
      </w:r>
      <w:r w:rsidR="00DE044E">
        <w:t>)</w:t>
      </w:r>
      <w:r w:rsidR="00A41F30">
        <w:t>.</w:t>
      </w:r>
      <w:r w:rsidR="00097C63">
        <w:t xml:space="preserve"> </w:t>
      </w:r>
      <w:r w:rsidR="00A41F30">
        <w:t>O</w:t>
      </w:r>
      <w:r w:rsidR="00097C63">
        <w:t xml:space="preserve">ften, a marketing organization represents several operators and provides a consolidated service (Box </w:t>
      </w:r>
      <w:r w:rsidR="00AA3F1A">
        <w:t>8</w:t>
      </w:r>
      <w:r w:rsidR="00097C63">
        <w:t xml:space="preserve">). </w:t>
      </w:r>
    </w:p>
    <w:tbl>
      <w:tblPr>
        <w:tblStyle w:val="TableGrid"/>
        <w:tblW w:w="0" w:type="auto"/>
        <w:tblInd w:w="108" w:type="dxa"/>
        <w:tblLook w:val="04A0"/>
      </w:tblPr>
      <w:tblGrid>
        <w:gridCol w:w="9468"/>
      </w:tblGrid>
      <w:tr w:rsidR="00DE044E" w:rsidTr="003A7B57">
        <w:tc>
          <w:tcPr>
            <w:tcW w:w="9468" w:type="dxa"/>
          </w:tcPr>
          <w:p w:rsidR="00DE044E" w:rsidRPr="00D24AAF" w:rsidRDefault="005C37AE" w:rsidP="005C37AE">
            <w:pPr>
              <w:pStyle w:val="Caption"/>
              <w:spacing w:after="120"/>
              <w:rPr>
                <w:rFonts w:asciiTheme="minorHAnsi" w:hAnsiTheme="minorHAnsi"/>
                <w:color w:val="000000"/>
                <w:sz w:val="20"/>
                <w:szCs w:val="20"/>
              </w:rPr>
            </w:pPr>
            <w:r w:rsidRPr="00D24AAF">
              <w:rPr>
                <w:rFonts w:asciiTheme="minorHAnsi" w:hAnsiTheme="minorHAnsi"/>
                <w:color w:val="000000"/>
                <w:sz w:val="20"/>
                <w:szCs w:val="20"/>
              </w:rPr>
              <w:t xml:space="preserve">Box </w:t>
            </w:r>
            <w:r w:rsidR="001A7AF8" w:rsidRPr="00D24AAF">
              <w:rPr>
                <w:rFonts w:asciiTheme="minorHAnsi" w:hAnsiTheme="minorHAnsi"/>
                <w:color w:val="000000"/>
                <w:sz w:val="20"/>
                <w:szCs w:val="20"/>
              </w:rPr>
              <w:fldChar w:fldCharType="begin"/>
            </w:r>
            <w:r w:rsidRPr="00D24AAF">
              <w:rPr>
                <w:rFonts w:asciiTheme="minorHAnsi" w:hAnsiTheme="minorHAnsi"/>
                <w:color w:val="000000"/>
                <w:sz w:val="20"/>
                <w:szCs w:val="20"/>
              </w:rPr>
              <w:instrText xml:space="preserve"> SEQ Box \* ARABIC </w:instrText>
            </w:r>
            <w:r w:rsidR="001A7AF8" w:rsidRPr="00D24AAF">
              <w:rPr>
                <w:rFonts w:asciiTheme="minorHAnsi" w:hAnsiTheme="minorHAnsi"/>
                <w:color w:val="000000"/>
                <w:sz w:val="20"/>
                <w:szCs w:val="20"/>
              </w:rPr>
              <w:fldChar w:fldCharType="separate"/>
            </w:r>
            <w:r w:rsidR="00AA3F1A">
              <w:rPr>
                <w:rFonts w:asciiTheme="minorHAnsi" w:hAnsiTheme="minorHAnsi"/>
                <w:noProof/>
                <w:color w:val="000000"/>
                <w:sz w:val="20"/>
                <w:szCs w:val="20"/>
              </w:rPr>
              <w:t>8</w:t>
            </w:r>
            <w:r w:rsidR="001A7AF8" w:rsidRPr="00D24AAF">
              <w:rPr>
                <w:rFonts w:asciiTheme="minorHAnsi" w:hAnsiTheme="minorHAnsi"/>
                <w:color w:val="000000"/>
                <w:sz w:val="20"/>
                <w:szCs w:val="20"/>
              </w:rPr>
              <w:fldChar w:fldCharType="end"/>
            </w:r>
            <w:r w:rsidR="00DE044E">
              <w:rPr>
                <w:rFonts w:asciiTheme="minorHAnsi" w:hAnsiTheme="minorHAnsi"/>
                <w:color w:val="000000"/>
                <w:sz w:val="20"/>
                <w:szCs w:val="20"/>
              </w:rPr>
              <w:t xml:space="preserve">. </w:t>
            </w:r>
            <w:r w:rsidR="00DE044E" w:rsidRPr="00D24AAF">
              <w:rPr>
                <w:rFonts w:asciiTheme="minorHAnsi" w:hAnsiTheme="minorHAnsi"/>
                <w:color w:val="000000"/>
                <w:sz w:val="20"/>
                <w:szCs w:val="20"/>
              </w:rPr>
              <w:t xml:space="preserve"> </w:t>
            </w:r>
            <w:r w:rsidR="00DE044E">
              <w:rPr>
                <w:rFonts w:asciiTheme="minorHAnsi" w:hAnsiTheme="minorHAnsi"/>
                <w:color w:val="000000"/>
                <w:sz w:val="20"/>
                <w:szCs w:val="20"/>
              </w:rPr>
              <w:t>Norway Marketing Website</w:t>
            </w:r>
          </w:p>
          <w:p w:rsidR="00A41F30" w:rsidRPr="009036CE" w:rsidRDefault="00A41F30" w:rsidP="00A41F30">
            <w:pPr>
              <w:pStyle w:val="ListParagraph"/>
              <w:spacing w:after="60"/>
              <w:ind w:left="0"/>
              <w:contextualSpacing w:val="0"/>
              <w:rPr>
                <w:rFonts w:asciiTheme="minorHAnsi" w:hAnsiTheme="minorHAnsi"/>
                <w:sz w:val="18"/>
                <w:szCs w:val="18"/>
              </w:rPr>
            </w:pPr>
            <w:r w:rsidRPr="009036CE">
              <w:rPr>
                <w:rFonts w:asciiTheme="minorHAnsi" w:hAnsiTheme="minorHAnsi"/>
                <w:sz w:val="18"/>
                <w:szCs w:val="18"/>
              </w:rPr>
              <w:t xml:space="preserve">Since long-distance coach service </w:t>
            </w:r>
            <w:r>
              <w:rPr>
                <w:rFonts w:asciiTheme="minorHAnsi" w:hAnsiTheme="minorHAnsi"/>
                <w:sz w:val="18"/>
                <w:szCs w:val="18"/>
              </w:rPr>
              <w:t>was almost completely deregulated in</w:t>
            </w:r>
            <w:r w:rsidRPr="009036CE">
              <w:rPr>
                <w:rFonts w:asciiTheme="minorHAnsi" w:hAnsiTheme="minorHAnsi"/>
                <w:sz w:val="18"/>
                <w:szCs w:val="18"/>
              </w:rPr>
              <w:t xml:space="preserve"> 2003, Norway has </w:t>
            </w:r>
            <w:r>
              <w:rPr>
                <w:rFonts w:asciiTheme="minorHAnsi" w:hAnsiTheme="minorHAnsi"/>
                <w:sz w:val="18"/>
                <w:szCs w:val="18"/>
              </w:rPr>
              <w:t>been</w:t>
            </w:r>
            <w:r w:rsidRPr="009036CE">
              <w:rPr>
                <w:rFonts w:asciiTheme="minorHAnsi" w:hAnsiTheme="minorHAnsi"/>
                <w:sz w:val="18"/>
                <w:szCs w:val="18"/>
              </w:rPr>
              <w:t xml:space="preserve"> commercializ</w:t>
            </w:r>
            <w:r>
              <w:rPr>
                <w:rFonts w:asciiTheme="minorHAnsi" w:hAnsiTheme="minorHAnsi"/>
                <w:sz w:val="18"/>
                <w:szCs w:val="18"/>
              </w:rPr>
              <w:t>ing</w:t>
            </w:r>
            <w:r w:rsidRPr="009036CE">
              <w:rPr>
                <w:rFonts w:asciiTheme="minorHAnsi" w:hAnsiTheme="minorHAnsi"/>
                <w:sz w:val="18"/>
                <w:szCs w:val="18"/>
              </w:rPr>
              <w:t xml:space="preserve"> its intercity bus sector by transferring responsibility to the private sector.</w:t>
            </w:r>
            <w:r>
              <w:rPr>
                <w:rFonts w:asciiTheme="minorHAnsi" w:hAnsiTheme="minorHAnsi"/>
                <w:sz w:val="18"/>
                <w:szCs w:val="18"/>
              </w:rPr>
              <w:t xml:space="preserve"> L</w:t>
            </w:r>
            <w:r w:rsidRPr="009036CE">
              <w:rPr>
                <w:rFonts w:asciiTheme="minorHAnsi" w:hAnsiTheme="minorHAnsi"/>
                <w:sz w:val="18"/>
                <w:szCs w:val="18"/>
              </w:rPr>
              <w:t xml:space="preserve">ocal authorities </w:t>
            </w:r>
            <w:r>
              <w:rPr>
                <w:rFonts w:asciiTheme="minorHAnsi" w:hAnsiTheme="minorHAnsi"/>
                <w:sz w:val="18"/>
                <w:szCs w:val="18"/>
              </w:rPr>
              <w:t xml:space="preserve">must still approve </w:t>
            </w:r>
            <w:r w:rsidRPr="009036CE">
              <w:rPr>
                <w:rFonts w:asciiTheme="minorHAnsi" w:hAnsiTheme="minorHAnsi"/>
                <w:sz w:val="18"/>
                <w:szCs w:val="18"/>
              </w:rPr>
              <w:t xml:space="preserve">route authorizations before market entry, but restrictions are </w:t>
            </w:r>
            <w:r>
              <w:rPr>
                <w:rFonts w:asciiTheme="minorHAnsi" w:hAnsiTheme="minorHAnsi"/>
                <w:sz w:val="18"/>
                <w:szCs w:val="18"/>
              </w:rPr>
              <w:t xml:space="preserve">usually </w:t>
            </w:r>
            <w:r w:rsidRPr="009036CE">
              <w:rPr>
                <w:rFonts w:asciiTheme="minorHAnsi" w:hAnsiTheme="minorHAnsi"/>
                <w:sz w:val="18"/>
                <w:szCs w:val="18"/>
              </w:rPr>
              <w:t xml:space="preserve">limited and apply </w:t>
            </w:r>
            <w:r>
              <w:rPr>
                <w:rFonts w:asciiTheme="minorHAnsi" w:hAnsiTheme="minorHAnsi"/>
                <w:sz w:val="18"/>
                <w:szCs w:val="18"/>
              </w:rPr>
              <w:t xml:space="preserve">only </w:t>
            </w:r>
            <w:r w:rsidRPr="009036CE">
              <w:rPr>
                <w:rFonts w:asciiTheme="minorHAnsi" w:hAnsiTheme="minorHAnsi"/>
                <w:sz w:val="18"/>
                <w:szCs w:val="18"/>
              </w:rPr>
              <w:t>if other subsidized transport need</w:t>
            </w:r>
            <w:r>
              <w:rPr>
                <w:rFonts w:asciiTheme="minorHAnsi" w:hAnsiTheme="minorHAnsi"/>
                <w:sz w:val="18"/>
                <w:szCs w:val="18"/>
              </w:rPr>
              <w:t xml:space="preserve">s protection. </w:t>
            </w:r>
          </w:p>
          <w:p w:rsidR="00A41F30" w:rsidRDefault="00A41F30" w:rsidP="00A41F30">
            <w:pPr>
              <w:pStyle w:val="ListParagraph"/>
              <w:spacing w:after="60"/>
              <w:ind w:left="0"/>
              <w:contextualSpacing w:val="0"/>
              <w:rPr>
                <w:rFonts w:asciiTheme="minorHAnsi" w:hAnsiTheme="minorHAnsi"/>
                <w:sz w:val="18"/>
                <w:szCs w:val="18"/>
              </w:rPr>
            </w:pPr>
            <w:r w:rsidRPr="009036CE">
              <w:rPr>
                <w:rFonts w:asciiTheme="minorHAnsi" w:hAnsiTheme="minorHAnsi"/>
                <w:sz w:val="18"/>
                <w:szCs w:val="18"/>
              </w:rPr>
              <w:t xml:space="preserve">Today, most intercity bus services are organized via NOR-WAY BUSSEKPRESS, a marketing firm </w:t>
            </w:r>
            <w:r>
              <w:rPr>
                <w:rFonts w:asciiTheme="minorHAnsi" w:hAnsiTheme="minorHAnsi"/>
                <w:sz w:val="18"/>
                <w:szCs w:val="18"/>
              </w:rPr>
              <w:t xml:space="preserve">that </w:t>
            </w:r>
            <w:r w:rsidRPr="009036CE">
              <w:rPr>
                <w:rFonts w:asciiTheme="minorHAnsi" w:hAnsiTheme="minorHAnsi"/>
                <w:sz w:val="18"/>
                <w:szCs w:val="18"/>
              </w:rPr>
              <w:t>represent</w:t>
            </w:r>
            <w:r>
              <w:rPr>
                <w:rFonts w:asciiTheme="minorHAnsi" w:hAnsiTheme="minorHAnsi"/>
                <w:sz w:val="18"/>
                <w:szCs w:val="18"/>
              </w:rPr>
              <w:t>s</w:t>
            </w:r>
            <w:r w:rsidRPr="009036CE">
              <w:rPr>
                <w:rFonts w:asciiTheme="minorHAnsi" w:hAnsiTheme="minorHAnsi"/>
                <w:sz w:val="18"/>
                <w:szCs w:val="18"/>
              </w:rPr>
              <w:t xml:space="preserve"> 30 bus companies</w:t>
            </w:r>
            <w:r>
              <w:rPr>
                <w:rFonts w:asciiTheme="minorHAnsi" w:hAnsiTheme="minorHAnsi"/>
                <w:sz w:val="18"/>
                <w:szCs w:val="18"/>
              </w:rPr>
              <w:t xml:space="preserve">; the firm </w:t>
            </w:r>
            <w:r w:rsidRPr="009036CE">
              <w:rPr>
                <w:rFonts w:asciiTheme="minorHAnsi" w:hAnsiTheme="minorHAnsi"/>
                <w:sz w:val="18"/>
                <w:szCs w:val="18"/>
              </w:rPr>
              <w:t>adverti</w:t>
            </w:r>
            <w:r>
              <w:rPr>
                <w:rFonts w:asciiTheme="minorHAnsi" w:hAnsiTheme="minorHAnsi"/>
                <w:sz w:val="18"/>
                <w:szCs w:val="18"/>
              </w:rPr>
              <w:t>s</w:t>
            </w:r>
            <w:r w:rsidRPr="009036CE">
              <w:rPr>
                <w:rFonts w:asciiTheme="minorHAnsi" w:hAnsiTheme="minorHAnsi"/>
                <w:sz w:val="18"/>
                <w:szCs w:val="18"/>
              </w:rPr>
              <w:t>es bus services on behalf of company members</w:t>
            </w:r>
            <w:r>
              <w:rPr>
                <w:rFonts w:asciiTheme="minorHAnsi" w:hAnsiTheme="minorHAnsi"/>
                <w:sz w:val="18"/>
                <w:szCs w:val="18"/>
              </w:rPr>
              <w:sym w:font="Symbol" w:char="F0BE"/>
            </w:r>
            <w:r>
              <w:rPr>
                <w:rFonts w:asciiTheme="minorHAnsi" w:hAnsiTheme="minorHAnsi"/>
                <w:sz w:val="18"/>
                <w:szCs w:val="18"/>
              </w:rPr>
              <w:t xml:space="preserve">including </w:t>
            </w:r>
            <w:r w:rsidRPr="009036CE">
              <w:rPr>
                <w:rFonts w:asciiTheme="minorHAnsi" w:hAnsiTheme="minorHAnsi"/>
                <w:sz w:val="18"/>
                <w:szCs w:val="18"/>
              </w:rPr>
              <w:t xml:space="preserve">timetables and prices for 25 national routes and </w:t>
            </w:r>
            <w:r>
              <w:rPr>
                <w:rFonts w:asciiTheme="minorHAnsi" w:hAnsiTheme="minorHAnsi"/>
                <w:sz w:val="18"/>
                <w:szCs w:val="18"/>
              </w:rPr>
              <w:t>four</w:t>
            </w:r>
            <w:r w:rsidRPr="009036CE">
              <w:rPr>
                <w:rFonts w:asciiTheme="minorHAnsi" w:hAnsiTheme="minorHAnsi"/>
                <w:sz w:val="18"/>
                <w:szCs w:val="18"/>
              </w:rPr>
              <w:t xml:space="preserve"> airport-to-city links. </w:t>
            </w:r>
            <w:r>
              <w:rPr>
                <w:rFonts w:asciiTheme="minorHAnsi" w:hAnsiTheme="minorHAnsi"/>
                <w:sz w:val="18"/>
                <w:szCs w:val="18"/>
              </w:rPr>
              <w:t>A</w:t>
            </w:r>
            <w:r w:rsidRPr="009036CE">
              <w:rPr>
                <w:rFonts w:asciiTheme="minorHAnsi" w:hAnsiTheme="minorHAnsi"/>
                <w:sz w:val="18"/>
                <w:szCs w:val="18"/>
              </w:rPr>
              <w:t xml:space="preserve"> website makes </w:t>
            </w:r>
            <w:r>
              <w:rPr>
                <w:rFonts w:asciiTheme="minorHAnsi" w:hAnsiTheme="minorHAnsi"/>
                <w:sz w:val="18"/>
                <w:szCs w:val="18"/>
              </w:rPr>
              <w:t xml:space="preserve">customer </w:t>
            </w:r>
            <w:r w:rsidRPr="009036CE">
              <w:rPr>
                <w:rFonts w:asciiTheme="minorHAnsi" w:hAnsiTheme="minorHAnsi"/>
                <w:sz w:val="18"/>
                <w:szCs w:val="18"/>
              </w:rPr>
              <w:t xml:space="preserve">booking convenient and secure (refunds </w:t>
            </w:r>
            <w:r>
              <w:rPr>
                <w:rFonts w:asciiTheme="minorHAnsi" w:hAnsiTheme="minorHAnsi"/>
                <w:sz w:val="18"/>
                <w:szCs w:val="18"/>
              </w:rPr>
              <w:t xml:space="preserve">are </w:t>
            </w:r>
            <w:r w:rsidRPr="009036CE">
              <w:rPr>
                <w:rFonts w:asciiTheme="minorHAnsi" w:hAnsiTheme="minorHAnsi"/>
                <w:sz w:val="18"/>
                <w:szCs w:val="18"/>
              </w:rPr>
              <w:t>available)</w:t>
            </w:r>
            <w:r>
              <w:rPr>
                <w:rFonts w:asciiTheme="minorHAnsi" w:hAnsiTheme="minorHAnsi"/>
                <w:sz w:val="18"/>
                <w:szCs w:val="18"/>
              </w:rPr>
              <w:t>;</w:t>
            </w:r>
            <w:r w:rsidRPr="009036CE">
              <w:rPr>
                <w:rFonts w:asciiTheme="minorHAnsi" w:hAnsiTheme="minorHAnsi"/>
                <w:sz w:val="18"/>
                <w:szCs w:val="18"/>
              </w:rPr>
              <w:t xml:space="preserve"> </w:t>
            </w:r>
            <w:r>
              <w:rPr>
                <w:rFonts w:asciiTheme="minorHAnsi" w:hAnsiTheme="minorHAnsi"/>
                <w:sz w:val="18"/>
                <w:szCs w:val="18"/>
              </w:rPr>
              <w:t xml:space="preserve">it </w:t>
            </w:r>
            <w:r w:rsidRPr="009036CE">
              <w:rPr>
                <w:rFonts w:asciiTheme="minorHAnsi" w:hAnsiTheme="minorHAnsi"/>
                <w:sz w:val="18"/>
                <w:szCs w:val="18"/>
              </w:rPr>
              <w:t xml:space="preserve">provides useful safety information </w:t>
            </w:r>
            <w:r>
              <w:rPr>
                <w:rFonts w:asciiTheme="minorHAnsi" w:hAnsiTheme="minorHAnsi"/>
                <w:sz w:val="18"/>
                <w:szCs w:val="18"/>
              </w:rPr>
              <w:t xml:space="preserve">and </w:t>
            </w:r>
            <w:r w:rsidRPr="009036CE">
              <w:rPr>
                <w:rFonts w:asciiTheme="minorHAnsi" w:hAnsiTheme="minorHAnsi"/>
                <w:sz w:val="18"/>
                <w:szCs w:val="18"/>
              </w:rPr>
              <w:t xml:space="preserve">a hotline </w:t>
            </w:r>
            <w:r>
              <w:rPr>
                <w:rFonts w:asciiTheme="minorHAnsi" w:hAnsiTheme="minorHAnsi"/>
                <w:sz w:val="18"/>
                <w:szCs w:val="18"/>
              </w:rPr>
              <w:t xml:space="preserve">number </w:t>
            </w:r>
            <w:r w:rsidRPr="009036CE">
              <w:rPr>
                <w:rFonts w:asciiTheme="minorHAnsi" w:hAnsiTheme="minorHAnsi"/>
                <w:sz w:val="18"/>
                <w:szCs w:val="18"/>
              </w:rPr>
              <w:t>for queries</w:t>
            </w:r>
            <w:r>
              <w:rPr>
                <w:rFonts w:asciiTheme="minorHAnsi" w:hAnsiTheme="minorHAnsi"/>
                <w:sz w:val="18"/>
                <w:szCs w:val="18"/>
              </w:rPr>
              <w:t xml:space="preserve">. </w:t>
            </w:r>
            <w:r w:rsidRPr="009036CE">
              <w:rPr>
                <w:rFonts w:asciiTheme="minorHAnsi" w:hAnsiTheme="minorHAnsi"/>
                <w:sz w:val="18"/>
                <w:szCs w:val="18"/>
              </w:rPr>
              <w:t>The website adverti</w:t>
            </w:r>
            <w:r>
              <w:rPr>
                <w:rFonts w:asciiTheme="minorHAnsi" w:hAnsiTheme="minorHAnsi"/>
                <w:sz w:val="18"/>
                <w:szCs w:val="18"/>
              </w:rPr>
              <w:t>s</w:t>
            </w:r>
            <w:r w:rsidRPr="009036CE">
              <w:rPr>
                <w:rFonts w:asciiTheme="minorHAnsi" w:hAnsiTheme="minorHAnsi"/>
                <w:sz w:val="18"/>
                <w:szCs w:val="18"/>
              </w:rPr>
              <w:t>e</w:t>
            </w:r>
            <w:r>
              <w:rPr>
                <w:rFonts w:asciiTheme="minorHAnsi" w:hAnsiTheme="minorHAnsi"/>
                <w:sz w:val="18"/>
                <w:szCs w:val="18"/>
              </w:rPr>
              <w:t>s</w:t>
            </w:r>
            <w:r w:rsidRPr="009036CE">
              <w:rPr>
                <w:rFonts w:asciiTheme="minorHAnsi" w:hAnsiTheme="minorHAnsi"/>
                <w:sz w:val="18"/>
                <w:szCs w:val="18"/>
              </w:rPr>
              <w:t xml:space="preserve"> tourist attractions </w:t>
            </w:r>
            <w:r>
              <w:rPr>
                <w:rFonts w:asciiTheme="minorHAnsi" w:hAnsiTheme="minorHAnsi"/>
                <w:sz w:val="18"/>
                <w:szCs w:val="18"/>
              </w:rPr>
              <w:t xml:space="preserve">that include </w:t>
            </w:r>
            <w:r w:rsidRPr="009036CE">
              <w:rPr>
                <w:rFonts w:asciiTheme="minorHAnsi" w:hAnsiTheme="minorHAnsi"/>
                <w:sz w:val="18"/>
                <w:szCs w:val="18"/>
              </w:rPr>
              <w:t>complimentary bus services</w:t>
            </w:r>
            <w:r>
              <w:rPr>
                <w:rFonts w:asciiTheme="minorHAnsi" w:hAnsiTheme="minorHAnsi"/>
                <w:sz w:val="18"/>
                <w:szCs w:val="18"/>
              </w:rPr>
              <w:t>.</w:t>
            </w:r>
          </w:p>
          <w:p w:rsidR="00DE044E" w:rsidRPr="003A7B57" w:rsidRDefault="003A7B57" w:rsidP="003A7B57">
            <w:pPr>
              <w:pStyle w:val="ListParagraph"/>
              <w:spacing w:after="60"/>
              <w:ind w:left="0"/>
              <w:contextualSpacing w:val="0"/>
              <w:rPr>
                <w:i/>
              </w:rPr>
            </w:pPr>
            <w:r w:rsidRPr="003A7B57">
              <w:rPr>
                <w:rFonts w:asciiTheme="minorHAnsi" w:hAnsiTheme="minorHAnsi"/>
                <w:i/>
                <w:sz w:val="18"/>
                <w:szCs w:val="18"/>
              </w:rPr>
              <w:t>Source: NOR-WAY Bussekspress retrieved at http://www.nor-way.no</w:t>
            </w:r>
            <w:r w:rsidR="00DE044E" w:rsidRPr="003A7B57">
              <w:rPr>
                <w:i/>
              </w:rPr>
              <w:t xml:space="preserve"> </w:t>
            </w:r>
          </w:p>
        </w:tc>
      </w:tr>
    </w:tbl>
    <w:p w:rsidR="00DE044E" w:rsidRDefault="00DE044E" w:rsidP="002125F7">
      <w:pPr>
        <w:spacing w:after="0"/>
        <w:rPr>
          <w:b/>
        </w:rPr>
      </w:pPr>
    </w:p>
    <w:p w:rsidR="004C01FB" w:rsidRDefault="006C5F9A" w:rsidP="004C01FB">
      <w:r>
        <w:rPr>
          <w:b/>
        </w:rPr>
        <w:t>Planning and legal framework</w:t>
      </w:r>
      <w:r w:rsidRPr="003A7B57">
        <w:rPr>
          <w:b/>
        </w:rPr>
        <w:t xml:space="preserve">: </w:t>
      </w:r>
      <w:r w:rsidRPr="00C25207">
        <w:rPr>
          <w:b/>
        </w:rPr>
        <w:t>introducing competitive tendering for strategic intercity routes</w:t>
      </w:r>
      <w:r>
        <w:rPr>
          <w:b/>
        </w:rPr>
        <w:t xml:space="preserve"> and managing the service quality</w:t>
      </w:r>
      <w:r w:rsidRPr="004C01FB">
        <w:t xml:space="preserve">. </w:t>
      </w:r>
      <w:r w:rsidR="004C01FB">
        <w:t xml:space="preserve"> To provide good quality transportation connections for tourists, it might be necessary to secure reliable and high-quality intercity and long-distance bus services along some strategic routes, such as air</w:t>
      </w:r>
      <w:r>
        <w:t xml:space="preserve">port-to-city </w:t>
      </w:r>
      <w:r w:rsidR="004C01FB">
        <w:t xml:space="preserve">center connections.  </w:t>
      </w:r>
      <w:r w:rsidR="00A41F30">
        <w:t>T</w:t>
      </w:r>
      <w:r w:rsidR="004C01FB">
        <w:t xml:space="preserve">o secure service frequency and quality along such strategic routes, a central or local authority may select qualified operators through competitive tendering, under a concession agreement.  Similar arrangements </w:t>
      </w:r>
      <w:r w:rsidR="00A41F30">
        <w:t xml:space="preserve">have been </w:t>
      </w:r>
      <w:r w:rsidR="004C01FB">
        <w:t xml:space="preserve">implemented in Sweden and Spain, where competitively selected private operators provide services under concession agreements for </w:t>
      </w:r>
      <w:r w:rsidR="00A41F30">
        <w:t xml:space="preserve">an </w:t>
      </w:r>
      <w:r w:rsidR="004C01FB">
        <w:t>8-20 year period</w:t>
      </w:r>
      <w:r w:rsidR="007A4CE8">
        <w:t xml:space="preserve"> (Box </w:t>
      </w:r>
      <w:r w:rsidR="00AA3F1A">
        <w:t>9</w:t>
      </w:r>
      <w:r w:rsidR="007A4CE8">
        <w:t>)</w:t>
      </w:r>
      <w:r w:rsidR="004C01FB">
        <w:t xml:space="preserve">.  </w:t>
      </w:r>
      <w:r w:rsidR="007A4CE8">
        <w:t>This require</w:t>
      </w:r>
      <w:r w:rsidR="00A41F30">
        <w:t>s</w:t>
      </w:r>
      <w:r w:rsidR="007A4CE8">
        <w:t xml:space="preserve"> careful planning and selection of routes, well-defined terms </w:t>
      </w:r>
      <w:r w:rsidR="00A41F30">
        <w:t xml:space="preserve">for </w:t>
      </w:r>
      <w:r w:rsidR="007A4CE8">
        <w:t xml:space="preserve">service quality and operational and financial requirements, and a mechanism </w:t>
      </w:r>
      <w:r w:rsidR="00A41F30">
        <w:t>to monitor</w:t>
      </w:r>
      <w:r w:rsidR="007A4CE8">
        <w:t xml:space="preserve"> </w:t>
      </w:r>
      <w:r w:rsidR="00A41F30">
        <w:t xml:space="preserve">concessionaire </w:t>
      </w:r>
      <w:r w:rsidR="007A4CE8">
        <w:t>performance. I</w:t>
      </w:r>
      <w:r w:rsidR="00A41F30">
        <w:t xml:space="preserve">f </w:t>
      </w:r>
      <w:r w:rsidR="007A4CE8">
        <w:t xml:space="preserve">such strategic routes </w:t>
      </w:r>
      <w:r w:rsidR="00A41F30">
        <w:t xml:space="preserve">fail to </w:t>
      </w:r>
      <w:r w:rsidR="007A4CE8">
        <w:t xml:space="preserve">generate sufficient revenues to cover full costs </w:t>
      </w:r>
      <w:r w:rsidR="007A4CE8">
        <w:lastRenderedPageBreak/>
        <w:t xml:space="preserve">or a central or local authority decides to keep fares low </w:t>
      </w:r>
      <w:r w:rsidR="00A41F30">
        <w:t xml:space="preserve">to </w:t>
      </w:r>
      <w:r w:rsidR="007A4CE8">
        <w:t xml:space="preserve">benefit passengers, operating subsidies or revenue guarantees </w:t>
      </w:r>
      <w:r w:rsidR="00A41F30">
        <w:t xml:space="preserve">could </w:t>
      </w:r>
      <w:r w:rsidR="007A4CE8">
        <w:t xml:space="preserve">be considered. </w:t>
      </w:r>
    </w:p>
    <w:tbl>
      <w:tblPr>
        <w:tblStyle w:val="TableGrid"/>
        <w:tblW w:w="0" w:type="auto"/>
        <w:tblInd w:w="108" w:type="dxa"/>
        <w:tblLook w:val="04A0"/>
      </w:tblPr>
      <w:tblGrid>
        <w:gridCol w:w="9360"/>
      </w:tblGrid>
      <w:tr w:rsidR="006C5F9A" w:rsidTr="004C01FB">
        <w:tc>
          <w:tcPr>
            <w:tcW w:w="9360" w:type="dxa"/>
          </w:tcPr>
          <w:p w:rsidR="006C5F9A" w:rsidRPr="00D24AAF" w:rsidRDefault="006C5F9A" w:rsidP="004C01FB">
            <w:pPr>
              <w:pStyle w:val="Caption"/>
              <w:spacing w:after="120"/>
              <w:rPr>
                <w:rFonts w:asciiTheme="minorHAnsi" w:hAnsiTheme="minorHAnsi"/>
                <w:color w:val="000000"/>
                <w:sz w:val="20"/>
                <w:szCs w:val="20"/>
              </w:rPr>
            </w:pPr>
            <w:r w:rsidRPr="00D24AAF">
              <w:rPr>
                <w:rFonts w:asciiTheme="minorHAnsi" w:hAnsiTheme="minorHAnsi"/>
                <w:color w:val="000000"/>
                <w:sz w:val="20"/>
                <w:szCs w:val="20"/>
              </w:rPr>
              <w:t xml:space="preserve">Box </w:t>
            </w:r>
            <w:r w:rsidR="001A7AF8" w:rsidRPr="00D24AAF">
              <w:rPr>
                <w:rFonts w:asciiTheme="minorHAnsi" w:hAnsiTheme="minorHAnsi"/>
                <w:color w:val="000000"/>
                <w:sz w:val="20"/>
                <w:szCs w:val="20"/>
              </w:rPr>
              <w:fldChar w:fldCharType="begin"/>
            </w:r>
            <w:r w:rsidRPr="00D24AAF">
              <w:rPr>
                <w:rFonts w:asciiTheme="minorHAnsi" w:hAnsiTheme="minorHAnsi"/>
                <w:color w:val="000000"/>
                <w:sz w:val="20"/>
                <w:szCs w:val="20"/>
              </w:rPr>
              <w:instrText xml:space="preserve"> SEQ Box \* ARABIC </w:instrText>
            </w:r>
            <w:r w:rsidR="001A7AF8" w:rsidRPr="00D24AAF">
              <w:rPr>
                <w:rFonts w:asciiTheme="minorHAnsi" w:hAnsiTheme="minorHAnsi"/>
                <w:color w:val="000000"/>
                <w:sz w:val="20"/>
                <w:szCs w:val="20"/>
              </w:rPr>
              <w:fldChar w:fldCharType="separate"/>
            </w:r>
            <w:r w:rsidR="00AA3F1A">
              <w:rPr>
                <w:rFonts w:asciiTheme="minorHAnsi" w:hAnsiTheme="minorHAnsi"/>
                <w:noProof/>
                <w:color w:val="000000"/>
                <w:sz w:val="20"/>
                <w:szCs w:val="20"/>
              </w:rPr>
              <w:t>9</w:t>
            </w:r>
            <w:r w:rsidR="001A7AF8" w:rsidRPr="00D24AAF">
              <w:rPr>
                <w:rFonts w:asciiTheme="minorHAnsi" w:hAnsiTheme="minorHAnsi"/>
                <w:color w:val="000000"/>
                <w:sz w:val="20"/>
                <w:szCs w:val="20"/>
              </w:rPr>
              <w:fldChar w:fldCharType="end"/>
            </w:r>
            <w:r>
              <w:rPr>
                <w:rFonts w:asciiTheme="minorHAnsi" w:hAnsiTheme="minorHAnsi"/>
                <w:color w:val="000000"/>
                <w:sz w:val="20"/>
                <w:szCs w:val="20"/>
              </w:rPr>
              <w:t>. Concessions of long-distance bus transportation</w:t>
            </w:r>
          </w:p>
          <w:p w:rsidR="00A41F30" w:rsidRPr="00D267C0" w:rsidRDefault="00A41F30" w:rsidP="00A41F30">
            <w:pPr>
              <w:pStyle w:val="ListParagraph"/>
              <w:spacing w:after="60"/>
              <w:ind w:left="0"/>
              <w:contextualSpacing w:val="0"/>
              <w:rPr>
                <w:rFonts w:asciiTheme="minorHAnsi" w:hAnsiTheme="minorHAnsi"/>
                <w:sz w:val="18"/>
                <w:szCs w:val="18"/>
              </w:rPr>
            </w:pPr>
            <w:r w:rsidRPr="00D267C0">
              <w:rPr>
                <w:rFonts w:asciiTheme="minorHAnsi" w:hAnsiTheme="minorHAnsi"/>
                <w:b/>
                <w:i/>
                <w:sz w:val="18"/>
                <w:szCs w:val="18"/>
                <w:u w:val="single"/>
              </w:rPr>
              <w:t>Spain</w:t>
            </w:r>
            <w:r w:rsidRPr="00D267C0">
              <w:rPr>
                <w:rFonts w:asciiTheme="minorHAnsi" w:hAnsiTheme="minorHAnsi"/>
                <w:sz w:val="18"/>
                <w:szCs w:val="18"/>
              </w:rPr>
              <w:t xml:space="preserve">. Spain is the only country that exclusively concessions long-distance bus services by public sector. </w:t>
            </w:r>
            <w:r>
              <w:rPr>
                <w:rFonts w:asciiTheme="minorHAnsi" w:hAnsiTheme="minorHAnsi"/>
                <w:sz w:val="18"/>
                <w:szCs w:val="18"/>
              </w:rPr>
              <w:t>T</w:t>
            </w:r>
            <w:r w:rsidRPr="00D267C0">
              <w:rPr>
                <w:rFonts w:asciiTheme="minorHAnsi" w:hAnsiTheme="minorHAnsi"/>
                <w:sz w:val="18"/>
                <w:szCs w:val="18"/>
              </w:rPr>
              <w:t xml:space="preserve">ransport authorities select long-distance bus services to be competitively tendered to private operators </w:t>
            </w:r>
            <w:r>
              <w:rPr>
                <w:rFonts w:asciiTheme="minorHAnsi" w:hAnsiTheme="minorHAnsi"/>
                <w:sz w:val="18"/>
                <w:szCs w:val="18"/>
              </w:rPr>
              <w:t>under</w:t>
            </w:r>
            <w:r w:rsidRPr="00D267C0">
              <w:rPr>
                <w:rFonts w:asciiTheme="minorHAnsi" w:hAnsiTheme="minorHAnsi"/>
                <w:sz w:val="18"/>
                <w:szCs w:val="18"/>
              </w:rPr>
              <w:t xml:space="preserve"> a concession agreement </w:t>
            </w:r>
            <w:r>
              <w:rPr>
                <w:rFonts w:asciiTheme="minorHAnsi" w:hAnsiTheme="minorHAnsi"/>
                <w:sz w:val="18"/>
                <w:szCs w:val="18"/>
              </w:rPr>
              <w:t>for</w:t>
            </w:r>
            <w:r w:rsidRPr="00D267C0">
              <w:rPr>
                <w:rFonts w:asciiTheme="minorHAnsi" w:hAnsiTheme="minorHAnsi"/>
                <w:sz w:val="18"/>
                <w:szCs w:val="18"/>
              </w:rPr>
              <w:t xml:space="preserve"> 8-20 years. Although a restricted market, some private operators are growing and </w:t>
            </w:r>
            <w:r>
              <w:rPr>
                <w:rFonts w:asciiTheme="minorHAnsi" w:hAnsiTheme="minorHAnsi"/>
                <w:sz w:val="18"/>
                <w:szCs w:val="18"/>
              </w:rPr>
              <w:t xml:space="preserve">now </w:t>
            </w:r>
            <w:r w:rsidRPr="00D267C0">
              <w:rPr>
                <w:rFonts w:asciiTheme="minorHAnsi" w:hAnsiTheme="minorHAnsi"/>
                <w:sz w:val="18"/>
                <w:szCs w:val="18"/>
              </w:rPr>
              <w:t xml:space="preserve">account for a significant </w:t>
            </w:r>
            <w:r>
              <w:rPr>
                <w:rFonts w:asciiTheme="minorHAnsi" w:hAnsiTheme="minorHAnsi"/>
                <w:sz w:val="18"/>
                <w:szCs w:val="18"/>
              </w:rPr>
              <w:t>market share. This situation emerged because the</w:t>
            </w:r>
            <w:r w:rsidRPr="00D267C0">
              <w:rPr>
                <w:rFonts w:asciiTheme="minorHAnsi" w:hAnsiTheme="minorHAnsi"/>
                <w:sz w:val="18"/>
                <w:szCs w:val="18"/>
              </w:rPr>
              <w:t xml:space="preserve"> rail sector </w:t>
            </w:r>
            <w:r>
              <w:rPr>
                <w:rFonts w:asciiTheme="minorHAnsi" w:hAnsiTheme="minorHAnsi"/>
                <w:sz w:val="18"/>
                <w:szCs w:val="18"/>
              </w:rPr>
              <w:t>is underdeveloped</w:t>
            </w:r>
            <w:r w:rsidRPr="00D267C0">
              <w:rPr>
                <w:rFonts w:asciiTheme="minorHAnsi" w:hAnsiTheme="minorHAnsi"/>
                <w:sz w:val="18"/>
                <w:szCs w:val="18"/>
              </w:rPr>
              <w:t xml:space="preserve"> Spain</w:t>
            </w:r>
            <w:r>
              <w:rPr>
                <w:rFonts w:asciiTheme="minorHAnsi" w:hAnsiTheme="minorHAnsi"/>
                <w:sz w:val="18"/>
                <w:szCs w:val="18"/>
              </w:rPr>
              <w:t xml:space="preserve"> so the </w:t>
            </w:r>
            <w:r w:rsidRPr="00D267C0">
              <w:rPr>
                <w:rFonts w:asciiTheme="minorHAnsi" w:hAnsiTheme="minorHAnsi"/>
                <w:sz w:val="18"/>
                <w:szCs w:val="18"/>
              </w:rPr>
              <w:t xml:space="preserve">long-distance bus market </w:t>
            </w:r>
            <w:r>
              <w:rPr>
                <w:rFonts w:asciiTheme="minorHAnsi" w:hAnsiTheme="minorHAnsi"/>
                <w:sz w:val="18"/>
                <w:szCs w:val="18"/>
              </w:rPr>
              <w:t>is critical for</w:t>
            </w:r>
            <w:r w:rsidRPr="00D267C0">
              <w:rPr>
                <w:rFonts w:asciiTheme="minorHAnsi" w:hAnsiTheme="minorHAnsi"/>
                <w:sz w:val="18"/>
                <w:szCs w:val="18"/>
              </w:rPr>
              <w:t xml:space="preserve"> intercity passenger connectivity</w:t>
            </w:r>
            <w:r>
              <w:rPr>
                <w:rFonts w:asciiTheme="minorHAnsi" w:hAnsiTheme="minorHAnsi"/>
                <w:sz w:val="18"/>
                <w:szCs w:val="18"/>
              </w:rPr>
              <w:t>. As a result, G</w:t>
            </w:r>
            <w:r w:rsidRPr="00D267C0">
              <w:rPr>
                <w:rFonts w:asciiTheme="minorHAnsi" w:hAnsiTheme="minorHAnsi"/>
                <w:sz w:val="18"/>
                <w:szCs w:val="18"/>
              </w:rPr>
              <w:t>overnment ensures these services are subsidized and tendered on a competitive basis</w:t>
            </w:r>
            <w:r>
              <w:rPr>
                <w:rFonts w:asciiTheme="minorHAnsi" w:hAnsiTheme="minorHAnsi"/>
                <w:sz w:val="18"/>
                <w:szCs w:val="18"/>
              </w:rPr>
              <w:t xml:space="preserve">. </w:t>
            </w:r>
          </w:p>
          <w:p w:rsidR="00A41F30" w:rsidRPr="00D267C0" w:rsidRDefault="00A41F30" w:rsidP="00A41F30">
            <w:pPr>
              <w:pStyle w:val="ListParagraph"/>
              <w:spacing w:after="60"/>
              <w:ind w:left="0"/>
              <w:contextualSpacing w:val="0"/>
              <w:rPr>
                <w:rFonts w:asciiTheme="minorHAnsi" w:hAnsiTheme="minorHAnsi"/>
                <w:sz w:val="18"/>
                <w:szCs w:val="18"/>
              </w:rPr>
            </w:pPr>
            <w:r w:rsidRPr="00D267C0">
              <w:rPr>
                <w:rFonts w:asciiTheme="minorHAnsi" w:hAnsiTheme="minorHAnsi"/>
                <w:b/>
                <w:i/>
                <w:sz w:val="18"/>
                <w:szCs w:val="18"/>
                <w:u w:val="single"/>
              </w:rPr>
              <w:t>Sweden</w:t>
            </w:r>
            <w:r w:rsidRPr="00D267C0">
              <w:rPr>
                <w:rFonts w:asciiTheme="minorHAnsi" w:hAnsiTheme="minorHAnsi"/>
                <w:sz w:val="18"/>
                <w:szCs w:val="18"/>
              </w:rPr>
              <w:t>. In 1999, the intercity bus sector was almost fully deregulated</w:t>
            </w:r>
            <w:r>
              <w:rPr>
                <w:rFonts w:asciiTheme="minorHAnsi" w:hAnsiTheme="minorHAnsi"/>
                <w:sz w:val="18"/>
                <w:szCs w:val="18"/>
              </w:rPr>
              <w:t xml:space="preserve">; </w:t>
            </w:r>
            <w:r w:rsidRPr="00D267C0">
              <w:rPr>
                <w:rFonts w:asciiTheme="minorHAnsi" w:hAnsiTheme="minorHAnsi"/>
                <w:sz w:val="18"/>
                <w:szCs w:val="18"/>
              </w:rPr>
              <w:t>local authorit</w:t>
            </w:r>
            <w:r>
              <w:rPr>
                <w:rFonts w:asciiTheme="minorHAnsi" w:hAnsiTheme="minorHAnsi"/>
                <w:sz w:val="18"/>
                <w:szCs w:val="18"/>
              </w:rPr>
              <w:t>ies maintain</w:t>
            </w:r>
            <w:r w:rsidRPr="00D267C0">
              <w:rPr>
                <w:rFonts w:asciiTheme="minorHAnsi" w:hAnsiTheme="minorHAnsi"/>
                <w:sz w:val="18"/>
                <w:szCs w:val="18"/>
              </w:rPr>
              <w:t xml:space="preserve"> control over bus stop locations. Since full deregulation</w:t>
            </w:r>
            <w:r>
              <w:rPr>
                <w:rFonts w:asciiTheme="minorHAnsi" w:hAnsiTheme="minorHAnsi"/>
                <w:sz w:val="18"/>
                <w:szCs w:val="18"/>
              </w:rPr>
              <w:t>,</w:t>
            </w:r>
            <w:r w:rsidRPr="00D267C0">
              <w:rPr>
                <w:rFonts w:asciiTheme="minorHAnsi" w:hAnsiTheme="minorHAnsi"/>
                <w:sz w:val="18"/>
                <w:szCs w:val="18"/>
              </w:rPr>
              <w:t xml:space="preserve"> substantial privatization </w:t>
            </w:r>
            <w:r>
              <w:rPr>
                <w:rFonts w:asciiTheme="minorHAnsi" w:hAnsiTheme="minorHAnsi"/>
                <w:sz w:val="18"/>
                <w:szCs w:val="18"/>
              </w:rPr>
              <w:t>was carried out and now</w:t>
            </w:r>
            <w:r w:rsidRPr="00D267C0">
              <w:rPr>
                <w:rFonts w:asciiTheme="minorHAnsi" w:hAnsiTheme="minorHAnsi"/>
                <w:sz w:val="18"/>
                <w:szCs w:val="18"/>
              </w:rPr>
              <w:t xml:space="preserve"> almost 90</w:t>
            </w:r>
            <w:r>
              <w:rPr>
                <w:rFonts w:asciiTheme="minorHAnsi" w:hAnsiTheme="minorHAnsi"/>
                <w:sz w:val="18"/>
                <w:szCs w:val="18"/>
              </w:rPr>
              <w:t xml:space="preserve"> percent of </w:t>
            </w:r>
            <w:r w:rsidRPr="00D267C0">
              <w:rPr>
                <w:rFonts w:asciiTheme="minorHAnsi" w:hAnsiTheme="minorHAnsi"/>
                <w:sz w:val="18"/>
                <w:szCs w:val="18"/>
              </w:rPr>
              <w:t xml:space="preserve">intercity buses </w:t>
            </w:r>
            <w:r>
              <w:rPr>
                <w:rFonts w:asciiTheme="minorHAnsi" w:hAnsiTheme="minorHAnsi"/>
                <w:sz w:val="18"/>
                <w:szCs w:val="18"/>
              </w:rPr>
              <w:t>operate</w:t>
            </w:r>
            <w:r w:rsidRPr="00D267C0">
              <w:rPr>
                <w:rFonts w:asciiTheme="minorHAnsi" w:hAnsiTheme="minorHAnsi"/>
                <w:sz w:val="18"/>
                <w:szCs w:val="18"/>
              </w:rPr>
              <w:t xml:space="preserve"> on a commercial basis, the rest </w:t>
            </w:r>
            <w:r>
              <w:rPr>
                <w:rFonts w:asciiTheme="minorHAnsi" w:hAnsiTheme="minorHAnsi"/>
                <w:sz w:val="18"/>
                <w:szCs w:val="18"/>
              </w:rPr>
              <w:t>operate</w:t>
            </w:r>
            <w:r w:rsidRPr="00D267C0">
              <w:rPr>
                <w:rFonts w:asciiTheme="minorHAnsi" w:hAnsiTheme="minorHAnsi"/>
                <w:sz w:val="18"/>
                <w:szCs w:val="18"/>
              </w:rPr>
              <w:t xml:space="preserve"> under contracts </w:t>
            </w:r>
            <w:r>
              <w:rPr>
                <w:rFonts w:asciiTheme="minorHAnsi" w:hAnsiTheme="minorHAnsi"/>
                <w:sz w:val="18"/>
                <w:szCs w:val="18"/>
              </w:rPr>
              <w:t>to</w:t>
            </w:r>
            <w:r w:rsidRPr="00D267C0">
              <w:rPr>
                <w:rFonts w:asciiTheme="minorHAnsi" w:hAnsiTheme="minorHAnsi"/>
                <w:sz w:val="18"/>
                <w:szCs w:val="18"/>
              </w:rPr>
              <w:t xml:space="preserve"> local authorities. Local authorities concession strategic routes to </w:t>
            </w:r>
            <w:r>
              <w:rPr>
                <w:rFonts w:asciiTheme="minorHAnsi" w:hAnsiTheme="minorHAnsi"/>
                <w:sz w:val="18"/>
                <w:szCs w:val="18"/>
              </w:rPr>
              <w:t xml:space="preserve">the </w:t>
            </w:r>
            <w:r w:rsidRPr="00D267C0">
              <w:rPr>
                <w:rFonts w:asciiTheme="minorHAnsi" w:hAnsiTheme="minorHAnsi"/>
                <w:sz w:val="18"/>
                <w:szCs w:val="18"/>
              </w:rPr>
              <w:t>private sector and subsidi</w:t>
            </w:r>
            <w:r>
              <w:rPr>
                <w:rFonts w:asciiTheme="minorHAnsi" w:hAnsiTheme="minorHAnsi"/>
                <w:sz w:val="18"/>
                <w:szCs w:val="18"/>
              </w:rPr>
              <w:t>ze</w:t>
            </w:r>
            <w:r w:rsidRPr="00D267C0">
              <w:rPr>
                <w:rFonts w:asciiTheme="minorHAnsi" w:hAnsiTheme="minorHAnsi"/>
                <w:sz w:val="18"/>
                <w:szCs w:val="18"/>
              </w:rPr>
              <w:t xml:space="preserve"> where necessary to ensure passengers are accommodated on important strategic routes such as </w:t>
            </w:r>
            <w:r>
              <w:rPr>
                <w:rFonts w:asciiTheme="minorHAnsi" w:hAnsiTheme="minorHAnsi"/>
                <w:sz w:val="18"/>
                <w:szCs w:val="18"/>
              </w:rPr>
              <w:t xml:space="preserve">to </w:t>
            </w:r>
            <w:r w:rsidRPr="00D267C0">
              <w:rPr>
                <w:rFonts w:asciiTheme="minorHAnsi" w:hAnsiTheme="minorHAnsi"/>
                <w:sz w:val="18"/>
                <w:szCs w:val="18"/>
              </w:rPr>
              <w:t>schools and health services</w:t>
            </w:r>
            <w:r>
              <w:rPr>
                <w:rFonts w:asciiTheme="minorHAnsi" w:hAnsiTheme="minorHAnsi"/>
                <w:sz w:val="18"/>
                <w:szCs w:val="18"/>
              </w:rPr>
              <w:t>,</w:t>
            </w:r>
            <w:r w:rsidRPr="00D267C0">
              <w:rPr>
                <w:rFonts w:asciiTheme="minorHAnsi" w:hAnsiTheme="minorHAnsi"/>
                <w:sz w:val="18"/>
                <w:szCs w:val="18"/>
              </w:rPr>
              <w:t xml:space="preserve"> for example.</w:t>
            </w:r>
          </w:p>
          <w:p w:rsidR="006C5F9A" w:rsidRPr="005C37AE" w:rsidRDefault="006C5F9A" w:rsidP="004C01FB">
            <w:pPr>
              <w:pStyle w:val="ListParagraph"/>
              <w:spacing w:after="60"/>
              <w:ind w:left="0"/>
              <w:contextualSpacing w:val="0"/>
              <w:rPr>
                <w:b/>
                <w:i/>
              </w:rPr>
            </w:pPr>
            <w:r w:rsidRPr="00D267C0">
              <w:rPr>
                <w:rFonts w:asciiTheme="minorHAnsi" w:hAnsiTheme="minorHAnsi"/>
                <w:i/>
                <w:sz w:val="18"/>
                <w:szCs w:val="18"/>
              </w:rPr>
              <w:t>Source: Van de Velde, D. (2010)</w:t>
            </w:r>
            <w:r w:rsidRPr="005C37AE">
              <w:rPr>
                <w:rFonts w:asciiTheme="minorHAnsi" w:hAnsiTheme="minorHAnsi"/>
                <w:i/>
                <w:sz w:val="20"/>
                <w:szCs w:val="20"/>
              </w:rPr>
              <w:t xml:space="preserve"> </w:t>
            </w:r>
          </w:p>
        </w:tc>
      </w:tr>
    </w:tbl>
    <w:p w:rsidR="006C5F9A" w:rsidRDefault="006C5F9A" w:rsidP="006C5F9A">
      <w:pPr>
        <w:spacing w:after="0"/>
        <w:rPr>
          <w:b/>
        </w:rPr>
      </w:pPr>
    </w:p>
    <w:p w:rsidR="006C5F9A" w:rsidRDefault="00DE044E" w:rsidP="003A7B57">
      <w:r w:rsidRPr="003A7B57">
        <w:rPr>
          <w:b/>
        </w:rPr>
        <w:t>Investments: improving the quality of infrastructure and consumer amenities</w:t>
      </w:r>
      <w:r w:rsidR="00C25207">
        <w:rPr>
          <w:b/>
        </w:rPr>
        <w:t xml:space="preserve"> through public and private investments</w:t>
      </w:r>
      <w:r w:rsidRPr="003A7B57">
        <w:rPr>
          <w:b/>
        </w:rPr>
        <w:t xml:space="preserve">.  </w:t>
      </w:r>
      <w:r>
        <w:t xml:space="preserve">Currently, infrastructure </w:t>
      </w:r>
      <w:r w:rsidR="00A41F30">
        <w:t xml:space="preserve">in cities is limited </w:t>
      </w:r>
      <w:r>
        <w:t xml:space="preserve">for intercity buses, </w:t>
      </w:r>
      <w:r w:rsidR="00AA3F1A">
        <w:t xml:space="preserve">and </w:t>
      </w:r>
      <w:r>
        <w:t>coupled with a fragmented bus market</w:t>
      </w:r>
      <w:r w:rsidR="00A41F30">
        <w:t>,</w:t>
      </w:r>
      <w:r>
        <w:t xml:space="preserve"> has </w:t>
      </w:r>
      <w:r w:rsidR="006C5F9A">
        <w:t xml:space="preserve">contributed to </w:t>
      </w:r>
      <w:r>
        <w:t xml:space="preserve">traffic congestion and poor </w:t>
      </w:r>
      <w:r w:rsidR="00A41F30">
        <w:t xml:space="preserve">service </w:t>
      </w:r>
      <w:r>
        <w:t>level</w:t>
      </w:r>
      <w:r w:rsidR="00A41F30">
        <w:t>s</w:t>
      </w:r>
      <w:r>
        <w:t xml:space="preserve"> </w:t>
      </w:r>
      <w:r w:rsidR="00A41F30">
        <w:t xml:space="preserve">for </w:t>
      </w:r>
      <w:r>
        <w:t xml:space="preserve">users. </w:t>
      </w:r>
      <w:r w:rsidR="006C5F9A">
        <w:t xml:space="preserve">International experience suggest that appropriate infrastructure </w:t>
      </w:r>
      <w:r w:rsidR="0089383D">
        <w:t xml:space="preserve">can be provided </w:t>
      </w:r>
      <w:r w:rsidR="006C5F9A">
        <w:t xml:space="preserve">with little burden on </w:t>
      </w:r>
      <w:r w:rsidR="0089383D">
        <w:t xml:space="preserve">the </w:t>
      </w:r>
      <w:r w:rsidR="006C5F9A">
        <w:t xml:space="preserve">municipal budget.  </w:t>
      </w:r>
      <w:r w:rsidR="00A41F30">
        <w:t>O</w:t>
      </w:r>
      <w:r w:rsidR="006C5F9A">
        <w:t>ptions include the following:</w:t>
      </w:r>
    </w:p>
    <w:p w:rsidR="00DE044E" w:rsidRDefault="00DE044E" w:rsidP="00197EC3">
      <w:pPr>
        <w:pStyle w:val="ListParagraph"/>
        <w:numPr>
          <w:ilvl w:val="0"/>
          <w:numId w:val="8"/>
        </w:numPr>
        <w:spacing w:after="60"/>
        <w:contextualSpacing w:val="0"/>
      </w:pPr>
      <w:r w:rsidRPr="005C37AE">
        <w:rPr>
          <w:u w:val="single"/>
        </w:rPr>
        <w:t>Option 1</w:t>
      </w:r>
      <w:r w:rsidR="005C37AE" w:rsidRPr="005C37AE">
        <w:rPr>
          <w:u w:val="single"/>
        </w:rPr>
        <w:t>:</w:t>
      </w:r>
      <w:r w:rsidRPr="005C37AE">
        <w:rPr>
          <w:u w:val="single"/>
        </w:rPr>
        <w:t xml:space="preserve"> </w:t>
      </w:r>
      <w:r w:rsidR="005C37AE" w:rsidRPr="005C37AE">
        <w:rPr>
          <w:u w:val="single"/>
        </w:rPr>
        <w:t>Provide curbside parking</w:t>
      </w:r>
      <w:r>
        <w:t xml:space="preserve">. </w:t>
      </w:r>
      <w:r w:rsidR="00CD10EF">
        <w:t xml:space="preserve"> </w:t>
      </w:r>
      <w:r>
        <w:t xml:space="preserve">Local authorities can regulate parking locations and charge bus companies a fee for </w:t>
      </w:r>
      <w:r w:rsidR="00CD10EF">
        <w:t xml:space="preserve">curbside </w:t>
      </w:r>
      <w:r>
        <w:t>parking space</w:t>
      </w:r>
      <w:r w:rsidR="00CD10EF">
        <w:t>s</w:t>
      </w:r>
      <w:r>
        <w:t xml:space="preserve">. This option should be considered </w:t>
      </w:r>
      <w:r w:rsidR="00CD10EF">
        <w:t xml:space="preserve">only </w:t>
      </w:r>
      <w:r>
        <w:t xml:space="preserve">if </w:t>
      </w:r>
      <w:r w:rsidR="00CD10EF">
        <w:t xml:space="preserve">it creates </w:t>
      </w:r>
      <w:r>
        <w:t xml:space="preserve">minimal disruption to traffic and </w:t>
      </w:r>
      <w:r w:rsidR="00CD10EF">
        <w:t xml:space="preserve">poses </w:t>
      </w:r>
      <w:r>
        <w:t xml:space="preserve">no safety risks for </w:t>
      </w:r>
      <w:r w:rsidR="00CD10EF">
        <w:t xml:space="preserve">waiting or disembarking </w:t>
      </w:r>
      <w:r>
        <w:t xml:space="preserve">passengers. </w:t>
      </w:r>
      <w:r w:rsidR="0089383D">
        <w:t xml:space="preserve"> </w:t>
      </w:r>
      <w:r w:rsidR="00CD10EF">
        <w:t xml:space="preserve">Curbside parking </w:t>
      </w:r>
      <w:r w:rsidR="0089383D">
        <w:t xml:space="preserve">may be </w:t>
      </w:r>
      <w:r w:rsidR="00CD10EF">
        <w:t>in</w:t>
      </w:r>
      <w:r w:rsidR="0089383D">
        <w:t xml:space="preserve">appropriate </w:t>
      </w:r>
      <w:r w:rsidR="00CD10EF">
        <w:t xml:space="preserve">for </w:t>
      </w:r>
      <w:r w:rsidR="0089383D">
        <w:t xml:space="preserve">high-frequency intercity bus services </w:t>
      </w:r>
      <w:r w:rsidR="00CD10EF">
        <w:t>with multiple operators competing</w:t>
      </w:r>
      <w:r w:rsidR="0089383D">
        <w:t xml:space="preserve"> for the space.</w:t>
      </w:r>
    </w:p>
    <w:p w:rsidR="00DE044E" w:rsidRDefault="00DE044E" w:rsidP="00197EC3">
      <w:pPr>
        <w:pStyle w:val="ListParagraph"/>
        <w:numPr>
          <w:ilvl w:val="0"/>
          <w:numId w:val="8"/>
        </w:numPr>
        <w:spacing w:after="60"/>
        <w:contextualSpacing w:val="0"/>
      </w:pPr>
      <w:r w:rsidRPr="00315E1E">
        <w:rPr>
          <w:u w:val="single"/>
        </w:rPr>
        <w:t>Option 2</w:t>
      </w:r>
      <w:r w:rsidR="005C37AE" w:rsidRPr="00315E1E">
        <w:rPr>
          <w:u w:val="single"/>
        </w:rPr>
        <w:t>:</w:t>
      </w:r>
      <w:r w:rsidRPr="00315E1E">
        <w:rPr>
          <w:u w:val="single"/>
        </w:rPr>
        <w:t xml:space="preserve"> Contract </w:t>
      </w:r>
      <w:r w:rsidR="00CD10EF">
        <w:rPr>
          <w:u w:val="single"/>
        </w:rPr>
        <w:t xml:space="preserve">the private sector for </w:t>
      </w:r>
      <w:r w:rsidRPr="00315E1E">
        <w:rPr>
          <w:u w:val="single"/>
        </w:rPr>
        <w:t xml:space="preserve">Design, Build, Finance and Operation (DBFO) concessions for </w:t>
      </w:r>
      <w:r w:rsidR="005C37AE" w:rsidRPr="00315E1E">
        <w:rPr>
          <w:u w:val="single"/>
        </w:rPr>
        <w:t>intercity transport terminals (possibly intermodal)</w:t>
      </w:r>
      <w:r>
        <w:t xml:space="preserve">. </w:t>
      </w:r>
      <w:r w:rsidR="005C37AE">
        <w:t xml:space="preserve"> </w:t>
      </w:r>
      <w:r>
        <w:t xml:space="preserve">An Intermodal Transportation Hub is a large </w:t>
      </w:r>
      <w:r w:rsidR="00CD10EF">
        <w:t xml:space="preserve">multi-modal </w:t>
      </w:r>
      <w:r>
        <w:t xml:space="preserve">terminal </w:t>
      </w:r>
      <w:r w:rsidR="00CD10EF">
        <w:t xml:space="preserve">that includes </w:t>
      </w:r>
      <w:r>
        <w:t>rail, commuter rail (metro) and bus services</w:t>
      </w:r>
      <w:r w:rsidR="0089383D">
        <w:t xml:space="preserve"> (Box </w:t>
      </w:r>
      <w:r w:rsidR="00AA3F1A">
        <w:t>10</w:t>
      </w:r>
      <w:r w:rsidR="0089383D">
        <w:t>)</w:t>
      </w:r>
      <w:r>
        <w:t xml:space="preserve">. </w:t>
      </w:r>
      <w:r w:rsidR="0089383D">
        <w:t xml:space="preserve"> </w:t>
      </w:r>
      <w:r w:rsidR="00CD10EF">
        <w:t>Public transportation connects p</w:t>
      </w:r>
      <w:r>
        <w:t xml:space="preserve">assengers to each hub </w:t>
      </w:r>
      <w:r w:rsidR="00CD10EF">
        <w:t xml:space="preserve">where they can select a </w:t>
      </w:r>
      <w:r>
        <w:t xml:space="preserve">mode of intercity transportation </w:t>
      </w:r>
      <w:r w:rsidR="00CD10EF">
        <w:t xml:space="preserve">to </w:t>
      </w:r>
      <w:r>
        <w:t>other hubs.</w:t>
      </w:r>
      <w:r w:rsidR="0089383D">
        <w:t xml:space="preserve"> Municipalities </w:t>
      </w:r>
      <w:r>
        <w:t xml:space="preserve">can </w:t>
      </w:r>
      <w:r w:rsidR="0089383D">
        <w:t xml:space="preserve">enter a </w:t>
      </w:r>
      <w:r w:rsidR="00CD10EF">
        <w:t xml:space="preserve">time-bound </w:t>
      </w:r>
      <w:r>
        <w:t xml:space="preserve">concession </w:t>
      </w:r>
      <w:r w:rsidR="0089383D">
        <w:t>agreement with a terminal developer</w:t>
      </w:r>
      <w:r>
        <w:t xml:space="preserve">. The concessionaire </w:t>
      </w:r>
      <w:r w:rsidR="0089383D">
        <w:t>will generate</w:t>
      </w:r>
      <w:r>
        <w:t xml:space="preserve"> revenue</w:t>
      </w:r>
      <w:r w:rsidR="0089383D">
        <w:t>s</w:t>
      </w:r>
      <w:r>
        <w:t xml:space="preserve"> from </w:t>
      </w:r>
      <w:r w:rsidR="00CD10EF">
        <w:t xml:space="preserve">operator </w:t>
      </w:r>
      <w:r w:rsidR="0089383D">
        <w:t xml:space="preserve">usage fees </w:t>
      </w:r>
      <w:r>
        <w:t xml:space="preserve">and </w:t>
      </w:r>
      <w:r w:rsidR="00CD10EF">
        <w:t xml:space="preserve">from </w:t>
      </w:r>
      <w:r w:rsidRPr="001B666D">
        <w:t>consumer amenities such as shops and restaurants</w:t>
      </w:r>
      <w:r>
        <w:t xml:space="preserve">. </w:t>
      </w:r>
      <w:r w:rsidR="00CD10EF">
        <w:t xml:space="preserve"> H</w:t>
      </w:r>
      <w:r>
        <w:t xml:space="preserve">ubs </w:t>
      </w:r>
      <w:r w:rsidR="00CD10EF">
        <w:t xml:space="preserve">facilitate easy </w:t>
      </w:r>
      <w:r w:rsidR="0089383D">
        <w:t>connections and transfers</w:t>
      </w:r>
      <w:r w:rsidR="00CD10EF">
        <w:t>, which can expand</w:t>
      </w:r>
      <w:r w:rsidR="0089383D">
        <w:t xml:space="preserve"> the </w:t>
      </w:r>
      <w:r w:rsidR="00CD10EF">
        <w:t xml:space="preserve">passenger base for </w:t>
      </w:r>
      <w:r w:rsidR="0089383D">
        <w:t>public transport.</w:t>
      </w:r>
      <w:r w:rsidR="00CD10EF">
        <w:t xml:space="preserve"> </w:t>
      </w:r>
      <w:r w:rsidR="0089383D">
        <w:t xml:space="preserve"> Existing bus terminal</w:t>
      </w:r>
      <w:r w:rsidR="00CD10EF">
        <w:t>s</w:t>
      </w:r>
      <w:r w:rsidR="0089383D">
        <w:t xml:space="preserve"> or railway station</w:t>
      </w:r>
      <w:r w:rsidR="00CD10EF">
        <w:t>s</w:t>
      </w:r>
      <w:r w:rsidR="0089383D">
        <w:t xml:space="preserve"> </w:t>
      </w:r>
      <w:r w:rsidR="00CD10EF">
        <w:t xml:space="preserve">can </w:t>
      </w:r>
      <w:r w:rsidR="0089383D">
        <w:t>be rehabilitated or retrofitted</w:t>
      </w:r>
      <w:r w:rsidR="00CD10EF">
        <w:t xml:space="preserve"> to create hubs</w:t>
      </w:r>
      <w:r w:rsidR="0089383D">
        <w:t>.</w:t>
      </w:r>
    </w:p>
    <w:p w:rsidR="006C5F9A" w:rsidRDefault="006C5F9A" w:rsidP="006C5F9A">
      <w:r>
        <w:t xml:space="preserve">Furthermore, </w:t>
      </w:r>
      <w:r w:rsidR="004C01FB">
        <w:t xml:space="preserve">intercity bus terminals </w:t>
      </w:r>
      <w:r w:rsidR="00CD10EF">
        <w:t xml:space="preserve">could </w:t>
      </w:r>
      <w:r w:rsidR="004C01FB">
        <w:t xml:space="preserve">also be used for </w:t>
      </w:r>
      <w:r>
        <w:t xml:space="preserve">regular vehicles </w:t>
      </w:r>
      <w:r w:rsidR="00CD10EF">
        <w:t xml:space="preserve">inspections </w:t>
      </w:r>
      <w:r>
        <w:t xml:space="preserve">to ensure environmental and safety standards are met. </w:t>
      </w:r>
      <w:r w:rsidR="004C01FB">
        <w:t xml:space="preserve"> A strong enforcement mechanism </w:t>
      </w:r>
      <w:r w:rsidR="00CD10EF">
        <w:t xml:space="preserve">should </w:t>
      </w:r>
      <w:r w:rsidR="004C01FB">
        <w:t xml:space="preserve">be combined with </w:t>
      </w:r>
      <w:r w:rsidR="00CD10EF">
        <w:t xml:space="preserve">meaningful </w:t>
      </w:r>
      <w:r w:rsidR="004C01FB">
        <w:t xml:space="preserve">penalties </w:t>
      </w:r>
      <w:r w:rsidR="00CD10EF">
        <w:t xml:space="preserve">for </w:t>
      </w:r>
      <w:r w:rsidR="004C01FB">
        <w:t xml:space="preserve">non-compliance, such as a ban </w:t>
      </w:r>
      <w:r w:rsidR="00CD10EF">
        <w:t xml:space="preserve">on </w:t>
      </w:r>
      <w:r w:rsidR="004C01FB">
        <w:t>using the terminal facility.</w:t>
      </w:r>
    </w:p>
    <w:p w:rsidR="006E27BC" w:rsidRPr="00EE1E38" w:rsidRDefault="006E27BC" w:rsidP="006C5F9A"/>
    <w:tbl>
      <w:tblPr>
        <w:tblStyle w:val="TableGrid"/>
        <w:tblW w:w="0" w:type="auto"/>
        <w:tblInd w:w="108" w:type="dxa"/>
        <w:tblLook w:val="04A0"/>
      </w:tblPr>
      <w:tblGrid>
        <w:gridCol w:w="9360"/>
      </w:tblGrid>
      <w:tr w:rsidR="00DE044E" w:rsidTr="003A7B57">
        <w:tc>
          <w:tcPr>
            <w:tcW w:w="9360" w:type="dxa"/>
          </w:tcPr>
          <w:p w:rsidR="00DE044E" w:rsidRPr="00D24AAF" w:rsidRDefault="005C37AE" w:rsidP="005C37AE">
            <w:pPr>
              <w:pStyle w:val="Caption"/>
              <w:spacing w:after="120"/>
              <w:rPr>
                <w:rFonts w:asciiTheme="minorHAnsi" w:hAnsiTheme="minorHAnsi"/>
                <w:color w:val="000000"/>
                <w:sz w:val="20"/>
                <w:szCs w:val="20"/>
              </w:rPr>
            </w:pPr>
            <w:r w:rsidRPr="00D24AAF">
              <w:rPr>
                <w:rFonts w:asciiTheme="minorHAnsi" w:hAnsiTheme="minorHAnsi"/>
                <w:color w:val="000000"/>
                <w:sz w:val="20"/>
                <w:szCs w:val="20"/>
              </w:rPr>
              <w:t xml:space="preserve">Box </w:t>
            </w:r>
            <w:r w:rsidR="001A7AF8" w:rsidRPr="00D24AAF">
              <w:rPr>
                <w:rFonts w:asciiTheme="minorHAnsi" w:hAnsiTheme="minorHAnsi"/>
                <w:color w:val="000000"/>
                <w:sz w:val="20"/>
                <w:szCs w:val="20"/>
              </w:rPr>
              <w:fldChar w:fldCharType="begin"/>
            </w:r>
            <w:r w:rsidRPr="00D24AAF">
              <w:rPr>
                <w:rFonts w:asciiTheme="minorHAnsi" w:hAnsiTheme="minorHAnsi"/>
                <w:color w:val="000000"/>
                <w:sz w:val="20"/>
                <w:szCs w:val="20"/>
              </w:rPr>
              <w:instrText xml:space="preserve"> SEQ Box \* ARABIC </w:instrText>
            </w:r>
            <w:r w:rsidR="001A7AF8" w:rsidRPr="00D24AAF">
              <w:rPr>
                <w:rFonts w:asciiTheme="minorHAnsi" w:hAnsiTheme="minorHAnsi"/>
                <w:color w:val="000000"/>
                <w:sz w:val="20"/>
                <w:szCs w:val="20"/>
              </w:rPr>
              <w:fldChar w:fldCharType="separate"/>
            </w:r>
            <w:r w:rsidR="00AA3F1A">
              <w:rPr>
                <w:rFonts w:asciiTheme="minorHAnsi" w:hAnsiTheme="minorHAnsi"/>
                <w:noProof/>
                <w:color w:val="000000"/>
                <w:sz w:val="20"/>
                <w:szCs w:val="20"/>
              </w:rPr>
              <w:t>10</w:t>
            </w:r>
            <w:r w:rsidR="001A7AF8" w:rsidRPr="00D24AAF">
              <w:rPr>
                <w:rFonts w:asciiTheme="minorHAnsi" w:hAnsiTheme="minorHAnsi"/>
                <w:color w:val="000000"/>
                <w:sz w:val="20"/>
                <w:szCs w:val="20"/>
              </w:rPr>
              <w:fldChar w:fldCharType="end"/>
            </w:r>
            <w:r w:rsidR="00DE044E">
              <w:rPr>
                <w:rFonts w:asciiTheme="minorHAnsi" w:hAnsiTheme="minorHAnsi"/>
                <w:color w:val="000000"/>
                <w:sz w:val="20"/>
                <w:szCs w:val="20"/>
              </w:rPr>
              <w:t xml:space="preserve">. </w:t>
            </w:r>
            <w:r w:rsidR="00DE044E" w:rsidRPr="00D24AAF">
              <w:rPr>
                <w:rFonts w:asciiTheme="minorHAnsi" w:hAnsiTheme="minorHAnsi"/>
                <w:color w:val="000000"/>
                <w:sz w:val="20"/>
                <w:szCs w:val="20"/>
              </w:rPr>
              <w:t xml:space="preserve"> </w:t>
            </w:r>
            <w:r w:rsidR="00DE044E">
              <w:rPr>
                <w:rFonts w:asciiTheme="minorHAnsi" w:hAnsiTheme="minorHAnsi"/>
                <w:color w:val="000000"/>
                <w:sz w:val="20"/>
                <w:szCs w:val="20"/>
              </w:rPr>
              <w:t xml:space="preserve">Intermodal Transportation Hub at South Station Train Terminal, Boston, USA </w:t>
            </w:r>
          </w:p>
          <w:p w:rsidR="00CD10EF" w:rsidRDefault="00CD10EF" w:rsidP="00CD10EF">
            <w:pPr>
              <w:pStyle w:val="ListParagraph"/>
              <w:spacing w:after="60"/>
              <w:ind w:left="0"/>
              <w:contextualSpacing w:val="0"/>
              <w:rPr>
                <w:rFonts w:asciiTheme="minorHAnsi" w:hAnsiTheme="minorHAnsi"/>
                <w:sz w:val="18"/>
                <w:szCs w:val="18"/>
              </w:rPr>
            </w:pPr>
            <w:r w:rsidRPr="00D41559">
              <w:rPr>
                <w:rFonts w:asciiTheme="minorHAnsi" w:hAnsiTheme="minorHAnsi"/>
                <w:sz w:val="18"/>
                <w:szCs w:val="18"/>
              </w:rPr>
              <w:t xml:space="preserve">Boston’s historic South Station is </w:t>
            </w:r>
            <w:r>
              <w:rPr>
                <w:rFonts w:asciiTheme="minorHAnsi" w:hAnsiTheme="minorHAnsi"/>
                <w:sz w:val="18"/>
                <w:szCs w:val="18"/>
              </w:rPr>
              <w:t>legendary</w:t>
            </w:r>
            <w:r w:rsidRPr="00D41559">
              <w:rPr>
                <w:rFonts w:asciiTheme="minorHAnsi" w:hAnsiTheme="minorHAnsi"/>
                <w:sz w:val="18"/>
                <w:szCs w:val="18"/>
              </w:rPr>
              <w:t xml:space="preserve"> in USA transport history. </w:t>
            </w:r>
            <w:r>
              <w:rPr>
                <w:rFonts w:asciiTheme="minorHAnsi" w:hAnsiTheme="minorHAnsi"/>
                <w:sz w:val="18"/>
                <w:szCs w:val="18"/>
              </w:rPr>
              <w:t>T</w:t>
            </w:r>
            <w:r w:rsidRPr="00D41559">
              <w:rPr>
                <w:rFonts w:asciiTheme="minorHAnsi" w:hAnsiTheme="minorHAnsi"/>
                <w:sz w:val="18"/>
                <w:szCs w:val="18"/>
              </w:rPr>
              <w:t xml:space="preserve">he railway station was built </w:t>
            </w:r>
            <w:r>
              <w:rPr>
                <w:rFonts w:asciiTheme="minorHAnsi" w:hAnsiTheme="minorHAnsi"/>
                <w:sz w:val="18"/>
                <w:szCs w:val="18"/>
              </w:rPr>
              <w:t>in 1899 when it</w:t>
            </w:r>
            <w:r w:rsidRPr="00D41559">
              <w:rPr>
                <w:rFonts w:asciiTheme="minorHAnsi" w:hAnsiTheme="minorHAnsi"/>
                <w:sz w:val="18"/>
                <w:szCs w:val="18"/>
              </w:rPr>
              <w:t xml:space="preserve"> was one of the largest stations in the world</w:t>
            </w:r>
            <w:r>
              <w:rPr>
                <w:rFonts w:asciiTheme="minorHAnsi" w:hAnsiTheme="minorHAnsi"/>
                <w:sz w:val="18"/>
                <w:szCs w:val="18"/>
              </w:rPr>
              <w:t>,</w:t>
            </w:r>
            <w:r w:rsidRPr="00D41559">
              <w:rPr>
                <w:rFonts w:asciiTheme="minorHAnsi" w:hAnsiTheme="minorHAnsi"/>
                <w:sz w:val="18"/>
                <w:szCs w:val="18"/>
              </w:rPr>
              <w:t xml:space="preserve"> serving </w:t>
            </w:r>
            <w:r>
              <w:rPr>
                <w:rFonts w:asciiTheme="minorHAnsi" w:hAnsiTheme="minorHAnsi"/>
                <w:sz w:val="18"/>
                <w:szCs w:val="18"/>
              </w:rPr>
              <w:t>about</w:t>
            </w:r>
            <w:r w:rsidRPr="00D41559">
              <w:rPr>
                <w:rFonts w:asciiTheme="minorHAnsi" w:hAnsiTheme="minorHAnsi"/>
                <w:sz w:val="18"/>
                <w:szCs w:val="18"/>
              </w:rPr>
              <w:t xml:space="preserve"> 40 million passengers each year. Not only did it accommodate trains and passengers, but also provided consumer amenities such as shops, restaurants and hotel services. </w:t>
            </w:r>
            <w:r>
              <w:rPr>
                <w:rFonts w:asciiTheme="minorHAnsi" w:hAnsiTheme="minorHAnsi"/>
                <w:sz w:val="18"/>
                <w:szCs w:val="18"/>
              </w:rPr>
              <w:t>Over the years, t</w:t>
            </w:r>
            <w:r w:rsidRPr="00D41559">
              <w:rPr>
                <w:rFonts w:asciiTheme="minorHAnsi" w:hAnsiTheme="minorHAnsi"/>
                <w:sz w:val="18"/>
                <w:szCs w:val="18"/>
              </w:rPr>
              <w:t xml:space="preserve">he station has had numerous renovations and attracted </w:t>
            </w:r>
            <w:r>
              <w:rPr>
                <w:rFonts w:asciiTheme="minorHAnsi" w:hAnsiTheme="minorHAnsi"/>
                <w:sz w:val="18"/>
                <w:szCs w:val="18"/>
              </w:rPr>
              <w:t>multiple</w:t>
            </w:r>
            <w:r w:rsidRPr="00D41559">
              <w:rPr>
                <w:rFonts w:asciiTheme="minorHAnsi" w:hAnsiTheme="minorHAnsi"/>
                <w:sz w:val="18"/>
                <w:szCs w:val="18"/>
              </w:rPr>
              <w:t xml:space="preserve"> investors. </w:t>
            </w:r>
            <w:r>
              <w:rPr>
                <w:rFonts w:asciiTheme="minorHAnsi" w:hAnsiTheme="minorHAnsi"/>
                <w:sz w:val="18"/>
                <w:szCs w:val="18"/>
              </w:rPr>
              <w:t>I</w:t>
            </w:r>
            <w:r w:rsidRPr="00D41559">
              <w:rPr>
                <w:rFonts w:asciiTheme="minorHAnsi" w:hAnsiTheme="minorHAnsi"/>
                <w:sz w:val="18"/>
                <w:szCs w:val="18"/>
              </w:rPr>
              <w:t>n 1975</w:t>
            </w:r>
            <w:r>
              <w:rPr>
                <w:rFonts w:asciiTheme="minorHAnsi" w:hAnsiTheme="minorHAnsi"/>
                <w:sz w:val="18"/>
                <w:szCs w:val="18"/>
              </w:rPr>
              <w:t>, the station was suffering extensive deterioration and the owner was bankrupt</w:t>
            </w:r>
            <w:r w:rsidRPr="00D41559">
              <w:rPr>
                <w:rFonts w:asciiTheme="minorHAnsi" w:hAnsiTheme="minorHAnsi"/>
                <w:sz w:val="18"/>
                <w:szCs w:val="18"/>
              </w:rPr>
              <w:t xml:space="preserve"> </w:t>
            </w:r>
            <w:r>
              <w:rPr>
                <w:rFonts w:asciiTheme="minorHAnsi" w:hAnsiTheme="minorHAnsi"/>
                <w:sz w:val="18"/>
                <w:szCs w:val="18"/>
              </w:rPr>
              <w:t xml:space="preserve">so </w:t>
            </w:r>
            <w:r w:rsidRPr="00D41559">
              <w:rPr>
                <w:rFonts w:asciiTheme="minorHAnsi" w:hAnsiTheme="minorHAnsi"/>
                <w:sz w:val="18"/>
                <w:szCs w:val="18"/>
              </w:rPr>
              <w:t xml:space="preserve">there were plans to demolish </w:t>
            </w:r>
            <w:r>
              <w:rPr>
                <w:rFonts w:asciiTheme="minorHAnsi" w:hAnsiTheme="minorHAnsi"/>
                <w:sz w:val="18"/>
                <w:szCs w:val="18"/>
              </w:rPr>
              <w:t>it. Instead</w:t>
            </w:r>
            <w:r w:rsidRPr="00D41559">
              <w:rPr>
                <w:rFonts w:asciiTheme="minorHAnsi" w:hAnsiTheme="minorHAnsi"/>
                <w:sz w:val="18"/>
                <w:szCs w:val="18"/>
              </w:rPr>
              <w:t xml:space="preserve">, South Station was sold to the Massachusetts Bay </w:t>
            </w:r>
            <w:r w:rsidRPr="00D41559">
              <w:rPr>
                <w:rFonts w:asciiTheme="minorHAnsi" w:hAnsiTheme="minorHAnsi"/>
                <w:sz w:val="18"/>
                <w:szCs w:val="18"/>
              </w:rPr>
              <w:lastRenderedPageBreak/>
              <w:t xml:space="preserve">Transportation Authority (MBTA) in 1978 for </w:t>
            </w:r>
            <w:r>
              <w:rPr>
                <w:rFonts w:asciiTheme="minorHAnsi" w:hAnsiTheme="minorHAnsi"/>
                <w:sz w:val="18"/>
                <w:szCs w:val="18"/>
              </w:rPr>
              <w:t>US</w:t>
            </w:r>
            <w:r w:rsidRPr="00D41559">
              <w:rPr>
                <w:rFonts w:asciiTheme="minorHAnsi" w:hAnsiTheme="minorHAnsi"/>
                <w:sz w:val="18"/>
                <w:szCs w:val="18"/>
              </w:rPr>
              <w:t xml:space="preserve">$6.1 million. </w:t>
            </w:r>
            <w:r>
              <w:rPr>
                <w:rFonts w:asciiTheme="minorHAnsi" w:hAnsiTheme="minorHAnsi"/>
                <w:sz w:val="18"/>
                <w:szCs w:val="18"/>
              </w:rPr>
              <w:t>The MBTA completed r</w:t>
            </w:r>
            <w:r w:rsidRPr="00D41559">
              <w:rPr>
                <w:rFonts w:asciiTheme="minorHAnsi" w:hAnsiTheme="minorHAnsi"/>
                <w:sz w:val="18"/>
                <w:szCs w:val="18"/>
              </w:rPr>
              <w:t xml:space="preserve">estoration in 1989 at a cost of </w:t>
            </w:r>
            <w:r>
              <w:rPr>
                <w:rFonts w:asciiTheme="minorHAnsi" w:hAnsiTheme="minorHAnsi"/>
                <w:sz w:val="18"/>
                <w:szCs w:val="18"/>
              </w:rPr>
              <w:t>US</w:t>
            </w:r>
            <w:r w:rsidRPr="00D41559">
              <w:rPr>
                <w:rFonts w:asciiTheme="minorHAnsi" w:hAnsiTheme="minorHAnsi"/>
                <w:sz w:val="18"/>
                <w:szCs w:val="18"/>
              </w:rPr>
              <w:t>$195 million. Funding was provided by MBTA, Amtrak, Federal Railroad Administration, Urban Mass Transit Authority, Equity Office Properties</w:t>
            </w:r>
            <w:r>
              <w:rPr>
                <w:rFonts w:asciiTheme="minorHAnsi" w:hAnsiTheme="minorHAnsi"/>
                <w:sz w:val="18"/>
                <w:szCs w:val="18"/>
              </w:rPr>
              <w:t>,</w:t>
            </w:r>
            <w:r w:rsidRPr="00D41559">
              <w:rPr>
                <w:rFonts w:asciiTheme="minorHAnsi" w:hAnsiTheme="minorHAnsi"/>
                <w:sz w:val="18"/>
                <w:szCs w:val="18"/>
              </w:rPr>
              <w:t xml:space="preserve"> and p</w:t>
            </w:r>
            <w:r>
              <w:rPr>
                <w:rFonts w:asciiTheme="minorHAnsi" w:hAnsiTheme="minorHAnsi"/>
                <w:sz w:val="18"/>
                <w:szCs w:val="18"/>
              </w:rPr>
              <w:t xml:space="preserve">rivate development corporations, and </w:t>
            </w:r>
            <w:r w:rsidRPr="00D41559">
              <w:rPr>
                <w:rFonts w:asciiTheme="minorHAnsi" w:hAnsiTheme="minorHAnsi"/>
                <w:sz w:val="18"/>
                <w:szCs w:val="18"/>
              </w:rPr>
              <w:t>included reconstruction of 11 railway tracks, construction of a new bus terminal and parking garage</w:t>
            </w:r>
            <w:r>
              <w:rPr>
                <w:rFonts w:asciiTheme="minorHAnsi" w:hAnsiTheme="minorHAnsi"/>
                <w:sz w:val="18"/>
                <w:szCs w:val="18"/>
              </w:rPr>
              <w:t>.</w:t>
            </w:r>
            <w:r w:rsidRPr="00D41559">
              <w:rPr>
                <w:rFonts w:asciiTheme="minorHAnsi" w:hAnsiTheme="minorHAnsi"/>
                <w:sz w:val="18"/>
                <w:szCs w:val="18"/>
              </w:rPr>
              <w:t xml:space="preserve"> South Station </w:t>
            </w:r>
            <w:r>
              <w:rPr>
                <w:rFonts w:asciiTheme="minorHAnsi" w:hAnsiTheme="minorHAnsi"/>
                <w:sz w:val="18"/>
                <w:szCs w:val="18"/>
              </w:rPr>
              <w:t xml:space="preserve">now </w:t>
            </w:r>
            <w:r w:rsidRPr="00D41559">
              <w:rPr>
                <w:rFonts w:asciiTheme="minorHAnsi" w:hAnsiTheme="minorHAnsi"/>
                <w:sz w:val="18"/>
                <w:szCs w:val="18"/>
              </w:rPr>
              <w:t xml:space="preserve">caters for </w:t>
            </w:r>
            <w:r>
              <w:rPr>
                <w:rFonts w:asciiTheme="minorHAnsi" w:hAnsiTheme="minorHAnsi"/>
                <w:sz w:val="18"/>
                <w:szCs w:val="18"/>
              </w:rPr>
              <w:t xml:space="preserve">passengers with </w:t>
            </w:r>
            <w:r w:rsidRPr="00D41559">
              <w:rPr>
                <w:rFonts w:asciiTheme="minorHAnsi" w:hAnsiTheme="minorHAnsi"/>
                <w:sz w:val="18"/>
                <w:szCs w:val="18"/>
              </w:rPr>
              <w:t xml:space="preserve">multiple </w:t>
            </w:r>
            <w:r>
              <w:rPr>
                <w:rFonts w:asciiTheme="minorHAnsi" w:hAnsiTheme="minorHAnsi"/>
                <w:sz w:val="18"/>
                <w:szCs w:val="18"/>
              </w:rPr>
              <w:t xml:space="preserve">transportation </w:t>
            </w:r>
            <w:r w:rsidRPr="00D41559">
              <w:rPr>
                <w:rFonts w:asciiTheme="minorHAnsi" w:hAnsiTheme="minorHAnsi"/>
                <w:sz w:val="18"/>
                <w:szCs w:val="18"/>
              </w:rPr>
              <w:t>modes</w:t>
            </w:r>
            <w:r>
              <w:rPr>
                <w:rFonts w:asciiTheme="minorHAnsi" w:hAnsiTheme="minorHAnsi"/>
                <w:sz w:val="18"/>
                <w:szCs w:val="18"/>
              </w:rPr>
              <w:sym w:font="Symbol" w:char="F0BE"/>
            </w:r>
            <w:r w:rsidRPr="00D41559">
              <w:rPr>
                <w:rFonts w:asciiTheme="minorHAnsi" w:hAnsiTheme="minorHAnsi"/>
                <w:sz w:val="18"/>
                <w:szCs w:val="18"/>
              </w:rPr>
              <w:t>trains, metro and buses</w:t>
            </w:r>
            <w:r>
              <w:rPr>
                <w:rFonts w:asciiTheme="minorHAnsi" w:hAnsiTheme="minorHAnsi"/>
                <w:sz w:val="18"/>
                <w:szCs w:val="18"/>
              </w:rPr>
              <w:sym w:font="Symbol" w:char="F0BE"/>
            </w:r>
            <w:r>
              <w:rPr>
                <w:rFonts w:asciiTheme="minorHAnsi" w:hAnsiTheme="minorHAnsi"/>
                <w:sz w:val="18"/>
                <w:szCs w:val="18"/>
              </w:rPr>
              <w:t xml:space="preserve">and many </w:t>
            </w:r>
            <w:r w:rsidRPr="00D41559">
              <w:rPr>
                <w:rFonts w:asciiTheme="minorHAnsi" w:hAnsiTheme="minorHAnsi"/>
                <w:sz w:val="18"/>
                <w:szCs w:val="18"/>
              </w:rPr>
              <w:t xml:space="preserve">consumer amenities </w:t>
            </w:r>
            <w:r>
              <w:rPr>
                <w:rFonts w:asciiTheme="minorHAnsi" w:hAnsiTheme="minorHAnsi"/>
                <w:sz w:val="18"/>
                <w:szCs w:val="18"/>
              </w:rPr>
              <w:t>that</w:t>
            </w:r>
            <w:r w:rsidRPr="00D41559">
              <w:rPr>
                <w:rFonts w:asciiTheme="minorHAnsi" w:hAnsiTheme="minorHAnsi"/>
                <w:sz w:val="18"/>
                <w:szCs w:val="18"/>
              </w:rPr>
              <w:t xml:space="preserve"> provide an excellent source of revenue for investors</w:t>
            </w:r>
            <w:r>
              <w:rPr>
                <w:rFonts w:asciiTheme="minorHAnsi" w:hAnsiTheme="minorHAnsi"/>
                <w:sz w:val="18"/>
                <w:szCs w:val="18"/>
              </w:rPr>
              <w:t>.</w:t>
            </w:r>
          </w:p>
          <w:p w:rsidR="00DE044E" w:rsidRDefault="003A7B57" w:rsidP="003A7B57">
            <w:pPr>
              <w:pStyle w:val="ListParagraph"/>
              <w:spacing w:after="60"/>
              <w:ind w:left="0"/>
              <w:contextualSpacing w:val="0"/>
            </w:pPr>
            <w:r w:rsidRPr="003A7B57">
              <w:rPr>
                <w:rFonts w:asciiTheme="minorHAnsi" w:hAnsiTheme="minorHAnsi"/>
                <w:i/>
                <w:sz w:val="18"/>
                <w:szCs w:val="18"/>
              </w:rPr>
              <w:t>Source:  Amtrak (2011), Revitalizing America’s Train Stations (www.greatamericanstations.com/Stations/BOS/)</w:t>
            </w:r>
          </w:p>
        </w:tc>
      </w:tr>
    </w:tbl>
    <w:p w:rsidR="005C37AE" w:rsidRDefault="005C37AE" w:rsidP="005C37AE">
      <w:pPr>
        <w:spacing w:after="0"/>
        <w:rPr>
          <w:b/>
        </w:rPr>
      </w:pPr>
    </w:p>
    <w:bookmarkEnd w:id="66"/>
    <w:p w:rsidR="00692CFD" w:rsidRDefault="00692CFD">
      <w:pPr>
        <w:spacing w:after="200"/>
        <w:jc w:val="left"/>
        <w:rPr>
          <w:rFonts w:eastAsiaTheme="majorEastAsia"/>
          <w:bCs/>
          <w:sz w:val="24"/>
          <w:szCs w:val="24"/>
          <w:u w:val="single"/>
        </w:rPr>
      </w:pPr>
      <w:r>
        <w:br w:type="page"/>
      </w:r>
    </w:p>
    <w:p w:rsidR="00451EF5" w:rsidRPr="00A24018" w:rsidRDefault="006F1A2C" w:rsidP="00BA2792">
      <w:pPr>
        <w:pStyle w:val="Heading2"/>
      </w:pPr>
      <w:bookmarkStart w:id="82" w:name="_Toc326892936"/>
      <w:r>
        <w:lastRenderedPageBreak/>
        <w:t>Transform Minibuses</w:t>
      </w:r>
      <w:r w:rsidR="00A373A4">
        <w:t xml:space="preserve"> and Taxis</w:t>
      </w:r>
      <w:r>
        <w:t xml:space="preserve"> into Modern Urban Transport Mode</w:t>
      </w:r>
      <w:r w:rsidR="008F6A97">
        <w:t>s</w:t>
      </w:r>
      <w:bookmarkEnd w:id="82"/>
    </w:p>
    <w:p w:rsidR="00477DD6" w:rsidRPr="00E046E9" w:rsidRDefault="00477DD6" w:rsidP="00525183">
      <w:pPr>
        <w:spacing w:after="80"/>
        <w:rPr>
          <w:b/>
          <w:i/>
        </w:rPr>
      </w:pPr>
      <w:r w:rsidRPr="00E046E9">
        <w:rPr>
          <w:b/>
          <w:i/>
        </w:rPr>
        <w:t>Why this measure?</w:t>
      </w:r>
    </w:p>
    <w:tbl>
      <w:tblPr>
        <w:tblStyle w:val="TableGrid"/>
        <w:tblpPr w:leftFromText="180" w:rightFromText="180" w:vertAnchor="text" w:horzAnchor="margin" w:tblpXSpec="right" w:tblpY="46"/>
        <w:tblOverlap w:val="never"/>
        <w:tblW w:w="0" w:type="auto"/>
        <w:tblCellMar>
          <w:left w:w="0" w:type="dxa"/>
          <w:right w:w="0" w:type="dxa"/>
        </w:tblCellMar>
        <w:tblLook w:val="04A0"/>
      </w:tblPr>
      <w:tblGrid>
        <w:gridCol w:w="4410"/>
      </w:tblGrid>
      <w:tr w:rsidR="00752530" w:rsidTr="00D409AA">
        <w:trPr>
          <w:trHeight w:val="357"/>
        </w:trPr>
        <w:tc>
          <w:tcPr>
            <w:tcW w:w="4410" w:type="dxa"/>
            <w:tcBorders>
              <w:top w:val="nil"/>
              <w:left w:val="nil"/>
              <w:bottom w:val="single" w:sz="4" w:space="0" w:color="auto"/>
              <w:right w:val="nil"/>
            </w:tcBorders>
          </w:tcPr>
          <w:p w:rsidR="00752530" w:rsidRPr="005631F9" w:rsidRDefault="00752530" w:rsidP="00752530">
            <w:pPr>
              <w:spacing w:after="0"/>
              <w:jc w:val="center"/>
              <w:rPr>
                <w:sz w:val="20"/>
                <w:szCs w:val="20"/>
              </w:rPr>
            </w:pPr>
            <w:bookmarkStart w:id="83" w:name="_Ref308451937"/>
            <w:bookmarkStart w:id="84" w:name="_Ref308451933"/>
            <w:bookmarkStart w:id="85" w:name="_Toc326892839"/>
            <w:r w:rsidRPr="00394B4B">
              <w:rPr>
                <w:b/>
                <w:sz w:val="20"/>
                <w:szCs w:val="20"/>
              </w:rPr>
              <w:t xml:space="preserve">Figure </w:t>
            </w:r>
            <w:r w:rsidR="001A7AF8" w:rsidRPr="00394B4B">
              <w:rPr>
                <w:b/>
                <w:sz w:val="20"/>
                <w:szCs w:val="20"/>
              </w:rPr>
              <w:fldChar w:fldCharType="begin"/>
            </w:r>
            <w:r w:rsidRPr="00394B4B">
              <w:rPr>
                <w:b/>
                <w:sz w:val="20"/>
                <w:szCs w:val="20"/>
              </w:rPr>
              <w:instrText xml:space="preserve"> SEQ Figure \* ARABIC </w:instrText>
            </w:r>
            <w:r w:rsidR="001A7AF8" w:rsidRPr="00394B4B">
              <w:rPr>
                <w:b/>
                <w:sz w:val="20"/>
                <w:szCs w:val="20"/>
              </w:rPr>
              <w:fldChar w:fldCharType="separate"/>
            </w:r>
            <w:r w:rsidR="00096FD0">
              <w:rPr>
                <w:b/>
                <w:noProof/>
                <w:sz w:val="20"/>
                <w:szCs w:val="20"/>
              </w:rPr>
              <w:t>18</w:t>
            </w:r>
            <w:r w:rsidR="001A7AF8" w:rsidRPr="00394B4B">
              <w:rPr>
                <w:b/>
                <w:sz w:val="20"/>
                <w:szCs w:val="20"/>
              </w:rPr>
              <w:fldChar w:fldCharType="end"/>
            </w:r>
            <w:bookmarkEnd w:id="83"/>
            <w:r w:rsidRPr="00394B4B">
              <w:rPr>
                <w:sz w:val="20"/>
                <w:szCs w:val="20"/>
              </w:rPr>
              <w:t xml:space="preserve">:  </w:t>
            </w:r>
            <w:r>
              <w:rPr>
                <w:sz w:val="20"/>
                <w:szCs w:val="20"/>
              </w:rPr>
              <w:t>Minibuses fleet in Georgia</w:t>
            </w:r>
            <w:bookmarkEnd w:id="84"/>
            <w:r>
              <w:rPr>
                <w:sz w:val="20"/>
                <w:szCs w:val="20"/>
              </w:rPr>
              <w:t xml:space="preserve"> is old and getting older over time</w:t>
            </w:r>
            <w:bookmarkEnd w:id="85"/>
          </w:p>
        </w:tc>
      </w:tr>
      <w:tr w:rsidR="00752530" w:rsidTr="00D409AA">
        <w:tc>
          <w:tcPr>
            <w:tcW w:w="4410" w:type="dxa"/>
            <w:tcBorders>
              <w:bottom w:val="single" w:sz="4" w:space="0" w:color="auto"/>
            </w:tcBorders>
          </w:tcPr>
          <w:p w:rsidR="00752530" w:rsidRDefault="00752530" w:rsidP="00752530">
            <w:pPr>
              <w:spacing w:after="0"/>
              <w:jc w:val="center"/>
            </w:pPr>
            <w:r w:rsidRPr="00523A29">
              <w:rPr>
                <w:noProof/>
                <w:lang w:bidi="ar-SA"/>
              </w:rPr>
              <w:drawing>
                <wp:inline distT="0" distB="0" distL="0" distR="0">
                  <wp:extent cx="2733675" cy="1838325"/>
                  <wp:effectExtent l="19050" t="0" r="0" b="0"/>
                  <wp:docPr id="2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r>
      <w:tr w:rsidR="00752530" w:rsidTr="00D409AA">
        <w:tc>
          <w:tcPr>
            <w:tcW w:w="4410" w:type="dxa"/>
            <w:tcBorders>
              <w:left w:val="nil"/>
              <w:bottom w:val="nil"/>
              <w:right w:val="nil"/>
            </w:tcBorders>
            <w:tcMar>
              <w:top w:w="14" w:type="dxa"/>
              <w:left w:w="43" w:type="dxa"/>
              <w:bottom w:w="14" w:type="dxa"/>
              <w:right w:w="43" w:type="dxa"/>
            </w:tcMar>
          </w:tcPr>
          <w:p w:rsidR="00752530" w:rsidRPr="00961A10" w:rsidRDefault="00752530" w:rsidP="00752530">
            <w:pPr>
              <w:spacing w:after="60"/>
              <w:jc w:val="center"/>
              <w:rPr>
                <w:i/>
                <w:sz w:val="18"/>
                <w:szCs w:val="18"/>
              </w:rPr>
            </w:pPr>
            <w:r w:rsidRPr="00961A10">
              <w:rPr>
                <w:i/>
                <w:sz w:val="18"/>
                <w:szCs w:val="18"/>
              </w:rPr>
              <w:t>Source: WB staff calculations based on data provided by Georgian Ministry of Internal Affairs</w:t>
            </w:r>
          </w:p>
        </w:tc>
      </w:tr>
    </w:tbl>
    <w:p w:rsidR="003A1385" w:rsidRDefault="00932B7D" w:rsidP="00243E2A">
      <w:r w:rsidRPr="00932B7D">
        <w:rPr>
          <w:b/>
        </w:rPr>
        <w:t>Current con</w:t>
      </w:r>
      <w:r w:rsidRPr="00D409AA">
        <w:rPr>
          <w:b/>
        </w:rPr>
        <w:t>dition</w:t>
      </w:r>
      <w:r w:rsidR="00CA130B" w:rsidRPr="00D409AA">
        <w:rPr>
          <w:b/>
        </w:rPr>
        <w:t xml:space="preserve">: </w:t>
      </w:r>
      <w:r w:rsidR="00D409AA" w:rsidRPr="00D409AA">
        <w:rPr>
          <w:b/>
        </w:rPr>
        <w:t>minibuses</w:t>
      </w:r>
      <w:r w:rsidR="00D409AA" w:rsidRPr="00D409AA">
        <w:rPr>
          <w:b/>
          <w:i/>
        </w:rPr>
        <w:t xml:space="preserve"> </w:t>
      </w:r>
      <w:r w:rsidR="00D409AA" w:rsidRPr="00D409AA">
        <w:rPr>
          <w:b/>
        </w:rPr>
        <w:t>(locally called</w:t>
      </w:r>
      <w:r w:rsidR="00D409AA" w:rsidRPr="00D409AA">
        <w:rPr>
          <w:b/>
          <w:i/>
        </w:rPr>
        <w:t xml:space="preserve"> Marshrutkas</w:t>
      </w:r>
      <w:r w:rsidR="00D409AA" w:rsidRPr="00D409AA">
        <w:rPr>
          <w:b/>
        </w:rPr>
        <w:t>)</w:t>
      </w:r>
      <w:r w:rsidR="003A1385">
        <w:rPr>
          <w:b/>
        </w:rPr>
        <w:t xml:space="preserve"> provide important urban transport services in Georgian cities</w:t>
      </w:r>
      <w:r w:rsidR="00D409AA">
        <w:rPr>
          <w:b/>
        </w:rPr>
        <w:t xml:space="preserve">, </w:t>
      </w:r>
      <w:r w:rsidR="003A1385">
        <w:rPr>
          <w:b/>
        </w:rPr>
        <w:t xml:space="preserve">but generate harmful </w:t>
      </w:r>
      <w:r w:rsidR="00D409AA">
        <w:rPr>
          <w:b/>
        </w:rPr>
        <w:t>environmental impacts</w:t>
      </w:r>
      <w:r w:rsidR="003A1385">
        <w:rPr>
          <w:b/>
        </w:rPr>
        <w:t xml:space="preserve"> and other negative externalities</w:t>
      </w:r>
      <w:r w:rsidR="00603B8D">
        <w:rPr>
          <w:b/>
        </w:rPr>
        <w:t xml:space="preserve"> such as congestion</w:t>
      </w:r>
      <w:r>
        <w:t xml:space="preserve">.  </w:t>
      </w:r>
      <w:r w:rsidR="00D409AA">
        <w:t xml:space="preserve">In all major </w:t>
      </w:r>
      <w:r w:rsidR="00CD10EF">
        <w:t xml:space="preserve">Georgian </w:t>
      </w:r>
      <w:r w:rsidR="00D409AA">
        <w:t xml:space="preserve">cities, minibuses </w:t>
      </w:r>
      <w:r w:rsidR="00D2036C">
        <w:t xml:space="preserve">are </w:t>
      </w:r>
      <w:r w:rsidR="000B08E8">
        <w:t>used by a large share of urban residents that do not own private cars (e.g., low-income workers, students, and pensioners). For example in Tbilisi, minibuses carry about 430,000 passengers daily, compared to 260,000 passengers that use metro and 215,000 that use municipal buses.</w:t>
      </w:r>
      <w:r w:rsidR="000B08E8">
        <w:rPr>
          <w:rStyle w:val="FootnoteReference"/>
        </w:rPr>
        <w:footnoteReference w:id="40"/>
      </w:r>
      <w:r w:rsidR="000B08E8">
        <w:t xml:space="preserve">  The minibuses are essential to the daily life of average Georgians but they are </w:t>
      </w:r>
      <w:r w:rsidR="000B08E8" w:rsidRPr="00EC00EF">
        <w:t xml:space="preserve">11-20 years </w:t>
      </w:r>
      <w:r w:rsidR="000B08E8">
        <w:t xml:space="preserve">old </w:t>
      </w:r>
      <w:r w:rsidR="000B08E8" w:rsidRPr="00EC00EF">
        <w:t>(</w:t>
      </w:r>
      <w:fldSimple w:instr=" REF _Ref308451937 \h  \* MERGEFORMAT ">
        <w:r w:rsidR="00096FD0" w:rsidRPr="00096FD0">
          <w:t xml:space="preserve">Figure </w:t>
        </w:r>
        <w:r w:rsidR="00096FD0" w:rsidRPr="00096FD0">
          <w:rPr>
            <w:noProof/>
          </w:rPr>
          <w:t>18</w:t>
        </w:r>
      </w:fldSimple>
      <w:r w:rsidR="000B08E8">
        <w:t xml:space="preserve">), highly polluting, and </w:t>
      </w:r>
      <w:r w:rsidR="00692CFD">
        <w:t>often unsafe</w:t>
      </w:r>
      <w:r w:rsidR="000B08E8">
        <w:t xml:space="preserve">, thus they </w:t>
      </w:r>
      <w:r w:rsidR="00CD10EF">
        <w:t xml:space="preserve">generate substantial </w:t>
      </w:r>
      <w:r w:rsidR="000B08E8">
        <w:t xml:space="preserve">negative externalities that undermine environmental sustainability and incur </w:t>
      </w:r>
      <w:r w:rsidR="00CD10EF">
        <w:t xml:space="preserve">considerable </w:t>
      </w:r>
      <w:r w:rsidR="000B08E8">
        <w:t>costs that must be borne by the entire society, including non-users.</w:t>
      </w:r>
    </w:p>
    <w:p w:rsidR="00523A29" w:rsidRDefault="00D409AA" w:rsidP="00243E2A">
      <w:r w:rsidRPr="00D409AA">
        <w:rPr>
          <w:b/>
        </w:rPr>
        <w:t>Current condition</w:t>
      </w:r>
      <w:r w:rsidR="00603B8D">
        <w:rPr>
          <w:b/>
        </w:rPr>
        <w:t xml:space="preserve">: the </w:t>
      </w:r>
      <w:r w:rsidRPr="00D409AA">
        <w:rPr>
          <w:b/>
        </w:rPr>
        <w:t>contractual arrangement</w:t>
      </w:r>
      <w:r w:rsidR="00061B58">
        <w:rPr>
          <w:b/>
        </w:rPr>
        <w:t xml:space="preserve"> </w:t>
      </w:r>
      <w:r w:rsidR="0049620D">
        <w:rPr>
          <w:b/>
        </w:rPr>
        <w:t xml:space="preserve">for minibus operation </w:t>
      </w:r>
      <w:r w:rsidR="00061B58">
        <w:rPr>
          <w:b/>
        </w:rPr>
        <w:t>is not conducive to competition and long-term sustainability</w:t>
      </w:r>
      <w:r w:rsidRPr="00A818E5">
        <w:t xml:space="preserve">. </w:t>
      </w:r>
      <w:r w:rsidR="000B08E8" w:rsidRPr="00A818E5">
        <w:t xml:space="preserve">Under the existing </w:t>
      </w:r>
      <w:r w:rsidR="00752530" w:rsidRPr="00A818E5">
        <w:t xml:space="preserve">contractual arrangement </w:t>
      </w:r>
      <w:r w:rsidR="000B08E8" w:rsidRPr="00A818E5">
        <w:t xml:space="preserve">minibus operators have </w:t>
      </w:r>
      <w:r w:rsidR="004B2646">
        <w:t>little</w:t>
      </w:r>
      <w:r w:rsidR="004B2646" w:rsidRPr="00A818E5">
        <w:t xml:space="preserve"> </w:t>
      </w:r>
      <w:r w:rsidR="000B08E8" w:rsidRPr="00A818E5">
        <w:t>incentive to provide green</w:t>
      </w:r>
      <w:r w:rsidR="000B08E8" w:rsidRPr="00752530">
        <w:t>er and safer services because newer vehicles would require large capital investments, which would require higher fares, which in turn would make their passenger business uncompetitive against other operators and other public transport services.</w:t>
      </w:r>
    </w:p>
    <w:p w:rsidR="00712C17" w:rsidRDefault="00A373A4" w:rsidP="002A0EAE">
      <w:r w:rsidRPr="00A373A4">
        <w:rPr>
          <w:b/>
        </w:rPr>
        <w:t xml:space="preserve">Current condition: </w:t>
      </w:r>
      <w:r w:rsidR="00CD10EF">
        <w:rPr>
          <w:b/>
        </w:rPr>
        <w:t xml:space="preserve">the </w:t>
      </w:r>
      <w:r w:rsidRPr="00A373A4">
        <w:rPr>
          <w:b/>
        </w:rPr>
        <w:t>taxi market is completely unregulated</w:t>
      </w:r>
      <w:r w:rsidR="00F063E0">
        <w:rPr>
          <w:b/>
        </w:rPr>
        <w:t xml:space="preserve"> with respect to market entry, vehicle and service quality, and fare</w:t>
      </w:r>
      <w:r w:rsidR="00CD10EF">
        <w:rPr>
          <w:b/>
        </w:rPr>
        <w:t>s</w:t>
      </w:r>
      <w:r w:rsidR="00DB36A2">
        <w:rPr>
          <w:b/>
        </w:rPr>
        <w:t xml:space="preserve">, and appears to contribute to </w:t>
      </w:r>
      <w:r w:rsidR="0049620D">
        <w:rPr>
          <w:b/>
        </w:rPr>
        <w:t>air pollution and congestion problems</w:t>
      </w:r>
      <w:r w:rsidR="007E022C">
        <w:t xml:space="preserve">. </w:t>
      </w:r>
      <w:r w:rsidR="0049620D">
        <w:t xml:space="preserve"> </w:t>
      </w:r>
      <w:r w:rsidR="00F063E0">
        <w:t>There is no legal licensing for taxi service providers</w:t>
      </w:r>
      <w:r w:rsidR="007E022C">
        <w:t>, either for firms or individual owner-operators</w:t>
      </w:r>
      <w:r w:rsidR="00F063E0">
        <w:t>; in fact, t</w:t>
      </w:r>
      <w:r>
        <w:t>axi sign</w:t>
      </w:r>
      <w:r w:rsidR="007E022C">
        <w:t>s</w:t>
      </w:r>
      <w:r>
        <w:t xml:space="preserve"> that can be </w:t>
      </w:r>
      <w:r w:rsidR="007E022C">
        <w:t xml:space="preserve">mounted on </w:t>
      </w:r>
      <w:r w:rsidR="00DB36A2">
        <w:t>any</w:t>
      </w:r>
      <w:r>
        <w:t xml:space="preserve"> cars are sold at about 20 GEL </w:t>
      </w:r>
      <w:r w:rsidR="007E022C">
        <w:t>apiece at many</w:t>
      </w:r>
      <w:r w:rsidR="00F063E0">
        <w:t xml:space="preserve"> </w:t>
      </w:r>
      <w:r w:rsidR="007E022C">
        <w:t xml:space="preserve">retail </w:t>
      </w:r>
      <w:r w:rsidR="00F063E0">
        <w:t>shops</w:t>
      </w:r>
      <w:r w:rsidR="00DB36A2">
        <w:t xml:space="preserve"> without any restrictions on the purchaser</w:t>
      </w:r>
      <w:r w:rsidR="00F063E0">
        <w:t xml:space="preserve">.  </w:t>
      </w:r>
      <w:r w:rsidR="007E022C">
        <w:t>This system, in which anyone who owns/operates vehicles can pick up willing passengers in an instant on-street market</w:t>
      </w:r>
      <w:r w:rsidR="00603B8D">
        <w:t xml:space="preserve"> (with or without the 20-GEL taxi sign)</w:t>
      </w:r>
      <w:r w:rsidR="007E022C">
        <w:t xml:space="preserve">, appears to fill some gaps of urban mobility demand.  </w:t>
      </w:r>
      <w:r w:rsidR="00CD10EF">
        <w:t>R</w:t>
      </w:r>
      <w:r w:rsidR="0049620D">
        <w:t xml:space="preserve">igorous analysis was </w:t>
      </w:r>
      <w:r w:rsidR="00CD10EF">
        <w:t xml:space="preserve">not </w:t>
      </w:r>
      <w:r w:rsidR="0049620D">
        <w:t xml:space="preserve">possible for this study because </w:t>
      </w:r>
      <w:r w:rsidR="007E022C">
        <w:t xml:space="preserve">statistics </w:t>
      </w:r>
      <w:r w:rsidR="00CD10EF">
        <w:t xml:space="preserve">on </w:t>
      </w:r>
      <w:r w:rsidR="007E022C">
        <w:t>the taxi market are scarce in all Georgian cities</w:t>
      </w:r>
      <w:r w:rsidR="00CD10EF">
        <w:t>.</w:t>
      </w:r>
      <w:r w:rsidR="002D72AF">
        <w:t xml:space="preserve"> </w:t>
      </w:r>
      <w:r w:rsidR="00CD10EF">
        <w:t xml:space="preserve"> N</w:t>
      </w:r>
      <w:r w:rsidR="002D72AF">
        <w:t>evertheless</w:t>
      </w:r>
      <w:r w:rsidR="00CD10EF">
        <w:t>,</w:t>
      </w:r>
      <w:r w:rsidR="007E022C">
        <w:t xml:space="preserve"> </w:t>
      </w:r>
      <w:r w:rsidR="00603B8D">
        <w:t xml:space="preserve">the current arrangement is </w:t>
      </w:r>
      <w:r w:rsidR="00CD10EF">
        <w:t>un</w:t>
      </w:r>
      <w:r w:rsidR="00603B8D">
        <w:t>likely to be sustainable</w:t>
      </w:r>
      <w:r w:rsidR="002D72AF">
        <w:t xml:space="preserve"> for a couple of reasons.</w:t>
      </w:r>
      <w:r w:rsidR="0049620D">
        <w:t xml:space="preserve"> </w:t>
      </w:r>
      <w:r w:rsidR="002D72AF">
        <w:t xml:space="preserve"> </w:t>
      </w:r>
      <w:r w:rsidR="0049620D">
        <w:t>First</w:t>
      </w:r>
      <w:r w:rsidR="002D72AF">
        <w:t>,</w:t>
      </w:r>
      <w:r w:rsidR="0049620D">
        <w:t xml:space="preserve"> </w:t>
      </w:r>
      <w:r w:rsidR="00CD10EF">
        <w:t xml:space="preserve">the </w:t>
      </w:r>
      <w:r w:rsidR="00603B8D">
        <w:t>lack of quality control</w:t>
      </w:r>
      <w:r w:rsidR="00CD10EF">
        <w:t xml:space="preserve"> threatens </w:t>
      </w:r>
      <w:r w:rsidR="00603B8D">
        <w:t>safety and security.</w:t>
      </w:r>
      <w:r w:rsidR="0049620D">
        <w:t xml:space="preserve">  Second, </w:t>
      </w:r>
      <w:r w:rsidR="00CD10EF">
        <w:t xml:space="preserve">unless policies are implemented to govern </w:t>
      </w:r>
      <w:r w:rsidR="0049620D">
        <w:t xml:space="preserve">taxis and </w:t>
      </w:r>
      <w:r w:rsidR="00CD10EF">
        <w:t xml:space="preserve">services from </w:t>
      </w:r>
      <w:r w:rsidR="0049620D">
        <w:t>other privately hired vehicles</w:t>
      </w:r>
      <w:r w:rsidR="00CD10EF">
        <w:t xml:space="preserve">, this unregulated market will simply </w:t>
      </w:r>
      <w:r w:rsidR="0049620D">
        <w:t>add to growing congestion problems</w:t>
      </w:r>
      <w:r w:rsidR="00CD10EF">
        <w:t>,</w:t>
      </w:r>
      <w:r w:rsidR="0049620D">
        <w:t xml:space="preserve"> as </w:t>
      </w:r>
      <w:r w:rsidR="00CD10EF">
        <w:t xml:space="preserve">is the case in </w:t>
      </w:r>
      <w:r w:rsidR="0049620D">
        <w:t xml:space="preserve">other developing cities </w:t>
      </w:r>
      <w:r w:rsidR="00CD10EF">
        <w:t xml:space="preserve">such as </w:t>
      </w:r>
      <w:r w:rsidR="0049620D">
        <w:t>Lima</w:t>
      </w:r>
      <w:r w:rsidR="00CD10EF">
        <w:t xml:space="preserve"> and</w:t>
      </w:r>
      <w:r w:rsidR="0049620D">
        <w:t xml:space="preserve"> Bangkok.</w:t>
      </w:r>
    </w:p>
    <w:p w:rsidR="00DC3789" w:rsidRDefault="002A0EAE" w:rsidP="002A0EAE">
      <w:pPr>
        <w:rPr>
          <w:lang w:eastAsia="ko-KR"/>
        </w:rPr>
      </w:pPr>
      <w:r>
        <w:rPr>
          <w:b/>
        </w:rPr>
        <w:t>Rationale for change</w:t>
      </w:r>
      <w:r w:rsidR="00D409AA">
        <w:rPr>
          <w:b/>
        </w:rPr>
        <w:t xml:space="preserve">: preparing for </w:t>
      </w:r>
      <w:r w:rsidR="00CD10EF">
        <w:rPr>
          <w:b/>
        </w:rPr>
        <w:t xml:space="preserve">rising </w:t>
      </w:r>
      <w:r w:rsidR="00D409AA">
        <w:rPr>
          <w:b/>
        </w:rPr>
        <w:t>motorization</w:t>
      </w:r>
      <w:r w:rsidR="00CD10EF">
        <w:rPr>
          <w:b/>
        </w:rPr>
        <w:t xml:space="preserve"> rates</w:t>
      </w:r>
      <w:r w:rsidR="003A1385">
        <w:rPr>
          <w:b/>
        </w:rPr>
        <w:t>, capitalizing on the unique features of minibus services</w:t>
      </w:r>
      <w:r>
        <w:t xml:space="preserve">.  </w:t>
      </w:r>
      <w:r w:rsidR="001F118B">
        <w:t xml:space="preserve">Existing minibus services </w:t>
      </w:r>
      <w:r w:rsidR="00CD10EF">
        <w:t xml:space="preserve">provides </w:t>
      </w:r>
      <w:r w:rsidR="001F118B">
        <w:t xml:space="preserve">an inferior mode of transport that lacks comfort, privacy and safety and </w:t>
      </w:r>
      <w:r w:rsidR="00CD10EF">
        <w:t>is</w:t>
      </w:r>
      <w:r w:rsidR="001F118B">
        <w:t xml:space="preserve"> used by a captive clientele </w:t>
      </w:r>
      <w:r w:rsidR="00CD10EF">
        <w:t xml:space="preserve">without </w:t>
      </w:r>
      <w:r w:rsidR="001F118B">
        <w:t>other options. In the future, as incomes rise and private car ownership increases, urban</w:t>
      </w:r>
      <w:r w:rsidR="00D2036C">
        <w:t xml:space="preserve"> residents</w:t>
      </w:r>
      <w:r w:rsidR="001F118B">
        <w:t xml:space="preserve"> are likely to abandon minibuses for private vehicles. Some demand might be absorbed by modern high-capacity public transport, such as the light rail transit </w:t>
      </w:r>
      <w:r w:rsidR="001F118B">
        <w:lastRenderedPageBreak/>
        <w:t xml:space="preserve">(LRT) being explored by the Tbilisi City Hall, but </w:t>
      </w:r>
      <w:r w:rsidR="001F118B" w:rsidRPr="00752530">
        <w:t xml:space="preserve">the </w:t>
      </w:r>
      <w:r w:rsidR="00CD10EF">
        <w:t xml:space="preserve">almost </w:t>
      </w:r>
      <w:r w:rsidR="001F118B" w:rsidRPr="00752530">
        <w:t>door-to-door nature of minibus service is in more direct competition with private transport</w:t>
      </w:r>
      <w:r w:rsidR="001F118B" w:rsidRPr="00752530">
        <w:rPr>
          <w:rFonts w:hint="eastAsia"/>
          <w:lang w:eastAsia="ko-KR"/>
        </w:rPr>
        <w:t>.</w:t>
      </w:r>
      <w:r w:rsidR="001F118B" w:rsidRPr="00752530">
        <w:rPr>
          <w:rStyle w:val="FootnoteReference"/>
          <w:lang w:eastAsia="ko-KR"/>
        </w:rPr>
        <w:footnoteReference w:id="41"/>
      </w:r>
      <w:r w:rsidR="001F118B" w:rsidRPr="00752530">
        <w:t xml:space="preserve"> U</w:t>
      </w:r>
      <w:r w:rsidR="001F118B">
        <w:t xml:space="preserve">nless a timely intervention is made to reform minibus service into a modern and greener mode, </w:t>
      </w:r>
      <w:r w:rsidR="00D2036C">
        <w:t xml:space="preserve">these </w:t>
      </w:r>
      <w:r w:rsidR="001F118B">
        <w:t xml:space="preserve">services will eventually </w:t>
      </w:r>
      <w:r w:rsidR="00D2036C">
        <w:t xml:space="preserve">be limited to the urban poor </w:t>
      </w:r>
      <w:r w:rsidR="001F118B">
        <w:t xml:space="preserve">and </w:t>
      </w:r>
      <w:r w:rsidR="00D2036C">
        <w:t xml:space="preserve">Georgian </w:t>
      </w:r>
      <w:r w:rsidR="001F118B">
        <w:t>cities will remain unprepared for the age of private mobility</w:t>
      </w:r>
      <w:r w:rsidR="00D2036C">
        <w:t xml:space="preserve"> by most urban </w:t>
      </w:r>
      <w:r w:rsidR="00F91738">
        <w:t>residents</w:t>
      </w:r>
      <w:r w:rsidR="001F118B">
        <w:t xml:space="preserve">. Instead, the current broad customer base offers potential to retain high modal share if services offered </w:t>
      </w:r>
      <w:r w:rsidR="00CD10EF">
        <w:t>attractive</w:t>
      </w:r>
      <w:r w:rsidR="001F118B">
        <w:t xml:space="preserve"> pricing and improved service quality, and if </w:t>
      </w:r>
      <w:r w:rsidR="006D3D04">
        <w:t xml:space="preserve">municipalities </w:t>
      </w:r>
      <w:r w:rsidR="001F118B">
        <w:t>enacted measures that make it more difficult and expensive to use private cars in city centers.</w:t>
      </w:r>
    </w:p>
    <w:p w:rsidR="002A0EAE" w:rsidRDefault="00D409AA" w:rsidP="002A0EAE">
      <w:pPr>
        <w:rPr>
          <w:lang w:eastAsia="ko-KR"/>
        </w:rPr>
      </w:pPr>
      <w:r>
        <w:rPr>
          <w:b/>
        </w:rPr>
        <w:t>Rationale for change: a case for an integrated and coherent public transport services</w:t>
      </w:r>
      <w:r>
        <w:t xml:space="preserve">.  </w:t>
      </w:r>
      <w:r w:rsidR="00CD10EF">
        <w:rPr>
          <w:lang w:eastAsia="ko-KR"/>
        </w:rPr>
        <w:t>M</w:t>
      </w:r>
      <w:r w:rsidR="001F118B">
        <w:rPr>
          <w:rFonts w:hint="eastAsia"/>
          <w:lang w:eastAsia="ko-KR"/>
        </w:rPr>
        <w:t xml:space="preserve">unicipal bus services </w:t>
      </w:r>
      <w:r w:rsidR="001F118B">
        <w:rPr>
          <w:lang w:eastAsia="ko-KR"/>
        </w:rPr>
        <w:t>are regulated and run by</w:t>
      </w:r>
      <w:r w:rsidR="001F118B">
        <w:rPr>
          <w:rFonts w:hint="eastAsia"/>
          <w:lang w:eastAsia="ko-KR"/>
        </w:rPr>
        <w:t xml:space="preserve"> municipal enterprises</w:t>
      </w:r>
      <w:r w:rsidR="00CD10EF">
        <w:rPr>
          <w:lang w:eastAsia="ko-KR"/>
        </w:rPr>
        <w:t>;</w:t>
      </w:r>
      <w:r w:rsidR="001F118B">
        <w:rPr>
          <w:rFonts w:hint="eastAsia"/>
          <w:lang w:eastAsia="ko-KR"/>
        </w:rPr>
        <w:t xml:space="preserve"> minibus services </w:t>
      </w:r>
      <w:r w:rsidR="001F118B">
        <w:rPr>
          <w:lang w:eastAsia="ko-KR"/>
        </w:rPr>
        <w:t xml:space="preserve">are unregulated and run </w:t>
      </w:r>
      <w:r w:rsidR="001F118B">
        <w:rPr>
          <w:rFonts w:hint="eastAsia"/>
          <w:lang w:eastAsia="ko-KR"/>
        </w:rPr>
        <w:t>by private operators</w:t>
      </w:r>
      <w:r w:rsidR="001F118B">
        <w:rPr>
          <w:lang w:eastAsia="ko-KR"/>
        </w:rPr>
        <w:t xml:space="preserve">, </w:t>
      </w:r>
      <w:r w:rsidR="00CD10EF">
        <w:rPr>
          <w:lang w:eastAsia="ko-KR"/>
        </w:rPr>
        <w:t>which create</w:t>
      </w:r>
      <w:r w:rsidR="001F118B">
        <w:rPr>
          <w:rFonts w:hint="eastAsia"/>
          <w:lang w:eastAsia="ko-KR"/>
        </w:rPr>
        <w:t xml:space="preserve"> </w:t>
      </w:r>
      <w:r w:rsidR="001F118B">
        <w:rPr>
          <w:lang w:eastAsia="ko-KR"/>
        </w:rPr>
        <w:t xml:space="preserve">a </w:t>
      </w:r>
      <w:r w:rsidR="001F118B" w:rsidRPr="003239F3">
        <w:rPr>
          <w:rFonts w:hint="eastAsia"/>
          <w:lang w:eastAsia="ko-KR"/>
        </w:rPr>
        <w:t>de facto</w:t>
      </w:r>
      <w:r w:rsidR="001F118B">
        <w:rPr>
          <w:rFonts w:hint="eastAsia"/>
          <w:lang w:eastAsia="ko-KR"/>
        </w:rPr>
        <w:t xml:space="preserve"> two-tier system of public transportation</w:t>
      </w:r>
      <w:r w:rsidR="001F118B">
        <w:rPr>
          <w:rStyle w:val="FootnoteReference"/>
          <w:lang w:eastAsia="ko-KR"/>
        </w:rPr>
        <w:footnoteReference w:id="42"/>
      </w:r>
      <w:r w:rsidR="001F118B">
        <w:rPr>
          <w:lang w:eastAsia="ko-KR"/>
        </w:rPr>
        <w:t xml:space="preserve"> </w:t>
      </w:r>
      <w:r w:rsidR="001F118B">
        <w:rPr>
          <w:rFonts w:hint="eastAsia"/>
          <w:lang w:eastAsia="ko-KR"/>
        </w:rPr>
        <w:t xml:space="preserve">characterized </w:t>
      </w:r>
      <w:r w:rsidR="001F118B">
        <w:rPr>
          <w:lang w:eastAsia="ko-KR"/>
        </w:rPr>
        <w:t>by</w:t>
      </w:r>
      <w:r w:rsidR="001F118B">
        <w:rPr>
          <w:rFonts w:hint="eastAsia"/>
          <w:lang w:eastAsia="ko-KR"/>
        </w:rPr>
        <w:t xml:space="preserve"> cos</w:t>
      </w:r>
      <w:r w:rsidR="001F118B">
        <w:rPr>
          <w:lang w:eastAsia="ko-KR"/>
        </w:rPr>
        <w:t>t-</w:t>
      </w:r>
      <w:r w:rsidR="001F118B">
        <w:rPr>
          <w:rFonts w:hint="eastAsia"/>
          <w:lang w:eastAsia="ko-KR"/>
        </w:rPr>
        <w:t>inefficien</w:t>
      </w:r>
      <w:r w:rsidR="001F118B">
        <w:rPr>
          <w:lang w:eastAsia="ko-KR"/>
        </w:rPr>
        <w:t>t</w:t>
      </w:r>
      <w:r w:rsidR="001F118B">
        <w:rPr>
          <w:rFonts w:hint="eastAsia"/>
          <w:lang w:eastAsia="ko-KR"/>
        </w:rPr>
        <w:t xml:space="preserve"> service delivery and lack of user convenience. Well-planned public transport systems </w:t>
      </w:r>
      <w:r w:rsidR="001F118B">
        <w:rPr>
          <w:lang w:eastAsia="ko-KR"/>
        </w:rPr>
        <w:t>comprise</w:t>
      </w:r>
      <w:r w:rsidR="001F118B">
        <w:rPr>
          <w:rFonts w:hint="eastAsia"/>
          <w:lang w:eastAsia="ko-KR"/>
        </w:rPr>
        <w:t xml:space="preserve"> sub-systems categorized by functional role (e.g., trunk and feeder services) and by service quality (e.g., premium and regular services), rather than types of operators (e.g., state-owned </w:t>
      </w:r>
      <w:r w:rsidR="001F118B">
        <w:rPr>
          <w:lang w:eastAsia="ko-KR"/>
        </w:rPr>
        <w:t xml:space="preserve">vs. </w:t>
      </w:r>
      <w:r w:rsidR="001F118B">
        <w:rPr>
          <w:rFonts w:hint="eastAsia"/>
          <w:lang w:eastAsia="ko-KR"/>
        </w:rPr>
        <w:t xml:space="preserve">private companies). </w:t>
      </w:r>
      <w:r w:rsidR="001F118B">
        <w:rPr>
          <w:lang w:eastAsia="ko-KR"/>
        </w:rPr>
        <w:t>R</w:t>
      </w:r>
      <w:r w:rsidR="001F118B">
        <w:rPr>
          <w:rFonts w:hint="eastAsia"/>
          <w:lang w:eastAsia="ko-KR"/>
        </w:rPr>
        <w:t xml:space="preserve">eform is necessary to </w:t>
      </w:r>
      <w:r w:rsidR="001F118B">
        <w:rPr>
          <w:lang w:eastAsia="ko-KR"/>
        </w:rPr>
        <w:t xml:space="preserve">assign </w:t>
      </w:r>
      <w:r w:rsidR="001F118B">
        <w:rPr>
          <w:rFonts w:hint="eastAsia"/>
          <w:lang w:eastAsia="ko-KR"/>
        </w:rPr>
        <w:t>minibus services a clearly defined functional role</w:t>
      </w:r>
      <w:r w:rsidR="001F118B" w:rsidDel="003239F3">
        <w:rPr>
          <w:rFonts w:hint="eastAsia"/>
          <w:lang w:eastAsia="ko-KR"/>
        </w:rPr>
        <w:t xml:space="preserve"> </w:t>
      </w:r>
      <w:r w:rsidR="001F118B">
        <w:rPr>
          <w:lang w:eastAsia="ko-KR"/>
        </w:rPr>
        <w:t>and to integrate</w:t>
      </w:r>
      <w:r w:rsidR="001F118B">
        <w:rPr>
          <w:rFonts w:hint="eastAsia"/>
          <w:lang w:eastAsia="ko-KR"/>
        </w:rPr>
        <w:t xml:space="preserve"> </w:t>
      </w:r>
      <w:r w:rsidR="001F118B">
        <w:rPr>
          <w:lang w:eastAsia="ko-KR"/>
        </w:rPr>
        <w:t>them into</w:t>
      </w:r>
      <w:r w:rsidR="001F118B">
        <w:rPr>
          <w:rFonts w:hint="eastAsia"/>
          <w:lang w:eastAsia="ko-KR"/>
        </w:rPr>
        <w:t xml:space="preserve"> a</w:t>
      </w:r>
      <w:r w:rsidR="001F118B">
        <w:rPr>
          <w:lang w:eastAsia="ko-KR"/>
        </w:rPr>
        <w:t>n overall</w:t>
      </w:r>
      <w:r w:rsidR="001F118B">
        <w:rPr>
          <w:rFonts w:hint="eastAsia"/>
          <w:lang w:eastAsia="ko-KR"/>
        </w:rPr>
        <w:t xml:space="preserve"> coherent public transportation system</w:t>
      </w:r>
      <w:r w:rsidR="001F118B">
        <w:rPr>
          <w:lang w:eastAsia="ko-KR"/>
        </w:rPr>
        <w:t>.</w:t>
      </w:r>
    </w:p>
    <w:tbl>
      <w:tblPr>
        <w:tblStyle w:val="TableGrid"/>
        <w:tblpPr w:leftFromText="180" w:rightFromText="180" w:vertAnchor="text" w:horzAnchor="margin" w:tblpXSpec="right" w:tblpY="78"/>
        <w:tblOverlap w:val="never"/>
        <w:tblW w:w="4518" w:type="dxa"/>
        <w:tblBorders>
          <w:top w:val="single" w:sz="12" w:space="0" w:color="auto"/>
          <w:left w:val="none" w:sz="0" w:space="0" w:color="auto"/>
          <w:bottom w:val="single" w:sz="12" w:space="0" w:color="auto"/>
          <w:right w:val="none" w:sz="0" w:space="0" w:color="auto"/>
          <w:insideV w:val="none" w:sz="0" w:space="0" w:color="auto"/>
        </w:tblBorders>
        <w:tblLayout w:type="fixed"/>
        <w:tblCellMar>
          <w:left w:w="72" w:type="dxa"/>
          <w:right w:w="72" w:type="dxa"/>
        </w:tblCellMar>
        <w:tblLook w:val="04A0"/>
      </w:tblPr>
      <w:tblGrid>
        <w:gridCol w:w="612"/>
        <w:gridCol w:w="1170"/>
        <w:gridCol w:w="1278"/>
        <w:gridCol w:w="1458"/>
      </w:tblGrid>
      <w:tr w:rsidR="005A5C4D" w:rsidRPr="005A5C4D" w:rsidTr="005A5C4D">
        <w:trPr>
          <w:trHeight w:val="50"/>
        </w:trPr>
        <w:tc>
          <w:tcPr>
            <w:tcW w:w="4518" w:type="dxa"/>
            <w:gridSpan w:val="4"/>
            <w:tcBorders>
              <w:top w:val="nil"/>
              <w:bottom w:val="single" w:sz="12" w:space="0" w:color="auto"/>
            </w:tcBorders>
          </w:tcPr>
          <w:p w:rsidR="005A5C4D" w:rsidRPr="00624B2C" w:rsidRDefault="005A5C4D" w:rsidP="005A5C4D">
            <w:pPr>
              <w:spacing w:after="60"/>
              <w:jc w:val="left"/>
              <w:rPr>
                <w:b/>
                <w:sz w:val="20"/>
                <w:szCs w:val="20"/>
              </w:rPr>
            </w:pPr>
            <w:bookmarkStart w:id="86" w:name="_Ref324521959"/>
            <w:bookmarkStart w:id="87" w:name="_Toc324684706"/>
            <w:bookmarkStart w:id="88" w:name="_Toc326892898"/>
            <w:r w:rsidRPr="00624B2C">
              <w:rPr>
                <w:b/>
                <w:sz w:val="20"/>
                <w:szCs w:val="20"/>
              </w:rPr>
              <w:t xml:space="preserve">Table </w:t>
            </w:r>
            <w:r w:rsidR="001A7AF8" w:rsidRPr="00624B2C">
              <w:rPr>
                <w:b/>
                <w:sz w:val="20"/>
                <w:szCs w:val="20"/>
              </w:rPr>
              <w:fldChar w:fldCharType="begin"/>
            </w:r>
            <w:r w:rsidRPr="00624B2C">
              <w:rPr>
                <w:b/>
                <w:sz w:val="20"/>
                <w:szCs w:val="20"/>
              </w:rPr>
              <w:instrText xml:space="preserve"> SEQ Table \* ARABIC </w:instrText>
            </w:r>
            <w:r w:rsidR="001A7AF8" w:rsidRPr="00624B2C">
              <w:rPr>
                <w:b/>
                <w:sz w:val="20"/>
                <w:szCs w:val="20"/>
              </w:rPr>
              <w:fldChar w:fldCharType="separate"/>
            </w:r>
            <w:r w:rsidR="00096FD0">
              <w:rPr>
                <w:b/>
                <w:noProof/>
                <w:sz w:val="20"/>
                <w:szCs w:val="20"/>
              </w:rPr>
              <w:t>7</w:t>
            </w:r>
            <w:r w:rsidR="001A7AF8" w:rsidRPr="00624B2C">
              <w:rPr>
                <w:b/>
                <w:sz w:val="20"/>
                <w:szCs w:val="20"/>
              </w:rPr>
              <w:fldChar w:fldCharType="end"/>
            </w:r>
            <w:bookmarkEnd w:id="86"/>
            <w:r w:rsidRPr="00624B2C">
              <w:rPr>
                <w:sz w:val="20"/>
                <w:szCs w:val="20"/>
              </w:rPr>
              <w:t>: Taxi regulations in high-income countries</w:t>
            </w:r>
            <w:bookmarkEnd w:id="87"/>
            <w:bookmarkEnd w:id="88"/>
          </w:p>
        </w:tc>
      </w:tr>
      <w:tr w:rsidR="005A5C4D" w:rsidRPr="00A4257F" w:rsidTr="005A5C4D">
        <w:trPr>
          <w:trHeight w:val="50"/>
        </w:trPr>
        <w:tc>
          <w:tcPr>
            <w:tcW w:w="612" w:type="dxa"/>
            <w:vMerge w:val="restart"/>
            <w:tcBorders>
              <w:top w:val="single" w:sz="12" w:space="0" w:color="auto"/>
            </w:tcBorders>
          </w:tcPr>
          <w:p w:rsidR="005A5C4D" w:rsidRPr="00A4257F" w:rsidRDefault="005A5C4D" w:rsidP="005A5C4D">
            <w:pPr>
              <w:spacing w:after="0"/>
              <w:jc w:val="left"/>
              <w:rPr>
                <w:sz w:val="20"/>
                <w:szCs w:val="20"/>
              </w:rPr>
            </w:pPr>
          </w:p>
        </w:tc>
        <w:tc>
          <w:tcPr>
            <w:tcW w:w="1170" w:type="dxa"/>
            <w:vMerge w:val="restart"/>
            <w:tcBorders>
              <w:top w:val="single" w:sz="12" w:space="0" w:color="auto"/>
            </w:tcBorders>
            <w:noWrap/>
            <w:hideMark/>
          </w:tcPr>
          <w:p w:rsidR="005A5C4D" w:rsidRPr="00A4257F" w:rsidRDefault="005A5C4D" w:rsidP="005A5C4D">
            <w:pPr>
              <w:spacing w:after="0"/>
              <w:jc w:val="left"/>
              <w:rPr>
                <w:sz w:val="20"/>
                <w:szCs w:val="20"/>
              </w:rPr>
            </w:pPr>
          </w:p>
        </w:tc>
        <w:tc>
          <w:tcPr>
            <w:tcW w:w="1278" w:type="dxa"/>
            <w:tcBorders>
              <w:top w:val="single" w:sz="12" w:space="0" w:color="auto"/>
            </w:tcBorders>
            <w:noWrap/>
            <w:hideMark/>
          </w:tcPr>
          <w:p w:rsidR="005A5C4D" w:rsidRPr="00A4257F" w:rsidRDefault="005A5C4D" w:rsidP="005A5C4D">
            <w:pPr>
              <w:spacing w:after="0"/>
              <w:jc w:val="left"/>
              <w:rPr>
                <w:sz w:val="20"/>
                <w:szCs w:val="20"/>
              </w:rPr>
            </w:pPr>
            <w:r>
              <w:rPr>
                <w:sz w:val="20"/>
                <w:szCs w:val="20"/>
              </w:rPr>
              <w:t>Fares</w:t>
            </w:r>
          </w:p>
        </w:tc>
        <w:tc>
          <w:tcPr>
            <w:tcW w:w="1458" w:type="dxa"/>
            <w:tcBorders>
              <w:top w:val="single" w:sz="12" w:space="0" w:color="auto"/>
            </w:tcBorders>
          </w:tcPr>
          <w:p w:rsidR="005A5C4D" w:rsidRPr="00A4257F" w:rsidRDefault="005A5C4D" w:rsidP="005A5C4D">
            <w:pPr>
              <w:spacing w:after="0"/>
              <w:jc w:val="left"/>
              <w:rPr>
                <w:sz w:val="20"/>
                <w:szCs w:val="20"/>
              </w:rPr>
            </w:pPr>
          </w:p>
        </w:tc>
      </w:tr>
      <w:tr w:rsidR="005A5C4D" w:rsidRPr="00A4257F" w:rsidTr="005A5C4D">
        <w:trPr>
          <w:trHeight w:val="70"/>
        </w:trPr>
        <w:tc>
          <w:tcPr>
            <w:tcW w:w="612" w:type="dxa"/>
            <w:vMerge/>
          </w:tcPr>
          <w:p w:rsidR="005A5C4D" w:rsidRPr="00A4257F" w:rsidRDefault="005A5C4D" w:rsidP="005A5C4D">
            <w:pPr>
              <w:spacing w:after="0"/>
              <w:jc w:val="left"/>
              <w:rPr>
                <w:sz w:val="20"/>
                <w:szCs w:val="20"/>
              </w:rPr>
            </w:pPr>
          </w:p>
        </w:tc>
        <w:tc>
          <w:tcPr>
            <w:tcW w:w="1170" w:type="dxa"/>
            <w:vMerge/>
            <w:noWrap/>
            <w:hideMark/>
          </w:tcPr>
          <w:p w:rsidR="005A5C4D" w:rsidRPr="00A4257F" w:rsidRDefault="005A5C4D" w:rsidP="005A5C4D">
            <w:pPr>
              <w:spacing w:after="0"/>
              <w:jc w:val="left"/>
              <w:rPr>
                <w:sz w:val="20"/>
                <w:szCs w:val="20"/>
              </w:rPr>
            </w:pPr>
          </w:p>
        </w:tc>
        <w:tc>
          <w:tcPr>
            <w:tcW w:w="1278" w:type="dxa"/>
            <w:noWrap/>
            <w:hideMark/>
          </w:tcPr>
          <w:p w:rsidR="005A5C4D" w:rsidRPr="00A4257F" w:rsidRDefault="005A5C4D" w:rsidP="005A5C4D">
            <w:pPr>
              <w:spacing w:after="0"/>
              <w:jc w:val="left"/>
              <w:rPr>
                <w:sz w:val="20"/>
                <w:szCs w:val="20"/>
              </w:rPr>
            </w:pPr>
            <w:r>
              <w:rPr>
                <w:sz w:val="20"/>
                <w:szCs w:val="20"/>
              </w:rPr>
              <w:t>Deregulated</w:t>
            </w:r>
          </w:p>
        </w:tc>
        <w:tc>
          <w:tcPr>
            <w:tcW w:w="1458" w:type="dxa"/>
            <w:noWrap/>
            <w:hideMark/>
          </w:tcPr>
          <w:p w:rsidR="005A5C4D" w:rsidRPr="00A4257F" w:rsidRDefault="005A5C4D" w:rsidP="005A5C4D">
            <w:pPr>
              <w:spacing w:after="0"/>
              <w:jc w:val="left"/>
              <w:rPr>
                <w:sz w:val="20"/>
                <w:szCs w:val="20"/>
              </w:rPr>
            </w:pPr>
            <w:r>
              <w:rPr>
                <w:sz w:val="20"/>
                <w:szCs w:val="20"/>
              </w:rPr>
              <w:t>Regulated</w:t>
            </w:r>
          </w:p>
        </w:tc>
      </w:tr>
      <w:tr w:rsidR="005A5C4D" w:rsidRPr="00A4257F" w:rsidTr="005A5C4D">
        <w:trPr>
          <w:trHeight w:val="125"/>
        </w:trPr>
        <w:tc>
          <w:tcPr>
            <w:tcW w:w="612" w:type="dxa"/>
          </w:tcPr>
          <w:p w:rsidR="005A5C4D" w:rsidRPr="00A4257F" w:rsidRDefault="005A5C4D" w:rsidP="005A5C4D">
            <w:pPr>
              <w:spacing w:after="0"/>
              <w:jc w:val="left"/>
              <w:rPr>
                <w:sz w:val="20"/>
                <w:szCs w:val="20"/>
              </w:rPr>
            </w:pPr>
            <w:r>
              <w:rPr>
                <w:sz w:val="20"/>
                <w:szCs w:val="20"/>
              </w:rPr>
              <w:t>Entry</w:t>
            </w:r>
          </w:p>
        </w:tc>
        <w:tc>
          <w:tcPr>
            <w:tcW w:w="1170" w:type="dxa"/>
            <w:noWrap/>
            <w:hideMark/>
          </w:tcPr>
          <w:p w:rsidR="005A5C4D" w:rsidRPr="00A4257F" w:rsidRDefault="005A5C4D" w:rsidP="005A5C4D">
            <w:pPr>
              <w:spacing w:after="0"/>
              <w:jc w:val="left"/>
              <w:rPr>
                <w:sz w:val="20"/>
                <w:szCs w:val="20"/>
              </w:rPr>
            </w:pPr>
            <w:r>
              <w:rPr>
                <w:sz w:val="20"/>
                <w:szCs w:val="20"/>
              </w:rPr>
              <w:t>Deregulated</w:t>
            </w:r>
          </w:p>
        </w:tc>
        <w:tc>
          <w:tcPr>
            <w:tcW w:w="1278" w:type="dxa"/>
            <w:noWrap/>
            <w:hideMark/>
          </w:tcPr>
          <w:p w:rsidR="005A5C4D" w:rsidRDefault="005A5C4D" w:rsidP="005A5C4D">
            <w:pPr>
              <w:spacing w:after="0"/>
              <w:jc w:val="left"/>
              <w:rPr>
                <w:sz w:val="20"/>
                <w:szCs w:val="20"/>
              </w:rPr>
            </w:pPr>
            <w:r>
              <w:rPr>
                <w:sz w:val="20"/>
                <w:szCs w:val="20"/>
              </w:rPr>
              <w:t>Sweden</w:t>
            </w:r>
          </w:p>
          <w:p w:rsidR="005A5C4D" w:rsidRDefault="005A5C4D" w:rsidP="005A5C4D">
            <w:pPr>
              <w:spacing w:after="0"/>
              <w:jc w:val="left"/>
              <w:rPr>
                <w:sz w:val="20"/>
                <w:szCs w:val="20"/>
              </w:rPr>
            </w:pPr>
            <w:r>
              <w:rPr>
                <w:sz w:val="20"/>
                <w:szCs w:val="20"/>
              </w:rPr>
              <w:t>New Zealand</w:t>
            </w:r>
          </w:p>
          <w:p w:rsidR="005A5C4D" w:rsidRPr="00A4257F" w:rsidRDefault="005A5C4D" w:rsidP="005A5C4D">
            <w:pPr>
              <w:spacing w:after="0"/>
              <w:jc w:val="left"/>
              <w:rPr>
                <w:sz w:val="20"/>
                <w:szCs w:val="20"/>
              </w:rPr>
            </w:pPr>
            <w:r>
              <w:rPr>
                <w:sz w:val="20"/>
                <w:szCs w:val="20"/>
              </w:rPr>
              <w:t>Few US cities</w:t>
            </w:r>
          </w:p>
        </w:tc>
        <w:tc>
          <w:tcPr>
            <w:tcW w:w="1458" w:type="dxa"/>
            <w:noWrap/>
            <w:hideMark/>
          </w:tcPr>
          <w:p w:rsidR="005A5C4D" w:rsidRDefault="005A5C4D" w:rsidP="005A5C4D">
            <w:pPr>
              <w:spacing w:after="0"/>
              <w:jc w:val="left"/>
              <w:rPr>
                <w:sz w:val="20"/>
                <w:szCs w:val="20"/>
              </w:rPr>
            </w:pPr>
            <w:r>
              <w:rPr>
                <w:sz w:val="20"/>
                <w:szCs w:val="20"/>
              </w:rPr>
              <w:t>Ireland</w:t>
            </w:r>
          </w:p>
          <w:p w:rsidR="005A5C4D" w:rsidRDefault="005A5C4D" w:rsidP="005A5C4D">
            <w:pPr>
              <w:spacing w:after="0"/>
              <w:jc w:val="left"/>
              <w:rPr>
                <w:sz w:val="20"/>
                <w:szCs w:val="20"/>
              </w:rPr>
            </w:pPr>
            <w:r>
              <w:rPr>
                <w:sz w:val="20"/>
                <w:szCs w:val="20"/>
              </w:rPr>
              <w:t>Netherlands</w:t>
            </w:r>
          </w:p>
          <w:p w:rsidR="005A5C4D" w:rsidRDefault="005A5C4D" w:rsidP="005A5C4D">
            <w:pPr>
              <w:spacing w:after="0"/>
              <w:jc w:val="left"/>
              <w:rPr>
                <w:sz w:val="20"/>
                <w:szCs w:val="20"/>
              </w:rPr>
            </w:pPr>
            <w:r>
              <w:rPr>
                <w:sz w:val="20"/>
                <w:szCs w:val="20"/>
              </w:rPr>
              <w:t>Some US cities</w:t>
            </w:r>
          </w:p>
          <w:p w:rsidR="005A5C4D" w:rsidRPr="00A4257F" w:rsidRDefault="005A5C4D" w:rsidP="005A5C4D">
            <w:pPr>
              <w:spacing w:after="0"/>
              <w:jc w:val="left"/>
              <w:rPr>
                <w:sz w:val="20"/>
                <w:szCs w:val="20"/>
              </w:rPr>
            </w:pPr>
            <w:r>
              <w:rPr>
                <w:sz w:val="20"/>
                <w:szCs w:val="20"/>
              </w:rPr>
              <w:t>Some UK cities</w:t>
            </w:r>
          </w:p>
        </w:tc>
      </w:tr>
      <w:tr w:rsidR="005A5C4D" w:rsidRPr="00A4257F" w:rsidTr="005A5C4D">
        <w:trPr>
          <w:trHeight w:val="98"/>
        </w:trPr>
        <w:tc>
          <w:tcPr>
            <w:tcW w:w="612" w:type="dxa"/>
            <w:tcBorders>
              <w:bottom w:val="single" w:sz="12" w:space="0" w:color="auto"/>
            </w:tcBorders>
          </w:tcPr>
          <w:p w:rsidR="005A5C4D" w:rsidRPr="00A4257F" w:rsidRDefault="005A5C4D" w:rsidP="005A5C4D">
            <w:pPr>
              <w:spacing w:after="0"/>
              <w:jc w:val="left"/>
              <w:rPr>
                <w:sz w:val="20"/>
                <w:szCs w:val="20"/>
              </w:rPr>
            </w:pPr>
          </w:p>
        </w:tc>
        <w:tc>
          <w:tcPr>
            <w:tcW w:w="1170" w:type="dxa"/>
            <w:tcBorders>
              <w:bottom w:val="single" w:sz="12" w:space="0" w:color="auto"/>
            </w:tcBorders>
            <w:noWrap/>
            <w:hideMark/>
          </w:tcPr>
          <w:p w:rsidR="005A5C4D" w:rsidRPr="00A4257F" w:rsidRDefault="005A5C4D" w:rsidP="005A5C4D">
            <w:pPr>
              <w:spacing w:after="0"/>
              <w:jc w:val="left"/>
              <w:rPr>
                <w:sz w:val="20"/>
                <w:szCs w:val="20"/>
              </w:rPr>
            </w:pPr>
            <w:r>
              <w:rPr>
                <w:sz w:val="20"/>
                <w:szCs w:val="20"/>
              </w:rPr>
              <w:t>Regulated</w:t>
            </w:r>
          </w:p>
        </w:tc>
        <w:tc>
          <w:tcPr>
            <w:tcW w:w="1278" w:type="dxa"/>
            <w:tcBorders>
              <w:bottom w:val="single" w:sz="12" w:space="0" w:color="auto"/>
            </w:tcBorders>
            <w:noWrap/>
            <w:hideMark/>
          </w:tcPr>
          <w:p w:rsidR="005A5C4D" w:rsidRPr="00A4257F" w:rsidRDefault="005A5C4D" w:rsidP="005A5C4D">
            <w:pPr>
              <w:spacing w:after="0"/>
              <w:jc w:val="left"/>
              <w:rPr>
                <w:sz w:val="20"/>
                <w:szCs w:val="20"/>
              </w:rPr>
            </w:pPr>
            <w:r>
              <w:rPr>
                <w:sz w:val="20"/>
                <w:szCs w:val="20"/>
              </w:rPr>
              <w:t>Norway</w:t>
            </w:r>
          </w:p>
        </w:tc>
        <w:tc>
          <w:tcPr>
            <w:tcW w:w="1458" w:type="dxa"/>
            <w:tcBorders>
              <w:bottom w:val="single" w:sz="12" w:space="0" w:color="auto"/>
            </w:tcBorders>
            <w:noWrap/>
            <w:hideMark/>
          </w:tcPr>
          <w:p w:rsidR="005A5C4D" w:rsidRDefault="005A5C4D" w:rsidP="005A5C4D">
            <w:pPr>
              <w:spacing w:after="0"/>
              <w:jc w:val="left"/>
              <w:rPr>
                <w:sz w:val="20"/>
                <w:szCs w:val="20"/>
              </w:rPr>
            </w:pPr>
            <w:r>
              <w:rPr>
                <w:sz w:val="20"/>
                <w:szCs w:val="20"/>
              </w:rPr>
              <w:t>Canada</w:t>
            </w:r>
          </w:p>
          <w:p w:rsidR="005A5C4D" w:rsidRDefault="005A5C4D" w:rsidP="005A5C4D">
            <w:pPr>
              <w:spacing w:after="0"/>
              <w:jc w:val="left"/>
              <w:rPr>
                <w:sz w:val="20"/>
                <w:szCs w:val="20"/>
              </w:rPr>
            </w:pPr>
            <w:r>
              <w:rPr>
                <w:sz w:val="20"/>
                <w:szCs w:val="20"/>
              </w:rPr>
              <w:t>Some US cities</w:t>
            </w:r>
          </w:p>
          <w:p w:rsidR="005A5C4D" w:rsidRPr="00A4257F" w:rsidRDefault="005A5C4D" w:rsidP="005A5C4D">
            <w:pPr>
              <w:spacing w:after="0"/>
              <w:jc w:val="left"/>
              <w:rPr>
                <w:sz w:val="20"/>
                <w:szCs w:val="20"/>
              </w:rPr>
            </w:pPr>
            <w:r>
              <w:rPr>
                <w:sz w:val="20"/>
                <w:szCs w:val="20"/>
              </w:rPr>
              <w:t>Some UK cities</w:t>
            </w:r>
          </w:p>
        </w:tc>
      </w:tr>
      <w:tr w:rsidR="005A5C4D" w:rsidTr="005A5C4D">
        <w:trPr>
          <w:trHeight w:val="135"/>
        </w:trPr>
        <w:tc>
          <w:tcPr>
            <w:tcW w:w="4518" w:type="dxa"/>
            <w:gridSpan w:val="4"/>
            <w:tcBorders>
              <w:top w:val="single" w:sz="12" w:space="0" w:color="auto"/>
              <w:bottom w:val="nil"/>
            </w:tcBorders>
          </w:tcPr>
          <w:p w:rsidR="005A5C4D" w:rsidRDefault="005A5C4D" w:rsidP="005A5C4D">
            <w:pPr>
              <w:rPr>
                <w:sz w:val="20"/>
                <w:szCs w:val="20"/>
              </w:rPr>
            </w:pPr>
            <w:r w:rsidRPr="00961A10">
              <w:rPr>
                <w:i/>
                <w:sz w:val="18"/>
                <w:szCs w:val="18"/>
              </w:rPr>
              <w:t xml:space="preserve">Source: </w:t>
            </w:r>
            <w:r>
              <w:rPr>
                <w:i/>
                <w:sz w:val="18"/>
                <w:szCs w:val="18"/>
              </w:rPr>
              <w:t>Gwilliam (2005)</w:t>
            </w:r>
          </w:p>
        </w:tc>
      </w:tr>
    </w:tbl>
    <w:p w:rsidR="001C458C" w:rsidRDefault="00D333BE" w:rsidP="001C458C">
      <w:pPr>
        <w:rPr>
          <w:lang w:eastAsia="ko-KR"/>
        </w:rPr>
      </w:pPr>
      <w:r w:rsidRPr="00D333BE">
        <w:rPr>
          <w:b/>
          <w:lang w:eastAsia="ko-KR"/>
        </w:rPr>
        <w:t xml:space="preserve">Rationale for change: </w:t>
      </w:r>
      <w:r>
        <w:rPr>
          <w:b/>
          <w:lang w:eastAsia="ko-KR"/>
        </w:rPr>
        <w:t xml:space="preserve">need for safe, clean and reliable </w:t>
      </w:r>
      <w:r w:rsidRPr="00D333BE">
        <w:rPr>
          <w:b/>
          <w:lang w:eastAsia="ko-KR"/>
        </w:rPr>
        <w:t xml:space="preserve">taxi </w:t>
      </w:r>
      <w:r>
        <w:rPr>
          <w:b/>
          <w:lang w:eastAsia="ko-KR"/>
        </w:rPr>
        <w:t>services that complement other modes</w:t>
      </w:r>
      <w:r>
        <w:rPr>
          <w:lang w:eastAsia="ko-KR"/>
        </w:rPr>
        <w:t xml:space="preserve">.  </w:t>
      </w:r>
      <w:r w:rsidR="00245E24">
        <w:rPr>
          <w:lang w:eastAsia="ko-KR"/>
        </w:rPr>
        <w:t xml:space="preserve">Typically three types of regulations are applied to the taxi market: quantity (total number of taxi licenses </w:t>
      </w:r>
      <w:r w:rsidR="007F2C2B">
        <w:rPr>
          <w:lang w:eastAsia="ko-KR"/>
        </w:rPr>
        <w:t>or contracts that allow</w:t>
      </w:r>
      <w:r w:rsidR="00245E24">
        <w:rPr>
          <w:lang w:eastAsia="ko-KR"/>
        </w:rPr>
        <w:t xml:space="preserve"> operation within a </w:t>
      </w:r>
      <w:r w:rsidR="00CD10EF">
        <w:rPr>
          <w:lang w:eastAsia="ko-KR"/>
        </w:rPr>
        <w:t>specified</w:t>
      </w:r>
      <w:r w:rsidR="00245E24">
        <w:rPr>
          <w:lang w:eastAsia="ko-KR"/>
        </w:rPr>
        <w:t xml:space="preserve"> jurisdictional area), quality (vehicle standards, driver performance, </w:t>
      </w:r>
      <w:r w:rsidR="001C0147">
        <w:rPr>
          <w:lang w:eastAsia="ko-KR"/>
        </w:rPr>
        <w:t>availability of booking</w:t>
      </w:r>
      <w:r w:rsidR="007F2C2B">
        <w:rPr>
          <w:lang w:eastAsia="ko-KR"/>
        </w:rPr>
        <w:t xml:space="preserve"> services</w:t>
      </w:r>
      <w:r w:rsidR="001C0147">
        <w:rPr>
          <w:lang w:eastAsia="ko-KR"/>
        </w:rPr>
        <w:t xml:space="preserve">, etc.), and fare. </w:t>
      </w:r>
      <w:r w:rsidR="00816617">
        <w:rPr>
          <w:lang w:eastAsia="ko-KR"/>
        </w:rPr>
        <w:t xml:space="preserve"> </w:t>
      </w:r>
      <w:r w:rsidR="0093243A">
        <w:rPr>
          <w:lang w:eastAsia="ko-KR"/>
        </w:rPr>
        <w:t>N</w:t>
      </w:r>
      <w:r w:rsidR="001C0147">
        <w:rPr>
          <w:lang w:eastAsia="ko-KR"/>
        </w:rPr>
        <w:t xml:space="preserve">one of </w:t>
      </w:r>
      <w:r w:rsidR="0093243A">
        <w:rPr>
          <w:lang w:eastAsia="ko-KR"/>
        </w:rPr>
        <w:t xml:space="preserve">these regulations has been </w:t>
      </w:r>
      <w:r w:rsidR="001C0147">
        <w:rPr>
          <w:lang w:eastAsia="ko-KR"/>
        </w:rPr>
        <w:t>implemented in Georgia</w:t>
      </w:r>
      <w:r w:rsidR="002D72AF">
        <w:rPr>
          <w:lang w:eastAsia="ko-KR"/>
        </w:rPr>
        <w:t xml:space="preserve">. </w:t>
      </w:r>
      <w:r w:rsidR="00816617">
        <w:rPr>
          <w:lang w:eastAsia="ko-KR"/>
        </w:rPr>
        <w:t xml:space="preserve"> </w:t>
      </w:r>
      <w:r w:rsidR="0093243A">
        <w:rPr>
          <w:lang w:eastAsia="ko-KR"/>
        </w:rPr>
        <w:t xml:space="preserve">By contrast, </w:t>
      </w:r>
      <w:r w:rsidR="002D72AF">
        <w:rPr>
          <w:lang w:eastAsia="ko-KR"/>
        </w:rPr>
        <w:t>most high-income countries and some middle-income countries</w:t>
      </w:r>
      <w:r w:rsidR="0093243A">
        <w:rPr>
          <w:lang w:eastAsia="ko-KR"/>
        </w:rPr>
        <w:t xml:space="preserve"> implement </w:t>
      </w:r>
      <w:r w:rsidR="006D55CD">
        <w:rPr>
          <w:lang w:eastAsia="ko-KR"/>
        </w:rPr>
        <w:t>quality regulation</w:t>
      </w:r>
      <w:r w:rsidR="002D72AF">
        <w:rPr>
          <w:lang w:eastAsia="ko-KR"/>
        </w:rPr>
        <w:t>;</w:t>
      </w:r>
      <w:r w:rsidR="005A5C4D">
        <w:rPr>
          <w:lang w:eastAsia="ko-KR"/>
        </w:rPr>
        <w:t xml:space="preserve"> </w:t>
      </w:r>
      <w:r w:rsidR="006D55CD">
        <w:rPr>
          <w:lang w:eastAsia="ko-KR"/>
        </w:rPr>
        <w:t xml:space="preserve">quantity and fare regulations </w:t>
      </w:r>
      <w:r w:rsidR="007F2C2B">
        <w:rPr>
          <w:lang w:eastAsia="ko-KR"/>
        </w:rPr>
        <w:t xml:space="preserve">vary by country and city </w:t>
      </w:r>
      <w:r w:rsidR="006D55CD" w:rsidRPr="005A5C4D">
        <w:rPr>
          <w:lang w:eastAsia="ko-KR"/>
        </w:rPr>
        <w:t>(</w:t>
      </w:r>
      <w:fldSimple w:instr=" REF _Ref324521959 \h  \* MERGEFORMAT ">
        <w:r w:rsidR="00096FD0" w:rsidRPr="00096FD0">
          <w:t xml:space="preserve">Table </w:t>
        </w:r>
        <w:r w:rsidR="00096FD0" w:rsidRPr="00096FD0">
          <w:rPr>
            <w:noProof/>
          </w:rPr>
          <w:t>7</w:t>
        </w:r>
      </w:fldSimple>
      <w:r w:rsidR="005A5C4D" w:rsidRPr="005A5C4D">
        <w:rPr>
          <w:lang w:eastAsia="ko-KR"/>
        </w:rPr>
        <w:t>)</w:t>
      </w:r>
      <w:r w:rsidR="001C0147">
        <w:rPr>
          <w:lang w:eastAsia="ko-KR"/>
        </w:rPr>
        <w:t xml:space="preserve">. </w:t>
      </w:r>
      <w:r w:rsidR="002D72AF">
        <w:rPr>
          <w:lang w:eastAsia="ko-KR"/>
        </w:rPr>
        <w:t xml:space="preserve"> </w:t>
      </w:r>
      <w:r w:rsidR="001C0147">
        <w:rPr>
          <w:lang w:eastAsia="ko-KR"/>
        </w:rPr>
        <w:t xml:space="preserve">International experience suggests that </w:t>
      </w:r>
      <w:r w:rsidR="006D55CD">
        <w:rPr>
          <w:lang w:eastAsia="ko-KR"/>
        </w:rPr>
        <w:t xml:space="preserve">deregulation from quantity (market entry) control </w:t>
      </w:r>
      <w:r w:rsidR="002D72AF">
        <w:rPr>
          <w:lang w:eastAsia="ko-KR"/>
        </w:rPr>
        <w:t>can lead to a market balance of supply and demand</w:t>
      </w:r>
      <w:r w:rsidR="00816617">
        <w:rPr>
          <w:lang w:eastAsia="ko-KR"/>
        </w:rPr>
        <w:t>, as opposed to under-supply of taxi services observed in the cases of strict market entry</w:t>
      </w:r>
      <w:r w:rsidR="002D72AF">
        <w:rPr>
          <w:lang w:eastAsia="ko-KR"/>
        </w:rPr>
        <w:t>, increasing the welfare of users</w:t>
      </w:r>
      <w:r w:rsidR="00816617">
        <w:rPr>
          <w:lang w:eastAsia="ko-KR"/>
        </w:rPr>
        <w:t>.</w:t>
      </w:r>
      <w:r w:rsidR="002D72AF">
        <w:rPr>
          <w:lang w:eastAsia="ko-KR"/>
        </w:rPr>
        <w:t xml:space="preserve"> </w:t>
      </w:r>
      <w:r w:rsidR="00816617">
        <w:rPr>
          <w:lang w:eastAsia="ko-KR"/>
        </w:rPr>
        <w:t xml:space="preserve"> This is possible, however, </w:t>
      </w:r>
      <w:r w:rsidR="002D72AF">
        <w:rPr>
          <w:lang w:eastAsia="ko-KR"/>
        </w:rPr>
        <w:t xml:space="preserve">only when it is supplemented with </w:t>
      </w:r>
      <w:r w:rsidR="006D55CD">
        <w:rPr>
          <w:lang w:eastAsia="ko-KR"/>
        </w:rPr>
        <w:t>tight control over the quality and some regulations on fares.</w:t>
      </w:r>
      <w:r w:rsidR="005A5C4D">
        <w:rPr>
          <w:rStyle w:val="FootnoteReference"/>
          <w:lang w:eastAsia="ko-KR"/>
        </w:rPr>
        <w:footnoteReference w:id="43"/>
      </w:r>
      <w:r w:rsidR="005A5C4D">
        <w:rPr>
          <w:lang w:eastAsia="ko-KR"/>
        </w:rPr>
        <w:t xml:space="preserve"> </w:t>
      </w:r>
      <w:r w:rsidR="006D55CD">
        <w:rPr>
          <w:lang w:eastAsia="ko-KR"/>
        </w:rPr>
        <w:t xml:space="preserve"> </w:t>
      </w:r>
      <w:r w:rsidR="0093243A">
        <w:rPr>
          <w:lang w:eastAsia="ko-KR"/>
        </w:rPr>
        <w:t>T</w:t>
      </w:r>
      <w:r w:rsidR="006D55CD">
        <w:rPr>
          <w:lang w:eastAsia="ko-KR"/>
        </w:rPr>
        <w:t>o develop green and efficient tax market</w:t>
      </w:r>
      <w:r w:rsidR="007F2C2B">
        <w:rPr>
          <w:lang w:eastAsia="ko-KR"/>
        </w:rPr>
        <w:t>s</w:t>
      </w:r>
      <w:r w:rsidR="006D55CD">
        <w:rPr>
          <w:lang w:eastAsia="ko-KR"/>
        </w:rPr>
        <w:t xml:space="preserve">, Georgian municipalities </w:t>
      </w:r>
      <w:r w:rsidR="0093243A">
        <w:rPr>
          <w:lang w:eastAsia="ko-KR"/>
        </w:rPr>
        <w:t xml:space="preserve">must intervene </w:t>
      </w:r>
      <w:r w:rsidR="002D72AF">
        <w:rPr>
          <w:lang w:eastAsia="ko-KR"/>
        </w:rPr>
        <w:t xml:space="preserve">to </w:t>
      </w:r>
      <w:r w:rsidR="0093243A">
        <w:rPr>
          <w:lang w:eastAsia="ko-KR"/>
        </w:rPr>
        <w:t xml:space="preserve">implement </w:t>
      </w:r>
      <w:r w:rsidR="002D72AF">
        <w:rPr>
          <w:lang w:eastAsia="ko-KR"/>
        </w:rPr>
        <w:t>balance</w:t>
      </w:r>
      <w:r w:rsidR="0093243A">
        <w:rPr>
          <w:lang w:eastAsia="ko-KR"/>
        </w:rPr>
        <w:t>d</w:t>
      </w:r>
      <w:r w:rsidR="002D72AF">
        <w:rPr>
          <w:lang w:eastAsia="ko-KR"/>
        </w:rPr>
        <w:t xml:space="preserve"> taxi </w:t>
      </w:r>
      <w:r w:rsidR="006D55CD">
        <w:rPr>
          <w:lang w:eastAsia="ko-KR"/>
        </w:rPr>
        <w:t>regulations.</w:t>
      </w:r>
    </w:p>
    <w:p w:rsidR="008219F1" w:rsidRPr="00E046E9" w:rsidRDefault="008219F1" w:rsidP="00525183">
      <w:pPr>
        <w:spacing w:after="80"/>
        <w:rPr>
          <w:b/>
          <w:i/>
        </w:rPr>
      </w:pPr>
      <w:r w:rsidRPr="00E046E9">
        <w:rPr>
          <w:b/>
          <w:i/>
        </w:rPr>
        <w:t>How can this be done?</w:t>
      </w:r>
    </w:p>
    <w:p w:rsidR="00DC3789" w:rsidRDefault="00D409AA" w:rsidP="00D53B67">
      <w:pPr>
        <w:rPr>
          <w:lang w:eastAsia="ko-KR"/>
        </w:rPr>
      </w:pPr>
      <w:r w:rsidRPr="00D409AA">
        <w:rPr>
          <w:b/>
        </w:rPr>
        <w:t>The recent initiative by the Tbilisi City Hall suggests that reform</w:t>
      </w:r>
      <w:r w:rsidR="006D3D04">
        <w:rPr>
          <w:b/>
        </w:rPr>
        <w:t xml:space="preserve">ing the fragmented minibus market </w:t>
      </w:r>
      <w:r w:rsidRPr="00D409AA">
        <w:rPr>
          <w:b/>
        </w:rPr>
        <w:t>is possible, albeit difficult</w:t>
      </w:r>
      <w:r w:rsidRPr="00A818E5">
        <w:t xml:space="preserve">. </w:t>
      </w:r>
      <w:r w:rsidR="00D53B67">
        <w:rPr>
          <w:rFonts w:hint="eastAsia"/>
          <w:lang w:eastAsia="ko-KR"/>
        </w:rPr>
        <w:t xml:space="preserve">Tbilisi </w:t>
      </w:r>
      <w:r w:rsidR="00D53B67" w:rsidRPr="001B4F16">
        <w:t xml:space="preserve">City Hall </w:t>
      </w:r>
      <w:r w:rsidR="00D53B67">
        <w:t>began</w:t>
      </w:r>
      <w:r w:rsidR="00D53B67" w:rsidRPr="001B4F16">
        <w:t xml:space="preserve"> implementing </w:t>
      </w:r>
      <w:r w:rsidR="0093243A">
        <w:t>a</w:t>
      </w:r>
      <w:r w:rsidR="00D53B67" w:rsidRPr="001B4F16">
        <w:t xml:space="preserve"> minibus reform program</w:t>
      </w:r>
      <w:r w:rsidR="00D53B67">
        <w:t xml:space="preserve"> by</w:t>
      </w:r>
      <w:r w:rsidR="00D53B67" w:rsidRPr="001B4F16">
        <w:t xml:space="preserve"> introducing a zone-based competitive tender</w:t>
      </w:r>
      <w:r w:rsidR="0093243A">
        <w:t xml:space="preserve">, under which </w:t>
      </w:r>
      <w:r w:rsidR="00D53B67" w:rsidRPr="001B4F16">
        <w:t xml:space="preserve">bidders </w:t>
      </w:r>
      <w:r w:rsidR="0093243A">
        <w:t xml:space="preserve">must </w:t>
      </w:r>
      <w:r w:rsidR="00D53B67" w:rsidRPr="001B4F16">
        <w:t xml:space="preserve">form limited liability companies (LLCs) </w:t>
      </w:r>
      <w:r w:rsidR="0093243A">
        <w:t xml:space="preserve">to </w:t>
      </w:r>
      <w:r w:rsidR="00D53B67" w:rsidRPr="001B4F16">
        <w:t>purchase brand-new vehicles</w:t>
      </w:r>
      <w:r w:rsidR="00D53B67">
        <w:rPr>
          <w:lang w:eastAsia="ko-KR"/>
        </w:rPr>
        <w:t xml:space="preserve"> </w:t>
      </w:r>
      <w:r w:rsidR="0093243A">
        <w:rPr>
          <w:lang w:eastAsia="ko-KR"/>
        </w:rPr>
        <w:t xml:space="preserve">required for </w:t>
      </w:r>
      <w:r w:rsidR="00D53B67">
        <w:rPr>
          <w:lang w:eastAsia="ko-KR"/>
        </w:rPr>
        <w:t xml:space="preserve">participating </w:t>
      </w:r>
      <w:r w:rsidR="00D53B67">
        <w:rPr>
          <w:rFonts w:hint="eastAsia"/>
          <w:lang w:eastAsia="ko-KR"/>
        </w:rPr>
        <w:t>in the tender</w:t>
      </w:r>
      <w:r w:rsidR="00D53B67">
        <w:t>. Operators on r</w:t>
      </w:r>
      <w:r w:rsidR="00D53B67" w:rsidRPr="001B4F16">
        <w:t>outes already tendered under this scheme</w:t>
      </w:r>
      <w:r w:rsidR="00D53B67">
        <w:t xml:space="preserve"> have introduced </w:t>
      </w:r>
      <w:r w:rsidR="00D53B67" w:rsidRPr="001B4F16">
        <w:t>fare increase</w:t>
      </w:r>
      <w:r w:rsidR="00D53B67">
        <w:t>s</w:t>
      </w:r>
      <w:r w:rsidR="00D53B67" w:rsidRPr="001B4F16">
        <w:t xml:space="preserve"> </w:t>
      </w:r>
      <w:r w:rsidR="00D53B67">
        <w:t>of</w:t>
      </w:r>
      <w:r w:rsidR="00D53B67" w:rsidRPr="001B4F16">
        <w:t xml:space="preserve"> more than 50</w:t>
      </w:r>
      <w:r w:rsidR="00D53B67">
        <w:t xml:space="preserve"> percent</w:t>
      </w:r>
      <w:r w:rsidR="00D53B67" w:rsidRPr="001B4F16">
        <w:t xml:space="preserve">. </w:t>
      </w:r>
      <w:r w:rsidR="006D3D04">
        <w:t xml:space="preserve">Particularly at </w:t>
      </w:r>
      <w:r w:rsidR="006D3D04">
        <w:lastRenderedPageBreak/>
        <w:t>the beginning, reform</w:t>
      </w:r>
      <w:r w:rsidR="0093243A">
        <w:t>s</w:t>
      </w:r>
      <w:r w:rsidR="006D3D04">
        <w:t xml:space="preserve"> faced </w:t>
      </w:r>
      <w:r>
        <w:t xml:space="preserve">resistance from bus operators and </w:t>
      </w:r>
      <w:r w:rsidR="006D3D04">
        <w:t>citizens</w:t>
      </w:r>
      <w:r>
        <w:t xml:space="preserve">, </w:t>
      </w:r>
      <w:r w:rsidR="006D3D04">
        <w:t>who were dissatisfied wi</w:t>
      </w:r>
      <w:r w:rsidR="0093243A">
        <w:t>th the increased operating cost</w:t>
      </w:r>
      <w:r w:rsidR="00816617">
        <w:t>,</w:t>
      </w:r>
      <w:r w:rsidR="006D3D04">
        <w:t xml:space="preserve"> and </w:t>
      </w:r>
      <w:r w:rsidR="0093243A">
        <w:t xml:space="preserve">higher </w:t>
      </w:r>
      <w:r w:rsidR="006D3D04">
        <w:t>fare</w:t>
      </w:r>
      <w:r w:rsidR="0093243A">
        <w:t>s</w:t>
      </w:r>
      <w:r w:rsidR="00D53B67" w:rsidRPr="001B4F16">
        <w:t>.</w:t>
      </w:r>
      <w:r w:rsidR="00D53B67">
        <w:rPr>
          <w:rStyle w:val="FootnoteReference"/>
        </w:rPr>
        <w:footnoteReference w:id="44"/>
      </w:r>
      <w:r w:rsidR="006D3D04">
        <w:t xml:space="preserve">  </w:t>
      </w:r>
      <w:r w:rsidR="00816617">
        <w:t>Despite these difficulties, reform</w:t>
      </w:r>
      <w:r w:rsidR="0093243A">
        <w:t>s</w:t>
      </w:r>
      <w:r w:rsidR="00816617">
        <w:t xml:space="preserve"> achieved reasonable success in </w:t>
      </w:r>
      <w:r w:rsidR="0093243A">
        <w:t xml:space="preserve">transforming </w:t>
      </w:r>
      <w:r w:rsidR="00816617">
        <w:t>minibus</w:t>
      </w:r>
      <w:r w:rsidR="0093243A">
        <w:t xml:space="preserve"> servic</w:t>
      </w:r>
      <w:r w:rsidR="00816617">
        <w:t xml:space="preserve">es, which now offer cleaner more comfortable vehicles operating on fixed routes.  </w:t>
      </w:r>
      <w:r w:rsidR="0093243A">
        <w:t xml:space="preserve">However, it is even more important </w:t>
      </w:r>
      <w:r w:rsidR="00816617">
        <w:rPr>
          <w:lang w:eastAsia="ko-KR"/>
        </w:rPr>
        <w:t xml:space="preserve">to introduce similar reforms in other Georgian cities and to sustain the clean vehicle fleet and high-quality services </w:t>
      </w:r>
      <w:r w:rsidR="0093243A">
        <w:rPr>
          <w:lang w:eastAsia="ko-KR"/>
        </w:rPr>
        <w:t xml:space="preserve">over the </w:t>
      </w:r>
      <w:r w:rsidR="00816617">
        <w:rPr>
          <w:lang w:eastAsia="ko-KR"/>
        </w:rPr>
        <w:t xml:space="preserve">long-term.  Long-term sustainability can be secured </w:t>
      </w:r>
      <w:r w:rsidR="00D53B67">
        <w:rPr>
          <w:lang w:eastAsia="ko-KR"/>
        </w:rPr>
        <w:t>if minibus reforms</w:t>
      </w:r>
      <w:r w:rsidR="00D53B67">
        <w:rPr>
          <w:rFonts w:hint="eastAsia"/>
          <w:lang w:eastAsia="ko-KR"/>
        </w:rPr>
        <w:t xml:space="preserve"> </w:t>
      </w:r>
      <w:r w:rsidR="0093243A">
        <w:rPr>
          <w:lang w:eastAsia="ko-KR"/>
        </w:rPr>
        <w:t xml:space="preserve">contribute to </w:t>
      </w:r>
      <w:r w:rsidR="00D53B67">
        <w:rPr>
          <w:rFonts w:hint="eastAsia"/>
          <w:lang w:eastAsia="ko-KR"/>
        </w:rPr>
        <w:t>a</w:t>
      </w:r>
      <w:r w:rsidR="00D53B67">
        <w:rPr>
          <w:lang w:eastAsia="ko-KR"/>
        </w:rPr>
        <w:t>n overall</w:t>
      </w:r>
      <w:r w:rsidR="00D53B67">
        <w:rPr>
          <w:rFonts w:hint="eastAsia"/>
          <w:lang w:eastAsia="ko-KR"/>
        </w:rPr>
        <w:t xml:space="preserve"> coherent public transport system</w:t>
      </w:r>
      <w:r w:rsidR="00D53B67">
        <w:rPr>
          <w:lang w:eastAsia="ko-KR"/>
        </w:rPr>
        <w:t>, not just minibus services</w:t>
      </w:r>
      <w:r w:rsidR="00D53B67">
        <w:rPr>
          <w:rFonts w:hint="eastAsia"/>
          <w:lang w:eastAsia="ko-KR"/>
        </w:rPr>
        <w:t xml:space="preserve">. </w:t>
      </w:r>
      <w:r w:rsidR="0093243A">
        <w:rPr>
          <w:lang w:eastAsia="ko-KR"/>
        </w:rPr>
        <w:t xml:space="preserve">A coherent system </w:t>
      </w:r>
      <w:r w:rsidR="00D53B67">
        <w:rPr>
          <w:rFonts w:hint="eastAsia"/>
          <w:lang w:eastAsia="ko-KR"/>
        </w:rPr>
        <w:t xml:space="preserve">would </w:t>
      </w:r>
      <w:r w:rsidR="00D53B67">
        <w:rPr>
          <w:lang w:eastAsia="ko-KR"/>
        </w:rPr>
        <w:t>require</w:t>
      </w:r>
      <w:r w:rsidR="00D53B67">
        <w:rPr>
          <w:rFonts w:hint="eastAsia"/>
          <w:lang w:eastAsia="ko-KR"/>
        </w:rPr>
        <w:t xml:space="preserve"> fundamental changes in </w:t>
      </w:r>
      <w:r w:rsidR="00D53B67">
        <w:rPr>
          <w:lang w:eastAsia="ko-KR"/>
        </w:rPr>
        <w:t xml:space="preserve">how </w:t>
      </w:r>
      <w:r w:rsidR="00D53B67">
        <w:rPr>
          <w:rFonts w:hint="eastAsia"/>
          <w:lang w:eastAsia="ko-KR"/>
        </w:rPr>
        <w:t xml:space="preserve">public transport services are procured and managed, which </w:t>
      </w:r>
      <w:r w:rsidR="00D53B67">
        <w:rPr>
          <w:lang w:eastAsia="ko-KR"/>
        </w:rPr>
        <w:t xml:space="preserve">in turn </w:t>
      </w:r>
      <w:r w:rsidR="00D53B67">
        <w:rPr>
          <w:rFonts w:hint="eastAsia"/>
          <w:lang w:eastAsia="ko-KR"/>
        </w:rPr>
        <w:t>require</w:t>
      </w:r>
      <w:r w:rsidR="00D53B67">
        <w:rPr>
          <w:lang w:eastAsia="ko-KR"/>
        </w:rPr>
        <w:t>s</w:t>
      </w:r>
      <w:r w:rsidR="00D53B67">
        <w:rPr>
          <w:rFonts w:hint="eastAsia"/>
          <w:lang w:eastAsia="ko-KR"/>
        </w:rPr>
        <w:t xml:space="preserve"> institutional, legal and regulatory reforms, initial capital investments, and </w:t>
      </w:r>
      <w:r w:rsidR="00D53B67">
        <w:rPr>
          <w:lang w:eastAsia="ko-KR"/>
        </w:rPr>
        <w:t>development</w:t>
      </w:r>
      <w:r w:rsidR="00D53B67">
        <w:rPr>
          <w:rFonts w:hint="eastAsia"/>
          <w:lang w:eastAsia="ko-KR"/>
        </w:rPr>
        <w:t xml:space="preserve"> </w:t>
      </w:r>
      <w:r w:rsidR="00D53B67">
        <w:rPr>
          <w:lang w:eastAsia="ko-KR"/>
        </w:rPr>
        <w:t xml:space="preserve">and implementation of a </w:t>
      </w:r>
      <w:r w:rsidR="00D53B67">
        <w:rPr>
          <w:rFonts w:hint="eastAsia"/>
          <w:lang w:eastAsia="ko-KR"/>
        </w:rPr>
        <w:t>long-term fiscal plan.</w:t>
      </w:r>
    </w:p>
    <w:p w:rsidR="008C2739" w:rsidRDefault="00261E5D" w:rsidP="000B46E2">
      <w:pPr>
        <w:rPr>
          <w:lang w:eastAsia="ko-KR"/>
        </w:rPr>
      </w:pPr>
      <w:r w:rsidRPr="00261E5D">
        <w:rPr>
          <w:b/>
        </w:rPr>
        <w:t>Institution</w:t>
      </w:r>
      <w:r w:rsidR="006A5EA9">
        <w:rPr>
          <w:b/>
        </w:rPr>
        <w:t>al</w:t>
      </w:r>
      <w:r w:rsidR="00D409AA">
        <w:rPr>
          <w:b/>
        </w:rPr>
        <w:t xml:space="preserve">: </w:t>
      </w:r>
      <w:r w:rsidR="00061B58">
        <w:rPr>
          <w:b/>
        </w:rPr>
        <w:t>bringing in a strategic vision and strengthening market competition</w:t>
      </w:r>
      <w:r>
        <w:t xml:space="preserve">.  </w:t>
      </w:r>
      <w:r w:rsidR="00D53B67">
        <w:t>A</w:t>
      </w:r>
      <w:r w:rsidR="00D53B67">
        <w:rPr>
          <w:rFonts w:hint="eastAsia"/>
          <w:lang w:eastAsia="ko-KR"/>
        </w:rPr>
        <w:t>chiev</w:t>
      </w:r>
      <w:r w:rsidR="00D53B67">
        <w:rPr>
          <w:lang w:eastAsia="ko-KR"/>
        </w:rPr>
        <w:t>ing</w:t>
      </w:r>
      <w:r w:rsidR="00D53B67">
        <w:rPr>
          <w:rFonts w:hint="eastAsia"/>
          <w:lang w:eastAsia="ko-KR"/>
        </w:rPr>
        <w:t xml:space="preserve"> green transportation</w:t>
      </w:r>
      <w:r w:rsidR="00D53B67" w:rsidRPr="000759DC">
        <w:rPr>
          <w:rFonts w:hint="eastAsia"/>
          <w:lang w:eastAsia="ko-KR"/>
        </w:rPr>
        <w:t xml:space="preserve"> is </w:t>
      </w:r>
      <w:r w:rsidR="00D53B67">
        <w:rPr>
          <w:lang w:eastAsia="ko-KR"/>
        </w:rPr>
        <w:t>more than</w:t>
      </w:r>
      <w:r w:rsidR="00D53B67" w:rsidRPr="004026D2">
        <w:rPr>
          <w:lang w:eastAsia="ko-KR"/>
        </w:rPr>
        <w:t xml:space="preserve"> just</w:t>
      </w:r>
      <w:r w:rsidR="00D53B67" w:rsidRPr="004026D2">
        <w:rPr>
          <w:rFonts w:hint="eastAsia"/>
          <w:lang w:eastAsia="ko-KR"/>
        </w:rPr>
        <w:t xml:space="preserve"> one-time replacement of </w:t>
      </w:r>
      <w:r w:rsidR="005B33B1">
        <w:rPr>
          <w:lang w:eastAsia="ko-KR"/>
        </w:rPr>
        <w:t>mini</w:t>
      </w:r>
      <w:r w:rsidR="00D53B67" w:rsidRPr="004026D2">
        <w:rPr>
          <w:rFonts w:hint="eastAsia"/>
          <w:lang w:eastAsia="ko-KR"/>
        </w:rPr>
        <w:t>bus</w:t>
      </w:r>
      <w:r w:rsidR="005B33B1">
        <w:rPr>
          <w:lang w:eastAsia="ko-KR"/>
        </w:rPr>
        <w:t xml:space="preserve"> or taxi</w:t>
      </w:r>
      <w:r w:rsidR="00D53B67" w:rsidRPr="004026D2">
        <w:rPr>
          <w:rFonts w:hint="eastAsia"/>
          <w:lang w:eastAsia="ko-KR"/>
        </w:rPr>
        <w:t xml:space="preserve"> vehicle fleet</w:t>
      </w:r>
      <w:r w:rsidR="00D53B67">
        <w:rPr>
          <w:lang w:eastAsia="ko-KR"/>
        </w:rPr>
        <w:t>s; true greening requires the</w:t>
      </w:r>
      <w:r w:rsidR="00D53B67" w:rsidRPr="004026D2">
        <w:rPr>
          <w:rFonts w:hint="eastAsia"/>
          <w:lang w:eastAsia="ko-KR"/>
        </w:rPr>
        <w:t xml:space="preserve"> lasting impact of institutional reform</w:t>
      </w:r>
      <w:r w:rsidR="00D53B67" w:rsidRPr="004026D2">
        <w:rPr>
          <w:lang w:eastAsia="ko-KR"/>
        </w:rPr>
        <w:t>s</w:t>
      </w:r>
      <w:r w:rsidR="00D53B67">
        <w:rPr>
          <w:lang w:eastAsia="ko-KR"/>
        </w:rPr>
        <w:t xml:space="preserve">. </w:t>
      </w:r>
      <w:r w:rsidR="00D53B67" w:rsidRPr="005B33B1">
        <w:rPr>
          <w:lang w:eastAsia="ko-KR"/>
        </w:rPr>
        <w:t>First,</w:t>
      </w:r>
      <w:r w:rsidR="00D53B67" w:rsidRPr="005B33B1">
        <w:rPr>
          <w:rFonts w:hint="eastAsia"/>
          <w:lang w:eastAsia="ko-KR"/>
        </w:rPr>
        <w:t xml:space="preserve"> </w:t>
      </w:r>
      <w:r w:rsidR="00D53B67" w:rsidRPr="005B33B1">
        <w:rPr>
          <w:lang w:eastAsia="ko-KR"/>
        </w:rPr>
        <w:t xml:space="preserve">the </w:t>
      </w:r>
      <w:r w:rsidR="00D53B67" w:rsidRPr="005B33B1">
        <w:rPr>
          <w:rFonts w:hint="eastAsia"/>
          <w:lang w:eastAsia="ko-KR"/>
        </w:rPr>
        <w:t xml:space="preserve">roles and responsibilities of involved entities </w:t>
      </w:r>
      <w:r w:rsidR="00D53B67" w:rsidRPr="005B33B1">
        <w:rPr>
          <w:lang w:eastAsia="ko-KR"/>
        </w:rPr>
        <w:t>must be</w:t>
      </w:r>
      <w:r w:rsidR="00D53B67" w:rsidRPr="005B33B1">
        <w:rPr>
          <w:rFonts w:hint="eastAsia"/>
          <w:lang w:eastAsia="ko-KR"/>
        </w:rPr>
        <w:t xml:space="preserve"> clearly defined to </w:t>
      </w:r>
      <w:r w:rsidR="00D53B67" w:rsidRPr="005B33B1">
        <w:rPr>
          <w:lang w:eastAsia="ko-KR"/>
        </w:rPr>
        <w:t xml:space="preserve">improve </w:t>
      </w:r>
      <w:r w:rsidR="005B33B1">
        <w:rPr>
          <w:lang w:eastAsia="ko-KR"/>
        </w:rPr>
        <w:t xml:space="preserve">the efficiency of </w:t>
      </w:r>
      <w:r w:rsidR="00D53B67" w:rsidRPr="005B33B1">
        <w:rPr>
          <w:lang w:eastAsia="ko-KR"/>
        </w:rPr>
        <w:t xml:space="preserve">minibus </w:t>
      </w:r>
      <w:r w:rsidR="005B33B1">
        <w:rPr>
          <w:lang w:eastAsia="ko-KR"/>
        </w:rPr>
        <w:t xml:space="preserve">and taxi </w:t>
      </w:r>
      <w:r w:rsidR="00D53B67" w:rsidRPr="005B33B1">
        <w:rPr>
          <w:lang w:eastAsia="ko-KR"/>
        </w:rPr>
        <w:t>market</w:t>
      </w:r>
      <w:r w:rsidR="005B33B1">
        <w:rPr>
          <w:lang w:eastAsia="ko-KR"/>
        </w:rPr>
        <w:t xml:space="preserve">s </w:t>
      </w:r>
      <w:r w:rsidR="00D53B67" w:rsidRPr="005B33B1">
        <w:rPr>
          <w:lang w:eastAsia="ko-KR"/>
        </w:rPr>
        <w:t xml:space="preserve">and </w:t>
      </w:r>
      <w:r w:rsidR="00D53B67" w:rsidRPr="005B33B1">
        <w:rPr>
          <w:rFonts w:hint="eastAsia"/>
          <w:lang w:eastAsia="ko-KR"/>
        </w:rPr>
        <w:t xml:space="preserve">eliminate the two-tier </w:t>
      </w:r>
      <w:r w:rsidR="005B33B1" w:rsidRPr="005B33B1">
        <w:rPr>
          <w:lang w:eastAsia="ko-KR"/>
        </w:rPr>
        <w:t xml:space="preserve">bus </w:t>
      </w:r>
      <w:r w:rsidR="00D53B67" w:rsidRPr="005B33B1">
        <w:rPr>
          <w:rFonts w:hint="eastAsia"/>
          <w:lang w:eastAsia="ko-KR"/>
        </w:rPr>
        <w:t>system.</w:t>
      </w:r>
      <w:r w:rsidR="00D53B67">
        <w:rPr>
          <w:rFonts w:hint="eastAsia"/>
          <w:lang w:eastAsia="ko-KR"/>
        </w:rPr>
        <w:t xml:space="preserve"> </w:t>
      </w:r>
      <w:r w:rsidR="00D53B67">
        <w:rPr>
          <w:lang w:eastAsia="ko-KR"/>
        </w:rPr>
        <w:t>M</w:t>
      </w:r>
      <w:r w:rsidR="00D53B67">
        <w:rPr>
          <w:rFonts w:hint="eastAsia"/>
          <w:lang w:eastAsia="ko-KR"/>
        </w:rPr>
        <w:t>unicipal services</w:t>
      </w:r>
      <w:r w:rsidR="00D53B67" w:rsidRPr="004026D2">
        <w:rPr>
          <w:rFonts w:hint="eastAsia"/>
          <w:lang w:eastAsia="ko-KR"/>
        </w:rPr>
        <w:t xml:space="preserve"> </w:t>
      </w:r>
      <w:r w:rsidR="00D53B67">
        <w:rPr>
          <w:lang w:eastAsia="ko-KR"/>
        </w:rPr>
        <w:t>d</w:t>
      </w:r>
      <w:r w:rsidR="00D53B67">
        <w:rPr>
          <w:rFonts w:hint="eastAsia"/>
          <w:lang w:eastAsia="ko-KR"/>
        </w:rPr>
        <w:t>elivery</w:t>
      </w:r>
      <w:r w:rsidR="00D53B67">
        <w:rPr>
          <w:lang w:eastAsia="ko-KR"/>
        </w:rPr>
        <w:t>,</w:t>
      </w:r>
      <w:r w:rsidR="00D53B67">
        <w:rPr>
          <w:rFonts w:hint="eastAsia"/>
          <w:lang w:eastAsia="ko-KR"/>
        </w:rPr>
        <w:t xml:space="preserve"> including public transportation</w:t>
      </w:r>
      <w:r w:rsidR="00D53B67">
        <w:rPr>
          <w:lang w:eastAsia="ko-KR"/>
        </w:rPr>
        <w:t>,</w:t>
      </w:r>
      <w:r w:rsidR="00D53B67">
        <w:rPr>
          <w:rFonts w:hint="eastAsia"/>
          <w:lang w:eastAsia="ko-KR"/>
        </w:rPr>
        <w:t xml:space="preserve"> </w:t>
      </w:r>
      <w:r w:rsidR="00D53B67">
        <w:rPr>
          <w:lang w:eastAsia="ko-KR"/>
        </w:rPr>
        <w:t>typically</w:t>
      </w:r>
      <w:r w:rsidR="00D53B67">
        <w:rPr>
          <w:rFonts w:hint="eastAsia"/>
          <w:lang w:eastAsia="ko-KR"/>
        </w:rPr>
        <w:t xml:space="preserve"> requires three distinct functions: </w:t>
      </w:r>
      <w:r w:rsidR="00D53B67" w:rsidRPr="004026D2">
        <w:rPr>
          <w:rFonts w:hint="eastAsia"/>
          <w:lang w:eastAsia="ko-KR"/>
        </w:rPr>
        <w:t>strategic planning</w:t>
      </w:r>
      <w:r w:rsidR="00D53B67" w:rsidRPr="000759DC">
        <w:rPr>
          <w:rFonts w:hint="eastAsia"/>
          <w:lang w:eastAsia="ko-KR"/>
        </w:rPr>
        <w:t xml:space="preserve">, </w:t>
      </w:r>
      <w:r w:rsidR="00D53B67" w:rsidRPr="004026D2">
        <w:rPr>
          <w:rFonts w:hint="eastAsia"/>
          <w:lang w:eastAsia="ko-KR"/>
        </w:rPr>
        <w:t>management</w:t>
      </w:r>
      <w:r w:rsidR="00D53B67" w:rsidRPr="000759DC">
        <w:rPr>
          <w:lang w:eastAsia="ko-KR"/>
        </w:rPr>
        <w:t>,</w:t>
      </w:r>
      <w:r w:rsidR="00D53B67" w:rsidRPr="000759DC">
        <w:rPr>
          <w:rFonts w:hint="eastAsia"/>
          <w:lang w:eastAsia="ko-KR"/>
        </w:rPr>
        <w:t xml:space="preserve"> and</w:t>
      </w:r>
      <w:r w:rsidR="00D53B67" w:rsidRPr="004026D2">
        <w:rPr>
          <w:rFonts w:hint="eastAsia"/>
          <w:lang w:eastAsia="ko-KR"/>
        </w:rPr>
        <w:t xml:space="preserve"> service delivery</w:t>
      </w:r>
      <w:r w:rsidR="00D53B67" w:rsidRPr="000759DC">
        <w:rPr>
          <w:rFonts w:hint="eastAsia"/>
          <w:lang w:eastAsia="ko-KR"/>
        </w:rPr>
        <w:t>.</w:t>
      </w:r>
      <w:r w:rsidR="00D53B67">
        <w:rPr>
          <w:lang w:eastAsia="ko-KR"/>
        </w:rPr>
        <w:t xml:space="preserve"> Institutional arrangements may vary but common to most successful cases are the following: (i) municipal government with strong leadership and long-term vision carries out </w:t>
      </w:r>
      <w:r w:rsidR="00D53B67" w:rsidRPr="004026D2">
        <w:rPr>
          <w:lang w:eastAsia="ko-KR"/>
        </w:rPr>
        <w:t>strategic planning</w:t>
      </w:r>
      <w:r w:rsidR="00D53B67">
        <w:rPr>
          <w:lang w:eastAsia="ko-KR"/>
        </w:rPr>
        <w:t xml:space="preserve"> to develop a coherent </w:t>
      </w:r>
      <w:r w:rsidR="00D53B67" w:rsidRPr="005331DB">
        <w:rPr>
          <w:lang w:eastAsia="ko-KR"/>
        </w:rPr>
        <w:t xml:space="preserve">public transport </w:t>
      </w:r>
      <w:r w:rsidR="00D53B67">
        <w:rPr>
          <w:lang w:eastAsia="ko-KR"/>
        </w:rPr>
        <w:t xml:space="preserve">network </w:t>
      </w:r>
      <w:r w:rsidR="00D53B67" w:rsidRPr="005331DB">
        <w:rPr>
          <w:lang w:eastAsia="ko-KR"/>
        </w:rPr>
        <w:t xml:space="preserve">design; </w:t>
      </w:r>
      <w:r w:rsidR="00D53B67">
        <w:rPr>
          <w:lang w:eastAsia="ko-KR"/>
        </w:rPr>
        <w:t>(ii) m</w:t>
      </w:r>
      <w:r w:rsidR="00D53B67" w:rsidRPr="004026D2">
        <w:rPr>
          <w:lang w:eastAsia="ko-KR"/>
        </w:rPr>
        <w:t xml:space="preserve">anagement </w:t>
      </w:r>
      <w:r w:rsidR="00D53B67" w:rsidRPr="005331DB">
        <w:rPr>
          <w:lang w:eastAsia="ko-KR"/>
        </w:rPr>
        <w:t xml:space="preserve">is carried out by a government department or a designated entity that </w:t>
      </w:r>
      <w:r w:rsidR="00D53B67">
        <w:rPr>
          <w:lang w:eastAsia="ko-KR"/>
        </w:rPr>
        <w:t>ensures</w:t>
      </w:r>
      <w:r w:rsidR="00D53B67" w:rsidRPr="005331DB">
        <w:rPr>
          <w:lang w:eastAsia="ko-KR"/>
        </w:rPr>
        <w:t xml:space="preserve"> service</w:t>
      </w:r>
      <w:r w:rsidR="00D53B67">
        <w:rPr>
          <w:lang w:eastAsia="ko-KR"/>
        </w:rPr>
        <w:t xml:space="preserve"> quality aligns with contract </w:t>
      </w:r>
      <w:r w:rsidR="00D53B67" w:rsidRPr="005331DB">
        <w:rPr>
          <w:lang w:eastAsia="ko-KR"/>
        </w:rPr>
        <w:t>specifi</w:t>
      </w:r>
      <w:r w:rsidR="00D53B67">
        <w:rPr>
          <w:lang w:eastAsia="ko-KR"/>
        </w:rPr>
        <w:t>cations; the management function is clearly delineated from the service delivery function</w:t>
      </w:r>
      <w:r w:rsidR="00D53B67" w:rsidRPr="005331DB">
        <w:rPr>
          <w:lang w:eastAsia="ko-KR"/>
        </w:rPr>
        <w:t xml:space="preserve">; </w:t>
      </w:r>
      <w:r w:rsidR="00D53B67">
        <w:rPr>
          <w:lang w:eastAsia="ko-KR"/>
        </w:rPr>
        <w:t xml:space="preserve">(iii) </w:t>
      </w:r>
      <w:r w:rsidR="00D53B67" w:rsidRPr="000759DC">
        <w:rPr>
          <w:lang w:eastAsia="ko-KR"/>
        </w:rPr>
        <w:t xml:space="preserve">a strong </w:t>
      </w:r>
      <w:r w:rsidR="00D53B67" w:rsidRPr="00EE2164">
        <w:rPr>
          <w:lang w:eastAsia="ko-KR"/>
        </w:rPr>
        <w:t xml:space="preserve">legal </w:t>
      </w:r>
      <w:r w:rsidR="005B33B1">
        <w:rPr>
          <w:lang w:eastAsia="ko-KR"/>
        </w:rPr>
        <w:t xml:space="preserve">and regulatory </w:t>
      </w:r>
      <w:r w:rsidR="00D53B67" w:rsidRPr="00EE2164">
        <w:rPr>
          <w:lang w:eastAsia="ko-KR"/>
        </w:rPr>
        <w:t>basis exists for adequate</w:t>
      </w:r>
      <w:r w:rsidR="0093243A">
        <w:rPr>
          <w:lang w:eastAsia="ko-KR"/>
        </w:rPr>
        <w:t xml:space="preserve"> market</w:t>
      </w:r>
      <w:r w:rsidR="00D53B67" w:rsidRPr="008C2739">
        <w:rPr>
          <w:i/>
          <w:lang w:eastAsia="ko-KR"/>
        </w:rPr>
        <w:t xml:space="preserve"> </w:t>
      </w:r>
      <w:r w:rsidR="00D53B67" w:rsidRPr="00EE2164">
        <w:rPr>
          <w:lang w:eastAsia="ko-KR"/>
        </w:rPr>
        <w:t>competition</w:t>
      </w:r>
      <w:r w:rsidR="00D53B67">
        <w:rPr>
          <w:lang w:eastAsia="ko-KR"/>
        </w:rPr>
        <w:t xml:space="preserve"> and equal treatment of commercial entities, which are selected through competitive tendering and provide services under contractual agreements, regardless of ownership forms (e.g., municipal enterprises or private sector suppliers)</w:t>
      </w:r>
      <w:r w:rsidR="005B33B1">
        <w:rPr>
          <w:lang w:eastAsia="ko-KR"/>
        </w:rPr>
        <w:t xml:space="preserve"> and for ensuring service quality and consumer welfare</w:t>
      </w:r>
      <w:r w:rsidR="00D53B67">
        <w:rPr>
          <w:lang w:eastAsia="ko-KR"/>
        </w:rPr>
        <w:t>.</w:t>
      </w:r>
    </w:p>
    <w:p w:rsidR="002679D2" w:rsidRDefault="00D452A5" w:rsidP="00B04982">
      <w:r w:rsidRPr="00261E5D">
        <w:rPr>
          <w:b/>
        </w:rPr>
        <w:t>Institution</w:t>
      </w:r>
      <w:r w:rsidR="006A5EA9">
        <w:rPr>
          <w:b/>
        </w:rPr>
        <w:t>al</w:t>
      </w:r>
      <w:r w:rsidR="00061B58">
        <w:rPr>
          <w:b/>
        </w:rPr>
        <w:t xml:space="preserve">: </w:t>
      </w:r>
      <w:r>
        <w:rPr>
          <w:b/>
        </w:rPr>
        <w:t xml:space="preserve">strategic planning toward </w:t>
      </w:r>
      <w:r w:rsidR="00061B58">
        <w:rPr>
          <w:b/>
        </w:rPr>
        <w:t>a coherent multimodal public transport system</w:t>
      </w:r>
      <w:r w:rsidR="008D64E0">
        <w:rPr>
          <w:lang w:eastAsia="ko-KR"/>
        </w:rPr>
        <w:t xml:space="preserve">.  </w:t>
      </w:r>
      <w:r w:rsidR="00D53B67">
        <w:rPr>
          <w:lang w:eastAsia="ko-KR"/>
        </w:rPr>
        <w:t xml:space="preserve">From the planning stage, </w:t>
      </w:r>
      <w:r w:rsidR="00D53B67" w:rsidRPr="005B33B1">
        <w:rPr>
          <w:lang w:eastAsia="ko-KR"/>
        </w:rPr>
        <w:t xml:space="preserve">minibuses </w:t>
      </w:r>
      <w:r w:rsidR="00D53B67" w:rsidRPr="005B33B1">
        <w:t xml:space="preserve">should be integrated into a coherent network of </w:t>
      </w:r>
      <w:r w:rsidR="0093243A">
        <w:t xml:space="preserve">a </w:t>
      </w:r>
      <w:r w:rsidR="00D53B67" w:rsidRPr="005B33B1">
        <w:t xml:space="preserve">good quality multi-modal public transport system to complement other modes. </w:t>
      </w:r>
      <w:r w:rsidR="00B04982">
        <w:t xml:space="preserve">Municipal authorities and other public transport operators may </w:t>
      </w:r>
      <w:r w:rsidR="005B33B1">
        <w:t xml:space="preserve">view the minibus sector as undesirable competition </w:t>
      </w:r>
      <w:r w:rsidR="00B04982">
        <w:t xml:space="preserve">to </w:t>
      </w:r>
      <w:r w:rsidR="005B33B1">
        <w:t>traditional bus services</w:t>
      </w:r>
      <w:r w:rsidR="00B04982">
        <w:t xml:space="preserve">. </w:t>
      </w:r>
      <w:r w:rsidR="00816617">
        <w:t xml:space="preserve"> </w:t>
      </w:r>
      <w:r w:rsidR="00B04982">
        <w:t xml:space="preserve">However, </w:t>
      </w:r>
      <w:r w:rsidR="005B33B1">
        <w:t xml:space="preserve">the fact that </w:t>
      </w:r>
      <w:r w:rsidR="0093243A">
        <w:t>minibuses</w:t>
      </w:r>
      <w:r w:rsidR="005B33B1">
        <w:t xml:space="preserve"> attract passengers demonstrates that they </w:t>
      </w:r>
      <w:r w:rsidR="0093243A">
        <w:t>provide</w:t>
      </w:r>
      <w:r w:rsidR="005B33B1">
        <w:t xml:space="preserve"> a differentiated service</w:t>
      </w:r>
      <w:r w:rsidR="0093243A">
        <w:t xml:space="preserve"> with </w:t>
      </w:r>
      <w:r w:rsidR="00B04982">
        <w:t xml:space="preserve">relative advantages </w:t>
      </w:r>
      <w:r w:rsidR="0093243A">
        <w:t xml:space="preserve">that </w:t>
      </w:r>
      <w:r w:rsidR="00B04982">
        <w:t>are valued by users</w:t>
      </w:r>
      <w:r w:rsidR="005B33B1">
        <w:t>.</w:t>
      </w:r>
      <w:r w:rsidR="00B04982">
        <w:rPr>
          <w:rStyle w:val="FootnoteReference"/>
        </w:rPr>
        <w:footnoteReference w:id="45"/>
      </w:r>
      <w:r w:rsidR="005B33B1">
        <w:t xml:space="preserve"> </w:t>
      </w:r>
      <w:r w:rsidR="00B04982">
        <w:t xml:space="preserve"> Therefore municipal authorities </w:t>
      </w:r>
      <w:r w:rsidR="0093243A">
        <w:t xml:space="preserve">need to </w:t>
      </w:r>
      <w:r w:rsidR="00B04982">
        <w:t xml:space="preserve">take adequate control over routes and </w:t>
      </w:r>
      <w:r w:rsidR="0093243A">
        <w:t xml:space="preserve">service </w:t>
      </w:r>
      <w:r w:rsidR="00B04982">
        <w:t>quality under a broader public transport regulatory strategy</w:t>
      </w:r>
      <w:r w:rsidR="005A49D3">
        <w:t>.  Crowding out the minibuses by increasing municipal buses is a costly decision that often fails to achieve its objectives</w:t>
      </w:r>
      <w:r w:rsidR="00B04982">
        <w:t>.</w:t>
      </w:r>
      <w:r w:rsidR="005B33B1">
        <w:t xml:space="preserve"> </w:t>
      </w:r>
      <w:r w:rsidR="00B04982">
        <w:t>Similarly, the role of taxi services shoul</w:t>
      </w:r>
      <w:r w:rsidR="006D55CD">
        <w:t xml:space="preserve">d be </w:t>
      </w:r>
      <w:r w:rsidR="0093243A">
        <w:t xml:space="preserve">evaluated </w:t>
      </w:r>
      <w:r w:rsidR="00B04982">
        <w:t xml:space="preserve">in the context of </w:t>
      </w:r>
      <w:r w:rsidR="0093243A">
        <w:t xml:space="preserve">an </w:t>
      </w:r>
      <w:r w:rsidR="00B04982">
        <w:t>urban transport strategy.</w:t>
      </w:r>
    </w:p>
    <w:p w:rsidR="00403287" w:rsidRDefault="00A505B8" w:rsidP="00243E2A">
      <w:r>
        <w:rPr>
          <w:b/>
        </w:rPr>
        <w:t>Legal and regulatory framework</w:t>
      </w:r>
      <w:r w:rsidR="00F063E0">
        <w:rPr>
          <w:b/>
        </w:rPr>
        <w:t xml:space="preserve"> for minibus market</w:t>
      </w:r>
      <w:r w:rsidR="006011A8">
        <w:rPr>
          <w:b/>
        </w:rPr>
        <w:t>:</w:t>
      </w:r>
      <w:r w:rsidR="00924C79">
        <w:rPr>
          <w:b/>
        </w:rPr>
        <w:t xml:space="preserve"> </w:t>
      </w:r>
      <w:r w:rsidR="00C25207">
        <w:rPr>
          <w:b/>
        </w:rPr>
        <w:t xml:space="preserve">introducing </w:t>
      </w:r>
      <w:r w:rsidR="00F063E0">
        <w:rPr>
          <w:b/>
        </w:rPr>
        <w:t xml:space="preserve">competitive tendering and </w:t>
      </w:r>
      <w:r w:rsidR="00B04982">
        <w:rPr>
          <w:b/>
        </w:rPr>
        <w:t>gross-</w:t>
      </w:r>
      <w:r w:rsidR="00924C79">
        <w:rPr>
          <w:b/>
        </w:rPr>
        <w:t>cost</w:t>
      </w:r>
      <w:r w:rsidR="00B04982">
        <w:rPr>
          <w:b/>
        </w:rPr>
        <w:t xml:space="preserve"> </w:t>
      </w:r>
      <w:r w:rsidR="00924C79">
        <w:rPr>
          <w:b/>
        </w:rPr>
        <w:t>based contracting</w:t>
      </w:r>
      <w:r w:rsidR="00261E5D">
        <w:t xml:space="preserve">.  </w:t>
      </w:r>
      <w:r w:rsidR="00D53B67">
        <w:t xml:space="preserve">To lower public transport services costs—including operating costs and externalities—while ensuring service quality, a legal framework should establish conditions for sufficient competition among service providers, including municipal companies and private sector participants. </w:t>
      </w:r>
      <w:r w:rsidR="00D53B67" w:rsidRPr="003A2F90">
        <w:t xml:space="preserve">Competition </w:t>
      </w:r>
      <w:r w:rsidR="00D53B67">
        <w:t xml:space="preserve">can be ensured </w:t>
      </w:r>
      <w:r w:rsidR="00D53B67" w:rsidRPr="003A2F90">
        <w:t>on a gross-cost basis</w:t>
      </w:r>
      <w:r w:rsidR="00D53B67">
        <w:sym w:font="Symbol" w:char="F0BE"/>
      </w:r>
      <w:r w:rsidR="00D53B67" w:rsidRPr="003A2F90">
        <w:t xml:space="preserve">the municipality collects all fare revenues and pays </w:t>
      </w:r>
      <w:r w:rsidR="00D53B67">
        <w:t>service providers; or on a net-</w:t>
      </w:r>
      <w:r w:rsidR="00D53B67" w:rsidRPr="003A2F90">
        <w:t>cost basis</w:t>
      </w:r>
      <w:r w:rsidR="00D53B67">
        <w:sym w:font="Symbol" w:char="F0BE"/>
      </w:r>
      <w:r w:rsidR="00D53B67" w:rsidRPr="003A2F90">
        <w:t>the operator keeps the fare revenues and the payment to the operator (or by the operator in the cases of profitable routes) is based on the best bid</w:t>
      </w:r>
      <w:r w:rsidR="00D53B67">
        <w:t xml:space="preserve">.  </w:t>
      </w:r>
      <w:r w:rsidR="005A49D3">
        <w:t xml:space="preserve">When there are </w:t>
      </w:r>
      <w:r w:rsidR="00D53B67" w:rsidRPr="003A2F90">
        <w:lastRenderedPageBreak/>
        <w:t xml:space="preserve">multiple </w:t>
      </w:r>
      <w:r w:rsidR="005A49D3">
        <w:t xml:space="preserve">public transport </w:t>
      </w:r>
      <w:r w:rsidR="00D53B67" w:rsidRPr="003A2F90">
        <w:t>modes</w:t>
      </w:r>
      <w:r w:rsidR="00D53B67">
        <w:t>,</w:t>
      </w:r>
      <w:r w:rsidR="00D53B67" w:rsidRPr="003A2F90">
        <w:t xml:space="preserve"> the gross-cost system</w:t>
      </w:r>
      <w:r w:rsidR="00FD5744" w:rsidRPr="003A2F90">
        <w:rPr>
          <w:rStyle w:val="FootnoteReference"/>
        </w:rPr>
        <w:footnoteReference w:id="46"/>
      </w:r>
      <w:r w:rsidR="00D53B67" w:rsidRPr="003A2F90">
        <w:t xml:space="preserve"> is </w:t>
      </w:r>
      <w:r w:rsidR="00D53B67">
        <w:t>more</w:t>
      </w:r>
      <w:r w:rsidR="00D53B67" w:rsidRPr="003A2F90">
        <w:t xml:space="preserve"> convenient</w:t>
      </w:r>
      <w:r w:rsidR="005A49D3">
        <w:t xml:space="preserve"> for users</w:t>
      </w:r>
      <w:r w:rsidR="00D53B67">
        <w:t xml:space="preserve"> because</w:t>
      </w:r>
      <w:r w:rsidR="00D53B67" w:rsidRPr="003A2F90">
        <w:t xml:space="preserve"> it </w:t>
      </w:r>
      <w:r w:rsidR="00D53B67">
        <w:t>facilitates</w:t>
      </w:r>
      <w:r w:rsidR="00D53B67" w:rsidRPr="003A2F90">
        <w:t xml:space="preserve"> a single, multi-modal fare and ticketing arrangement </w:t>
      </w:r>
      <w:r w:rsidR="00D53B67">
        <w:t>and the</w:t>
      </w:r>
      <w:r w:rsidR="00D53B67" w:rsidRPr="003A2F90">
        <w:t xml:space="preserve"> municipality handles all revenue collection.  </w:t>
      </w:r>
      <w:r w:rsidR="00D53B67">
        <w:t>Required service q</w:t>
      </w:r>
      <w:r w:rsidR="00D53B67" w:rsidRPr="003A2F90">
        <w:t xml:space="preserve">uality </w:t>
      </w:r>
      <w:r w:rsidR="00D53B67">
        <w:t xml:space="preserve">standards should be </w:t>
      </w:r>
      <w:r w:rsidR="00D53B67" w:rsidRPr="003A2F90">
        <w:t>specified in the invitation to tender and carefully monitored</w:t>
      </w:r>
      <w:r w:rsidR="00D53B67">
        <w:t xml:space="preserve">; the primary </w:t>
      </w:r>
      <w:r w:rsidR="00D53B67" w:rsidRPr="003A2F90">
        <w:t xml:space="preserve">selection criterion is that of least cost </w:t>
      </w:r>
      <w:r w:rsidR="00D53B67">
        <w:t>to</w:t>
      </w:r>
      <w:r w:rsidR="00D53B67" w:rsidRPr="003A2F90">
        <w:t xml:space="preserve"> provid</w:t>
      </w:r>
      <w:r w:rsidR="00D53B67">
        <w:t xml:space="preserve">e </w:t>
      </w:r>
      <w:r w:rsidR="00D53B67" w:rsidRPr="003A2F90">
        <w:t>the service specified</w:t>
      </w:r>
      <w:r w:rsidR="00D53B67">
        <w:t>. Thus</w:t>
      </w:r>
      <w:r w:rsidR="00D53B67" w:rsidRPr="003A2F90">
        <w:t xml:space="preserve"> the city retains complete control over service quality, network structure</w:t>
      </w:r>
      <w:r w:rsidR="00D53B67">
        <w:t>,</w:t>
      </w:r>
      <w:r w:rsidR="00D53B67" w:rsidRPr="003A2F90">
        <w:t xml:space="preserve"> performance and fares</w:t>
      </w:r>
      <w:r w:rsidR="005A49D3">
        <w:t>,</w:t>
      </w:r>
      <w:r w:rsidR="00D53B67" w:rsidRPr="003A2F90">
        <w:t xml:space="preserve"> while obtaining the best value</w:t>
      </w:r>
      <w:r w:rsidR="00D53B67">
        <w:t>-</w:t>
      </w:r>
      <w:r w:rsidR="00D53B67" w:rsidRPr="003A2F90">
        <w:t>for</w:t>
      </w:r>
      <w:r w:rsidR="00D53B67">
        <w:t>-</w:t>
      </w:r>
      <w:r w:rsidR="00D53B67" w:rsidRPr="003A2F90">
        <w:t>money through tendering arrangements.</w:t>
      </w:r>
      <w:r w:rsidR="00D53B67" w:rsidRPr="003A2F90">
        <w:rPr>
          <w:rStyle w:val="FootnoteReference"/>
        </w:rPr>
        <w:footnoteReference w:id="47"/>
      </w:r>
    </w:p>
    <w:p w:rsidR="005952B4" w:rsidRDefault="00924C79" w:rsidP="006E1845">
      <w:pPr>
        <w:spacing w:after="60"/>
      </w:pPr>
      <w:r>
        <w:rPr>
          <w:b/>
        </w:rPr>
        <w:t>Legal and regulatory framework</w:t>
      </w:r>
      <w:r w:rsidR="00F063E0">
        <w:rPr>
          <w:b/>
        </w:rPr>
        <w:t xml:space="preserve"> for taxi market</w:t>
      </w:r>
      <w:r>
        <w:rPr>
          <w:b/>
        </w:rPr>
        <w:t xml:space="preserve">: </w:t>
      </w:r>
      <w:r w:rsidR="00C25207">
        <w:rPr>
          <w:b/>
        </w:rPr>
        <w:t xml:space="preserve">introducing </w:t>
      </w:r>
      <w:r>
        <w:rPr>
          <w:b/>
        </w:rPr>
        <w:t>partial regulations that control fare and quality but allow free market-entry</w:t>
      </w:r>
      <w:r w:rsidRPr="00924C79">
        <w:t>.</w:t>
      </w:r>
      <w:r w:rsidR="00E53A1D">
        <w:t xml:space="preserve">  </w:t>
      </w:r>
      <w:r w:rsidR="0093243A">
        <w:t xml:space="preserve">Taxi services </w:t>
      </w:r>
      <w:r w:rsidR="00E53A1D">
        <w:t>supply</w:t>
      </w:r>
      <w:r w:rsidR="0093243A">
        <w:t>/</w:t>
      </w:r>
      <w:r w:rsidR="00E53A1D">
        <w:t xml:space="preserve">demand </w:t>
      </w:r>
      <w:r w:rsidR="00462C38">
        <w:t xml:space="preserve">in Georgian cities </w:t>
      </w:r>
      <w:r w:rsidR="0093243A">
        <w:t xml:space="preserve">is not well </w:t>
      </w:r>
      <w:r w:rsidR="00E53A1D">
        <w:t xml:space="preserve">understood.  </w:t>
      </w:r>
      <w:r w:rsidR="0093243A">
        <w:t xml:space="preserve">Since the </w:t>
      </w:r>
      <w:r w:rsidR="00E53A1D">
        <w:t>optimal level of supply</w:t>
      </w:r>
      <w:r w:rsidR="0093243A">
        <w:t xml:space="preserve"> is unknown</w:t>
      </w:r>
      <w:r w:rsidR="00E53A1D">
        <w:t xml:space="preserve">, </w:t>
      </w:r>
      <w:r w:rsidR="00462C38">
        <w:t xml:space="preserve">a less </w:t>
      </w:r>
      <w:r w:rsidR="00E53A1D">
        <w:t xml:space="preserve">risky way to regulate the taxi market is </w:t>
      </w:r>
      <w:r w:rsidR="00462C38">
        <w:t>to focus on the quality and fares:</w:t>
      </w:r>
    </w:p>
    <w:p w:rsidR="00462C38" w:rsidRDefault="005952B4" w:rsidP="00197EC3">
      <w:pPr>
        <w:pStyle w:val="ListParagraph"/>
        <w:numPr>
          <w:ilvl w:val="0"/>
          <w:numId w:val="8"/>
        </w:numPr>
        <w:spacing w:after="60"/>
        <w:contextualSpacing w:val="0"/>
      </w:pPr>
      <w:r>
        <w:t xml:space="preserve">Benefits of </w:t>
      </w:r>
      <w:r w:rsidR="0093243A">
        <w:rPr>
          <w:u w:val="single"/>
        </w:rPr>
        <w:t>controlling the number of taxis</w:t>
      </w:r>
      <w:r w:rsidR="005A49D3" w:rsidRPr="005952B4">
        <w:rPr>
          <w:u w:val="single"/>
        </w:rPr>
        <w:t>, or market entry</w:t>
      </w:r>
      <w:r w:rsidR="005A49D3">
        <w:t xml:space="preserve"> </w:t>
      </w:r>
      <w:r>
        <w:t xml:space="preserve">are </w:t>
      </w:r>
      <w:r w:rsidR="0093243A">
        <w:t xml:space="preserve">dubious and the </w:t>
      </w:r>
      <w:r>
        <w:t xml:space="preserve">negative impacts have been </w:t>
      </w:r>
      <w:r w:rsidR="0093243A">
        <w:t xml:space="preserve">amply </w:t>
      </w:r>
      <w:r>
        <w:t xml:space="preserve">demonstrated in many countries.  </w:t>
      </w:r>
      <w:r w:rsidR="0093243A">
        <w:t xml:space="preserve">During the </w:t>
      </w:r>
      <w:r w:rsidR="005A49D3">
        <w:t xml:space="preserve">1970’s, </w:t>
      </w:r>
      <w:r w:rsidR="0093243A">
        <w:t xml:space="preserve">a </w:t>
      </w:r>
      <w:r w:rsidR="005A49D3">
        <w:t xml:space="preserve">strong argument </w:t>
      </w:r>
      <w:r w:rsidR="0093243A">
        <w:t xml:space="preserve">was made </w:t>
      </w:r>
      <w:r w:rsidR="005A49D3">
        <w:t>for strict</w:t>
      </w:r>
      <w:r w:rsidR="0093243A">
        <w:t xml:space="preserve">ly controlling the number of taxis </w:t>
      </w:r>
      <w:r w:rsidR="005A49D3">
        <w:t xml:space="preserve">based on the notion that </w:t>
      </w:r>
      <w:r>
        <w:t xml:space="preserve">without control, </w:t>
      </w:r>
      <w:r w:rsidR="0049620D">
        <w:t xml:space="preserve">taxi </w:t>
      </w:r>
      <w:r w:rsidR="005A49D3">
        <w:t xml:space="preserve">operation </w:t>
      </w:r>
      <w:r w:rsidR="0049620D">
        <w:t xml:space="preserve">is </w:t>
      </w:r>
      <w:r w:rsidR="0093243A">
        <w:t xml:space="preserve">a </w:t>
      </w:r>
      <w:r>
        <w:t>low barrier</w:t>
      </w:r>
      <w:r w:rsidR="0093243A">
        <w:t>-to-entry job</w:t>
      </w:r>
      <w:r>
        <w:t xml:space="preserve">, which </w:t>
      </w:r>
      <w:r w:rsidR="0093243A">
        <w:t xml:space="preserve">results in an </w:t>
      </w:r>
      <w:r w:rsidR="0049620D">
        <w:t xml:space="preserve">over-supplied </w:t>
      </w:r>
      <w:r w:rsidR="0093243A">
        <w:t xml:space="preserve">market </w:t>
      </w:r>
      <w:r w:rsidR="0049620D">
        <w:t>during recessions when other employment opportunities are limited</w:t>
      </w:r>
      <w:r w:rsidR="000C25E9">
        <w:t>.</w:t>
      </w:r>
      <w:r w:rsidR="0049620D">
        <w:rPr>
          <w:rStyle w:val="FootnoteReference"/>
        </w:rPr>
        <w:footnoteReference w:id="48"/>
      </w:r>
      <w:r w:rsidR="0049620D">
        <w:t xml:space="preserve"> </w:t>
      </w:r>
      <w:r w:rsidR="000C25E9">
        <w:t xml:space="preserve"> </w:t>
      </w:r>
      <w:r w:rsidR="0093243A">
        <w:t xml:space="preserve">Therefore, it was </w:t>
      </w:r>
      <w:r>
        <w:t>argued that quantity control</w:t>
      </w:r>
      <w:r w:rsidR="000C25E9">
        <w:t xml:space="preserve">—accompanied </w:t>
      </w:r>
      <w:r w:rsidR="0093243A">
        <w:t xml:space="preserve">by </w:t>
      </w:r>
      <w:r w:rsidR="000C25E9">
        <w:t xml:space="preserve">licensing and </w:t>
      </w:r>
      <w:r w:rsidR="0093243A">
        <w:t xml:space="preserve">specified </w:t>
      </w:r>
      <w:r w:rsidR="004547E4">
        <w:t>initial investment</w:t>
      </w:r>
      <w:r w:rsidR="000C25E9">
        <w:t>—</w:t>
      </w:r>
      <w:r>
        <w:t>would</w:t>
      </w:r>
      <w:r w:rsidR="000C25E9">
        <w:t xml:space="preserve"> </w:t>
      </w:r>
      <w:r w:rsidR="004547E4">
        <w:t xml:space="preserve">differentiate </w:t>
      </w:r>
      <w:r w:rsidR="007F2C2B">
        <w:t>serious long-term operators from temporary job seekers.</w:t>
      </w:r>
      <w:r w:rsidR="00462C38">
        <w:t xml:space="preserve"> </w:t>
      </w:r>
      <w:r w:rsidR="0049620D">
        <w:t xml:space="preserve"> </w:t>
      </w:r>
      <w:r w:rsidR="004547E4">
        <w:t>However, t</w:t>
      </w:r>
      <w:r w:rsidR="000C25E9">
        <w:t xml:space="preserve">he downside of entry control is </w:t>
      </w:r>
      <w:r w:rsidR="004547E4">
        <w:t xml:space="preserve">the </w:t>
      </w:r>
      <w:r w:rsidR="00462C38">
        <w:t>difficult</w:t>
      </w:r>
      <w:r w:rsidR="004547E4">
        <w:t xml:space="preserve">y of establishing an </w:t>
      </w:r>
      <w:r w:rsidR="00462C38">
        <w:t>optimal level of taxi supply</w:t>
      </w:r>
      <w:r w:rsidR="004547E4">
        <w:t>, because “optimal” changes over time</w:t>
      </w:r>
      <w:r w:rsidR="00791811">
        <w:t>.</w:t>
      </w:r>
      <w:r w:rsidR="004547E4">
        <w:t xml:space="preserve"> </w:t>
      </w:r>
      <w:r w:rsidR="00791811">
        <w:t xml:space="preserve"> A </w:t>
      </w:r>
      <w:r w:rsidR="00462C38">
        <w:t xml:space="preserve">barrier </w:t>
      </w:r>
      <w:r w:rsidR="00791811">
        <w:t>to entry, once</w:t>
      </w:r>
      <w:r w:rsidR="00462C38">
        <w:t xml:space="preserve"> created, is difficult to eliminate</w:t>
      </w:r>
      <w:r w:rsidR="00791811">
        <w:t>.</w:t>
      </w:r>
      <w:r w:rsidR="00462C38">
        <w:t xml:space="preserve"> </w:t>
      </w:r>
      <w:r w:rsidR="00791811">
        <w:t xml:space="preserve"> In markets with a barrier to entry, </w:t>
      </w:r>
      <w:r w:rsidR="00462C38">
        <w:t xml:space="preserve">a taxi license </w:t>
      </w:r>
      <w:r w:rsidR="00791811">
        <w:t xml:space="preserve">represents </w:t>
      </w:r>
      <w:r w:rsidR="00462C38">
        <w:t>a certain market value (</w:t>
      </w:r>
      <w:r w:rsidR="00791811">
        <w:t xml:space="preserve">even if license </w:t>
      </w:r>
      <w:r w:rsidR="000C25E9">
        <w:t xml:space="preserve">trading is </w:t>
      </w:r>
      <w:r w:rsidR="00791811">
        <w:t xml:space="preserve">not </w:t>
      </w:r>
      <w:r w:rsidR="000C25E9">
        <w:t>formally allowed</w:t>
      </w:r>
      <w:r w:rsidR="00462C38">
        <w:t xml:space="preserve">). </w:t>
      </w:r>
      <w:r w:rsidR="00791811">
        <w:t xml:space="preserve">As a result, in </w:t>
      </w:r>
      <w:r w:rsidR="000C25E9">
        <w:t xml:space="preserve">entry-controlled markets </w:t>
      </w:r>
      <w:r w:rsidR="00462C38">
        <w:t xml:space="preserve">incumbents </w:t>
      </w:r>
      <w:r w:rsidR="00791811">
        <w:t xml:space="preserve">often </w:t>
      </w:r>
      <w:r w:rsidR="00462C38">
        <w:t xml:space="preserve">form a strong union </w:t>
      </w:r>
      <w:r w:rsidR="000C25E9">
        <w:t xml:space="preserve">and political lobbying group to protect the value of their licenses (somewhat similar to the minibus associations in Georgia), which </w:t>
      </w:r>
      <w:r w:rsidR="00791811">
        <w:t xml:space="preserve">renders </w:t>
      </w:r>
      <w:r w:rsidR="000C25E9">
        <w:t xml:space="preserve">reforms </w:t>
      </w:r>
      <w:r w:rsidR="00791811">
        <w:t xml:space="preserve">attempts </w:t>
      </w:r>
      <w:r w:rsidR="000C25E9">
        <w:t>politically difficult.</w:t>
      </w:r>
      <w:r w:rsidR="007B533F">
        <w:rPr>
          <w:rStyle w:val="FootnoteReference"/>
        </w:rPr>
        <w:footnoteReference w:id="49"/>
      </w:r>
    </w:p>
    <w:p w:rsidR="0049620D" w:rsidRDefault="00791811" w:rsidP="00197EC3">
      <w:pPr>
        <w:pStyle w:val="ListParagraph"/>
        <w:numPr>
          <w:ilvl w:val="0"/>
          <w:numId w:val="8"/>
        </w:numPr>
        <w:spacing w:after="60"/>
        <w:contextualSpacing w:val="0"/>
      </w:pPr>
      <w:r w:rsidRPr="00791811">
        <w:t xml:space="preserve">By contrast, </w:t>
      </w:r>
      <w:r>
        <w:rPr>
          <w:u w:val="single"/>
        </w:rPr>
        <w:t>s</w:t>
      </w:r>
      <w:r w:rsidR="000C25E9" w:rsidRPr="000C25E9">
        <w:rPr>
          <w:u w:val="single"/>
        </w:rPr>
        <w:t>trict q</w:t>
      </w:r>
      <w:r w:rsidR="00462C38" w:rsidRPr="000C25E9">
        <w:rPr>
          <w:u w:val="single"/>
        </w:rPr>
        <w:t xml:space="preserve">uality </w:t>
      </w:r>
      <w:r w:rsidR="000C25E9" w:rsidRPr="000C25E9">
        <w:rPr>
          <w:u w:val="single"/>
        </w:rPr>
        <w:t>control</w:t>
      </w:r>
      <w:r>
        <w:t xml:space="preserve"> </w:t>
      </w:r>
      <w:r w:rsidR="000C25E9">
        <w:t xml:space="preserve">can </w:t>
      </w:r>
      <w:r>
        <w:t xml:space="preserve">function as </w:t>
      </w:r>
      <w:r w:rsidR="000C25E9" w:rsidRPr="000C25E9">
        <w:rPr>
          <w:i/>
        </w:rPr>
        <w:t>de facto</w:t>
      </w:r>
      <w:r w:rsidR="000C25E9">
        <w:t xml:space="preserve"> </w:t>
      </w:r>
      <w:r w:rsidR="004F3C2A">
        <w:t xml:space="preserve">quantity </w:t>
      </w:r>
      <w:r w:rsidR="000C25E9">
        <w:t xml:space="preserve">control, without </w:t>
      </w:r>
      <w:r w:rsidR="004F3C2A">
        <w:t>creating market rigidity</w:t>
      </w:r>
      <w:r w:rsidR="000C25E9">
        <w:t xml:space="preserve">. </w:t>
      </w:r>
      <w:r w:rsidR="004F3C2A">
        <w:t xml:space="preserve"> Quality control regulations should cover vehicles—safety and emissions—and drivers—no criminal records, safe driving skills, good health and geographical knowledge.</w:t>
      </w:r>
      <w:r w:rsidR="00FD5744">
        <w:rPr>
          <w:rStyle w:val="FootnoteReference"/>
        </w:rPr>
        <w:footnoteReference w:id="50"/>
      </w:r>
      <w:r w:rsidR="004F3C2A">
        <w:t xml:space="preserve">  Particularly in the context of green transportation, tight environmental controls should be introduced, consistent with vehicle emission standards and fuel quality standards required in the national and local regulations (Sections III.A and III.B).  </w:t>
      </w:r>
      <w:r>
        <w:t>A</w:t>
      </w:r>
      <w:r w:rsidR="00FD5744">
        <w:t xml:space="preserve">uthorities may decide to </w:t>
      </w:r>
      <w:r w:rsidR="007B533F">
        <w:t>experiment</w:t>
      </w:r>
      <w:r w:rsidR="00FD5744">
        <w:t xml:space="preserve"> </w:t>
      </w:r>
      <w:r>
        <w:t xml:space="preserve">with </w:t>
      </w:r>
      <w:r w:rsidR="00FD5744">
        <w:t>more progressive environmental standards in the taxi market, followed by private cars and other vehicles at later stage</w:t>
      </w:r>
      <w:r>
        <w:t>s</w:t>
      </w:r>
      <w:r w:rsidR="00FD5744">
        <w:t>.</w:t>
      </w:r>
      <w:r w:rsidR="007B533F" w:rsidRPr="007B533F">
        <w:t xml:space="preserve"> </w:t>
      </w:r>
      <w:r>
        <w:t>However, q</w:t>
      </w:r>
      <w:r w:rsidR="007B533F">
        <w:t xml:space="preserve">uality regulation must be designed carefully to ensure that it does not prevent the development of innovative services and market structures. For example, vehicle standards should not be set in ways that would </w:t>
      </w:r>
      <w:r>
        <w:t xml:space="preserve">curtail </w:t>
      </w:r>
      <w:r w:rsidR="007B533F">
        <w:t>provision of low</w:t>
      </w:r>
      <w:r>
        <w:t>er</w:t>
      </w:r>
      <w:r w:rsidR="007B533F">
        <w:t xml:space="preserve"> price/low</w:t>
      </w:r>
      <w:r>
        <w:t>er</w:t>
      </w:r>
      <w:r w:rsidR="007B533F">
        <w:t xml:space="preserve"> quality services </w:t>
      </w:r>
      <w:r>
        <w:t xml:space="preserve">for which there </w:t>
      </w:r>
      <w:r w:rsidR="007B533F">
        <w:t xml:space="preserve">may be </w:t>
      </w:r>
      <w:r>
        <w:t xml:space="preserve">a </w:t>
      </w:r>
      <w:r w:rsidR="007B533F">
        <w:t>demand.</w:t>
      </w:r>
      <w:r w:rsidR="007B533F">
        <w:rPr>
          <w:rStyle w:val="FootnoteReference"/>
        </w:rPr>
        <w:footnoteReference w:id="51"/>
      </w:r>
    </w:p>
    <w:p w:rsidR="00462C38" w:rsidRDefault="00462C38" w:rsidP="00197EC3">
      <w:pPr>
        <w:pStyle w:val="ListParagraph"/>
        <w:numPr>
          <w:ilvl w:val="0"/>
          <w:numId w:val="8"/>
        </w:numPr>
      </w:pPr>
      <w:r w:rsidRPr="00007749">
        <w:rPr>
          <w:u w:val="single"/>
        </w:rPr>
        <w:lastRenderedPageBreak/>
        <w:t xml:space="preserve">Fare </w:t>
      </w:r>
      <w:r w:rsidR="007B533F" w:rsidRPr="00007749">
        <w:rPr>
          <w:u w:val="single"/>
        </w:rPr>
        <w:t>control</w:t>
      </w:r>
      <w:r w:rsidR="007B533F">
        <w:t xml:space="preserve"> is necessary to protect passengers from exploitation</w:t>
      </w:r>
      <w:r w:rsidR="00007749">
        <w:t>. Fare regulations typically take three forms: (i) obligatory tariffs that should be observed at all times</w:t>
      </w:r>
      <w:r w:rsidR="00791811">
        <w:t>;</w:t>
      </w:r>
      <w:r w:rsidR="00007749">
        <w:t xml:space="preserve"> (ii) posted tariffs determined by the operator but to </w:t>
      </w:r>
      <w:r w:rsidR="00791811">
        <w:t xml:space="preserve">a </w:t>
      </w:r>
      <w:r w:rsidR="00007749">
        <w:t>maximum chargeable</w:t>
      </w:r>
      <w:r w:rsidR="00791811">
        <w:t xml:space="preserve"> amount</w:t>
      </w:r>
      <w:r w:rsidR="00007749">
        <w:t xml:space="preserve">, once declared and </w:t>
      </w:r>
      <w:r w:rsidR="00791811">
        <w:t xml:space="preserve">displayed </w:t>
      </w:r>
      <w:r w:rsidR="00007749">
        <w:t xml:space="preserve">in the vehicle; and (iii) maximum tariffs that </w:t>
      </w:r>
      <w:r w:rsidR="00791811">
        <w:t xml:space="preserve">are </w:t>
      </w:r>
      <w:r w:rsidR="00007749">
        <w:t xml:space="preserve">declared and </w:t>
      </w:r>
      <w:r w:rsidR="00791811">
        <w:t xml:space="preserve">displayed </w:t>
      </w:r>
      <w:r w:rsidR="00007749">
        <w:t>but subject to downward negotiations.</w:t>
      </w:r>
      <w:r w:rsidR="00007749">
        <w:rPr>
          <w:rStyle w:val="FootnoteReference"/>
        </w:rPr>
        <w:footnoteReference w:id="52"/>
      </w:r>
      <w:r w:rsidR="00007749">
        <w:t xml:space="preserve"> </w:t>
      </w:r>
      <w:r w:rsidR="00791811">
        <w:t xml:space="preserve"> H</w:t>
      </w:r>
      <w:r w:rsidR="007B533F" w:rsidRPr="005818A2">
        <w:t>igher fare</w:t>
      </w:r>
      <w:r w:rsidR="00791811">
        <w:t>s increase the supply of taxis</w:t>
      </w:r>
      <w:r w:rsidR="007B533F" w:rsidRPr="005818A2">
        <w:t xml:space="preserve">, </w:t>
      </w:r>
      <w:r w:rsidR="00791811">
        <w:t xml:space="preserve">which lowers </w:t>
      </w:r>
      <w:r w:rsidR="007B533F" w:rsidRPr="005818A2">
        <w:t xml:space="preserve">average waiting </w:t>
      </w:r>
      <w:r w:rsidR="00007749">
        <w:t>time for potential passengers.</w:t>
      </w:r>
    </w:p>
    <w:p w:rsidR="006B4418" w:rsidRDefault="003A1385" w:rsidP="006E1845">
      <w:pPr>
        <w:spacing w:after="60"/>
      </w:pPr>
      <w:r>
        <w:rPr>
          <w:b/>
        </w:rPr>
        <w:t xml:space="preserve">Fiscal policy and public expenditures: gross-cost contracting </w:t>
      </w:r>
      <w:r w:rsidR="00791811">
        <w:rPr>
          <w:b/>
        </w:rPr>
        <w:t xml:space="preserve">affects </w:t>
      </w:r>
      <w:r>
        <w:rPr>
          <w:b/>
        </w:rPr>
        <w:t>municipal spending on public transport</w:t>
      </w:r>
      <w:r w:rsidR="008A2029">
        <w:t>.</w:t>
      </w:r>
    </w:p>
    <w:p w:rsidR="006B4418" w:rsidRDefault="006E1845" w:rsidP="00197EC3">
      <w:pPr>
        <w:pStyle w:val="ListParagraph"/>
        <w:numPr>
          <w:ilvl w:val="0"/>
          <w:numId w:val="8"/>
        </w:numPr>
        <w:spacing w:after="60"/>
        <w:contextualSpacing w:val="0"/>
      </w:pPr>
      <w:r>
        <w:rPr>
          <w:u w:val="single"/>
        </w:rPr>
        <w:t>P</w:t>
      </w:r>
      <w:r w:rsidR="006B4418" w:rsidRPr="006B4418">
        <w:rPr>
          <w:u w:val="single"/>
        </w:rPr>
        <w:t>redictability</w:t>
      </w:r>
      <w:r w:rsidR="006B4418">
        <w:rPr>
          <w:u w:val="single"/>
        </w:rPr>
        <w:t xml:space="preserve"> of budget</w:t>
      </w:r>
      <w:r w:rsidR="006B4418">
        <w:t xml:space="preserve">: </w:t>
      </w:r>
      <w:r w:rsidR="00D53B67">
        <w:t xml:space="preserve">If </w:t>
      </w:r>
      <w:r w:rsidR="003A1385">
        <w:t xml:space="preserve">a </w:t>
      </w:r>
      <w:r w:rsidR="00D53B67">
        <w:t>municipal government adopted gross cost-based systems, retaining all revenues from tariffs, annual municipal expenditures on public transport services would become predictable and multi-year budget planning</w:t>
      </w:r>
      <w:r>
        <w:t xml:space="preserve"> would become possible</w:t>
      </w:r>
      <w:r w:rsidR="00D53B67">
        <w:t xml:space="preserve">. </w:t>
      </w:r>
      <w:r w:rsidR="006B4418">
        <w:t xml:space="preserve">In the short term, improved minibus services would </w:t>
      </w:r>
      <w:r w:rsidR="00791811">
        <w:t>increase</w:t>
      </w:r>
      <w:r w:rsidR="006B4418">
        <w:t xml:space="preserve"> costs due to capital costs for new vehicles and service improvements such as introducing passenger information systems and fare integration systems. </w:t>
      </w:r>
      <w:r w:rsidR="006B4418" w:rsidRPr="00245E24">
        <w:t xml:space="preserve">However, under a fully commercialized system procured through competitive tendering (gross or net cost-based systems), additional costs would not be </w:t>
      </w:r>
      <w:r w:rsidR="006B4418">
        <w:t xml:space="preserve">a </w:t>
      </w:r>
      <w:r w:rsidR="006B4418" w:rsidRPr="00245E24">
        <w:t>one-time capital investment</w:t>
      </w:r>
      <w:r w:rsidR="00791811">
        <w:t>; instead, from a fiscal point of view,</w:t>
      </w:r>
      <w:r w:rsidR="006B4418" w:rsidRPr="00245E24">
        <w:t xml:space="preserve"> </w:t>
      </w:r>
      <w:r w:rsidR="00791811">
        <w:t xml:space="preserve">they would be </w:t>
      </w:r>
      <w:r w:rsidR="006B4418" w:rsidRPr="00245E24">
        <w:t>annuitized expenditure</w:t>
      </w:r>
      <w:r w:rsidR="00791811">
        <w:t>s</w:t>
      </w:r>
      <w:r w:rsidR="006B4418" w:rsidRPr="00245E24">
        <w:t xml:space="preserve"> because municipal government</w:t>
      </w:r>
      <w:r w:rsidR="00791811">
        <w:t>s</w:t>
      </w:r>
      <w:r w:rsidR="006B4418" w:rsidRPr="00245E24">
        <w:t xml:space="preserve"> would not keep vehicles on </w:t>
      </w:r>
      <w:r w:rsidR="00791811">
        <w:t xml:space="preserve">the </w:t>
      </w:r>
      <w:r w:rsidR="006B4418" w:rsidRPr="00245E24">
        <w:t xml:space="preserve">books; it would </w:t>
      </w:r>
      <w:r w:rsidR="00791811">
        <w:t>make regular</w:t>
      </w:r>
      <w:r w:rsidR="006B4418" w:rsidRPr="00245E24">
        <w:t xml:space="preserve"> pay</w:t>
      </w:r>
      <w:r w:rsidR="00791811">
        <w:t>ments</w:t>
      </w:r>
      <w:r w:rsidR="006B4418" w:rsidRPr="00245E24">
        <w:t xml:space="preserve"> for services based on outputs (e.g., vehicle-kilometers) </w:t>
      </w:r>
      <w:r w:rsidR="00791811">
        <w:t xml:space="preserve">over </w:t>
      </w:r>
      <w:r w:rsidR="006B4418" w:rsidRPr="00245E24">
        <w:t>the contract period (normally 5-10 years).</w:t>
      </w:r>
    </w:p>
    <w:p w:rsidR="006B4418" w:rsidRDefault="006E1845" w:rsidP="00197EC3">
      <w:pPr>
        <w:pStyle w:val="ListParagraph"/>
        <w:numPr>
          <w:ilvl w:val="0"/>
          <w:numId w:val="8"/>
        </w:numPr>
        <w:spacing w:after="60"/>
        <w:contextualSpacing w:val="0"/>
      </w:pPr>
      <w:r>
        <w:rPr>
          <w:u w:val="single"/>
        </w:rPr>
        <w:t>A</w:t>
      </w:r>
      <w:r w:rsidR="006B4418" w:rsidRPr="006B4418">
        <w:rPr>
          <w:u w:val="single"/>
        </w:rPr>
        <w:t>bility to control tariff and revenues</w:t>
      </w:r>
      <w:r w:rsidR="006B4418">
        <w:t xml:space="preserve">: </w:t>
      </w:r>
      <w:r w:rsidR="00791811">
        <w:t>T</w:t>
      </w:r>
      <w:r w:rsidR="00D53B67">
        <w:t xml:space="preserve">he gross-cost based system insulates tariff-setting decisions from contractual obligations with operators, allowing Government the opportunity to factor social considerations into tariff policy, such as fare concessions for specified groups, without risking </w:t>
      </w:r>
      <w:r w:rsidR="003575BC">
        <w:t>breach</w:t>
      </w:r>
      <w:r w:rsidR="00D53B67">
        <w:t xml:space="preserve"> of contract. Moreover, under such an arrangement, fare integration among public transportation modes can be applied easily (without creating contractual difficulties with operators), which would increase convenience and affordability for public transport users.</w:t>
      </w:r>
    </w:p>
    <w:p w:rsidR="006B4418" w:rsidRDefault="00791811" w:rsidP="00197EC3">
      <w:pPr>
        <w:pStyle w:val="ListParagraph"/>
        <w:numPr>
          <w:ilvl w:val="0"/>
          <w:numId w:val="8"/>
        </w:numPr>
        <w:spacing w:after="60"/>
        <w:contextualSpacing w:val="0"/>
      </w:pPr>
      <w:r>
        <w:rPr>
          <w:u w:val="single"/>
        </w:rPr>
        <w:t>S</w:t>
      </w:r>
      <w:r w:rsidR="006B4418" w:rsidRPr="003B50E9">
        <w:rPr>
          <w:u w:val="single"/>
        </w:rPr>
        <w:t>ustain</w:t>
      </w:r>
      <w:r>
        <w:rPr>
          <w:u w:val="single"/>
        </w:rPr>
        <w:t>ing</w:t>
      </w:r>
      <w:r w:rsidR="006B4418" w:rsidRPr="003B50E9">
        <w:rPr>
          <w:u w:val="single"/>
        </w:rPr>
        <w:t xml:space="preserve"> vehicle quality while avoiding budgetary capital investments</w:t>
      </w:r>
      <w:r w:rsidR="006B4418" w:rsidRPr="006B4418">
        <w:t>:</w:t>
      </w:r>
      <w:r w:rsidR="00D53B67">
        <w:t xml:space="preserve"> </w:t>
      </w:r>
      <w:r w:rsidR="003B50E9">
        <w:t>Under a competitive tendering and output-based contractual requirement, c</w:t>
      </w:r>
      <w:r w:rsidR="006B4418">
        <w:t xml:space="preserve">ommercial operators, either municipal enterprises or private companies, would </w:t>
      </w:r>
      <w:r w:rsidR="003B50E9">
        <w:t xml:space="preserve">be obliged to make </w:t>
      </w:r>
      <w:r w:rsidR="006B4418">
        <w:t>commercial decisions on vehicle maintenance and upgrades, considering costs over the contract duration and contractual obligations on vehicle and service quality standards</w:t>
      </w:r>
      <w:r w:rsidR="003B50E9">
        <w:t>, without requesting government budget</w:t>
      </w:r>
      <w:r w:rsidR="006B4418">
        <w:t>.</w:t>
      </w:r>
      <w:r w:rsidR="003B50E9">
        <w:t xml:space="preserve">  </w:t>
      </w:r>
    </w:p>
    <w:p w:rsidR="00AA66B1" w:rsidRDefault="00791811" w:rsidP="00197EC3">
      <w:pPr>
        <w:pStyle w:val="ListParagraph"/>
        <w:numPr>
          <w:ilvl w:val="0"/>
          <w:numId w:val="8"/>
        </w:numPr>
      </w:pPr>
      <w:r>
        <w:rPr>
          <w:u w:val="single"/>
        </w:rPr>
        <w:t xml:space="preserve">Potential </w:t>
      </w:r>
      <w:r w:rsidR="003B50E9" w:rsidRPr="003B50E9">
        <w:rPr>
          <w:u w:val="single"/>
        </w:rPr>
        <w:t xml:space="preserve">to institute </w:t>
      </w:r>
      <w:r w:rsidR="003B50E9">
        <w:rPr>
          <w:u w:val="single"/>
        </w:rPr>
        <w:t xml:space="preserve">and control </w:t>
      </w:r>
      <w:r w:rsidR="003B50E9" w:rsidRPr="003B50E9">
        <w:rPr>
          <w:u w:val="single"/>
        </w:rPr>
        <w:t>cross-subsidization of public transport users by private car users</w:t>
      </w:r>
      <w:r w:rsidR="003B50E9">
        <w:t xml:space="preserve">: </w:t>
      </w:r>
      <w:r w:rsidR="006E1845">
        <w:t>R</w:t>
      </w:r>
      <w:r w:rsidR="00D53B67">
        <w:t xml:space="preserve">equiring higher vehicle and service quality standards is likely to increase government expenditure on minibus services, which must be paid by users and/or taxpayers. </w:t>
      </w:r>
      <w:r w:rsidR="006E1845">
        <w:t xml:space="preserve">Municipal authorities may choose to cross-subsidize public transport upgrades (green transport measures) from private cars (polluting modes) on the ground that </w:t>
      </w:r>
      <w:r w:rsidR="00D53B67">
        <w:t>higher costs to provide better quality public transportation would be offset by lower externalities such as congestion and air pollution.</w:t>
      </w:r>
    </w:p>
    <w:p w:rsidR="00007749" w:rsidRDefault="00007749">
      <w:pPr>
        <w:spacing w:after="200"/>
        <w:jc w:val="left"/>
        <w:rPr>
          <w:rFonts w:eastAsiaTheme="majorEastAsia"/>
          <w:bCs/>
          <w:sz w:val="24"/>
          <w:szCs w:val="24"/>
          <w:u w:val="single"/>
        </w:rPr>
      </w:pPr>
      <w:bookmarkStart w:id="89" w:name="_Ref307415955"/>
      <w:r>
        <w:br w:type="page"/>
      </w:r>
    </w:p>
    <w:p w:rsidR="008219F1" w:rsidRPr="00A24018" w:rsidRDefault="008219F1" w:rsidP="00BA2792">
      <w:pPr>
        <w:pStyle w:val="Heading2"/>
      </w:pPr>
      <w:bookmarkStart w:id="90" w:name="_Toc326892937"/>
      <w:r>
        <w:lastRenderedPageBreak/>
        <w:t xml:space="preserve">Support </w:t>
      </w:r>
      <w:r w:rsidR="001947EE">
        <w:t>Sustainable</w:t>
      </w:r>
      <w:r>
        <w:t xml:space="preserve"> </w:t>
      </w:r>
      <w:r w:rsidR="001947EE">
        <w:t xml:space="preserve">Development of </w:t>
      </w:r>
      <w:r>
        <w:t>Urban Transport</w:t>
      </w:r>
      <w:bookmarkEnd w:id="89"/>
      <w:bookmarkEnd w:id="90"/>
    </w:p>
    <w:p w:rsidR="008219F1" w:rsidRDefault="008219F1" w:rsidP="00525183">
      <w:pPr>
        <w:spacing w:after="80"/>
        <w:rPr>
          <w:b/>
          <w:i/>
        </w:rPr>
      </w:pPr>
      <w:r w:rsidRPr="00E046E9">
        <w:rPr>
          <w:b/>
          <w:i/>
        </w:rPr>
        <w:t>Why this measure?</w:t>
      </w:r>
    </w:p>
    <w:p w:rsidR="00692CFD" w:rsidRPr="00692CFD" w:rsidRDefault="00061B58" w:rsidP="00061B58">
      <w:r>
        <w:rPr>
          <w:b/>
        </w:rPr>
        <w:t>Current condition: urban transport sector of Georgia, particularly Tbilisi, consumes more energy per capita than many other cities both in developed and developing countries</w:t>
      </w:r>
      <w:r w:rsidRPr="00A818E5">
        <w:t xml:space="preserve">.  In Tbilisi, the car ownership rate has </w:t>
      </w:r>
      <w:r w:rsidR="00791811">
        <w:t>more than doubles in only nine years</w:t>
      </w:r>
      <w:r w:rsidRPr="00A818E5">
        <w:t xml:space="preserve">, </w:t>
      </w:r>
      <w:r w:rsidR="00692CFD" w:rsidRPr="00A818E5">
        <w:t>from 80 cars per 1000 people in 2000 t</w:t>
      </w:r>
      <w:r w:rsidR="00692CFD">
        <w:t>o 205 cars in 2009.</w:t>
      </w:r>
      <w:r>
        <w:t xml:space="preserve">  </w:t>
      </w:r>
      <w:r w:rsidR="00791811">
        <w:t>In addition</w:t>
      </w:r>
      <w:r>
        <w:t xml:space="preserve">, </w:t>
      </w:r>
      <w:r w:rsidR="00560783">
        <w:t xml:space="preserve">due to </w:t>
      </w:r>
      <w:r w:rsidR="00791811">
        <w:t xml:space="preserve">the city’s </w:t>
      </w:r>
      <w:r w:rsidR="00560783">
        <w:t xml:space="preserve">hilly terrain and </w:t>
      </w:r>
      <w:r w:rsidR="00791811">
        <w:t xml:space="preserve">aging </w:t>
      </w:r>
      <w:r w:rsidR="006E1845">
        <w:t xml:space="preserve">vehicle fleet, </w:t>
      </w:r>
      <w:r w:rsidR="00791811">
        <w:t xml:space="preserve">Tbilisi’s </w:t>
      </w:r>
      <w:r w:rsidR="006E1845">
        <w:t>energy consumption</w:t>
      </w:r>
      <w:r w:rsidR="00560783">
        <w:t xml:space="preserve"> per capita is comparable to that of Paris </w:t>
      </w:r>
      <w:r w:rsidR="00FC075F">
        <w:t xml:space="preserve">or </w:t>
      </w:r>
      <w:r w:rsidR="00560783">
        <w:t xml:space="preserve">Mexico City, and significantly higher than </w:t>
      </w:r>
      <w:r w:rsidR="00FC075F">
        <w:t xml:space="preserve">several other </w:t>
      </w:r>
      <w:r w:rsidR="00560783">
        <w:t xml:space="preserve">cities, </w:t>
      </w:r>
      <w:r w:rsidR="00FC075F">
        <w:t xml:space="preserve">such as </w:t>
      </w:r>
      <w:r w:rsidR="00560783">
        <w:t>Tokyo, Budapest, Rio de Janeiro, Bogota, and Quebec (</w:t>
      </w:r>
      <w:fldSimple w:instr=" REF _Ref308529298 \h  \* MERGEFORMAT ">
        <w:r w:rsidR="00F74DCE" w:rsidRPr="00F74DCE">
          <w:t xml:space="preserve">Figure </w:t>
        </w:r>
        <w:r w:rsidR="00F74DCE" w:rsidRPr="00F74DCE">
          <w:rPr>
            <w:noProof/>
          </w:rPr>
          <w:t>19</w:t>
        </w:r>
      </w:fldSimple>
      <w:r w:rsidR="00560783">
        <w:t xml:space="preserve">). </w:t>
      </w:r>
    </w:p>
    <w:tbl>
      <w:tblPr>
        <w:tblStyle w:val="TableGrid"/>
        <w:tblW w:w="0" w:type="auto"/>
        <w:jc w:val="right"/>
        <w:tblCellMar>
          <w:left w:w="0" w:type="dxa"/>
          <w:right w:w="0" w:type="dxa"/>
        </w:tblCellMar>
        <w:tblLook w:val="04A0"/>
      </w:tblPr>
      <w:tblGrid>
        <w:gridCol w:w="9280"/>
      </w:tblGrid>
      <w:tr w:rsidR="008B04FE" w:rsidTr="00692CFD">
        <w:trPr>
          <w:trHeight w:val="357"/>
          <w:jc w:val="right"/>
        </w:trPr>
        <w:tc>
          <w:tcPr>
            <w:tcW w:w="9280" w:type="dxa"/>
            <w:tcBorders>
              <w:top w:val="nil"/>
              <w:left w:val="nil"/>
              <w:bottom w:val="single" w:sz="4" w:space="0" w:color="auto"/>
              <w:right w:val="nil"/>
            </w:tcBorders>
          </w:tcPr>
          <w:p w:rsidR="008B04FE" w:rsidRPr="005631F9" w:rsidRDefault="008B04FE" w:rsidP="00692CFD">
            <w:pPr>
              <w:spacing w:before="120" w:after="0"/>
              <w:jc w:val="center"/>
              <w:rPr>
                <w:sz w:val="20"/>
                <w:szCs w:val="20"/>
              </w:rPr>
            </w:pPr>
            <w:bookmarkStart w:id="91" w:name="_Ref308529298"/>
            <w:bookmarkStart w:id="92" w:name="_Toc326892840"/>
            <w:r w:rsidRPr="00394B4B">
              <w:rPr>
                <w:b/>
                <w:sz w:val="20"/>
                <w:szCs w:val="20"/>
              </w:rPr>
              <w:t xml:space="preserve">Figure </w:t>
            </w:r>
            <w:r w:rsidR="001A7AF8" w:rsidRPr="00394B4B">
              <w:rPr>
                <w:b/>
                <w:sz w:val="20"/>
                <w:szCs w:val="20"/>
              </w:rPr>
              <w:fldChar w:fldCharType="begin"/>
            </w:r>
            <w:r w:rsidRPr="00394B4B">
              <w:rPr>
                <w:b/>
                <w:sz w:val="20"/>
                <w:szCs w:val="20"/>
              </w:rPr>
              <w:instrText xml:space="preserve"> SEQ Figure \* ARABIC </w:instrText>
            </w:r>
            <w:r w:rsidR="001A7AF8" w:rsidRPr="00394B4B">
              <w:rPr>
                <w:b/>
                <w:sz w:val="20"/>
                <w:szCs w:val="20"/>
              </w:rPr>
              <w:fldChar w:fldCharType="separate"/>
            </w:r>
            <w:r w:rsidR="00F74DCE">
              <w:rPr>
                <w:b/>
                <w:noProof/>
                <w:sz w:val="20"/>
                <w:szCs w:val="20"/>
              </w:rPr>
              <w:t>19</w:t>
            </w:r>
            <w:r w:rsidR="001A7AF8" w:rsidRPr="00394B4B">
              <w:rPr>
                <w:b/>
                <w:sz w:val="20"/>
                <w:szCs w:val="20"/>
              </w:rPr>
              <w:fldChar w:fldCharType="end"/>
            </w:r>
            <w:bookmarkEnd w:id="91"/>
            <w:r w:rsidRPr="00394B4B">
              <w:rPr>
                <w:sz w:val="20"/>
                <w:szCs w:val="20"/>
              </w:rPr>
              <w:t xml:space="preserve">:  </w:t>
            </w:r>
            <w:r w:rsidR="004754B2">
              <w:rPr>
                <w:sz w:val="20"/>
                <w:szCs w:val="20"/>
              </w:rPr>
              <w:t>Total Transportation Energy Use per Capita (MJ/person)</w:t>
            </w:r>
            <w:bookmarkEnd w:id="92"/>
          </w:p>
        </w:tc>
      </w:tr>
      <w:tr w:rsidR="008B04FE" w:rsidTr="00692CFD">
        <w:trPr>
          <w:jc w:val="right"/>
        </w:trPr>
        <w:tc>
          <w:tcPr>
            <w:tcW w:w="9280" w:type="dxa"/>
            <w:tcBorders>
              <w:bottom w:val="single" w:sz="4" w:space="0" w:color="auto"/>
            </w:tcBorders>
          </w:tcPr>
          <w:p w:rsidR="008B04FE" w:rsidRDefault="001A7AF8" w:rsidP="00692CFD">
            <w:pPr>
              <w:spacing w:after="360"/>
              <w:jc w:val="center"/>
            </w:pPr>
            <w:r>
              <w:rPr>
                <w:noProof/>
                <w:lang w:eastAsia="ko-KR" w:bidi="ar-SA"/>
              </w:rPr>
              <w:pict>
                <v:shape id="_x0000_s1088" type="#_x0000_t202" style="position:absolute;left:0;text-align:left;margin-left:38.5pt;margin-top:195.8pt;width:60pt;height:32.25pt;z-index:251664896;mso-position-horizontal-relative:text;mso-position-vertical-relative:text" stroked="f">
                  <v:textbox style="layout-flow:vertical;mso-layout-flow-alt:bottom-to-top;mso-next-textbox:#_x0000_s1088" inset="0,0,0,0">
                    <w:txbxContent>
                      <w:p w:rsidR="005E7173" w:rsidRPr="00961A10" w:rsidRDefault="005E7173" w:rsidP="00096FD0">
                        <w:pPr>
                          <w:spacing w:after="0"/>
                          <w:jc w:val="right"/>
                          <w:rPr>
                            <w:rFonts w:asciiTheme="minorHAnsi" w:hAnsiTheme="minorHAnsi"/>
                            <w:sz w:val="14"/>
                            <w:szCs w:val="14"/>
                          </w:rPr>
                        </w:pPr>
                        <w:r w:rsidRPr="00961A10">
                          <w:rPr>
                            <w:rFonts w:asciiTheme="minorHAnsi" w:hAnsiTheme="minorHAnsi"/>
                            <w:sz w:val="14"/>
                            <w:szCs w:val="14"/>
                          </w:rPr>
                          <w:t>New York</w:t>
                        </w:r>
                      </w:p>
                      <w:p w:rsidR="005E7173" w:rsidRPr="00961A10" w:rsidRDefault="005E7173" w:rsidP="00096FD0">
                        <w:pPr>
                          <w:spacing w:after="0"/>
                          <w:jc w:val="right"/>
                          <w:rPr>
                            <w:rFonts w:asciiTheme="minorHAnsi" w:hAnsiTheme="minorHAnsi"/>
                            <w:sz w:val="14"/>
                            <w:szCs w:val="14"/>
                          </w:rPr>
                        </w:pPr>
                        <w:r w:rsidRPr="00961A10">
                          <w:rPr>
                            <w:rFonts w:asciiTheme="minorHAnsi" w:hAnsiTheme="minorHAnsi"/>
                            <w:sz w:val="14"/>
                            <w:szCs w:val="14"/>
                          </w:rPr>
                          <w:t>Toronto</w:t>
                        </w:r>
                      </w:p>
                      <w:p w:rsidR="005E7173" w:rsidRPr="00961A10" w:rsidRDefault="005E7173" w:rsidP="00096FD0">
                        <w:pPr>
                          <w:spacing w:after="0"/>
                          <w:jc w:val="right"/>
                          <w:rPr>
                            <w:rFonts w:asciiTheme="minorHAnsi" w:hAnsiTheme="minorHAnsi"/>
                            <w:sz w:val="14"/>
                            <w:szCs w:val="14"/>
                          </w:rPr>
                        </w:pPr>
                        <w:r w:rsidRPr="00961A10">
                          <w:rPr>
                            <w:rFonts w:asciiTheme="minorHAnsi" w:hAnsiTheme="minorHAnsi"/>
                            <w:sz w:val="14"/>
                            <w:szCs w:val="14"/>
                          </w:rPr>
                          <w:t>Sydney</w:t>
                        </w:r>
                      </w:p>
                      <w:p w:rsidR="005E7173" w:rsidRPr="00961A10" w:rsidRDefault="005E7173" w:rsidP="00096FD0">
                        <w:pPr>
                          <w:spacing w:after="0"/>
                          <w:jc w:val="right"/>
                          <w:rPr>
                            <w:rFonts w:asciiTheme="minorHAnsi" w:hAnsiTheme="minorHAnsi"/>
                            <w:sz w:val="14"/>
                            <w:szCs w:val="14"/>
                          </w:rPr>
                        </w:pPr>
                        <w:r w:rsidRPr="00961A10">
                          <w:rPr>
                            <w:rFonts w:asciiTheme="minorHAnsi" w:hAnsiTheme="minorHAnsi"/>
                            <w:sz w:val="14"/>
                            <w:szCs w:val="14"/>
                          </w:rPr>
                          <w:t>Portland</w:t>
                        </w:r>
                      </w:p>
                      <w:p w:rsidR="005E7173" w:rsidRPr="00961A10" w:rsidRDefault="005E7173" w:rsidP="00096FD0">
                        <w:pPr>
                          <w:spacing w:after="0"/>
                          <w:jc w:val="right"/>
                          <w:rPr>
                            <w:rFonts w:asciiTheme="minorHAnsi" w:hAnsiTheme="minorHAnsi"/>
                            <w:sz w:val="14"/>
                            <w:szCs w:val="14"/>
                          </w:rPr>
                        </w:pPr>
                        <w:r w:rsidRPr="00961A10">
                          <w:rPr>
                            <w:rFonts w:asciiTheme="minorHAnsi" w:hAnsiTheme="minorHAnsi"/>
                            <w:sz w:val="14"/>
                            <w:szCs w:val="14"/>
                          </w:rPr>
                          <w:t>Mexico C.</w:t>
                        </w:r>
                      </w:p>
                      <w:p w:rsidR="005E7173" w:rsidRPr="00961A10" w:rsidRDefault="005E7173" w:rsidP="00096FD0">
                        <w:pPr>
                          <w:spacing w:after="0"/>
                          <w:jc w:val="right"/>
                          <w:rPr>
                            <w:rFonts w:asciiTheme="minorHAnsi" w:hAnsiTheme="minorHAnsi"/>
                            <w:sz w:val="14"/>
                            <w:szCs w:val="14"/>
                          </w:rPr>
                        </w:pPr>
                        <w:r w:rsidRPr="00961A10">
                          <w:rPr>
                            <w:rFonts w:asciiTheme="minorHAnsi" w:hAnsiTheme="minorHAnsi"/>
                            <w:sz w:val="14"/>
                            <w:szCs w:val="14"/>
                          </w:rPr>
                          <w:t>Tbilisi</w:t>
                        </w:r>
                      </w:p>
                      <w:p w:rsidR="005E7173" w:rsidRPr="00961A10" w:rsidRDefault="005E7173" w:rsidP="00096FD0">
                        <w:pPr>
                          <w:spacing w:after="0"/>
                          <w:jc w:val="right"/>
                          <w:rPr>
                            <w:rFonts w:asciiTheme="minorHAnsi" w:hAnsiTheme="minorHAnsi"/>
                            <w:sz w:val="14"/>
                            <w:szCs w:val="14"/>
                          </w:rPr>
                        </w:pPr>
                        <w:r w:rsidRPr="00961A10">
                          <w:rPr>
                            <w:rFonts w:asciiTheme="minorHAnsi" w:hAnsiTheme="minorHAnsi"/>
                            <w:sz w:val="14"/>
                            <w:szCs w:val="14"/>
                          </w:rPr>
                          <w:t>Paris</w:t>
                        </w:r>
                      </w:p>
                      <w:p w:rsidR="005E7173" w:rsidRPr="00961A10" w:rsidRDefault="005E7173" w:rsidP="00096FD0">
                        <w:pPr>
                          <w:spacing w:after="0"/>
                          <w:jc w:val="right"/>
                          <w:rPr>
                            <w:rFonts w:asciiTheme="minorHAnsi" w:hAnsiTheme="minorHAnsi"/>
                            <w:sz w:val="14"/>
                            <w:szCs w:val="14"/>
                          </w:rPr>
                        </w:pPr>
                      </w:p>
                    </w:txbxContent>
                  </v:textbox>
                </v:shape>
              </w:pict>
            </w:r>
            <w:r w:rsidR="004754B2" w:rsidRPr="004754B2">
              <w:rPr>
                <w:noProof/>
                <w:lang w:bidi="ar-SA"/>
              </w:rPr>
              <w:drawing>
                <wp:inline distT="0" distB="0" distL="0" distR="0">
                  <wp:extent cx="5867399" cy="2705100"/>
                  <wp:effectExtent l="19050" t="0" r="1" b="0"/>
                  <wp:docPr id="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screen">
                            <a:lum bright="-20000" contrast="30000"/>
                          </a:blip>
                          <a:srcRect/>
                          <a:stretch>
                            <a:fillRect/>
                          </a:stretch>
                        </pic:blipFill>
                        <pic:spPr bwMode="auto">
                          <a:xfrm>
                            <a:off x="0" y="0"/>
                            <a:ext cx="5874080" cy="2708180"/>
                          </a:xfrm>
                          <a:prstGeom prst="rect">
                            <a:avLst/>
                          </a:prstGeom>
                          <a:noFill/>
                          <a:ln w="9525">
                            <a:noFill/>
                            <a:miter lim="800000"/>
                            <a:headEnd/>
                            <a:tailEnd/>
                          </a:ln>
                        </pic:spPr>
                      </pic:pic>
                    </a:graphicData>
                  </a:graphic>
                </wp:inline>
              </w:drawing>
            </w:r>
          </w:p>
        </w:tc>
      </w:tr>
      <w:tr w:rsidR="008B04FE" w:rsidTr="00692CFD">
        <w:trPr>
          <w:jc w:val="right"/>
        </w:trPr>
        <w:tc>
          <w:tcPr>
            <w:tcW w:w="9280" w:type="dxa"/>
            <w:tcBorders>
              <w:left w:val="nil"/>
              <w:bottom w:val="nil"/>
              <w:right w:val="nil"/>
            </w:tcBorders>
            <w:tcMar>
              <w:top w:w="14" w:type="dxa"/>
              <w:left w:w="43" w:type="dxa"/>
              <w:bottom w:w="14" w:type="dxa"/>
              <w:right w:w="43" w:type="dxa"/>
            </w:tcMar>
          </w:tcPr>
          <w:p w:rsidR="008B04FE" w:rsidRPr="00961A10" w:rsidRDefault="008B04FE" w:rsidP="00692CFD">
            <w:pPr>
              <w:jc w:val="center"/>
              <w:rPr>
                <w:i/>
                <w:sz w:val="18"/>
                <w:szCs w:val="18"/>
              </w:rPr>
            </w:pPr>
            <w:r w:rsidRPr="00961A10">
              <w:rPr>
                <w:i/>
                <w:sz w:val="18"/>
                <w:szCs w:val="18"/>
              </w:rPr>
              <w:t xml:space="preserve">Source: </w:t>
            </w:r>
            <w:r w:rsidRPr="00961A10">
              <w:rPr>
                <w:sz w:val="18"/>
                <w:szCs w:val="18"/>
              </w:rPr>
              <w:t xml:space="preserve"> </w:t>
            </w:r>
            <w:r w:rsidR="004754B2" w:rsidRPr="00961A10">
              <w:rPr>
                <w:i/>
                <w:sz w:val="18"/>
                <w:szCs w:val="18"/>
              </w:rPr>
              <w:t xml:space="preserve">World </w:t>
            </w:r>
            <w:r w:rsidRPr="00961A10">
              <w:rPr>
                <w:i/>
                <w:sz w:val="18"/>
                <w:szCs w:val="18"/>
              </w:rPr>
              <w:t>Bank (2011)</w:t>
            </w:r>
            <w:r w:rsidR="000162B6" w:rsidRPr="00961A10">
              <w:rPr>
                <w:i/>
                <w:sz w:val="18"/>
                <w:szCs w:val="18"/>
              </w:rPr>
              <w:t>, TRACE Study</w:t>
            </w:r>
          </w:p>
        </w:tc>
      </w:tr>
    </w:tbl>
    <w:tbl>
      <w:tblPr>
        <w:tblStyle w:val="TableGrid"/>
        <w:tblpPr w:leftFromText="180" w:rightFromText="180" w:vertAnchor="text" w:horzAnchor="margin" w:tblpXSpec="right" w:tblpY="71"/>
        <w:tblOverlap w:val="never"/>
        <w:tblW w:w="0" w:type="auto"/>
        <w:tblCellMar>
          <w:left w:w="0" w:type="dxa"/>
          <w:right w:w="0" w:type="dxa"/>
        </w:tblCellMar>
        <w:tblLook w:val="04A0"/>
      </w:tblPr>
      <w:tblGrid>
        <w:gridCol w:w="4750"/>
      </w:tblGrid>
      <w:tr w:rsidR="00692CFD" w:rsidTr="00692CFD">
        <w:trPr>
          <w:trHeight w:val="357"/>
        </w:trPr>
        <w:tc>
          <w:tcPr>
            <w:tcW w:w="4750" w:type="dxa"/>
            <w:tcBorders>
              <w:top w:val="nil"/>
              <w:left w:val="nil"/>
              <w:bottom w:val="single" w:sz="4" w:space="0" w:color="auto"/>
              <w:right w:val="nil"/>
            </w:tcBorders>
          </w:tcPr>
          <w:p w:rsidR="00692CFD" w:rsidRPr="005631F9" w:rsidRDefault="00692CFD" w:rsidP="00C13431">
            <w:pPr>
              <w:spacing w:after="0"/>
              <w:jc w:val="center"/>
              <w:rPr>
                <w:sz w:val="20"/>
                <w:szCs w:val="20"/>
              </w:rPr>
            </w:pPr>
            <w:bookmarkStart w:id="93" w:name="_Toc326892841"/>
            <w:r w:rsidRPr="00394B4B">
              <w:rPr>
                <w:b/>
                <w:sz w:val="20"/>
                <w:szCs w:val="20"/>
              </w:rPr>
              <w:t xml:space="preserve">Figure </w:t>
            </w:r>
            <w:r w:rsidR="001A7AF8" w:rsidRPr="00394B4B">
              <w:rPr>
                <w:b/>
                <w:sz w:val="20"/>
                <w:szCs w:val="20"/>
              </w:rPr>
              <w:fldChar w:fldCharType="begin"/>
            </w:r>
            <w:r w:rsidRPr="00394B4B">
              <w:rPr>
                <w:b/>
                <w:sz w:val="20"/>
                <w:szCs w:val="20"/>
              </w:rPr>
              <w:instrText xml:space="preserve"> SEQ Figure \* ARABIC </w:instrText>
            </w:r>
            <w:r w:rsidR="001A7AF8" w:rsidRPr="00394B4B">
              <w:rPr>
                <w:b/>
                <w:sz w:val="20"/>
                <w:szCs w:val="20"/>
              </w:rPr>
              <w:fldChar w:fldCharType="separate"/>
            </w:r>
            <w:r w:rsidR="00F74DCE">
              <w:rPr>
                <w:b/>
                <w:noProof/>
                <w:sz w:val="20"/>
                <w:szCs w:val="20"/>
              </w:rPr>
              <w:t>20</w:t>
            </w:r>
            <w:r w:rsidR="001A7AF8" w:rsidRPr="00394B4B">
              <w:rPr>
                <w:b/>
                <w:sz w:val="20"/>
                <w:szCs w:val="20"/>
              </w:rPr>
              <w:fldChar w:fldCharType="end"/>
            </w:r>
            <w:r w:rsidRPr="00394B4B">
              <w:rPr>
                <w:sz w:val="20"/>
                <w:szCs w:val="20"/>
              </w:rPr>
              <w:t xml:space="preserve">:  </w:t>
            </w:r>
            <w:r w:rsidR="00C13431">
              <w:rPr>
                <w:sz w:val="20"/>
                <w:szCs w:val="20"/>
              </w:rPr>
              <w:t>Comparison of f</w:t>
            </w:r>
            <w:r>
              <w:rPr>
                <w:sz w:val="20"/>
                <w:szCs w:val="20"/>
              </w:rPr>
              <w:t xml:space="preserve">irst hour on-street parking charges in </w:t>
            </w:r>
            <w:r w:rsidR="00C13431">
              <w:rPr>
                <w:sz w:val="20"/>
                <w:szCs w:val="20"/>
              </w:rPr>
              <w:t xml:space="preserve">Tbilisi and </w:t>
            </w:r>
            <w:r>
              <w:rPr>
                <w:sz w:val="20"/>
                <w:szCs w:val="20"/>
              </w:rPr>
              <w:t>Western European cities</w:t>
            </w:r>
            <w:bookmarkEnd w:id="93"/>
          </w:p>
        </w:tc>
      </w:tr>
      <w:tr w:rsidR="00692CFD" w:rsidTr="00692CFD">
        <w:tc>
          <w:tcPr>
            <w:tcW w:w="4750" w:type="dxa"/>
            <w:tcBorders>
              <w:bottom w:val="single" w:sz="4" w:space="0" w:color="auto"/>
            </w:tcBorders>
          </w:tcPr>
          <w:p w:rsidR="00692CFD" w:rsidRDefault="00692CFD" w:rsidP="00692CFD">
            <w:pPr>
              <w:spacing w:after="0"/>
              <w:jc w:val="center"/>
            </w:pPr>
            <w:r w:rsidRPr="00D463A2">
              <w:rPr>
                <w:noProof/>
                <w:lang w:bidi="ar-SA"/>
              </w:rPr>
              <w:drawing>
                <wp:inline distT="0" distB="0" distL="0" distR="0">
                  <wp:extent cx="2962275" cy="1581150"/>
                  <wp:effectExtent l="0" t="0" r="0" b="0"/>
                  <wp:docPr id="13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r>
      <w:tr w:rsidR="00692CFD" w:rsidTr="00692CFD">
        <w:tc>
          <w:tcPr>
            <w:tcW w:w="4750" w:type="dxa"/>
            <w:tcBorders>
              <w:left w:val="nil"/>
              <w:bottom w:val="nil"/>
              <w:right w:val="nil"/>
            </w:tcBorders>
            <w:tcMar>
              <w:top w:w="14" w:type="dxa"/>
              <w:left w:w="43" w:type="dxa"/>
              <w:bottom w:w="14" w:type="dxa"/>
              <w:right w:w="43" w:type="dxa"/>
            </w:tcMar>
          </w:tcPr>
          <w:p w:rsidR="00881D09" w:rsidRPr="00961A10" w:rsidRDefault="00692CFD" w:rsidP="00881D09">
            <w:pPr>
              <w:spacing w:after="60"/>
              <w:jc w:val="center"/>
              <w:rPr>
                <w:i/>
                <w:sz w:val="18"/>
                <w:szCs w:val="18"/>
              </w:rPr>
            </w:pPr>
            <w:r w:rsidRPr="00961A10">
              <w:rPr>
                <w:i/>
                <w:sz w:val="18"/>
                <w:szCs w:val="18"/>
              </w:rPr>
              <w:t xml:space="preserve">Source: </w:t>
            </w:r>
            <w:r w:rsidRPr="00961A10">
              <w:rPr>
                <w:sz w:val="18"/>
                <w:szCs w:val="18"/>
              </w:rPr>
              <w:t xml:space="preserve"> </w:t>
            </w:r>
            <w:r w:rsidRPr="00961A10">
              <w:rPr>
                <w:i/>
                <w:sz w:val="18"/>
                <w:szCs w:val="18"/>
              </w:rPr>
              <w:t>Institute for Transportation and Development Policy (2011); Asian Development Bank (2011)</w:t>
            </w:r>
          </w:p>
        </w:tc>
      </w:tr>
    </w:tbl>
    <w:p w:rsidR="00850116" w:rsidRDefault="004754B2" w:rsidP="008219F1">
      <w:r w:rsidRPr="00932B7D">
        <w:rPr>
          <w:b/>
        </w:rPr>
        <w:t>Current condition</w:t>
      </w:r>
      <w:r w:rsidR="00061B58">
        <w:rPr>
          <w:b/>
        </w:rPr>
        <w:t xml:space="preserve">: private car use is cheap and </w:t>
      </w:r>
      <w:r w:rsidR="00881D09">
        <w:rPr>
          <w:b/>
        </w:rPr>
        <w:t>unrestricted</w:t>
      </w:r>
      <w:r w:rsidR="00061B58">
        <w:rPr>
          <w:b/>
        </w:rPr>
        <w:t xml:space="preserve"> in </w:t>
      </w:r>
      <w:r w:rsidR="00881D09">
        <w:rPr>
          <w:b/>
        </w:rPr>
        <w:t xml:space="preserve">most </w:t>
      </w:r>
      <w:r w:rsidR="00061B58">
        <w:rPr>
          <w:b/>
        </w:rPr>
        <w:t>Georgian cities</w:t>
      </w:r>
      <w:r w:rsidR="00061B58" w:rsidRPr="00A818E5">
        <w:t>.</w:t>
      </w:r>
      <w:r w:rsidRPr="00A818E5">
        <w:t xml:space="preserve">  Private car users in Georgia’s urba</w:t>
      </w:r>
      <w:r w:rsidR="00D53B67" w:rsidRPr="00A818E5">
        <w:t>n areas do no</w:t>
      </w:r>
      <w:r w:rsidR="00D53B67">
        <w:t xml:space="preserve">t bear the full cost of externalities generated by their trips—traffic congestion and air pollution. As a result, the individual marginal cost of private car use is less than the social marginal costs incurred by it. At existing motorization rates, such externalities are contained, but this would no longer be the case if the expected economic growth materializes, driving up private car ownership. Parking restrictions and costs can also constrain private car use. However, in Georgia there are now few associated constraints or costs, even in congested city centers. For example, in </w:t>
      </w:r>
      <w:r w:rsidR="00F91738">
        <w:t xml:space="preserve">central </w:t>
      </w:r>
      <w:r w:rsidR="00D53B67">
        <w:t>Tbilisi, short-term parking charges are as low as 0.2 to 1 GEL</w:t>
      </w:r>
      <w:r w:rsidR="00F91738">
        <w:t xml:space="preserve"> per </w:t>
      </w:r>
      <w:r w:rsidR="00240684">
        <w:t>parking</w:t>
      </w:r>
      <w:r w:rsidR="00D53B67">
        <w:t xml:space="preserve">, regardless of </w:t>
      </w:r>
      <w:r w:rsidR="00560783">
        <w:t xml:space="preserve">the </w:t>
      </w:r>
      <w:r w:rsidR="00240684">
        <w:lastRenderedPageBreak/>
        <w:t xml:space="preserve">duration </w:t>
      </w:r>
      <w:r w:rsidR="00560783">
        <w:t xml:space="preserve">of parking </w:t>
      </w:r>
      <w:r w:rsidR="00240684">
        <w:t xml:space="preserve">and </w:t>
      </w:r>
      <w:r w:rsidR="00D53B67">
        <w:t>the level of congestion.</w:t>
      </w:r>
      <w:r w:rsidR="00D53B67">
        <w:rPr>
          <w:rStyle w:val="FootnoteReference"/>
        </w:rPr>
        <w:footnoteReference w:id="53"/>
      </w:r>
      <w:r w:rsidR="00D53B67">
        <w:t xml:space="preserve"> By contrast, in most </w:t>
      </w:r>
      <w:r w:rsidR="00881D09">
        <w:t xml:space="preserve">Western </w:t>
      </w:r>
      <w:r w:rsidR="00D53B67">
        <w:t>European cities, parking is strictly regulated and public spaces are priced according to demand levels</w:t>
      </w:r>
      <w:r w:rsidR="00881D09">
        <w:t xml:space="preserve"> (i.e., parking in city center is more expensive than</w:t>
      </w:r>
      <w:r w:rsidR="00FC075F">
        <w:t xml:space="preserve"> parking in</w:t>
      </w:r>
      <w:r w:rsidR="00881D09">
        <w:t xml:space="preserve"> suburban areas). </w:t>
      </w:r>
      <w:r w:rsidR="00D53B67">
        <w:t xml:space="preserve"> </w:t>
      </w:r>
      <w:r w:rsidR="00881D09">
        <w:t xml:space="preserve">In fact, the hourly rate of parking charges in Tbilisi is lower than </w:t>
      </w:r>
      <w:r w:rsidR="00FC075F">
        <w:t xml:space="preserve">it appears </w:t>
      </w:r>
      <w:r w:rsidR="00881D09">
        <w:t xml:space="preserve">in </w:t>
      </w:r>
      <w:fldSimple w:instr=" REF _Ref308529298 \h  \* MERGEFORMAT ">
        <w:r w:rsidR="00F74DCE" w:rsidRPr="00F74DCE">
          <w:t xml:space="preserve">Figure </w:t>
        </w:r>
        <w:r w:rsidR="00F74DCE" w:rsidRPr="00F74DCE">
          <w:rPr>
            <w:noProof/>
          </w:rPr>
          <w:t>19</w:t>
        </w:r>
      </w:fldSimple>
      <w:r w:rsidR="00881D09" w:rsidRPr="00881D09">
        <w:t xml:space="preserve">, </w:t>
      </w:r>
      <w:r w:rsidR="00881D09">
        <w:t xml:space="preserve">since </w:t>
      </w:r>
      <w:r w:rsidR="00881D09" w:rsidRPr="00881D09">
        <w:t xml:space="preserve">most parking spaces </w:t>
      </w:r>
      <w:r w:rsidR="00FC075F">
        <w:t xml:space="preserve">have no time limits </w:t>
      </w:r>
      <w:r w:rsidR="00881D09" w:rsidRPr="00881D09">
        <w:t xml:space="preserve">and </w:t>
      </w:r>
      <w:r w:rsidR="00560783">
        <w:t xml:space="preserve">one-time </w:t>
      </w:r>
      <w:r w:rsidR="00881D09" w:rsidRPr="00881D09">
        <w:t xml:space="preserve">charges </w:t>
      </w:r>
      <w:r w:rsidR="00FC075F">
        <w:t xml:space="preserve">apply regardless of parking </w:t>
      </w:r>
      <w:r w:rsidR="00881D09" w:rsidRPr="00881D09">
        <w:t>duration</w:t>
      </w:r>
      <w:r w:rsidR="00881D09">
        <w:t xml:space="preserve">. </w:t>
      </w:r>
      <w:r w:rsidR="00D53B67">
        <w:t>Low charges and lack of parking enforcement encourages unregulated on-street parking, and ultimately creates an inefficient use of valuable road capacity that should be used to move traffic, not store vehicles. Low marginal costs and little restraint on private car use, combined with low public transport service quality (discussed above in Section III</w:t>
      </w:r>
      <w:r w:rsidR="00560783">
        <w:t>.D</w:t>
      </w:r>
      <w:r w:rsidR="00D53B67">
        <w:t>), would encourage a continuous modal shift to private cars.</w:t>
      </w:r>
    </w:p>
    <w:tbl>
      <w:tblPr>
        <w:tblStyle w:val="TableGrid"/>
        <w:tblpPr w:leftFromText="180" w:rightFromText="180" w:vertAnchor="text" w:horzAnchor="margin" w:tblpY="32"/>
        <w:tblOverlap w:val="never"/>
        <w:tblW w:w="0" w:type="auto"/>
        <w:tblCellMar>
          <w:left w:w="0" w:type="dxa"/>
          <w:right w:w="0" w:type="dxa"/>
        </w:tblCellMar>
        <w:tblLook w:val="04A0"/>
      </w:tblPr>
      <w:tblGrid>
        <w:gridCol w:w="5421"/>
      </w:tblGrid>
      <w:tr w:rsidR="00911F87" w:rsidTr="00911F87">
        <w:trPr>
          <w:trHeight w:val="357"/>
        </w:trPr>
        <w:tc>
          <w:tcPr>
            <w:tcW w:w="5421" w:type="dxa"/>
            <w:tcBorders>
              <w:top w:val="nil"/>
              <w:left w:val="nil"/>
              <w:bottom w:val="single" w:sz="4" w:space="0" w:color="auto"/>
              <w:right w:val="nil"/>
            </w:tcBorders>
          </w:tcPr>
          <w:p w:rsidR="00911F87" w:rsidRPr="005631F9" w:rsidRDefault="00911F87" w:rsidP="00C13431">
            <w:pPr>
              <w:spacing w:after="0"/>
              <w:jc w:val="center"/>
              <w:rPr>
                <w:sz w:val="20"/>
                <w:szCs w:val="20"/>
              </w:rPr>
            </w:pPr>
            <w:bookmarkStart w:id="94" w:name="_Ref308779034"/>
            <w:bookmarkStart w:id="95" w:name="_Toc326892842"/>
            <w:r w:rsidRPr="00394B4B">
              <w:rPr>
                <w:b/>
                <w:sz w:val="20"/>
                <w:szCs w:val="20"/>
              </w:rPr>
              <w:t xml:space="preserve">Figure </w:t>
            </w:r>
            <w:r w:rsidR="001A7AF8" w:rsidRPr="00394B4B">
              <w:rPr>
                <w:b/>
                <w:sz w:val="20"/>
                <w:szCs w:val="20"/>
              </w:rPr>
              <w:fldChar w:fldCharType="begin"/>
            </w:r>
            <w:r w:rsidRPr="00394B4B">
              <w:rPr>
                <w:b/>
                <w:sz w:val="20"/>
                <w:szCs w:val="20"/>
              </w:rPr>
              <w:instrText xml:space="preserve"> SEQ Figure \* ARABIC </w:instrText>
            </w:r>
            <w:r w:rsidR="001A7AF8" w:rsidRPr="00394B4B">
              <w:rPr>
                <w:b/>
                <w:sz w:val="20"/>
                <w:szCs w:val="20"/>
              </w:rPr>
              <w:fldChar w:fldCharType="separate"/>
            </w:r>
            <w:r w:rsidR="00F74DCE">
              <w:rPr>
                <w:b/>
                <w:noProof/>
                <w:sz w:val="20"/>
                <w:szCs w:val="20"/>
              </w:rPr>
              <w:t>21</w:t>
            </w:r>
            <w:r w:rsidR="001A7AF8" w:rsidRPr="00394B4B">
              <w:rPr>
                <w:b/>
                <w:sz w:val="20"/>
                <w:szCs w:val="20"/>
              </w:rPr>
              <w:fldChar w:fldCharType="end"/>
            </w:r>
            <w:bookmarkEnd w:id="94"/>
            <w:r w:rsidRPr="00394B4B">
              <w:rPr>
                <w:sz w:val="20"/>
                <w:szCs w:val="20"/>
              </w:rPr>
              <w:t xml:space="preserve">:  </w:t>
            </w:r>
            <w:r>
              <w:rPr>
                <w:sz w:val="20"/>
                <w:szCs w:val="20"/>
              </w:rPr>
              <w:t>Strong inverse correlation between population density and energy consumption per capita</w:t>
            </w:r>
            <w:bookmarkEnd w:id="95"/>
            <w:r>
              <w:rPr>
                <w:sz w:val="20"/>
                <w:szCs w:val="20"/>
              </w:rPr>
              <w:t xml:space="preserve"> </w:t>
            </w:r>
          </w:p>
        </w:tc>
      </w:tr>
      <w:tr w:rsidR="00911F87" w:rsidTr="00911F87">
        <w:tc>
          <w:tcPr>
            <w:tcW w:w="5421" w:type="dxa"/>
            <w:tcBorders>
              <w:bottom w:val="single" w:sz="4" w:space="0" w:color="auto"/>
            </w:tcBorders>
          </w:tcPr>
          <w:p w:rsidR="00911F87" w:rsidRDefault="00911F87" w:rsidP="00911F87">
            <w:pPr>
              <w:spacing w:after="0"/>
              <w:jc w:val="center"/>
            </w:pPr>
            <w:r w:rsidRPr="000A6C39">
              <w:rPr>
                <w:noProof/>
                <w:lang w:bidi="ar-SA"/>
              </w:rPr>
              <w:drawing>
                <wp:inline distT="0" distB="0" distL="0" distR="0">
                  <wp:extent cx="3416935" cy="2095721"/>
                  <wp:effectExtent l="19050" t="0" r="0" b="0"/>
                  <wp:docPr id="143" name="Picture 5" descr="urban_ener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ban_energy.png"/>
                          <pic:cNvPicPr/>
                        </pic:nvPicPr>
                        <pic:blipFill>
                          <a:blip r:embed="rId60" cstate="screen"/>
                          <a:stretch>
                            <a:fillRect/>
                          </a:stretch>
                        </pic:blipFill>
                        <pic:spPr>
                          <a:xfrm>
                            <a:off x="0" y="0"/>
                            <a:ext cx="3427347" cy="2102107"/>
                          </a:xfrm>
                          <a:prstGeom prst="rect">
                            <a:avLst/>
                          </a:prstGeom>
                        </pic:spPr>
                      </pic:pic>
                    </a:graphicData>
                  </a:graphic>
                </wp:inline>
              </w:drawing>
            </w:r>
          </w:p>
        </w:tc>
      </w:tr>
      <w:tr w:rsidR="00911F87" w:rsidTr="00911F87">
        <w:tc>
          <w:tcPr>
            <w:tcW w:w="5421" w:type="dxa"/>
            <w:tcBorders>
              <w:left w:val="nil"/>
              <w:bottom w:val="nil"/>
              <w:right w:val="nil"/>
            </w:tcBorders>
            <w:tcMar>
              <w:top w:w="14" w:type="dxa"/>
              <w:left w:w="43" w:type="dxa"/>
              <w:bottom w:w="14" w:type="dxa"/>
              <w:right w:w="43" w:type="dxa"/>
            </w:tcMar>
          </w:tcPr>
          <w:p w:rsidR="00911F87" w:rsidRPr="00961A10" w:rsidRDefault="00911F87" w:rsidP="00911F87">
            <w:pPr>
              <w:spacing w:after="60"/>
              <w:jc w:val="center"/>
              <w:rPr>
                <w:i/>
                <w:sz w:val="18"/>
                <w:szCs w:val="18"/>
              </w:rPr>
            </w:pPr>
            <w:r w:rsidRPr="00961A10">
              <w:rPr>
                <w:i/>
                <w:sz w:val="18"/>
                <w:szCs w:val="18"/>
              </w:rPr>
              <w:t xml:space="preserve">Source: </w:t>
            </w:r>
            <w:r w:rsidRPr="00961A10">
              <w:rPr>
                <w:sz w:val="18"/>
                <w:szCs w:val="18"/>
              </w:rPr>
              <w:t xml:space="preserve"> </w:t>
            </w:r>
            <w:r w:rsidRPr="00961A10">
              <w:rPr>
                <w:i/>
                <w:sz w:val="18"/>
                <w:szCs w:val="18"/>
              </w:rPr>
              <w:t>Newman, P. and J. Kenworthy (1999)</w:t>
            </w:r>
          </w:p>
        </w:tc>
      </w:tr>
    </w:tbl>
    <w:p w:rsidR="00643ADB" w:rsidRDefault="001E4BFB" w:rsidP="00643ADB">
      <w:r w:rsidRPr="001E4BFB">
        <w:rPr>
          <w:b/>
        </w:rPr>
        <w:t>Rational</w:t>
      </w:r>
      <w:r w:rsidR="006A5EA9">
        <w:rPr>
          <w:b/>
        </w:rPr>
        <w:t>e</w:t>
      </w:r>
      <w:r w:rsidRPr="001E4BFB">
        <w:rPr>
          <w:b/>
        </w:rPr>
        <w:t xml:space="preserve"> for change</w:t>
      </w:r>
      <w:r w:rsidR="00061B58">
        <w:rPr>
          <w:b/>
        </w:rPr>
        <w:t>: city development and transport planning will have a lasting impact on the city metabolism and sustainability</w:t>
      </w:r>
      <w:r w:rsidR="00061B58" w:rsidRPr="00A818E5">
        <w:t>.</w:t>
      </w:r>
      <w:r w:rsidRPr="00A818E5">
        <w:t xml:space="preserve"> </w:t>
      </w:r>
      <w:r w:rsidR="00D53B67" w:rsidRPr="00A818E5">
        <w:t>Land-use policies and transport infras</w:t>
      </w:r>
      <w:r w:rsidR="00D53B67">
        <w:t xml:space="preserve">tructure development have long-term effects on shaping urban forms and travel patterns. Around the world, income growth, motorization levels, and car-oriented land-use and transport policies have resulted in urban sprawl, which has raised the monetary, time, and human costs of inner-city transport, along with energy consumption per capita in the transport sector. </w:t>
      </w:r>
      <w:fldSimple w:instr=" REF _Ref308779034 \h  \* MERGEFORMAT ">
        <w:r w:rsidR="00F74DCE" w:rsidRPr="00F74DCE">
          <w:t xml:space="preserve">Figure </w:t>
        </w:r>
        <w:r w:rsidR="00F74DCE" w:rsidRPr="00F74DCE">
          <w:rPr>
            <w:noProof/>
          </w:rPr>
          <w:t>21</w:t>
        </w:r>
      </w:fldSimple>
      <w:r w:rsidR="00D53B67">
        <w:t xml:space="preserve"> shows that </w:t>
      </w:r>
      <w:r w:rsidR="00D53B67" w:rsidRPr="00007749">
        <w:t>higher population density results in lower energy consumption per capita. Increased fuel use is associate</w:t>
      </w:r>
      <w:r w:rsidR="00D53B67" w:rsidRPr="00910FA9">
        <w:t>d with high emissions of</w:t>
      </w:r>
      <w:r w:rsidR="00D53B67">
        <w:t xml:space="preserve"> particulate matter, NO</w:t>
      </w:r>
      <w:r w:rsidR="00D53B67" w:rsidRPr="008C4BA5">
        <w:rPr>
          <w:vertAlign w:val="subscript"/>
        </w:rPr>
        <w:t>x</w:t>
      </w:r>
      <w:r w:rsidR="00D53B67">
        <w:t xml:space="preserve"> and sulf</w:t>
      </w:r>
      <w:r w:rsidR="00D53B67" w:rsidRPr="00910FA9">
        <w:t xml:space="preserve">ur dioxides </w:t>
      </w:r>
      <w:r w:rsidR="00D53B67">
        <w:t>that raise</w:t>
      </w:r>
      <w:r w:rsidR="00D53B67" w:rsidRPr="00910FA9">
        <w:t xml:space="preserve"> </w:t>
      </w:r>
      <w:r w:rsidR="00D53B67">
        <w:t xml:space="preserve">the </w:t>
      </w:r>
      <w:r w:rsidR="00D53B67" w:rsidRPr="00910FA9">
        <w:t xml:space="preserve">risks of respiratory and cardiovascular diseases </w:t>
      </w:r>
      <w:r w:rsidR="00D53B67">
        <w:t>among residents. Many cities have realized that reversing the trend is costly and time-consuming, if not impossible. Similar trends will eventually appear in Georgian cities, particularly in Tbilisi, due to</w:t>
      </w:r>
      <w:r w:rsidR="00D53B67" w:rsidDel="008C4BA5">
        <w:t xml:space="preserve"> </w:t>
      </w:r>
      <w:r w:rsidR="00D53B67">
        <w:t>rising motorization levels and concentrated car ownership in urban areas and rising incomes.</w:t>
      </w:r>
      <w:r w:rsidR="00D53B67">
        <w:rPr>
          <w:rStyle w:val="FootnoteReference"/>
        </w:rPr>
        <w:footnoteReference w:id="54"/>
      </w:r>
      <w:r w:rsidR="00D53B67">
        <w:t xml:space="preserve"> Early intervention and long-term strategic planning can prevent the long-term consequences, not to mention the future cost and difficulty of implementing corrective measures.</w:t>
      </w:r>
    </w:p>
    <w:p w:rsidR="009425BD" w:rsidRPr="00E046E9" w:rsidRDefault="008219F1" w:rsidP="00525183">
      <w:pPr>
        <w:spacing w:after="80"/>
        <w:rPr>
          <w:b/>
          <w:i/>
        </w:rPr>
      </w:pPr>
      <w:r w:rsidRPr="00E046E9">
        <w:rPr>
          <w:b/>
          <w:i/>
        </w:rPr>
        <w:t>How can this be done?</w:t>
      </w:r>
    </w:p>
    <w:p w:rsidR="00D53B67" w:rsidRPr="00E23F79" w:rsidRDefault="00D53B67" w:rsidP="00D53B67">
      <w:r>
        <w:t xml:space="preserve">Building a sustainable urban transport system requires holistic strategic planning and balanced and multi-modal development of transport infrastructure that is driven by a long-term vision. This approach requires a mix of fiscal incentives, regulatory policies and investment in multi-modal urban transport systems that </w:t>
      </w:r>
      <w:r>
        <w:lastRenderedPageBreak/>
        <w:t xml:space="preserve">induce a high share of low-emission modes. The alternative is short-sighted short-term policies and investments that respond to the immediate demand to accommodate more private cars. </w:t>
      </w:r>
    </w:p>
    <w:p w:rsidR="00961A10" w:rsidRDefault="00961A10" w:rsidP="00D373BB">
      <w:pPr>
        <w:spacing w:after="60"/>
      </w:pPr>
      <w:r>
        <w:rPr>
          <w:b/>
        </w:rPr>
        <w:t>Institution</w:t>
      </w:r>
      <w:r w:rsidR="006A5EA9">
        <w:rPr>
          <w:b/>
        </w:rPr>
        <w:t>al</w:t>
      </w:r>
      <w:r>
        <w:rPr>
          <w:b/>
        </w:rPr>
        <w:t xml:space="preserve">: </w:t>
      </w:r>
      <w:r w:rsidR="00C25207">
        <w:rPr>
          <w:b/>
        </w:rPr>
        <w:t xml:space="preserve">developing a </w:t>
      </w:r>
      <w:r>
        <w:rPr>
          <w:b/>
        </w:rPr>
        <w:t>national-level urban transport policy framework</w:t>
      </w:r>
      <w:r w:rsidRPr="00A818E5">
        <w:t xml:space="preserve">.  </w:t>
      </w:r>
      <w:r w:rsidR="00024961">
        <w:t>While urban transport planning and development is the responsibility of municipal authorities, the national government also plays an important role.  International experience suggests that the central government role, similar</w:t>
      </w:r>
      <w:r w:rsidR="00FC075F">
        <w:t xml:space="preserve"> in</w:t>
      </w:r>
      <w:r w:rsidR="00024961">
        <w:t xml:space="preserve"> both federal </w:t>
      </w:r>
      <w:r w:rsidR="00FC075F">
        <w:t xml:space="preserve">and </w:t>
      </w:r>
      <w:r w:rsidR="00024961">
        <w:t xml:space="preserve">unitary government structures, is important in setting out a national policy framework, legal and regulatory framework, and technical standards that need to be applied </w:t>
      </w:r>
      <w:r w:rsidR="00FC075F">
        <w:t xml:space="preserve">on a </w:t>
      </w:r>
      <w:r w:rsidR="00024961">
        <w:t>national scale</w:t>
      </w:r>
      <w:r w:rsidR="00FE02BC">
        <w:t xml:space="preserve">.  Central government can also </w:t>
      </w:r>
      <w:r w:rsidR="00FC075F">
        <w:t xml:space="preserve">act as </w:t>
      </w:r>
      <w:r w:rsidR="00FE02BC">
        <w:t xml:space="preserve">a facilitator in knowledge-sharing and </w:t>
      </w:r>
      <w:r w:rsidR="0009658F">
        <w:t>technical capacity building, and allocate budgetary resources to promote technological innovations and generation of national public goods such as GHG emission reductions.  In Georgia, planning and technical capacity is uneven across regions and municipalities: Tbilisi is most progressive in terms of greening agenda and reforms;</w:t>
      </w:r>
      <w:r w:rsidR="00FC075F">
        <w:t xml:space="preserve"> </w:t>
      </w:r>
      <w:r w:rsidR="0009658F">
        <w:t xml:space="preserve">a </w:t>
      </w:r>
      <w:r w:rsidR="00FC075F">
        <w:t xml:space="preserve">few </w:t>
      </w:r>
      <w:r w:rsidR="0009658F">
        <w:t xml:space="preserve">other medium-sized cities have experimented </w:t>
      </w:r>
      <w:r w:rsidR="00FC075F">
        <w:t xml:space="preserve">with </w:t>
      </w:r>
      <w:r w:rsidR="0009658F">
        <w:t xml:space="preserve">some public transport improvements and non-motorized transport measures but </w:t>
      </w:r>
      <w:r w:rsidR="00FC075F">
        <w:t xml:space="preserve">these have been </w:t>
      </w:r>
      <w:r w:rsidR="0009658F">
        <w:t xml:space="preserve">opportunistically driven by </w:t>
      </w:r>
      <w:r w:rsidR="00D373BB">
        <w:t xml:space="preserve">external </w:t>
      </w:r>
      <w:r w:rsidR="00FC075F">
        <w:t>funding opportunities. T</w:t>
      </w:r>
      <w:r w:rsidR="0009658F">
        <w:t xml:space="preserve">o </w:t>
      </w:r>
      <w:r w:rsidR="00FC075F">
        <w:t xml:space="preserve">promulgate </w:t>
      </w:r>
      <w:r w:rsidR="0009658F">
        <w:t>good practices</w:t>
      </w:r>
      <w:r w:rsidR="00FC075F">
        <w:t xml:space="preserve"> in a greater number of cities</w:t>
      </w:r>
      <w:r w:rsidR="0009658F">
        <w:t xml:space="preserve">, both international and Georgian, </w:t>
      </w:r>
      <w:r w:rsidR="00FC075F">
        <w:t xml:space="preserve">would require </w:t>
      </w:r>
      <w:r w:rsidR="0009658F">
        <w:t>a national-level facilitator</w:t>
      </w:r>
      <w:r w:rsidR="00FC075F">
        <w:t xml:space="preserve"> that is adequately </w:t>
      </w:r>
      <w:r w:rsidR="0009658F">
        <w:t xml:space="preserve">staffed and funded. </w:t>
      </w:r>
      <w:r w:rsidR="00FC075F">
        <w:t xml:space="preserve"> N</w:t>
      </w:r>
      <w:r w:rsidR="0009658F">
        <w:t xml:space="preserve">ational government </w:t>
      </w:r>
      <w:r w:rsidR="00FC075F">
        <w:t xml:space="preserve">could </w:t>
      </w:r>
      <w:r w:rsidR="0009658F">
        <w:t xml:space="preserve">take leadership </w:t>
      </w:r>
      <w:r w:rsidR="00FC075F">
        <w:t xml:space="preserve">in </w:t>
      </w:r>
      <w:r w:rsidR="00897BEA">
        <w:t>the following</w:t>
      </w:r>
      <w:r w:rsidR="00FC075F">
        <w:t xml:space="preserve"> areas</w:t>
      </w:r>
      <w:r w:rsidR="0009658F">
        <w:t>:</w:t>
      </w:r>
    </w:p>
    <w:p w:rsidR="0009658F" w:rsidRDefault="00FC075F" w:rsidP="00197EC3">
      <w:pPr>
        <w:pStyle w:val="ListParagraph"/>
        <w:numPr>
          <w:ilvl w:val="0"/>
          <w:numId w:val="8"/>
        </w:numPr>
      </w:pPr>
      <w:r>
        <w:t>Develop</w:t>
      </w:r>
      <w:r w:rsidR="00B955E2">
        <w:t xml:space="preserve"> guidelines for u</w:t>
      </w:r>
      <w:r w:rsidR="0009658F">
        <w:t>rban transport p</w:t>
      </w:r>
      <w:r>
        <w:t>lanning and investment programs</w:t>
      </w:r>
    </w:p>
    <w:p w:rsidR="0009658F" w:rsidRDefault="00B955E2" w:rsidP="00197EC3">
      <w:pPr>
        <w:pStyle w:val="ListParagraph"/>
        <w:numPr>
          <w:ilvl w:val="0"/>
          <w:numId w:val="8"/>
        </w:numPr>
      </w:pPr>
      <w:r>
        <w:t>Establish t</w:t>
      </w:r>
      <w:r w:rsidR="0009658F">
        <w:t>echnical</w:t>
      </w:r>
      <w:r>
        <w:t xml:space="preserve"> and environmental standards </w:t>
      </w:r>
      <w:r w:rsidR="00FC075F">
        <w:t xml:space="preserve">for </w:t>
      </w:r>
      <w:r>
        <w:t>urban transport</w:t>
      </w:r>
      <w:r w:rsidR="00D373BB">
        <w:t xml:space="preserve"> to be implemented at municipal level</w:t>
      </w:r>
    </w:p>
    <w:p w:rsidR="0009658F" w:rsidRDefault="00FC075F" w:rsidP="00197EC3">
      <w:pPr>
        <w:pStyle w:val="ListParagraph"/>
        <w:numPr>
          <w:ilvl w:val="0"/>
          <w:numId w:val="8"/>
        </w:numPr>
      </w:pPr>
      <w:r>
        <w:t>Create and maintain</w:t>
      </w:r>
      <w:r w:rsidR="00D373BB">
        <w:t xml:space="preserve"> urban transport database a</w:t>
      </w:r>
      <w:r>
        <w:t>nd knowledge clearing house</w:t>
      </w:r>
    </w:p>
    <w:p w:rsidR="00D373BB" w:rsidRPr="00A818E5" w:rsidRDefault="00D373BB" w:rsidP="00197EC3">
      <w:pPr>
        <w:pStyle w:val="ListParagraph"/>
        <w:numPr>
          <w:ilvl w:val="0"/>
          <w:numId w:val="8"/>
        </w:numPr>
      </w:pPr>
      <w:r>
        <w:t>Provid</w:t>
      </w:r>
      <w:r w:rsidR="00FC075F">
        <w:t>e</w:t>
      </w:r>
      <w:r>
        <w:t xml:space="preserve"> grant funding </w:t>
      </w:r>
      <w:r w:rsidR="00B96C0B">
        <w:t xml:space="preserve">to municipalities </w:t>
      </w:r>
      <w:r w:rsidR="00FC075F">
        <w:t xml:space="preserve">to adapt successful </w:t>
      </w:r>
      <w:r>
        <w:t>innovative approaches.</w:t>
      </w:r>
    </w:p>
    <w:p w:rsidR="005642DD" w:rsidRPr="005642DD" w:rsidRDefault="005642DD" w:rsidP="005642DD">
      <w:r w:rsidRPr="005642DD">
        <w:rPr>
          <w:b/>
        </w:rPr>
        <w:t>Institutional: coordinating with s</w:t>
      </w:r>
      <w:r w:rsidR="001C6636" w:rsidRPr="005642DD">
        <w:rPr>
          <w:b/>
        </w:rPr>
        <w:t>patial development and land-use policies</w:t>
      </w:r>
      <w:r w:rsidR="001C6636" w:rsidRPr="005642DD">
        <w:t xml:space="preserve">.  </w:t>
      </w:r>
      <w:r w:rsidRPr="005642DD">
        <w:t>At Georgia’s current income level, many developing cities observe structural changes, which lead to substantial increases in transport demand</w:t>
      </w:r>
      <w:r w:rsidR="00516AA2" w:rsidRPr="005642DD">
        <w:t>.</w:t>
      </w:r>
      <w:r w:rsidR="00516AA2" w:rsidRPr="005642DD">
        <w:rPr>
          <w:vertAlign w:val="superscript"/>
        </w:rPr>
        <w:footnoteReference w:id="55"/>
      </w:r>
      <w:r w:rsidR="00516AA2" w:rsidRPr="005642DD">
        <w:t xml:space="preserve"> </w:t>
      </w:r>
      <w:r w:rsidRPr="005642DD">
        <w:t>In l</w:t>
      </w:r>
      <w:r w:rsidR="00516AA2" w:rsidRPr="005642DD">
        <w:t>arger cities</w:t>
      </w:r>
      <w:r>
        <w:t>,</w:t>
      </w:r>
      <w:r w:rsidR="00516AA2" w:rsidRPr="005642DD">
        <w:t xml:space="preserve"> </w:t>
      </w:r>
      <w:r>
        <w:t xml:space="preserve">housing prices </w:t>
      </w:r>
      <w:r w:rsidRPr="005642DD">
        <w:t xml:space="preserve">increase substantially in central business districts, and in response, </w:t>
      </w:r>
      <w:r w:rsidR="00516AA2" w:rsidRPr="005642DD">
        <w:t>households and firm</w:t>
      </w:r>
      <w:r w:rsidRPr="005642DD">
        <w:t>s</w:t>
      </w:r>
      <w:r w:rsidR="00516AA2" w:rsidRPr="005642DD">
        <w:t xml:space="preserve"> </w:t>
      </w:r>
      <w:r w:rsidRPr="005642DD">
        <w:t>move</w:t>
      </w:r>
      <w:r w:rsidR="00516AA2" w:rsidRPr="005642DD">
        <w:t xml:space="preserve"> out </w:t>
      </w:r>
      <w:r>
        <w:t xml:space="preserve">from the center. These choices occur when increased transport costs (longer commutes) are compensated by lower rents, and in aggregate, result in urban sprawl.  </w:t>
      </w:r>
      <w:r w:rsidR="00305936" w:rsidRPr="00305936">
        <w:t xml:space="preserve">Under these circumstances, land-use policies that encourage mixed-purpose development and high-density development around public transport corridors would contribute to energy-efficient and low-carbon development. </w:t>
      </w:r>
      <w:r w:rsidR="00305936">
        <w:t xml:space="preserve"> </w:t>
      </w:r>
      <w:r w:rsidR="00305936" w:rsidRPr="00305936">
        <w:t>This should be combined with urban transport system designs that influence citizens’ choices of residential locations and travel patterns. By providing high-quality public transport options and imposing high charges for individual vehicle use (internalizing social external costs associated with as congestion and local emissions), transportation plans can contribute to restraining motorization rates and encouraging high shares of public transport use.  Both favor higher-density urban settlements, and avoid the high intra-urban transport costs associated with low-density settlements at the outskirts of cities.</w:t>
      </w:r>
    </w:p>
    <w:p w:rsidR="00D53B67" w:rsidRDefault="00A53400" w:rsidP="00D53B67">
      <w:r>
        <w:rPr>
          <w:b/>
        </w:rPr>
        <w:t>P</w:t>
      </w:r>
      <w:r w:rsidR="00D53B67">
        <w:rPr>
          <w:b/>
        </w:rPr>
        <w:t>lanning</w:t>
      </w:r>
      <w:r w:rsidR="00061B58">
        <w:rPr>
          <w:b/>
        </w:rPr>
        <w:t xml:space="preserve">: </w:t>
      </w:r>
      <w:r w:rsidR="00C25207">
        <w:rPr>
          <w:b/>
        </w:rPr>
        <w:t xml:space="preserve">instituting </w:t>
      </w:r>
      <w:r>
        <w:rPr>
          <w:b/>
        </w:rPr>
        <w:t>integrated city development and transport planning</w:t>
      </w:r>
      <w:r w:rsidR="00D53B67">
        <w:t>. Major cities in Georgia</w:t>
      </w:r>
      <w:r w:rsidR="00024961">
        <w:t xml:space="preserve"> </w:t>
      </w:r>
      <w:r w:rsidR="00D53B67">
        <w:t xml:space="preserve">need to </w:t>
      </w:r>
      <w:r w:rsidR="00FC075F">
        <w:t>adopt</w:t>
      </w:r>
      <w:r w:rsidR="00D53B67">
        <w:t xml:space="preserve"> measures that </w:t>
      </w:r>
      <w:r w:rsidR="00FC075F">
        <w:t xml:space="preserve">restrict </w:t>
      </w:r>
      <w:r w:rsidR="00D53B67">
        <w:t xml:space="preserve">private car use. To accomplish this, urban land and city architecture development must be coordinated with transportation plans. Changes in land-use and geographical expansion of city boundaries have profound and lasting impacts on transport demands and travel patterns, which ultimately affects transport sector energy consumption. Long-term strategic and comprehensive transportation planning should be initiated as a good practice or even a mandate for city administration, </w:t>
      </w:r>
      <w:r w:rsidR="00D53B67">
        <w:lastRenderedPageBreak/>
        <w:t xml:space="preserve">and short- to medium-term transportation investment programs </w:t>
      </w:r>
      <w:r w:rsidR="00FC075F">
        <w:t xml:space="preserve">should </w:t>
      </w:r>
      <w:r w:rsidR="00D53B67">
        <w:t>derive from the strategic plan. Traffic impact assessment</w:t>
      </w:r>
      <w:r w:rsidR="00FC075F">
        <w:t>s</w:t>
      </w:r>
      <w:r w:rsidR="00D53B67">
        <w:t xml:space="preserve"> should be </w:t>
      </w:r>
      <w:r w:rsidR="00FC075F">
        <w:t xml:space="preserve">required for all </w:t>
      </w:r>
      <w:r w:rsidR="00D53B67">
        <w:t>new land development</w:t>
      </w:r>
      <w:r w:rsidR="00FC075F">
        <w:t>s</w:t>
      </w:r>
      <w:r w:rsidR="00D53B67">
        <w:t xml:space="preserve"> above a specified size</w:t>
      </w:r>
      <w:r w:rsidR="00FC075F">
        <w:t>,</w:t>
      </w:r>
      <w:r w:rsidR="00D53B67">
        <w:t xml:space="preserve"> and </w:t>
      </w:r>
      <w:r w:rsidR="00FC075F">
        <w:t xml:space="preserve">all </w:t>
      </w:r>
      <w:r w:rsidR="00D53B67">
        <w:t>change</w:t>
      </w:r>
      <w:r w:rsidR="00FC075F">
        <w:t>s</w:t>
      </w:r>
      <w:r w:rsidR="00D53B67">
        <w:t xml:space="preserve"> in land use.</w:t>
      </w:r>
    </w:p>
    <w:p w:rsidR="002C3BE9" w:rsidRDefault="00D53B67" w:rsidP="00D53B67">
      <w:r w:rsidRPr="002C3BE9">
        <w:rPr>
          <w:b/>
        </w:rPr>
        <w:t>Regulations and pricing</w:t>
      </w:r>
      <w:r w:rsidR="00061B58">
        <w:rPr>
          <w:b/>
        </w:rPr>
        <w:t>: making private car use less convenient and more expensive</w:t>
      </w:r>
      <w:r w:rsidR="00061B58" w:rsidRPr="00A818E5">
        <w:t xml:space="preserve">. </w:t>
      </w:r>
      <w:r>
        <w:t xml:space="preserve"> A mix of regulations, physical restrictions and pricing tools can effectively restrain demand for private car use and parking in urban centers. </w:t>
      </w:r>
      <w:r w:rsidRPr="002C3BE9">
        <w:t xml:space="preserve">Even </w:t>
      </w:r>
      <w:r>
        <w:t>at today’s level of motorization and traffic congestion</w:t>
      </w:r>
      <w:r w:rsidRPr="002C3BE9">
        <w:t>, some Georgian cities face parking scarcity</w:t>
      </w:r>
      <w:r>
        <w:t xml:space="preserve">. If cities charge </w:t>
      </w:r>
      <w:r w:rsidRPr="002C3BE9">
        <w:t xml:space="preserve">for parking </w:t>
      </w:r>
      <w:r>
        <w:t xml:space="preserve">space </w:t>
      </w:r>
      <w:r w:rsidRPr="002C3BE9">
        <w:t>according to land values</w:t>
      </w:r>
      <w:r>
        <w:t>,</w:t>
      </w:r>
      <w:r w:rsidRPr="002C3BE9">
        <w:t xml:space="preserve"> private </w:t>
      </w:r>
      <w:r>
        <w:t>vehicle use</w:t>
      </w:r>
      <w:r w:rsidRPr="002C3BE9">
        <w:t xml:space="preserve"> within cities </w:t>
      </w:r>
      <w:r>
        <w:t>is rationalized</w:t>
      </w:r>
      <w:r w:rsidRPr="002C3BE9">
        <w:t xml:space="preserve"> </w:t>
      </w:r>
      <w:r>
        <w:t xml:space="preserve">and </w:t>
      </w:r>
      <w:r w:rsidR="00FC075F">
        <w:t xml:space="preserve">demand for </w:t>
      </w:r>
      <w:r w:rsidRPr="002C3BE9">
        <w:t>high</w:t>
      </w:r>
      <w:r>
        <w:t>-</w:t>
      </w:r>
      <w:r w:rsidRPr="002C3BE9">
        <w:t xml:space="preserve">value land </w:t>
      </w:r>
      <w:r>
        <w:t xml:space="preserve">is reduced. </w:t>
      </w:r>
      <w:r w:rsidRPr="002C3BE9">
        <w:t xml:space="preserve">These policies will </w:t>
      </w:r>
      <w:r>
        <w:t xml:space="preserve">mitigate </w:t>
      </w:r>
      <w:r w:rsidRPr="002C3BE9">
        <w:t xml:space="preserve">congestion </w:t>
      </w:r>
      <w:r>
        <w:t xml:space="preserve">in </w:t>
      </w:r>
      <w:r w:rsidRPr="002C3BE9">
        <w:t>the medium</w:t>
      </w:r>
      <w:r>
        <w:t>-</w:t>
      </w:r>
      <w:r w:rsidRPr="002C3BE9">
        <w:t xml:space="preserve"> to long</w:t>
      </w:r>
      <w:r>
        <w:t>er</w:t>
      </w:r>
      <w:r w:rsidRPr="002C3BE9">
        <w:t>-term</w:t>
      </w:r>
      <w:r>
        <w:t xml:space="preserve">. </w:t>
      </w:r>
      <w:r w:rsidRPr="002C3BE9">
        <w:t>In the longer</w:t>
      </w:r>
      <w:r>
        <w:t>-term,</w:t>
      </w:r>
      <w:r w:rsidRPr="002C3BE9">
        <w:t xml:space="preserve"> congestion charg</w:t>
      </w:r>
      <w:r>
        <w:t xml:space="preserve">es </w:t>
      </w:r>
      <w:r w:rsidRPr="002C3BE9">
        <w:t xml:space="preserve">could </w:t>
      </w:r>
      <w:r>
        <w:t xml:space="preserve">be introduced </w:t>
      </w:r>
      <w:r w:rsidR="00FC075F">
        <w:t xml:space="preserve">as an incentive to </w:t>
      </w:r>
      <w:r>
        <w:t xml:space="preserve">use </w:t>
      </w:r>
      <w:r w:rsidRPr="002C3BE9">
        <w:t>public transport</w:t>
      </w:r>
      <w:r>
        <w:t xml:space="preserve">. Other cities’ experiences show that </w:t>
      </w:r>
      <w:r w:rsidRPr="002C3BE9">
        <w:t xml:space="preserve">revenues from charging policies </w:t>
      </w:r>
      <w:r>
        <w:t xml:space="preserve">cover operating expenses and are often used </w:t>
      </w:r>
      <w:r w:rsidR="00FC075F">
        <w:t xml:space="preserve">to </w:t>
      </w:r>
      <w:r>
        <w:t xml:space="preserve">develop and improve </w:t>
      </w:r>
      <w:r w:rsidRPr="002C3BE9">
        <w:t>public transport</w:t>
      </w:r>
      <w:r>
        <w:t>ation.</w:t>
      </w:r>
    </w:p>
    <w:tbl>
      <w:tblPr>
        <w:tblStyle w:val="TableGrid"/>
        <w:tblpPr w:leftFromText="180" w:rightFromText="180" w:vertAnchor="text" w:horzAnchor="margin" w:tblpXSpec="right" w:tblpY="56"/>
        <w:tblW w:w="0" w:type="auto"/>
        <w:tblLayout w:type="fixed"/>
        <w:tblCellMar>
          <w:left w:w="0" w:type="dxa"/>
          <w:right w:w="0" w:type="dxa"/>
        </w:tblCellMar>
        <w:tblLook w:val="04A0"/>
      </w:tblPr>
      <w:tblGrid>
        <w:gridCol w:w="3870"/>
      </w:tblGrid>
      <w:tr w:rsidR="001D6BA6" w:rsidTr="001D6BA6">
        <w:tc>
          <w:tcPr>
            <w:tcW w:w="3870" w:type="dxa"/>
            <w:tcBorders>
              <w:top w:val="nil"/>
              <w:left w:val="nil"/>
              <w:bottom w:val="single" w:sz="4" w:space="0" w:color="auto"/>
              <w:right w:val="nil"/>
            </w:tcBorders>
          </w:tcPr>
          <w:p w:rsidR="001D6BA6" w:rsidRPr="005631F9" w:rsidRDefault="001D6BA6" w:rsidP="001D6BA6">
            <w:pPr>
              <w:spacing w:after="0"/>
              <w:jc w:val="center"/>
              <w:rPr>
                <w:sz w:val="20"/>
                <w:szCs w:val="20"/>
              </w:rPr>
            </w:pPr>
            <w:bookmarkStart w:id="96" w:name="_Ref309218116"/>
            <w:bookmarkStart w:id="97" w:name="_Toc326892843"/>
            <w:r w:rsidRPr="00394B4B">
              <w:rPr>
                <w:b/>
                <w:sz w:val="20"/>
                <w:szCs w:val="20"/>
              </w:rPr>
              <w:t xml:space="preserve">Figure </w:t>
            </w:r>
            <w:r w:rsidR="001A7AF8" w:rsidRPr="00394B4B">
              <w:rPr>
                <w:b/>
                <w:sz w:val="20"/>
                <w:szCs w:val="20"/>
              </w:rPr>
              <w:fldChar w:fldCharType="begin"/>
            </w:r>
            <w:r w:rsidRPr="00394B4B">
              <w:rPr>
                <w:b/>
                <w:sz w:val="20"/>
                <w:szCs w:val="20"/>
              </w:rPr>
              <w:instrText xml:space="preserve"> SEQ Figure \* ARABIC </w:instrText>
            </w:r>
            <w:r w:rsidR="001A7AF8" w:rsidRPr="00394B4B">
              <w:rPr>
                <w:b/>
                <w:sz w:val="20"/>
                <w:szCs w:val="20"/>
              </w:rPr>
              <w:fldChar w:fldCharType="separate"/>
            </w:r>
            <w:r>
              <w:rPr>
                <w:b/>
                <w:noProof/>
                <w:sz w:val="20"/>
                <w:szCs w:val="20"/>
              </w:rPr>
              <w:t>22</w:t>
            </w:r>
            <w:r w:rsidR="001A7AF8" w:rsidRPr="00394B4B">
              <w:rPr>
                <w:b/>
                <w:sz w:val="20"/>
                <w:szCs w:val="20"/>
              </w:rPr>
              <w:fldChar w:fldCharType="end"/>
            </w:r>
            <w:bookmarkEnd w:id="96"/>
            <w:r w:rsidRPr="00394B4B">
              <w:rPr>
                <w:sz w:val="20"/>
                <w:szCs w:val="20"/>
              </w:rPr>
              <w:t xml:space="preserve">: </w:t>
            </w:r>
            <w:r>
              <w:rPr>
                <w:sz w:val="20"/>
                <w:szCs w:val="20"/>
              </w:rPr>
              <w:t>International comparison of public transport mode: Capacity vs. Capital Costs</w:t>
            </w:r>
            <w:bookmarkEnd w:id="97"/>
          </w:p>
        </w:tc>
      </w:tr>
      <w:tr w:rsidR="001D6BA6" w:rsidTr="001D6BA6">
        <w:tc>
          <w:tcPr>
            <w:tcW w:w="3870" w:type="dxa"/>
            <w:tcBorders>
              <w:bottom w:val="single" w:sz="4" w:space="0" w:color="auto"/>
            </w:tcBorders>
          </w:tcPr>
          <w:p w:rsidR="001D6BA6" w:rsidRDefault="001D6BA6" w:rsidP="001D6BA6">
            <w:pPr>
              <w:spacing w:after="0"/>
              <w:jc w:val="center"/>
            </w:pPr>
            <w:r>
              <w:rPr>
                <w:noProof/>
                <w:lang w:bidi="ar-SA"/>
              </w:rPr>
              <w:drawing>
                <wp:inline distT="0" distB="0" distL="0" distR="0">
                  <wp:extent cx="2394915" cy="2541320"/>
                  <wp:effectExtent l="19050" t="0" r="5385" b="0"/>
                  <wp:docPr id="19" name="Picture 99" descr="Lloyd PT compari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oyd PT comparison.jpg"/>
                          <pic:cNvPicPr/>
                        </pic:nvPicPr>
                        <pic:blipFill>
                          <a:blip r:embed="rId61" cstate="print"/>
                          <a:stretch>
                            <a:fillRect/>
                          </a:stretch>
                        </pic:blipFill>
                        <pic:spPr>
                          <a:xfrm>
                            <a:off x="0" y="0"/>
                            <a:ext cx="2391392" cy="2537582"/>
                          </a:xfrm>
                          <a:prstGeom prst="rect">
                            <a:avLst/>
                          </a:prstGeom>
                        </pic:spPr>
                      </pic:pic>
                    </a:graphicData>
                  </a:graphic>
                </wp:inline>
              </w:drawing>
            </w:r>
          </w:p>
        </w:tc>
      </w:tr>
      <w:tr w:rsidR="001D6BA6" w:rsidTr="001D6BA6">
        <w:tc>
          <w:tcPr>
            <w:tcW w:w="3870" w:type="dxa"/>
            <w:tcBorders>
              <w:left w:val="nil"/>
              <w:bottom w:val="nil"/>
              <w:right w:val="nil"/>
            </w:tcBorders>
            <w:tcMar>
              <w:top w:w="14" w:type="dxa"/>
              <w:left w:w="43" w:type="dxa"/>
              <w:bottom w:w="14" w:type="dxa"/>
              <w:right w:w="43" w:type="dxa"/>
            </w:tcMar>
          </w:tcPr>
          <w:p w:rsidR="001D6BA6" w:rsidRPr="00961A10" w:rsidRDefault="001D6BA6" w:rsidP="001D6BA6">
            <w:pPr>
              <w:spacing w:after="60"/>
              <w:jc w:val="center"/>
              <w:rPr>
                <w:i/>
                <w:sz w:val="18"/>
                <w:szCs w:val="18"/>
              </w:rPr>
            </w:pPr>
            <w:r w:rsidRPr="00961A10">
              <w:rPr>
                <w:i/>
                <w:sz w:val="18"/>
                <w:szCs w:val="18"/>
              </w:rPr>
              <w:t xml:space="preserve">Source: </w:t>
            </w:r>
            <w:r w:rsidRPr="00525183">
              <w:t xml:space="preserve"> </w:t>
            </w:r>
            <w:r w:rsidRPr="00525183">
              <w:rPr>
                <w:i/>
                <w:sz w:val="18"/>
                <w:szCs w:val="18"/>
              </w:rPr>
              <w:t>Wright, L. and W. Hook (2007)</w:t>
            </w:r>
          </w:p>
        </w:tc>
      </w:tr>
    </w:tbl>
    <w:p w:rsidR="001064A4" w:rsidRDefault="00024961" w:rsidP="00024961">
      <w:r w:rsidRPr="003E048C">
        <w:rPr>
          <w:b/>
        </w:rPr>
        <w:t>Investments</w:t>
      </w:r>
      <w:r>
        <w:rPr>
          <w:b/>
        </w:rPr>
        <w:t xml:space="preserve">: </w:t>
      </w:r>
      <w:r w:rsidR="00C62B75">
        <w:rPr>
          <w:b/>
        </w:rPr>
        <w:t>invest</w:t>
      </w:r>
      <w:r w:rsidR="00C25207">
        <w:rPr>
          <w:b/>
        </w:rPr>
        <w:t xml:space="preserve"> in</w:t>
      </w:r>
      <w:r>
        <w:rPr>
          <w:b/>
        </w:rPr>
        <w:t xml:space="preserve"> </w:t>
      </w:r>
      <w:r w:rsidR="00C25207">
        <w:rPr>
          <w:b/>
        </w:rPr>
        <w:t xml:space="preserve">high-quality and competitive </w:t>
      </w:r>
      <w:r>
        <w:rPr>
          <w:b/>
        </w:rPr>
        <w:t>alternatives to private transport</w:t>
      </w:r>
      <w:r w:rsidRPr="00A818E5">
        <w:t>.  Policies for modal shift will encourage greater demand for public transport. The routes, frequency, spe</w:t>
      </w:r>
      <w:r>
        <w:t xml:space="preserve">ed, </w:t>
      </w:r>
      <w:r w:rsidRPr="00295361">
        <w:t xml:space="preserve">and </w:t>
      </w:r>
      <w:r>
        <w:t>convenience of public transport modes must</w:t>
      </w:r>
      <w:r w:rsidRPr="00295361">
        <w:t xml:space="preserve"> be attractive to compete with private cars</w:t>
      </w:r>
      <w:r>
        <w:t xml:space="preserve">. Therefore, investment is justified in </w:t>
      </w:r>
      <w:r w:rsidR="00591475">
        <w:t>modern and green public transportation systems that are characterized by: (i) a physically segregated right-of-way that insulates the movement of public transport vehicles from other traffic and traffic congestion; (ii) modern, convenient, clean vehicles; (iii) integrated ticketing system; (iv) passenger information systems using advanced information and communication technologies; and (v) a service plan and scheduling that is well integrated with the overall transportation system and responsive to demand.</w:t>
      </w:r>
      <w:r w:rsidR="00591475" w:rsidRPr="00591475">
        <w:t xml:space="preserve"> </w:t>
      </w:r>
      <w:r w:rsidR="00591475">
        <w:t xml:space="preserve"> </w:t>
      </w:r>
      <w:r w:rsidR="001064A4">
        <w:t>D</w:t>
      </w:r>
      <w:r w:rsidR="00591475">
        <w:t xml:space="preserve">eveloping modern public transport systems </w:t>
      </w:r>
      <w:r w:rsidR="001064A4">
        <w:t xml:space="preserve">typically </w:t>
      </w:r>
      <w:r w:rsidR="00591475">
        <w:t xml:space="preserve">requires large capital investments, coherent planning, technical capacity, and a stable budget for operation and maintenance.  To ensure high-quality services and attractiveness of public transport modes, it is also necessary to provide </w:t>
      </w:r>
      <w:r>
        <w:t xml:space="preserve">operational integration of all public transport modes, such as fare integration and coordinated scheduling. </w:t>
      </w:r>
      <w:r w:rsidR="00591475">
        <w:t xml:space="preserve"> </w:t>
      </w:r>
      <w:r>
        <w:t xml:space="preserve">Combining investments in public transport with restrictions and higher costs for private car use would provide compelling reasons for private vehicle users to adopt public transport. </w:t>
      </w:r>
      <w:r w:rsidR="00447EA4">
        <w:t xml:space="preserve"> </w:t>
      </w:r>
      <w:r w:rsidR="00081E4F">
        <w:t xml:space="preserve">Options </w:t>
      </w:r>
      <w:r w:rsidR="00447EA4">
        <w:t>for Georgian cities</w:t>
      </w:r>
      <w:r w:rsidR="00081E4F">
        <w:t>, which are not too populous and typically located on hilly terrain, include the following:</w:t>
      </w:r>
    </w:p>
    <w:p w:rsidR="00447EA4" w:rsidRDefault="00447EA4" w:rsidP="00197EC3">
      <w:pPr>
        <w:pStyle w:val="ListParagraph"/>
        <w:numPr>
          <w:ilvl w:val="0"/>
          <w:numId w:val="8"/>
        </w:numPr>
        <w:spacing w:after="60"/>
        <w:contextualSpacing w:val="0"/>
      </w:pPr>
      <w:r>
        <w:t>Introduc</w:t>
      </w:r>
      <w:r w:rsidR="00FC075F">
        <w:t>e</w:t>
      </w:r>
      <w:r>
        <w:t xml:space="preserve"> relatively high-capacity and high-speed but cost-efficient </w:t>
      </w:r>
      <w:r w:rsidR="00081E4F">
        <w:t>modes, including light rail transit and bus rapid transit (BRT) systems, along major trunk corridors.</w:t>
      </w:r>
      <w:r w:rsidR="00591475">
        <w:t xml:space="preserve"> International examples show that different modes</w:t>
      </w:r>
      <w:r w:rsidR="001064A4">
        <w:t xml:space="preserve"> </w:t>
      </w:r>
      <w:r w:rsidR="00591475">
        <w:t>offer varying ranges of capacity (</w:t>
      </w:r>
      <w:fldSimple w:instr=" REF _Ref309218116 \h  \* MERGEFORMAT ">
        <w:r w:rsidR="00F74DCE" w:rsidRPr="00F74DCE">
          <w:t>Figure 22</w:t>
        </w:r>
      </w:fldSimple>
      <w:r w:rsidR="00591475">
        <w:t>)</w:t>
      </w:r>
      <w:r w:rsidR="001064A4">
        <w:t>,</w:t>
      </w:r>
      <w:r w:rsidR="001064A4">
        <w:rPr>
          <w:rStyle w:val="FootnoteReference"/>
        </w:rPr>
        <w:footnoteReference w:id="56"/>
      </w:r>
      <w:r w:rsidR="00591475">
        <w:t xml:space="preserve"> </w:t>
      </w:r>
      <w:r w:rsidR="001064A4">
        <w:t>depending on vehicle capacities, scheduling, and the degree to which vehicles are segregated from other traffic flows. I</w:t>
      </w:r>
      <w:r w:rsidR="00591475">
        <w:t xml:space="preserve">nvestment decisions on public transport systems should </w:t>
      </w:r>
      <w:r w:rsidR="001064A4">
        <w:t xml:space="preserve">therefore </w:t>
      </w:r>
      <w:r w:rsidR="00591475">
        <w:t>be based on an analysis of alternatives that explores all feasible opportunities.</w:t>
      </w:r>
    </w:p>
    <w:p w:rsidR="00024961" w:rsidRDefault="00FC075F" w:rsidP="00FC075F">
      <w:pPr>
        <w:pStyle w:val="ListParagraph"/>
        <w:numPr>
          <w:ilvl w:val="0"/>
          <w:numId w:val="8"/>
        </w:numPr>
      </w:pPr>
      <w:r>
        <w:lastRenderedPageBreak/>
        <w:t>Install</w:t>
      </w:r>
      <w:r w:rsidR="00081E4F">
        <w:t xml:space="preserve"> modern r</w:t>
      </w:r>
      <w:r w:rsidR="00024961" w:rsidRPr="00882423">
        <w:t xml:space="preserve">opeways and cable cars </w:t>
      </w:r>
      <w:r w:rsidR="00081E4F">
        <w:t>systems that connect residential areas and city centers, or rehabilitat</w:t>
      </w:r>
      <w:r>
        <w:t>e</w:t>
      </w:r>
      <w:r w:rsidR="00081E4F">
        <w:t xml:space="preserve"> </w:t>
      </w:r>
      <w:r>
        <w:t>existing systems</w:t>
      </w:r>
      <w:r w:rsidR="00081E4F">
        <w:t xml:space="preserve"> in hilly areas. </w:t>
      </w:r>
      <w:r w:rsidR="004A3C8F">
        <w:t xml:space="preserve"> </w:t>
      </w:r>
      <w:r>
        <w:t>S</w:t>
      </w:r>
      <w:r w:rsidR="004A3C8F">
        <w:t>ystems that operated during the Soviet era</w:t>
      </w:r>
      <w:r>
        <w:t xml:space="preserve"> as daily </w:t>
      </w:r>
      <w:r w:rsidR="004A3C8F">
        <w:t xml:space="preserve">urban transport </w:t>
      </w:r>
      <w:r>
        <w:t xml:space="preserve">for residents and </w:t>
      </w:r>
      <w:r w:rsidR="004A3C8F">
        <w:t>tourists</w:t>
      </w:r>
      <w:r w:rsidR="004A3C8F">
        <w:rPr>
          <w:rStyle w:val="FootnoteReference"/>
        </w:rPr>
        <w:footnoteReference w:id="57"/>
      </w:r>
      <w:r w:rsidR="004A3C8F">
        <w:t xml:space="preserve"> </w:t>
      </w:r>
      <w:r w:rsidRPr="00FC075F">
        <w:t xml:space="preserve">have all ceased to operate as the infrastructure has long since expired and the technical standards no longer comply with the standards of a newly adopted </w:t>
      </w:r>
      <w:r>
        <w:t xml:space="preserve">European Union </w:t>
      </w:r>
      <w:r w:rsidRPr="005763AB">
        <w:t xml:space="preserve">Directive </w:t>
      </w:r>
      <w:r>
        <w:t>on C</w:t>
      </w:r>
      <w:r w:rsidRPr="005763AB">
        <w:t xml:space="preserve">ableway </w:t>
      </w:r>
      <w:r>
        <w:t>I</w:t>
      </w:r>
      <w:r w:rsidRPr="005763AB">
        <w:t>nstallations</w:t>
      </w:r>
      <w:r>
        <w:t xml:space="preserve"> (</w:t>
      </w:r>
      <w:r w:rsidRPr="005763AB">
        <w:t>2000/9/EC</w:t>
      </w:r>
      <w:r>
        <w:t xml:space="preserve">). </w:t>
      </w:r>
      <w:r w:rsidR="004A3C8F">
        <w:t xml:space="preserve"> In</w:t>
      </w:r>
      <w:r w:rsidR="002E6AA6">
        <w:t xml:space="preserve">ternationally, many </w:t>
      </w:r>
      <w:r w:rsidR="00B96C0B">
        <w:t>cities</w:t>
      </w:r>
      <w:r w:rsidR="002E6AA6">
        <w:t xml:space="preserve"> on hilly terrain</w:t>
      </w:r>
      <w:r w:rsidR="00C62B75">
        <w:t>,</w:t>
      </w:r>
      <w:r w:rsidR="002E6AA6">
        <w:t xml:space="preserve"> or divided by rivers or valleys</w:t>
      </w:r>
      <w:r w:rsidR="00C62B75">
        <w:t>,</w:t>
      </w:r>
      <w:r w:rsidR="002E6AA6">
        <w:t xml:space="preserve"> have successfully introduced modern high-capacity and high-speed ropeway </w:t>
      </w:r>
      <w:r w:rsidR="00C62B75">
        <w:t xml:space="preserve">public </w:t>
      </w:r>
      <w:r w:rsidR="002E6AA6">
        <w:t>transport</w:t>
      </w:r>
      <w:r w:rsidR="00C62B75">
        <w:t>.</w:t>
      </w:r>
      <w:r w:rsidR="002E6AA6">
        <w:t xml:space="preserve"> </w:t>
      </w:r>
      <w:r w:rsidR="00C62B75">
        <w:t xml:space="preserve"> E</w:t>
      </w:r>
      <w:r w:rsidR="00B96C0B">
        <w:t xml:space="preserve">xamples include </w:t>
      </w:r>
      <w:r w:rsidR="00B96C0B" w:rsidRPr="00B96C0B">
        <w:t>Portland Aerial Tram</w:t>
      </w:r>
      <w:r w:rsidR="00B96C0B">
        <w:t xml:space="preserve"> (U</w:t>
      </w:r>
      <w:r w:rsidR="00C62B75">
        <w:t>.</w:t>
      </w:r>
      <w:r w:rsidR="00B96C0B">
        <w:t>S</w:t>
      </w:r>
      <w:r w:rsidR="00C62B75">
        <w:t>.A.</w:t>
      </w:r>
      <w:r w:rsidR="00B96C0B">
        <w:t>)</w:t>
      </w:r>
      <w:r w:rsidR="00B96C0B" w:rsidRPr="00B96C0B">
        <w:t>, Medellin Metrocable</w:t>
      </w:r>
      <w:r w:rsidR="00B96C0B">
        <w:t xml:space="preserve"> (Colombia)</w:t>
      </w:r>
      <w:r w:rsidR="00B96C0B" w:rsidRPr="00B96C0B">
        <w:t xml:space="preserve">, </w:t>
      </w:r>
      <w:r w:rsidR="00B96C0B">
        <w:t>and C</w:t>
      </w:r>
      <w:r w:rsidR="00B96C0B" w:rsidRPr="00B96C0B">
        <w:t>aracas Metrocable</w:t>
      </w:r>
      <w:r w:rsidR="00B96C0B">
        <w:t xml:space="preserve"> (Venezuela)</w:t>
      </w:r>
      <w:r w:rsidR="002E6AA6">
        <w:t>.</w:t>
      </w:r>
    </w:p>
    <w:p w:rsidR="00D452A5" w:rsidRDefault="00D452A5" w:rsidP="00D452A5">
      <w:r w:rsidRPr="00261E5D">
        <w:rPr>
          <w:b/>
        </w:rPr>
        <w:t>Investments</w:t>
      </w:r>
      <w:r>
        <w:rPr>
          <w:b/>
        </w:rPr>
        <w:t xml:space="preserve">: </w:t>
      </w:r>
      <w:r w:rsidR="00C62B75">
        <w:rPr>
          <w:b/>
        </w:rPr>
        <w:t>introduce</w:t>
      </w:r>
      <w:r>
        <w:rPr>
          <w:b/>
        </w:rPr>
        <w:t xml:space="preserve"> intelligent transportation systems for efficient traffic management and better user services</w:t>
      </w:r>
      <w:r>
        <w:t xml:space="preserve">.  Intelligent transportation systems (ITS) refer to </w:t>
      </w:r>
      <w:r w:rsidR="00C62B75">
        <w:t>the application</w:t>
      </w:r>
      <w:r>
        <w:t xml:space="preserve"> of information and communication technologies </w:t>
      </w:r>
      <w:r w:rsidR="00C62B75">
        <w:t xml:space="preserve">to </w:t>
      </w:r>
      <w:r>
        <w:t xml:space="preserve">transport. ITS applications improve </w:t>
      </w:r>
      <w:r w:rsidR="00C62B75">
        <w:t xml:space="preserve">urban transport </w:t>
      </w:r>
      <w:r>
        <w:t>efficiency and environmental sustainability</w:t>
      </w:r>
      <w:r w:rsidR="006E1845">
        <w:t xml:space="preserve"> </w:t>
      </w:r>
      <w:r>
        <w:t>by improving traffic flows</w:t>
      </w:r>
      <w:r w:rsidR="006E1845">
        <w:t>, monitoring and enforcing parking</w:t>
      </w:r>
      <w:r w:rsidR="00024961">
        <w:t xml:space="preserve"> and traffic rules</w:t>
      </w:r>
      <w:r w:rsidR="006E1845">
        <w:t>, and</w:t>
      </w:r>
      <w:r>
        <w:t xml:space="preserve"> facilitating operational integration</w:t>
      </w:r>
      <w:r w:rsidR="00024961" w:rsidRPr="00024961">
        <w:t xml:space="preserve"> </w:t>
      </w:r>
      <w:r w:rsidR="00024961">
        <w:t xml:space="preserve">of public transport services (e.g., </w:t>
      </w:r>
      <w:r>
        <w:t xml:space="preserve">single-ticket systems </w:t>
      </w:r>
      <w:r w:rsidRPr="005B33B1">
        <w:t xml:space="preserve">and </w:t>
      </w:r>
      <w:r>
        <w:t>schedule coordination</w:t>
      </w:r>
      <w:r w:rsidR="00024961">
        <w:t>)</w:t>
      </w:r>
      <w:r>
        <w:t>. Such measures</w:t>
      </w:r>
      <w:r w:rsidRPr="005331DB">
        <w:t xml:space="preserve"> help creat</w:t>
      </w:r>
      <w:r>
        <w:t xml:space="preserve">e </w:t>
      </w:r>
      <w:r w:rsidRPr="005331DB">
        <w:t xml:space="preserve">a </w:t>
      </w:r>
      <w:r>
        <w:t xml:space="preserve">quality </w:t>
      </w:r>
      <w:r w:rsidRPr="005331DB">
        <w:t>public t</w:t>
      </w:r>
      <w:r>
        <w:t xml:space="preserve">ransport system that can compete favorably </w:t>
      </w:r>
      <w:r w:rsidR="00C62B75">
        <w:t>with</w:t>
      </w:r>
      <w:r>
        <w:t xml:space="preserve"> private cars</w:t>
      </w:r>
      <w:r w:rsidR="00C62B75">
        <w:t>,</w:t>
      </w:r>
      <w:r>
        <w:t xml:space="preserve"> thereby contributing to green transportation. These new technologies—including automated bus locating systems, advanced traffic management schemes (e.g., giving priority to public transport vehicles at key intersections), electronic ticketing systems, and passen</w:t>
      </w:r>
      <w:r w:rsidR="00C62B75">
        <w:t>ger information systems—require</w:t>
      </w:r>
      <w:r>
        <w:t xml:space="preserve"> careful planning and phased implementation due to the need for technical standards and the inter-sectoral and inter-agency nature of some applications.</w:t>
      </w:r>
      <w:r>
        <w:rPr>
          <w:rStyle w:val="FootnoteReference"/>
        </w:rPr>
        <w:footnoteReference w:id="58"/>
      </w:r>
      <w:r>
        <w:t xml:space="preserve">  </w:t>
      </w:r>
      <w:r w:rsidR="00C62B75">
        <w:t>T</w:t>
      </w:r>
      <w:r>
        <w:t xml:space="preserve">herefore </w:t>
      </w:r>
      <w:r w:rsidR="00C62B75">
        <w:t xml:space="preserve">it is </w:t>
      </w:r>
      <w:r>
        <w:t xml:space="preserve">recommended that municipalities develop an ITS strategic plan </w:t>
      </w:r>
      <w:r w:rsidR="00C62B75">
        <w:t xml:space="preserve">for </w:t>
      </w:r>
      <w:r>
        <w:t xml:space="preserve">at least </w:t>
      </w:r>
      <w:r w:rsidR="00C62B75">
        <w:t xml:space="preserve">five </w:t>
      </w:r>
      <w:r>
        <w:t xml:space="preserve">years, and </w:t>
      </w:r>
      <w:r w:rsidR="00C62B75">
        <w:t xml:space="preserve">begin </w:t>
      </w:r>
      <w:r>
        <w:t>implementation of service elements that mitigate congestion and improve public transport service quality.</w:t>
      </w:r>
      <w:r w:rsidRPr="00D452A5">
        <w:t xml:space="preserve"> </w:t>
      </w:r>
    </w:p>
    <w:p w:rsidR="006B4A09" w:rsidRDefault="006B4A09">
      <w:pPr>
        <w:spacing w:after="200"/>
        <w:jc w:val="left"/>
        <w:rPr>
          <w:rFonts w:eastAsiaTheme="majorEastAsia"/>
          <w:b/>
          <w:bCs/>
          <w:sz w:val="26"/>
          <w:szCs w:val="26"/>
        </w:rPr>
      </w:pPr>
      <w:r>
        <w:rPr>
          <w:sz w:val="26"/>
          <w:szCs w:val="26"/>
        </w:rPr>
        <w:br w:type="page"/>
      </w:r>
    </w:p>
    <w:p w:rsidR="009D4668" w:rsidRPr="00477DD6" w:rsidRDefault="005760BC" w:rsidP="00BA2792">
      <w:pPr>
        <w:pStyle w:val="Heading1"/>
        <w:jc w:val="center"/>
        <w:rPr>
          <w:sz w:val="26"/>
          <w:szCs w:val="26"/>
        </w:rPr>
      </w:pPr>
      <w:bookmarkStart w:id="98" w:name="_Toc326892938"/>
      <w:r>
        <w:rPr>
          <w:sz w:val="26"/>
          <w:szCs w:val="26"/>
        </w:rPr>
        <w:lastRenderedPageBreak/>
        <w:t xml:space="preserve">Summary and </w:t>
      </w:r>
      <w:r w:rsidR="00441185">
        <w:rPr>
          <w:sz w:val="26"/>
          <w:szCs w:val="26"/>
        </w:rPr>
        <w:t xml:space="preserve">Roadmap of </w:t>
      </w:r>
      <w:r w:rsidR="00E12DE8">
        <w:rPr>
          <w:sz w:val="26"/>
          <w:szCs w:val="26"/>
        </w:rPr>
        <w:t>Priority Action</w:t>
      </w:r>
      <w:r w:rsidR="00441185">
        <w:rPr>
          <w:sz w:val="26"/>
          <w:szCs w:val="26"/>
        </w:rPr>
        <w:t>s</w:t>
      </w:r>
      <w:bookmarkEnd w:id="98"/>
    </w:p>
    <w:p w:rsidR="00A40E47" w:rsidRDefault="00586244" w:rsidP="00BA2792">
      <w:pPr>
        <w:pStyle w:val="Heading2"/>
      </w:pPr>
      <w:bookmarkStart w:id="99" w:name="_Toc326892939"/>
      <w:r w:rsidRPr="00586244">
        <w:t>Summary of the proposed Green Transportation Policy Framework</w:t>
      </w:r>
      <w:bookmarkEnd w:id="99"/>
    </w:p>
    <w:p w:rsidR="005270CB" w:rsidRDefault="0084107E" w:rsidP="00E12DE8">
      <w:r>
        <w:t>T</w:t>
      </w:r>
      <w:r w:rsidR="00F00B13">
        <w:t xml:space="preserve">he proposed </w:t>
      </w:r>
      <w:r w:rsidR="00B05E65">
        <w:t xml:space="preserve">Green Transportation Policy Framework laid out </w:t>
      </w:r>
      <w:r>
        <w:t>in</w:t>
      </w:r>
      <w:r w:rsidR="00F00B13">
        <w:t xml:space="preserve"> </w:t>
      </w:r>
      <w:r>
        <w:t xml:space="preserve">Chapter III </w:t>
      </w:r>
      <w:r w:rsidR="00F00B13">
        <w:t>include</w:t>
      </w:r>
      <w:r>
        <w:t>s</w:t>
      </w:r>
      <w:r w:rsidR="00F00B13">
        <w:t xml:space="preserve"> </w:t>
      </w:r>
      <w:r w:rsidR="00B05E65">
        <w:t xml:space="preserve">various measures that falls under one of the </w:t>
      </w:r>
      <w:r w:rsidR="00F00B13">
        <w:t xml:space="preserve">four </w:t>
      </w:r>
      <w:r w:rsidR="00B05E65">
        <w:t>types of instruments discussed in Section II.C</w:t>
      </w:r>
      <w:r>
        <w:t>—</w:t>
      </w:r>
      <w:r w:rsidR="00364162">
        <w:t xml:space="preserve">(i) </w:t>
      </w:r>
      <w:r w:rsidR="00F00B13">
        <w:t>institution</w:t>
      </w:r>
      <w:r w:rsidR="00C62B75">
        <w:t>al</w:t>
      </w:r>
      <w:r>
        <w:t xml:space="preserve"> </w:t>
      </w:r>
      <w:r w:rsidR="00F00B13">
        <w:t xml:space="preserve">and planning, </w:t>
      </w:r>
      <w:r w:rsidR="00364162">
        <w:t xml:space="preserve">(ii) </w:t>
      </w:r>
      <w:r w:rsidR="00C62B75">
        <w:t>regulation</w:t>
      </w:r>
      <w:r w:rsidR="00F00B13">
        <w:t xml:space="preserve"> and enforcement, </w:t>
      </w:r>
      <w:r w:rsidR="00364162">
        <w:t xml:space="preserve">(iii) </w:t>
      </w:r>
      <w:r w:rsidR="00F00B13">
        <w:t xml:space="preserve">fiscal policy and pricing, and </w:t>
      </w:r>
      <w:r w:rsidR="00364162">
        <w:t xml:space="preserve">(iv) </w:t>
      </w:r>
      <w:r w:rsidR="00F00B13">
        <w:t>investments</w:t>
      </w:r>
      <w:r>
        <w:t>—</w:t>
      </w:r>
      <w:r w:rsidR="00F00B13">
        <w:t>under</w:t>
      </w:r>
      <w:r>
        <w:t xml:space="preserve"> </w:t>
      </w:r>
      <w:r w:rsidR="00F00B13">
        <w:t>six policy objectives</w:t>
      </w:r>
      <w:r w:rsidR="00911CF2">
        <w:t xml:space="preserve">, and is </w:t>
      </w:r>
      <w:r w:rsidR="00B05E65">
        <w:t xml:space="preserve">summarized in </w:t>
      </w:r>
      <w:fldSimple w:instr=" REF _Ref324264167 \h  \* MERGEFORMAT ">
        <w:r w:rsidR="00096FD0" w:rsidRPr="00096FD0">
          <w:t xml:space="preserve">Table </w:t>
        </w:r>
        <w:r w:rsidR="00096FD0" w:rsidRPr="00096FD0">
          <w:rPr>
            <w:noProof/>
          </w:rPr>
          <w:t>8</w:t>
        </w:r>
      </w:fldSimple>
      <w:r w:rsidR="00911CF2">
        <w:t>.</w:t>
      </w:r>
    </w:p>
    <w:p w:rsidR="005270CB" w:rsidRDefault="005270CB" w:rsidP="00B05E65">
      <w:pPr>
        <w:pStyle w:val="Caption"/>
        <w:keepNext/>
        <w:spacing w:before="180" w:after="120"/>
        <w:rPr>
          <w:b w:val="0"/>
          <w:color w:val="auto"/>
          <w:sz w:val="20"/>
          <w:szCs w:val="20"/>
        </w:rPr>
      </w:pPr>
      <w:bookmarkStart w:id="100" w:name="_Ref324264167"/>
      <w:bookmarkStart w:id="101" w:name="_Toc324684707"/>
      <w:bookmarkStart w:id="102" w:name="_Toc326892899"/>
      <w:r w:rsidRPr="00624B2C">
        <w:rPr>
          <w:color w:val="auto"/>
          <w:sz w:val="20"/>
          <w:szCs w:val="20"/>
        </w:rPr>
        <w:t xml:space="preserve">Table </w:t>
      </w:r>
      <w:r w:rsidR="001A7AF8" w:rsidRPr="00624B2C">
        <w:rPr>
          <w:color w:val="auto"/>
          <w:sz w:val="20"/>
          <w:szCs w:val="20"/>
        </w:rPr>
        <w:fldChar w:fldCharType="begin"/>
      </w:r>
      <w:r w:rsidRPr="00624B2C">
        <w:rPr>
          <w:color w:val="auto"/>
          <w:sz w:val="20"/>
          <w:szCs w:val="20"/>
        </w:rPr>
        <w:instrText xml:space="preserve"> SEQ Table \* ARABIC </w:instrText>
      </w:r>
      <w:r w:rsidR="001A7AF8" w:rsidRPr="00624B2C">
        <w:rPr>
          <w:color w:val="auto"/>
          <w:sz w:val="20"/>
          <w:szCs w:val="20"/>
        </w:rPr>
        <w:fldChar w:fldCharType="separate"/>
      </w:r>
      <w:r w:rsidR="00096FD0">
        <w:rPr>
          <w:noProof/>
          <w:color w:val="auto"/>
          <w:sz w:val="20"/>
          <w:szCs w:val="20"/>
        </w:rPr>
        <w:t>8</w:t>
      </w:r>
      <w:r w:rsidR="001A7AF8" w:rsidRPr="00624B2C">
        <w:rPr>
          <w:color w:val="auto"/>
          <w:sz w:val="20"/>
          <w:szCs w:val="20"/>
        </w:rPr>
        <w:fldChar w:fldCharType="end"/>
      </w:r>
      <w:bookmarkEnd w:id="100"/>
      <w:r w:rsidRPr="00624B2C">
        <w:rPr>
          <w:b w:val="0"/>
          <w:color w:val="auto"/>
          <w:sz w:val="20"/>
          <w:szCs w:val="20"/>
        </w:rPr>
        <w:t>: Summary of the Proposed Green Transportation Policy Framework</w:t>
      </w:r>
      <w:bookmarkEnd w:id="101"/>
      <w:bookmarkEnd w:id="102"/>
    </w:p>
    <w:tbl>
      <w:tblPr>
        <w:tblStyle w:val="MediumShading1-Accent31"/>
        <w:tblW w:w="10278" w:type="dxa"/>
        <w:jc w:val="center"/>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tblBorders>
        <w:tblCellMar>
          <w:top w:w="29" w:type="dxa"/>
          <w:left w:w="72" w:type="dxa"/>
          <w:bottom w:w="29" w:type="dxa"/>
          <w:right w:w="72" w:type="dxa"/>
        </w:tblCellMar>
        <w:tblLook w:val="04A0"/>
      </w:tblPr>
      <w:tblGrid>
        <w:gridCol w:w="2437"/>
        <w:gridCol w:w="2866"/>
        <w:gridCol w:w="2494"/>
        <w:gridCol w:w="2481"/>
      </w:tblGrid>
      <w:tr w:rsidR="00254B4B" w:rsidRPr="00254B4B" w:rsidTr="00B05E65">
        <w:trPr>
          <w:cnfStyle w:val="100000000000"/>
          <w:jc w:val="center"/>
        </w:trPr>
        <w:tc>
          <w:tcPr>
            <w:cnfStyle w:val="001000000000"/>
            <w:tcW w:w="2437" w:type="dxa"/>
            <w:tcBorders>
              <w:top w:val="none" w:sz="0" w:space="0" w:color="auto"/>
              <w:left w:val="none" w:sz="0" w:space="0" w:color="auto"/>
              <w:bottom w:val="none" w:sz="0" w:space="0" w:color="auto"/>
              <w:right w:val="none" w:sz="0" w:space="0" w:color="auto"/>
            </w:tcBorders>
            <w:shd w:val="clear" w:color="auto" w:fill="76923C" w:themeFill="accent3" w:themeFillShade="BF"/>
          </w:tcPr>
          <w:p w:rsidR="00254B4B" w:rsidRPr="00761436" w:rsidRDefault="00254B4B" w:rsidP="00254B4B">
            <w:pPr>
              <w:spacing w:after="0"/>
              <w:jc w:val="center"/>
              <w:rPr>
                <w:b w:val="0"/>
                <w:sz w:val="20"/>
                <w:szCs w:val="20"/>
              </w:rPr>
            </w:pPr>
            <w:r w:rsidRPr="00761436">
              <w:rPr>
                <w:b w:val="0"/>
                <w:sz w:val="20"/>
                <w:szCs w:val="20"/>
              </w:rPr>
              <w:t>Institutions and Planning</w:t>
            </w:r>
          </w:p>
        </w:tc>
        <w:tc>
          <w:tcPr>
            <w:tcW w:w="2866" w:type="dxa"/>
            <w:tcBorders>
              <w:top w:val="none" w:sz="0" w:space="0" w:color="auto"/>
              <w:left w:val="none" w:sz="0" w:space="0" w:color="auto"/>
              <w:bottom w:val="none" w:sz="0" w:space="0" w:color="auto"/>
              <w:right w:val="none" w:sz="0" w:space="0" w:color="auto"/>
            </w:tcBorders>
            <w:shd w:val="clear" w:color="auto" w:fill="76923C" w:themeFill="accent3" w:themeFillShade="BF"/>
          </w:tcPr>
          <w:p w:rsidR="00254B4B" w:rsidRPr="00761436" w:rsidRDefault="00254B4B" w:rsidP="00254B4B">
            <w:pPr>
              <w:spacing w:after="0"/>
              <w:jc w:val="center"/>
              <w:cnfStyle w:val="100000000000"/>
              <w:rPr>
                <w:b w:val="0"/>
                <w:sz w:val="20"/>
                <w:szCs w:val="20"/>
              </w:rPr>
            </w:pPr>
            <w:r w:rsidRPr="00761436">
              <w:rPr>
                <w:b w:val="0"/>
                <w:sz w:val="20"/>
                <w:szCs w:val="20"/>
              </w:rPr>
              <w:t>Regulation</w:t>
            </w:r>
            <w:r w:rsidR="00F00B13" w:rsidRPr="00761436">
              <w:rPr>
                <w:b w:val="0"/>
                <w:sz w:val="20"/>
                <w:szCs w:val="20"/>
              </w:rPr>
              <w:t>s</w:t>
            </w:r>
            <w:r w:rsidRPr="00761436">
              <w:rPr>
                <w:b w:val="0"/>
                <w:sz w:val="20"/>
                <w:szCs w:val="20"/>
              </w:rPr>
              <w:t xml:space="preserve"> and Enforcement</w:t>
            </w:r>
          </w:p>
        </w:tc>
        <w:tc>
          <w:tcPr>
            <w:tcW w:w="2494" w:type="dxa"/>
            <w:tcBorders>
              <w:top w:val="none" w:sz="0" w:space="0" w:color="auto"/>
              <w:left w:val="none" w:sz="0" w:space="0" w:color="auto"/>
              <w:bottom w:val="none" w:sz="0" w:space="0" w:color="auto"/>
              <w:right w:val="none" w:sz="0" w:space="0" w:color="auto"/>
            </w:tcBorders>
            <w:shd w:val="clear" w:color="auto" w:fill="76923C" w:themeFill="accent3" w:themeFillShade="BF"/>
          </w:tcPr>
          <w:p w:rsidR="00254B4B" w:rsidRPr="00761436" w:rsidRDefault="00254B4B" w:rsidP="00254B4B">
            <w:pPr>
              <w:spacing w:after="0"/>
              <w:jc w:val="center"/>
              <w:cnfStyle w:val="100000000000"/>
              <w:rPr>
                <w:b w:val="0"/>
                <w:sz w:val="20"/>
                <w:szCs w:val="20"/>
              </w:rPr>
            </w:pPr>
            <w:r w:rsidRPr="00761436">
              <w:rPr>
                <w:b w:val="0"/>
                <w:sz w:val="20"/>
                <w:szCs w:val="20"/>
              </w:rPr>
              <w:t>Fiscal Policy and Pricing</w:t>
            </w:r>
          </w:p>
        </w:tc>
        <w:tc>
          <w:tcPr>
            <w:tcW w:w="2481" w:type="dxa"/>
            <w:tcBorders>
              <w:top w:val="none" w:sz="0" w:space="0" w:color="auto"/>
              <w:left w:val="none" w:sz="0" w:space="0" w:color="auto"/>
              <w:bottom w:val="none" w:sz="0" w:space="0" w:color="auto"/>
              <w:right w:val="none" w:sz="0" w:space="0" w:color="auto"/>
            </w:tcBorders>
            <w:shd w:val="clear" w:color="auto" w:fill="76923C" w:themeFill="accent3" w:themeFillShade="BF"/>
          </w:tcPr>
          <w:p w:rsidR="00254B4B" w:rsidRPr="00761436" w:rsidRDefault="00254B4B" w:rsidP="00254B4B">
            <w:pPr>
              <w:spacing w:after="0"/>
              <w:jc w:val="center"/>
              <w:cnfStyle w:val="100000000000"/>
              <w:rPr>
                <w:b w:val="0"/>
                <w:sz w:val="20"/>
                <w:szCs w:val="20"/>
              </w:rPr>
            </w:pPr>
            <w:r w:rsidRPr="00761436">
              <w:rPr>
                <w:b w:val="0"/>
                <w:sz w:val="20"/>
                <w:szCs w:val="20"/>
              </w:rPr>
              <w:t>Investments</w:t>
            </w:r>
          </w:p>
        </w:tc>
      </w:tr>
      <w:tr w:rsidR="00254B4B" w:rsidRPr="00254B4B" w:rsidTr="00B05E65">
        <w:trPr>
          <w:cnfStyle w:val="000000100000"/>
          <w:jc w:val="center"/>
        </w:trPr>
        <w:tc>
          <w:tcPr>
            <w:cnfStyle w:val="001000000000"/>
            <w:tcW w:w="10278" w:type="dxa"/>
            <w:gridSpan w:val="4"/>
          </w:tcPr>
          <w:p w:rsidR="00254B4B" w:rsidRPr="00586244" w:rsidRDefault="00586244" w:rsidP="00586244">
            <w:pPr>
              <w:spacing w:after="0"/>
              <w:jc w:val="center"/>
              <w:rPr>
                <w:color w:val="000000"/>
                <w:sz w:val="20"/>
                <w:szCs w:val="20"/>
              </w:rPr>
            </w:pPr>
            <w:r>
              <w:rPr>
                <w:i/>
                <w:sz w:val="20"/>
                <w:szCs w:val="20"/>
              </w:rPr>
              <w:t xml:space="preserve">A. </w:t>
            </w:r>
            <w:r w:rsidR="00A85E9D">
              <w:rPr>
                <w:i/>
                <w:sz w:val="20"/>
                <w:szCs w:val="20"/>
              </w:rPr>
              <w:t xml:space="preserve"> </w:t>
            </w:r>
            <w:r w:rsidR="00254B4B" w:rsidRPr="00586244">
              <w:rPr>
                <w:i/>
                <w:sz w:val="20"/>
                <w:szCs w:val="20"/>
              </w:rPr>
              <w:t>Integrate Environmental Concerns into Transport Policy</w:t>
            </w:r>
          </w:p>
        </w:tc>
      </w:tr>
      <w:tr w:rsidR="00DA10D2" w:rsidRPr="00DA10D2" w:rsidTr="00B05E65">
        <w:trPr>
          <w:cnfStyle w:val="000000010000"/>
          <w:jc w:val="center"/>
        </w:trPr>
        <w:tc>
          <w:tcPr>
            <w:cnfStyle w:val="001000000000"/>
            <w:tcW w:w="2437" w:type="dxa"/>
            <w:tcBorders>
              <w:right w:val="none" w:sz="0" w:space="0" w:color="auto"/>
            </w:tcBorders>
          </w:tcPr>
          <w:p w:rsidR="00DA10D2" w:rsidRPr="00DA10D2" w:rsidRDefault="00DA10D2" w:rsidP="002513E7">
            <w:pPr>
              <w:numPr>
                <w:ilvl w:val="0"/>
                <w:numId w:val="2"/>
              </w:numPr>
              <w:spacing w:after="0"/>
              <w:ind w:left="230" w:hanging="180"/>
              <w:jc w:val="left"/>
              <w:rPr>
                <w:rFonts w:eastAsia="MS Mincho"/>
                <w:b w:val="0"/>
                <w:color w:val="000000"/>
                <w:sz w:val="19"/>
                <w:szCs w:val="19"/>
                <w:lang w:bidi="ar-SA"/>
              </w:rPr>
            </w:pPr>
            <w:r w:rsidRPr="00DA10D2">
              <w:rPr>
                <w:rFonts w:eastAsia="MS Mincho"/>
                <w:b w:val="0"/>
                <w:color w:val="000000"/>
                <w:sz w:val="19"/>
                <w:szCs w:val="19"/>
                <w:lang w:bidi="ar-SA"/>
              </w:rPr>
              <w:t>Integrate transport policy and environmental monitoring</w:t>
            </w:r>
          </w:p>
        </w:tc>
        <w:tc>
          <w:tcPr>
            <w:tcW w:w="2866" w:type="dxa"/>
            <w:tcBorders>
              <w:left w:val="none" w:sz="0" w:space="0" w:color="auto"/>
              <w:right w:val="none" w:sz="0" w:space="0" w:color="auto"/>
            </w:tcBorders>
          </w:tcPr>
          <w:p w:rsidR="00DA10D2" w:rsidRPr="00DA10D2" w:rsidRDefault="00DA10D2" w:rsidP="002513E7">
            <w:pPr>
              <w:numPr>
                <w:ilvl w:val="0"/>
                <w:numId w:val="2"/>
              </w:numPr>
              <w:spacing w:after="0"/>
              <w:ind w:left="230" w:hanging="180"/>
              <w:jc w:val="left"/>
              <w:cnfStyle w:val="000000010000"/>
              <w:rPr>
                <w:rFonts w:eastAsia="MS Mincho"/>
                <w:color w:val="000000"/>
                <w:sz w:val="19"/>
                <w:szCs w:val="19"/>
                <w:lang w:bidi="ar-SA"/>
              </w:rPr>
            </w:pPr>
            <w:r w:rsidRPr="00DA10D2">
              <w:rPr>
                <w:rFonts w:eastAsia="MS Mincho"/>
                <w:color w:val="000000"/>
                <w:sz w:val="19"/>
                <w:szCs w:val="19"/>
                <w:lang w:bidi="ar-SA"/>
              </w:rPr>
              <w:t>Reinstate fuel quality inspection</w:t>
            </w:r>
          </w:p>
        </w:tc>
        <w:tc>
          <w:tcPr>
            <w:tcW w:w="2494" w:type="dxa"/>
            <w:tcBorders>
              <w:left w:val="none" w:sz="0" w:space="0" w:color="auto"/>
              <w:right w:val="none" w:sz="0" w:space="0" w:color="auto"/>
            </w:tcBorders>
          </w:tcPr>
          <w:p w:rsidR="00DA10D2" w:rsidRPr="00DA10D2" w:rsidRDefault="00DA10D2" w:rsidP="002513E7">
            <w:pPr>
              <w:numPr>
                <w:ilvl w:val="0"/>
                <w:numId w:val="2"/>
              </w:numPr>
              <w:spacing w:after="0"/>
              <w:ind w:left="230" w:hanging="180"/>
              <w:jc w:val="left"/>
              <w:cnfStyle w:val="000000010000"/>
              <w:rPr>
                <w:rFonts w:eastAsia="MS Mincho"/>
                <w:color w:val="000000"/>
                <w:sz w:val="19"/>
                <w:szCs w:val="19"/>
                <w:lang w:bidi="ar-SA"/>
              </w:rPr>
            </w:pPr>
            <w:r w:rsidRPr="00DA10D2">
              <w:rPr>
                <w:rFonts w:eastAsia="MS Mincho"/>
                <w:color w:val="000000"/>
                <w:sz w:val="19"/>
                <w:szCs w:val="19"/>
                <w:lang w:bidi="ar-SA"/>
              </w:rPr>
              <w:t>Revise taxes on motor fuels to be differentiated by the quality as incentives to use cleaner fuels</w:t>
            </w:r>
          </w:p>
          <w:p w:rsidR="00DA10D2" w:rsidRPr="00DA10D2" w:rsidRDefault="00DA10D2" w:rsidP="002513E7">
            <w:pPr>
              <w:numPr>
                <w:ilvl w:val="0"/>
                <w:numId w:val="2"/>
              </w:numPr>
              <w:spacing w:after="0"/>
              <w:ind w:left="230" w:hanging="180"/>
              <w:jc w:val="left"/>
              <w:cnfStyle w:val="000000010000"/>
              <w:rPr>
                <w:rFonts w:eastAsia="MS Mincho"/>
                <w:color w:val="000000"/>
                <w:sz w:val="19"/>
                <w:szCs w:val="19"/>
                <w:lang w:bidi="ar-SA"/>
              </w:rPr>
            </w:pPr>
            <w:r w:rsidRPr="00DA10D2">
              <w:rPr>
                <w:rFonts w:eastAsia="MS Mincho"/>
                <w:color w:val="000000"/>
                <w:sz w:val="19"/>
                <w:szCs w:val="19"/>
                <w:lang w:bidi="ar-SA"/>
              </w:rPr>
              <w:t>Maintain the high fuel prices relative to income levels as a long-term policy</w:t>
            </w:r>
          </w:p>
        </w:tc>
        <w:tc>
          <w:tcPr>
            <w:tcW w:w="2481" w:type="dxa"/>
            <w:tcBorders>
              <w:left w:val="none" w:sz="0" w:space="0" w:color="auto"/>
            </w:tcBorders>
          </w:tcPr>
          <w:p w:rsidR="00DA10D2" w:rsidRPr="00DA10D2" w:rsidRDefault="00DA10D2" w:rsidP="00254B4B">
            <w:pPr>
              <w:spacing w:after="0"/>
              <w:ind w:left="230"/>
              <w:jc w:val="left"/>
              <w:cnfStyle w:val="000000010000"/>
              <w:rPr>
                <w:color w:val="000000"/>
                <w:sz w:val="20"/>
                <w:szCs w:val="20"/>
              </w:rPr>
            </w:pPr>
          </w:p>
        </w:tc>
      </w:tr>
      <w:tr w:rsidR="00254B4B" w:rsidRPr="00254B4B" w:rsidTr="00B05E65">
        <w:trPr>
          <w:cnfStyle w:val="000000100000"/>
          <w:jc w:val="center"/>
        </w:trPr>
        <w:tc>
          <w:tcPr>
            <w:cnfStyle w:val="001000000000"/>
            <w:tcW w:w="10278" w:type="dxa"/>
            <w:gridSpan w:val="4"/>
          </w:tcPr>
          <w:p w:rsidR="00254B4B" w:rsidRPr="00586244" w:rsidRDefault="00586244" w:rsidP="00586244">
            <w:pPr>
              <w:spacing w:after="0"/>
              <w:jc w:val="center"/>
              <w:rPr>
                <w:color w:val="000000"/>
                <w:sz w:val="20"/>
                <w:szCs w:val="20"/>
              </w:rPr>
            </w:pPr>
            <w:r>
              <w:rPr>
                <w:i/>
                <w:sz w:val="20"/>
                <w:szCs w:val="20"/>
              </w:rPr>
              <w:t xml:space="preserve">B. </w:t>
            </w:r>
            <w:r w:rsidR="00A85E9D">
              <w:rPr>
                <w:i/>
                <w:sz w:val="20"/>
                <w:szCs w:val="20"/>
              </w:rPr>
              <w:t xml:space="preserve"> </w:t>
            </w:r>
            <w:r w:rsidR="00712C17" w:rsidRPr="00586244">
              <w:rPr>
                <w:i/>
                <w:sz w:val="20"/>
                <w:szCs w:val="20"/>
              </w:rPr>
              <w:t>Achieve and Maintain a Greener Vehicle Fleet</w:t>
            </w:r>
          </w:p>
        </w:tc>
      </w:tr>
      <w:tr w:rsidR="00DA10D2" w:rsidRPr="00DA10D2" w:rsidTr="00B05E65">
        <w:trPr>
          <w:cnfStyle w:val="000000010000"/>
          <w:jc w:val="center"/>
        </w:trPr>
        <w:tc>
          <w:tcPr>
            <w:cnfStyle w:val="001000000000"/>
            <w:tcW w:w="2437" w:type="dxa"/>
            <w:tcBorders>
              <w:right w:val="none" w:sz="0" w:space="0" w:color="auto"/>
            </w:tcBorders>
          </w:tcPr>
          <w:p w:rsidR="00DA10D2" w:rsidRPr="00DA10D2" w:rsidRDefault="00DA10D2" w:rsidP="002513E7">
            <w:pPr>
              <w:numPr>
                <w:ilvl w:val="0"/>
                <w:numId w:val="2"/>
              </w:numPr>
              <w:spacing w:after="0"/>
              <w:ind w:left="230" w:hanging="180"/>
              <w:jc w:val="left"/>
              <w:rPr>
                <w:rFonts w:eastAsia="MS Mincho"/>
                <w:b w:val="0"/>
                <w:color w:val="000000"/>
                <w:sz w:val="19"/>
                <w:szCs w:val="19"/>
                <w:lang w:bidi="ar-SA"/>
              </w:rPr>
            </w:pPr>
            <w:r w:rsidRPr="00DA10D2">
              <w:rPr>
                <w:rFonts w:eastAsia="MS Mincho"/>
                <w:b w:val="0"/>
                <w:color w:val="000000"/>
                <w:sz w:val="19"/>
                <w:szCs w:val="19"/>
                <w:lang w:bidi="ar-SA"/>
              </w:rPr>
              <w:t>Strengthen institutions for effective enforcement</w:t>
            </w:r>
          </w:p>
        </w:tc>
        <w:tc>
          <w:tcPr>
            <w:tcW w:w="2866" w:type="dxa"/>
            <w:tcBorders>
              <w:left w:val="none" w:sz="0" w:space="0" w:color="auto"/>
              <w:right w:val="none" w:sz="0" w:space="0" w:color="auto"/>
            </w:tcBorders>
          </w:tcPr>
          <w:p w:rsidR="00DA10D2" w:rsidRPr="00DA10D2" w:rsidRDefault="00DA10D2" w:rsidP="002513E7">
            <w:pPr>
              <w:numPr>
                <w:ilvl w:val="0"/>
                <w:numId w:val="2"/>
              </w:numPr>
              <w:spacing w:after="0"/>
              <w:ind w:left="230" w:hanging="180"/>
              <w:jc w:val="left"/>
              <w:cnfStyle w:val="000000010000"/>
              <w:rPr>
                <w:rFonts w:eastAsia="MS Mincho"/>
                <w:color w:val="000000"/>
                <w:sz w:val="19"/>
                <w:szCs w:val="19"/>
                <w:lang w:bidi="ar-SA"/>
              </w:rPr>
            </w:pPr>
            <w:r w:rsidRPr="00DA10D2">
              <w:rPr>
                <w:rFonts w:eastAsia="MS Mincho"/>
                <w:color w:val="000000"/>
                <w:sz w:val="19"/>
                <w:szCs w:val="19"/>
                <w:lang w:bidi="ar-SA"/>
              </w:rPr>
              <w:t xml:space="preserve">Expand vehicle inspection requirements to include all commercial and non-commercial vehicles </w:t>
            </w:r>
          </w:p>
        </w:tc>
        <w:tc>
          <w:tcPr>
            <w:tcW w:w="2494" w:type="dxa"/>
            <w:tcBorders>
              <w:left w:val="none" w:sz="0" w:space="0" w:color="auto"/>
              <w:right w:val="none" w:sz="0" w:space="0" w:color="auto"/>
            </w:tcBorders>
          </w:tcPr>
          <w:p w:rsidR="00DA10D2" w:rsidRPr="00DA10D2" w:rsidRDefault="00DA10D2" w:rsidP="002513E7">
            <w:pPr>
              <w:numPr>
                <w:ilvl w:val="0"/>
                <w:numId w:val="2"/>
              </w:numPr>
              <w:spacing w:after="0"/>
              <w:ind w:left="230" w:hanging="180"/>
              <w:jc w:val="left"/>
              <w:cnfStyle w:val="000000010000"/>
              <w:rPr>
                <w:rFonts w:eastAsia="MS Mincho"/>
                <w:color w:val="000000"/>
                <w:sz w:val="19"/>
                <w:szCs w:val="19"/>
                <w:lang w:bidi="ar-SA"/>
              </w:rPr>
            </w:pPr>
            <w:r w:rsidRPr="00DA10D2">
              <w:rPr>
                <w:rFonts w:eastAsia="MS Mincho"/>
                <w:color w:val="000000"/>
                <w:sz w:val="19"/>
                <w:szCs w:val="19"/>
                <w:lang w:bidi="ar-SA"/>
              </w:rPr>
              <w:t>Scrap and recycle the old and polluting vehicle fleet</w:t>
            </w:r>
          </w:p>
          <w:p w:rsidR="00DA10D2" w:rsidRPr="00DA10D2" w:rsidRDefault="00DA10D2" w:rsidP="002513E7">
            <w:pPr>
              <w:numPr>
                <w:ilvl w:val="0"/>
                <w:numId w:val="2"/>
              </w:numPr>
              <w:spacing w:after="0"/>
              <w:ind w:left="230" w:hanging="180"/>
              <w:jc w:val="left"/>
              <w:cnfStyle w:val="000000010000"/>
              <w:rPr>
                <w:rFonts w:eastAsia="MS Mincho"/>
                <w:color w:val="000000"/>
                <w:sz w:val="19"/>
                <w:szCs w:val="19"/>
                <w:lang w:bidi="ar-SA"/>
              </w:rPr>
            </w:pPr>
            <w:r w:rsidRPr="00DA10D2">
              <w:rPr>
                <w:rFonts w:eastAsia="MS Mincho"/>
                <w:color w:val="000000"/>
                <w:sz w:val="19"/>
                <w:szCs w:val="19"/>
                <w:lang w:bidi="ar-SA"/>
              </w:rPr>
              <w:t>Tax credits and other financial incentives for higher fuel-efficiency and technological improvements of vehicles</w:t>
            </w:r>
          </w:p>
        </w:tc>
        <w:tc>
          <w:tcPr>
            <w:tcW w:w="2481" w:type="dxa"/>
            <w:tcBorders>
              <w:left w:val="none" w:sz="0" w:space="0" w:color="auto"/>
            </w:tcBorders>
          </w:tcPr>
          <w:p w:rsidR="00DA10D2" w:rsidRPr="00DA10D2" w:rsidRDefault="00DA10D2" w:rsidP="002513E7">
            <w:pPr>
              <w:numPr>
                <w:ilvl w:val="0"/>
                <w:numId w:val="2"/>
              </w:numPr>
              <w:spacing w:after="0"/>
              <w:ind w:left="230" w:hanging="180"/>
              <w:jc w:val="left"/>
              <w:cnfStyle w:val="000000010000"/>
              <w:rPr>
                <w:rFonts w:eastAsia="MS Mincho"/>
                <w:color w:val="000000"/>
                <w:sz w:val="19"/>
                <w:szCs w:val="19"/>
                <w:lang w:bidi="ar-SA"/>
              </w:rPr>
            </w:pPr>
            <w:r w:rsidRPr="00DA10D2">
              <w:rPr>
                <w:rFonts w:eastAsia="MS Mincho"/>
                <w:color w:val="000000"/>
                <w:sz w:val="19"/>
                <w:szCs w:val="19"/>
                <w:lang w:bidi="ar-SA"/>
              </w:rPr>
              <w:t xml:space="preserve">Subsidize the scrapping and recycling of old and polluting vehicles </w:t>
            </w:r>
          </w:p>
        </w:tc>
      </w:tr>
      <w:tr w:rsidR="00254B4B" w:rsidRPr="00254B4B" w:rsidTr="00B05E65">
        <w:trPr>
          <w:cnfStyle w:val="000000100000"/>
          <w:jc w:val="center"/>
        </w:trPr>
        <w:tc>
          <w:tcPr>
            <w:cnfStyle w:val="001000000000"/>
            <w:tcW w:w="10278" w:type="dxa"/>
            <w:gridSpan w:val="4"/>
          </w:tcPr>
          <w:p w:rsidR="00254B4B" w:rsidRPr="00586244" w:rsidRDefault="00586244" w:rsidP="00A85E9D">
            <w:pPr>
              <w:spacing w:after="0"/>
              <w:jc w:val="center"/>
              <w:rPr>
                <w:color w:val="000000"/>
                <w:sz w:val="20"/>
                <w:szCs w:val="20"/>
              </w:rPr>
            </w:pPr>
            <w:r>
              <w:rPr>
                <w:i/>
                <w:sz w:val="20"/>
                <w:szCs w:val="20"/>
              </w:rPr>
              <w:t xml:space="preserve">C. </w:t>
            </w:r>
            <w:r w:rsidR="00A85E9D">
              <w:rPr>
                <w:i/>
                <w:sz w:val="20"/>
                <w:szCs w:val="20"/>
              </w:rPr>
              <w:t xml:space="preserve"> </w:t>
            </w:r>
            <w:r w:rsidR="00071B36">
              <w:rPr>
                <w:i/>
                <w:sz w:val="20"/>
                <w:szCs w:val="20"/>
              </w:rPr>
              <w:t>Promote Low Emission Freight Transport Modes</w:t>
            </w:r>
          </w:p>
        </w:tc>
      </w:tr>
      <w:tr w:rsidR="00DA10D2" w:rsidRPr="00DA10D2" w:rsidTr="00B05E65">
        <w:trPr>
          <w:cnfStyle w:val="000000010000"/>
          <w:jc w:val="center"/>
        </w:trPr>
        <w:tc>
          <w:tcPr>
            <w:cnfStyle w:val="001000000000"/>
            <w:tcW w:w="2437" w:type="dxa"/>
            <w:tcBorders>
              <w:right w:val="none" w:sz="0" w:space="0" w:color="auto"/>
            </w:tcBorders>
          </w:tcPr>
          <w:p w:rsidR="00DA10D2" w:rsidRPr="00DA10D2" w:rsidRDefault="00DA10D2" w:rsidP="002513E7">
            <w:pPr>
              <w:numPr>
                <w:ilvl w:val="0"/>
                <w:numId w:val="2"/>
              </w:numPr>
              <w:spacing w:after="0"/>
              <w:ind w:left="230" w:hanging="180"/>
              <w:jc w:val="left"/>
              <w:rPr>
                <w:rFonts w:eastAsia="MS Mincho"/>
                <w:b w:val="0"/>
                <w:color w:val="000000"/>
                <w:sz w:val="19"/>
                <w:szCs w:val="19"/>
                <w:lang w:bidi="ar-SA"/>
              </w:rPr>
            </w:pPr>
            <w:r w:rsidRPr="00DA10D2">
              <w:rPr>
                <w:rFonts w:eastAsia="MS Mincho"/>
                <w:b w:val="0"/>
                <w:color w:val="000000"/>
                <w:sz w:val="19"/>
                <w:szCs w:val="19"/>
                <w:lang w:bidi="ar-SA"/>
              </w:rPr>
              <w:t>Develop a coherent transport policy that focuses on intermodality and international collaboration with key trading partners and neighboring countries</w:t>
            </w:r>
          </w:p>
        </w:tc>
        <w:tc>
          <w:tcPr>
            <w:tcW w:w="2866" w:type="dxa"/>
            <w:tcBorders>
              <w:left w:val="none" w:sz="0" w:space="0" w:color="auto"/>
              <w:right w:val="none" w:sz="0" w:space="0" w:color="auto"/>
            </w:tcBorders>
          </w:tcPr>
          <w:p w:rsidR="00DA10D2" w:rsidRPr="00DA10D2" w:rsidRDefault="00DA10D2" w:rsidP="002513E7">
            <w:pPr>
              <w:numPr>
                <w:ilvl w:val="0"/>
                <w:numId w:val="2"/>
              </w:numPr>
              <w:spacing w:after="0"/>
              <w:ind w:left="230" w:hanging="180"/>
              <w:jc w:val="left"/>
              <w:cnfStyle w:val="000000010000"/>
              <w:rPr>
                <w:rFonts w:eastAsia="MS Mincho"/>
                <w:color w:val="000000"/>
                <w:sz w:val="19"/>
                <w:szCs w:val="19"/>
                <w:lang w:bidi="ar-SA"/>
              </w:rPr>
            </w:pPr>
            <w:r w:rsidRPr="00DA10D2">
              <w:rPr>
                <w:rFonts w:eastAsia="MS Mincho"/>
                <w:color w:val="000000"/>
                <w:sz w:val="19"/>
                <w:szCs w:val="19"/>
                <w:lang w:bidi="ar-SA"/>
              </w:rPr>
              <w:t>Apply vehicle inspection regime to domestically registered trucks and to Georgian transport companies</w:t>
            </w:r>
          </w:p>
          <w:p w:rsidR="00DA10D2" w:rsidRPr="00DA10D2" w:rsidRDefault="00DA10D2" w:rsidP="002513E7">
            <w:pPr>
              <w:numPr>
                <w:ilvl w:val="0"/>
                <w:numId w:val="2"/>
              </w:numPr>
              <w:spacing w:after="0"/>
              <w:ind w:left="230" w:hanging="180"/>
              <w:jc w:val="left"/>
              <w:cnfStyle w:val="000000010000"/>
              <w:rPr>
                <w:rFonts w:eastAsia="MS Mincho"/>
                <w:color w:val="000000"/>
                <w:sz w:val="19"/>
                <w:szCs w:val="19"/>
                <w:lang w:bidi="ar-SA"/>
              </w:rPr>
            </w:pPr>
            <w:r w:rsidRPr="00DA10D2">
              <w:rPr>
                <w:rFonts w:eastAsia="MS Mincho"/>
                <w:color w:val="000000"/>
                <w:sz w:val="19"/>
                <w:szCs w:val="19"/>
                <w:lang w:bidi="ar-SA"/>
              </w:rPr>
              <w:t>Introduce and enforce regulations on vehicle emissions and axle loads for foreign registered transit vehicles</w:t>
            </w:r>
          </w:p>
        </w:tc>
        <w:tc>
          <w:tcPr>
            <w:tcW w:w="2494" w:type="dxa"/>
            <w:tcBorders>
              <w:left w:val="none" w:sz="0" w:space="0" w:color="auto"/>
              <w:right w:val="none" w:sz="0" w:space="0" w:color="auto"/>
            </w:tcBorders>
          </w:tcPr>
          <w:p w:rsidR="00DA10D2" w:rsidRPr="00DA10D2" w:rsidRDefault="00DA10D2" w:rsidP="002513E7">
            <w:pPr>
              <w:numPr>
                <w:ilvl w:val="0"/>
                <w:numId w:val="2"/>
              </w:numPr>
              <w:spacing w:after="0"/>
              <w:ind w:left="230" w:hanging="180"/>
              <w:jc w:val="left"/>
              <w:cnfStyle w:val="000000010000"/>
              <w:rPr>
                <w:rFonts w:eastAsia="MS Mincho"/>
                <w:color w:val="000000"/>
                <w:sz w:val="19"/>
                <w:szCs w:val="19"/>
                <w:lang w:bidi="ar-SA"/>
              </w:rPr>
            </w:pPr>
            <w:r w:rsidRPr="00DA10D2">
              <w:rPr>
                <w:rFonts w:eastAsia="MS Mincho"/>
                <w:color w:val="000000"/>
                <w:sz w:val="19"/>
                <w:szCs w:val="19"/>
                <w:lang w:bidi="ar-SA"/>
              </w:rPr>
              <w:t>Differentiate charges on transit trucks according to vehicle emission class and axle loads</w:t>
            </w:r>
          </w:p>
          <w:p w:rsidR="00DA10D2" w:rsidRPr="00DA10D2" w:rsidRDefault="00DA10D2" w:rsidP="002513E7">
            <w:pPr>
              <w:numPr>
                <w:ilvl w:val="0"/>
                <w:numId w:val="2"/>
              </w:numPr>
              <w:spacing w:after="0"/>
              <w:ind w:left="230" w:hanging="180"/>
              <w:jc w:val="left"/>
              <w:cnfStyle w:val="000000010000"/>
              <w:rPr>
                <w:rFonts w:eastAsia="MS Mincho"/>
                <w:color w:val="000000"/>
                <w:sz w:val="19"/>
                <w:szCs w:val="19"/>
                <w:lang w:bidi="ar-SA"/>
              </w:rPr>
            </w:pPr>
            <w:r w:rsidRPr="00DA10D2">
              <w:rPr>
                <w:rFonts w:eastAsia="MS Mincho"/>
                <w:color w:val="000000"/>
                <w:sz w:val="19"/>
                <w:szCs w:val="19"/>
                <w:lang w:bidi="ar-SA"/>
              </w:rPr>
              <w:t>Allocate the revenues to the  maintenance of road network assets and green transport investments</w:t>
            </w:r>
          </w:p>
        </w:tc>
        <w:tc>
          <w:tcPr>
            <w:tcW w:w="2481" w:type="dxa"/>
            <w:tcBorders>
              <w:left w:val="none" w:sz="0" w:space="0" w:color="auto"/>
            </w:tcBorders>
          </w:tcPr>
          <w:p w:rsidR="00DA10D2" w:rsidRPr="00DA10D2" w:rsidRDefault="00DA10D2" w:rsidP="002513E7">
            <w:pPr>
              <w:numPr>
                <w:ilvl w:val="0"/>
                <w:numId w:val="2"/>
              </w:numPr>
              <w:spacing w:after="0"/>
              <w:ind w:left="230" w:hanging="180"/>
              <w:jc w:val="left"/>
              <w:cnfStyle w:val="000000010000"/>
              <w:rPr>
                <w:rFonts w:eastAsia="MS Mincho"/>
                <w:color w:val="000000"/>
                <w:sz w:val="19"/>
                <w:szCs w:val="19"/>
                <w:lang w:bidi="ar-SA"/>
              </w:rPr>
            </w:pPr>
            <w:r w:rsidRPr="00DA10D2">
              <w:rPr>
                <w:rFonts w:eastAsia="MS Mincho"/>
                <w:color w:val="000000"/>
                <w:sz w:val="19"/>
                <w:szCs w:val="19"/>
                <w:lang w:bidi="ar-SA"/>
              </w:rPr>
              <w:t>Develop multimodal, green transit corridors by improving intermodal connectivity, eliminating bottlenecks and supporting containerization</w:t>
            </w:r>
          </w:p>
        </w:tc>
      </w:tr>
      <w:tr w:rsidR="00254B4B" w:rsidRPr="00254B4B" w:rsidTr="00B05E65">
        <w:trPr>
          <w:cnfStyle w:val="000000100000"/>
          <w:jc w:val="center"/>
        </w:trPr>
        <w:tc>
          <w:tcPr>
            <w:cnfStyle w:val="001000000000"/>
            <w:tcW w:w="10278" w:type="dxa"/>
            <w:gridSpan w:val="4"/>
          </w:tcPr>
          <w:p w:rsidR="00254B4B" w:rsidRPr="00586244" w:rsidRDefault="00586244" w:rsidP="00586244">
            <w:pPr>
              <w:spacing w:after="0"/>
              <w:jc w:val="center"/>
              <w:rPr>
                <w:color w:val="000000"/>
                <w:sz w:val="20"/>
                <w:szCs w:val="20"/>
              </w:rPr>
            </w:pPr>
            <w:r>
              <w:rPr>
                <w:i/>
                <w:sz w:val="20"/>
                <w:szCs w:val="20"/>
              </w:rPr>
              <w:t xml:space="preserve">D. </w:t>
            </w:r>
            <w:r w:rsidR="00A85E9D">
              <w:rPr>
                <w:i/>
                <w:sz w:val="20"/>
                <w:szCs w:val="20"/>
              </w:rPr>
              <w:t xml:space="preserve"> </w:t>
            </w:r>
            <w:r w:rsidR="00254B4B" w:rsidRPr="00586244">
              <w:rPr>
                <w:i/>
                <w:sz w:val="20"/>
                <w:szCs w:val="20"/>
              </w:rPr>
              <w:t>Support Commercial Development of Intercity Passenger Transport Services</w:t>
            </w:r>
          </w:p>
        </w:tc>
      </w:tr>
      <w:tr w:rsidR="00DA10D2" w:rsidRPr="00DA10D2" w:rsidTr="00B05E65">
        <w:trPr>
          <w:cnfStyle w:val="000000010000"/>
          <w:jc w:val="center"/>
        </w:trPr>
        <w:tc>
          <w:tcPr>
            <w:cnfStyle w:val="001000000000"/>
            <w:tcW w:w="2437" w:type="dxa"/>
            <w:tcBorders>
              <w:right w:val="none" w:sz="0" w:space="0" w:color="auto"/>
            </w:tcBorders>
          </w:tcPr>
          <w:p w:rsidR="00DA10D2" w:rsidRPr="00DA10D2" w:rsidRDefault="00DA10D2" w:rsidP="002513E7">
            <w:pPr>
              <w:numPr>
                <w:ilvl w:val="0"/>
                <w:numId w:val="2"/>
              </w:numPr>
              <w:spacing w:after="0"/>
              <w:ind w:left="230" w:hanging="180"/>
              <w:jc w:val="left"/>
              <w:rPr>
                <w:rFonts w:eastAsia="MS Mincho"/>
                <w:b w:val="0"/>
                <w:color w:val="000000"/>
                <w:sz w:val="19"/>
                <w:szCs w:val="19"/>
                <w:lang w:bidi="ar-SA"/>
              </w:rPr>
            </w:pPr>
            <w:r w:rsidRPr="00DA10D2">
              <w:rPr>
                <w:rFonts w:eastAsia="MS Mincho"/>
                <w:b w:val="0"/>
                <w:color w:val="000000"/>
                <w:sz w:val="19"/>
                <w:szCs w:val="19"/>
                <w:lang w:bidi="ar-SA"/>
              </w:rPr>
              <w:t>Improve the convenience of and access to intercity bus services through coordinated marketing strategy and passenger information services</w:t>
            </w:r>
          </w:p>
        </w:tc>
        <w:tc>
          <w:tcPr>
            <w:tcW w:w="2866" w:type="dxa"/>
            <w:tcBorders>
              <w:left w:val="none" w:sz="0" w:space="0" w:color="auto"/>
              <w:right w:val="none" w:sz="0" w:space="0" w:color="auto"/>
            </w:tcBorders>
          </w:tcPr>
          <w:p w:rsidR="00DA10D2" w:rsidRPr="00DA10D2" w:rsidRDefault="00DA10D2" w:rsidP="002513E7">
            <w:pPr>
              <w:numPr>
                <w:ilvl w:val="0"/>
                <w:numId w:val="2"/>
              </w:numPr>
              <w:spacing w:after="0"/>
              <w:ind w:left="230" w:hanging="180"/>
              <w:jc w:val="left"/>
              <w:cnfStyle w:val="000000010000"/>
              <w:rPr>
                <w:rFonts w:eastAsia="MS Mincho"/>
                <w:color w:val="000000"/>
                <w:sz w:val="19"/>
                <w:szCs w:val="19"/>
                <w:lang w:bidi="ar-SA"/>
              </w:rPr>
            </w:pPr>
            <w:r w:rsidRPr="00DA10D2">
              <w:rPr>
                <w:rFonts w:eastAsia="MS Mincho"/>
                <w:color w:val="000000"/>
                <w:sz w:val="19"/>
                <w:szCs w:val="19"/>
                <w:lang w:bidi="ar-SA"/>
              </w:rPr>
              <w:t>Control market entry through regulations and enforcement of vehicle and emission standards</w:t>
            </w:r>
          </w:p>
          <w:p w:rsidR="00DA10D2" w:rsidRPr="00DA10D2" w:rsidRDefault="00DA10D2" w:rsidP="002513E7">
            <w:pPr>
              <w:numPr>
                <w:ilvl w:val="0"/>
                <w:numId w:val="2"/>
              </w:numPr>
              <w:spacing w:after="0"/>
              <w:ind w:left="230" w:hanging="180"/>
              <w:jc w:val="left"/>
              <w:cnfStyle w:val="000000010000"/>
              <w:rPr>
                <w:rFonts w:eastAsia="MS Mincho"/>
                <w:color w:val="000000"/>
                <w:sz w:val="19"/>
                <w:szCs w:val="19"/>
                <w:lang w:bidi="ar-SA"/>
              </w:rPr>
            </w:pPr>
            <w:r w:rsidRPr="00DA10D2">
              <w:rPr>
                <w:rFonts w:eastAsia="MS Mincho"/>
                <w:color w:val="000000"/>
                <w:sz w:val="19"/>
                <w:szCs w:val="19"/>
                <w:lang w:bidi="ar-SA"/>
              </w:rPr>
              <w:t>Introduce competitive tendering for strategic intercity routes and manage the service quality</w:t>
            </w:r>
          </w:p>
        </w:tc>
        <w:tc>
          <w:tcPr>
            <w:tcW w:w="2494" w:type="dxa"/>
            <w:tcBorders>
              <w:left w:val="none" w:sz="0" w:space="0" w:color="auto"/>
              <w:right w:val="none" w:sz="0" w:space="0" w:color="auto"/>
            </w:tcBorders>
          </w:tcPr>
          <w:p w:rsidR="00DA10D2" w:rsidRPr="00DA10D2" w:rsidRDefault="00DA10D2" w:rsidP="002513E7">
            <w:pPr>
              <w:spacing w:after="0"/>
              <w:ind w:left="230"/>
              <w:jc w:val="left"/>
              <w:cnfStyle w:val="000000010000"/>
              <w:rPr>
                <w:rFonts w:eastAsia="MS Mincho"/>
                <w:color w:val="000000"/>
                <w:sz w:val="19"/>
                <w:szCs w:val="19"/>
                <w:lang w:bidi="ar-SA"/>
              </w:rPr>
            </w:pPr>
          </w:p>
        </w:tc>
        <w:tc>
          <w:tcPr>
            <w:tcW w:w="2481" w:type="dxa"/>
            <w:tcBorders>
              <w:left w:val="none" w:sz="0" w:space="0" w:color="auto"/>
            </w:tcBorders>
          </w:tcPr>
          <w:p w:rsidR="00DA10D2" w:rsidRPr="00DA10D2" w:rsidRDefault="00DA10D2" w:rsidP="002513E7">
            <w:pPr>
              <w:numPr>
                <w:ilvl w:val="0"/>
                <w:numId w:val="2"/>
              </w:numPr>
              <w:spacing w:after="0"/>
              <w:ind w:left="230" w:hanging="180"/>
              <w:jc w:val="left"/>
              <w:cnfStyle w:val="000000010000"/>
              <w:rPr>
                <w:rFonts w:eastAsia="MS Mincho"/>
                <w:color w:val="000000"/>
                <w:sz w:val="19"/>
                <w:szCs w:val="19"/>
                <w:lang w:bidi="ar-SA"/>
              </w:rPr>
            </w:pPr>
            <w:r w:rsidRPr="00DA10D2">
              <w:rPr>
                <w:rFonts w:eastAsia="MS Mincho"/>
                <w:color w:val="000000"/>
                <w:sz w:val="19"/>
                <w:szCs w:val="19"/>
                <w:lang w:bidi="ar-SA"/>
              </w:rPr>
              <w:t>Improve the quality of infrastructure and consumer amenities through public and private investments</w:t>
            </w:r>
          </w:p>
        </w:tc>
      </w:tr>
      <w:tr w:rsidR="00254B4B" w:rsidRPr="00254B4B" w:rsidTr="00B05E65">
        <w:trPr>
          <w:cnfStyle w:val="000000100000"/>
          <w:jc w:val="center"/>
        </w:trPr>
        <w:tc>
          <w:tcPr>
            <w:cnfStyle w:val="001000000000"/>
            <w:tcW w:w="10278" w:type="dxa"/>
            <w:gridSpan w:val="4"/>
          </w:tcPr>
          <w:p w:rsidR="00254B4B" w:rsidRPr="00586244" w:rsidRDefault="00586244" w:rsidP="00586244">
            <w:pPr>
              <w:spacing w:after="0"/>
              <w:jc w:val="center"/>
              <w:rPr>
                <w:color w:val="000000"/>
                <w:sz w:val="20"/>
                <w:szCs w:val="20"/>
              </w:rPr>
            </w:pPr>
            <w:r>
              <w:rPr>
                <w:i/>
                <w:sz w:val="20"/>
                <w:szCs w:val="20"/>
              </w:rPr>
              <w:t xml:space="preserve">E. </w:t>
            </w:r>
            <w:r w:rsidR="00A85E9D">
              <w:rPr>
                <w:i/>
                <w:sz w:val="20"/>
                <w:szCs w:val="20"/>
              </w:rPr>
              <w:t xml:space="preserve"> </w:t>
            </w:r>
            <w:r w:rsidR="00254B4B" w:rsidRPr="00586244">
              <w:rPr>
                <w:i/>
                <w:sz w:val="20"/>
                <w:szCs w:val="20"/>
              </w:rPr>
              <w:t>Transform Minibuses and Taxis into Modern Urban Transport Modes</w:t>
            </w:r>
          </w:p>
        </w:tc>
      </w:tr>
      <w:tr w:rsidR="00DA10D2" w:rsidRPr="00DA10D2" w:rsidTr="00B05E65">
        <w:trPr>
          <w:cnfStyle w:val="000000010000"/>
          <w:jc w:val="center"/>
        </w:trPr>
        <w:tc>
          <w:tcPr>
            <w:cnfStyle w:val="001000000000"/>
            <w:tcW w:w="2437" w:type="dxa"/>
            <w:tcBorders>
              <w:right w:val="none" w:sz="0" w:space="0" w:color="auto"/>
            </w:tcBorders>
          </w:tcPr>
          <w:p w:rsidR="00DA10D2" w:rsidRPr="00DA10D2" w:rsidRDefault="00DA10D2" w:rsidP="002513E7">
            <w:pPr>
              <w:numPr>
                <w:ilvl w:val="0"/>
                <w:numId w:val="2"/>
              </w:numPr>
              <w:spacing w:after="0"/>
              <w:ind w:left="230" w:hanging="180"/>
              <w:jc w:val="left"/>
              <w:rPr>
                <w:rFonts w:eastAsia="MS Mincho"/>
                <w:b w:val="0"/>
                <w:color w:val="000000"/>
                <w:sz w:val="19"/>
                <w:szCs w:val="19"/>
                <w:lang w:bidi="ar-SA"/>
              </w:rPr>
            </w:pPr>
            <w:r w:rsidRPr="00DA10D2">
              <w:rPr>
                <w:rFonts w:eastAsia="MS Mincho"/>
                <w:b w:val="0"/>
                <w:color w:val="000000"/>
                <w:sz w:val="19"/>
                <w:szCs w:val="19"/>
                <w:lang w:bidi="ar-SA"/>
              </w:rPr>
              <w:t>Develop a strategic vision and strengthen market competition for minibuses and taxis</w:t>
            </w:r>
          </w:p>
          <w:p w:rsidR="00DA10D2" w:rsidRPr="00DA10D2" w:rsidRDefault="00DA10D2" w:rsidP="002513E7">
            <w:pPr>
              <w:numPr>
                <w:ilvl w:val="0"/>
                <w:numId w:val="2"/>
              </w:numPr>
              <w:spacing w:after="0"/>
              <w:ind w:left="230" w:hanging="180"/>
              <w:jc w:val="left"/>
              <w:rPr>
                <w:rFonts w:eastAsia="MS Mincho"/>
                <w:b w:val="0"/>
                <w:color w:val="000000"/>
                <w:sz w:val="19"/>
                <w:szCs w:val="19"/>
                <w:lang w:bidi="ar-SA"/>
              </w:rPr>
            </w:pPr>
            <w:r w:rsidRPr="00DA10D2">
              <w:rPr>
                <w:rFonts w:eastAsia="MS Mincho"/>
                <w:b w:val="0"/>
                <w:color w:val="000000"/>
                <w:sz w:val="19"/>
                <w:szCs w:val="19"/>
                <w:lang w:bidi="ar-SA"/>
              </w:rPr>
              <w:t>Develop a strategy for coherent multimodal public transport system</w:t>
            </w:r>
          </w:p>
        </w:tc>
        <w:tc>
          <w:tcPr>
            <w:tcW w:w="2866" w:type="dxa"/>
            <w:tcBorders>
              <w:left w:val="none" w:sz="0" w:space="0" w:color="auto"/>
              <w:right w:val="none" w:sz="0" w:space="0" w:color="auto"/>
            </w:tcBorders>
          </w:tcPr>
          <w:p w:rsidR="00DA10D2" w:rsidRPr="00DA10D2" w:rsidRDefault="00DA10D2" w:rsidP="002513E7">
            <w:pPr>
              <w:numPr>
                <w:ilvl w:val="0"/>
                <w:numId w:val="2"/>
              </w:numPr>
              <w:spacing w:after="0"/>
              <w:ind w:left="230" w:hanging="180"/>
              <w:jc w:val="left"/>
              <w:cnfStyle w:val="000000010000"/>
              <w:rPr>
                <w:rFonts w:eastAsia="MS Mincho"/>
                <w:color w:val="000000"/>
                <w:sz w:val="19"/>
                <w:szCs w:val="19"/>
                <w:lang w:bidi="ar-SA"/>
              </w:rPr>
            </w:pPr>
            <w:r w:rsidRPr="00DA10D2">
              <w:rPr>
                <w:rFonts w:eastAsia="MS Mincho"/>
                <w:color w:val="000000"/>
                <w:sz w:val="19"/>
                <w:szCs w:val="19"/>
                <w:lang w:bidi="ar-SA"/>
              </w:rPr>
              <w:t>Minibus market: introduce competitive tendering and gross-cost based contracting</w:t>
            </w:r>
          </w:p>
          <w:p w:rsidR="00DA10D2" w:rsidRPr="00DA10D2" w:rsidRDefault="00DA10D2" w:rsidP="002513E7">
            <w:pPr>
              <w:numPr>
                <w:ilvl w:val="0"/>
                <w:numId w:val="2"/>
              </w:numPr>
              <w:spacing w:after="0"/>
              <w:ind w:left="230" w:hanging="180"/>
              <w:jc w:val="left"/>
              <w:cnfStyle w:val="000000010000"/>
              <w:rPr>
                <w:rFonts w:eastAsia="MS Mincho"/>
                <w:color w:val="000000"/>
                <w:sz w:val="19"/>
                <w:szCs w:val="19"/>
                <w:lang w:bidi="ar-SA"/>
              </w:rPr>
            </w:pPr>
            <w:r w:rsidRPr="00DA10D2">
              <w:rPr>
                <w:rFonts w:eastAsia="MS Mincho"/>
                <w:color w:val="000000"/>
                <w:sz w:val="19"/>
                <w:szCs w:val="19"/>
                <w:lang w:bidi="ar-SA"/>
              </w:rPr>
              <w:t>Taxi market: introduce partial regulations that control fare and quality but allow free market-entry</w:t>
            </w:r>
          </w:p>
        </w:tc>
        <w:tc>
          <w:tcPr>
            <w:tcW w:w="2494" w:type="dxa"/>
            <w:tcBorders>
              <w:left w:val="none" w:sz="0" w:space="0" w:color="auto"/>
              <w:right w:val="none" w:sz="0" w:space="0" w:color="auto"/>
            </w:tcBorders>
          </w:tcPr>
          <w:p w:rsidR="00DA10D2" w:rsidRPr="00DA10D2" w:rsidRDefault="00DA10D2" w:rsidP="002513E7">
            <w:pPr>
              <w:spacing w:after="0"/>
              <w:ind w:left="230"/>
              <w:jc w:val="left"/>
              <w:cnfStyle w:val="000000010000"/>
              <w:rPr>
                <w:rFonts w:eastAsia="MS Mincho"/>
                <w:color w:val="000000"/>
                <w:sz w:val="19"/>
                <w:szCs w:val="19"/>
                <w:lang w:bidi="ar-SA"/>
              </w:rPr>
            </w:pPr>
          </w:p>
        </w:tc>
        <w:tc>
          <w:tcPr>
            <w:tcW w:w="2481" w:type="dxa"/>
            <w:tcBorders>
              <w:left w:val="none" w:sz="0" w:space="0" w:color="auto"/>
            </w:tcBorders>
          </w:tcPr>
          <w:p w:rsidR="00DA10D2" w:rsidRPr="00DA10D2" w:rsidRDefault="00DA10D2" w:rsidP="002513E7">
            <w:pPr>
              <w:numPr>
                <w:ilvl w:val="0"/>
                <w:numId w:val="2"/>
              </w:numPr>
              <w:spacing w:after="0"/>
              <w:ind w:left="230" w:hanging="180"/>
              <w:jc w:val="left"/>
              <w:cnfStyle w:val="000000010000"/>
              <w:rPr>
                <w:rFonts w:eastAsia="MS Mincho"/>
                <w:color w:val="000000"/>
                <w:sz w:val="19"/>
                <w:szCs w:val="19"/>
                <w:lang w:bidi="ar-SA"/>
              </w:rPr>
            </w:pPr>
            <w:r w:rsidRPr="00DA10D2">
              <w:rPr>
                <w:rFonts w:eastAsia="MS Mincho"/>
                <w:color w:val="000000"/>
                <w:sz w:val="19"/>
                <w:szCs w:val="19"/>
                <w:lang w:bidi="ar-SA"/>
              </w:rPr>
              <w:t xml:space="preserve">Refrain from direct budgetary support for vehicle improvement </w:t>
            </w:r>
          </w:p>
          <w:p w:rsidR="00DA10D2" w:rsidRPr="00DA10D2" w:rsidRDefault="00DA10D2" w:rsidP="002513E7">
            <w:pPr>
              <w:numPr>
                <w:ilvl w:val="0"/>
                <w:numId w:val="2"/>
              </w:numPr>
              <w:spacing w:after="0"/>
              <w:ind w:left="230" w:hanging="180"/>
              <w:jc w:val="left"/>
              <w:cnfStyle w:val="000000010000"/>
              <w:rPr>
                <w:rFonts w:eastAsia="MS Mincho"/>
                <w:color w:val="000000"/>
                <w:sz w:val="19"/>
                <w:szCs w:val="19"/>
                <w:lang w:bidi="ar-SA"/>
              </w:rPr>
            </w:pPr>
            <w:r w:rsidRPr="00DA10D2">
              <w:rPr>
                <w:rFonts w:eastAsia="MS Mincho"/>
                <w:color w:val="000000"/>
                <w:sz w:val="19"/>
                <w:szCs w:val="19"/>
                <w:lang w:bidi="ar-SA"/>
              </w:rPr>
              <w:t>Oblige commercial entities to maintain their vehicle fleet quality</w:t>
            </w:r>
          </w:p>
        </w:tc>
      </w:tr>
      <w:tr w:rsidR="00254B4B" w:rsidRPr="00254B4B" w:rsidTr="00B05E65">
        <w:trPr>
          <w:cnfStyle w:val="000000100000"/>
          <w:jc w:val="center"/>
        </w:trPr>
        <w:tc>
          <w:tcPr>
            <w:cnfStyle w:val="001000000000"/>
            <w:tcW w:w="10278" w:type="dxa"/>
            <w:gridSpan w:val="4"/>
          </w:tcPr>
          <w:p w:rsidR="00254B4B" w:rsidRPr="00586244" w:rsidRDefault="00586244" w:rsidP="00586244">
            <w:pPr>
              <w:spacing w:after="0"/>
              <w:jc w:val="center"/>
              <w:rPr>
                <w:color w:val="000000"/>
                <w:sz w:val="20"/>
                <w:szCs w:val="20"/>
              </w:rPr>
            </w:pPr>
            <w:r>
              <w:rPr>
                <w:i/>
                <w:sz w:val="20"/>
                <w:szCs w:val="20"/>
              </w:rPr>
              <w:lastRenderedPageBreak/>
              <w:t xml:space="preserve">F. </w:t>
            </w:r>
            <w:r w:rsidR="00254B4B" w:rsidRPr="00586244">
              <w:rPr>
                <w:i/>
                <w:sz w:val="20"/>
                <w:szCs w:val="20"/>
              </w:rPr>
              <w:t>Support Sustainable Development of Urban Transport</w:t>
            </w:r>
          </w:p>
        </w:tc>
      </w:tr>
      <w:tr w:rsidR="00DA10D2" w:rsidRPr="00DA10D2" w:rsidTr="00B05E65">
        <w:trPr>
          <w:cnfStyle w:val="000000010000"/>
          <w:jc w:val="center"/>
        </w:trPr>
        <w:tc>
          <w:tcPr>
            <w:cnfStyle w:val="001000000000"/>
            <w:tcW w:w="2437" w:type="dxa"/>
            <w:tcBorders>
              <w:right w:val="none" w:sz="0" w:space="0" w:color="auto"/>
            </w:tcBorders>
          </w:tcPr>
          <w:p w:rsidR="00DA10D2" w:rsidRPr="00DA10D2" w:rsidRDefault="00DA10D2" w:rsidP="002513E7">
            <w:pPr>
              <w:numPr>
                <w:ilvl w:val="0"/>
                <w:numId w:val="2"/>
              </w:numPr>
              <w:spacing w:after="0"/>
              <w:ind w:left="230" w:hanging="180"/>
              <w:jc w:val="left"/>
              <w:rPr>
                <w:rFonts w:eastAsia="MS Mincho"/>
                <w:b w:val="0"/>
                <w:color w:val="000000"/>
                <w:sz w:val="19"/>
                <w:szCs w:val="19"/>
                <w:lang w:bidi="ar-SA"/>
              </w:rPr>
            </w:pPr>
            <w:r w:rsidRPr="00DA10D2">
              <w:rPr>
                <w:rFonts w:eastAsia="MS Mincho"/>
                <w:b w:val="0"/>
                <w:color w:val="000000"/>
                <w:sz w:val="19"/>
                <w:szCs w:val="19"/>
                <w:lang w:bidi="ar-SA"/>
              </w:rPr>
              <w:t>Develop a national-level urban transport policy framework</w:t>
            </w:r>
          </w:p>
          <w:p w:rsidR="00DA10D2" w:rsidRPr="00DA10D2" w:rsidRDefault="00DA10D2" w:rsidP="002513E7">
            <w:pPr>
              <w:numPr>
                <w:ilvl w:val="0"/>
                <w:numId w:val="2"/>
              </w:numPr>
              <w:spacing w:after="0"/>
              <w:ind w:left="230" w:hanging="180"/>
              <w:jc w:val="left"/>
              <w:rPr>
                <w:rFonts w:eastAsia="MS Mincho"/>
                <w:b w:val="0"/>
                <w:color w:val="000000"/>
                <w:sz w:val="19"/>
                <w:szCs w:val="19"/>
                <w:lang w:bidi="ar-SA"/>
              </w:rPr>
            </w:pPr>
            <w:r w:rsidRPr="00DA10D2">
              <w:rPr>
                <w:rFonts w:eastAsia="MS Mincho"/>
                <w:b w:val="0"/>
                <w:color w:val="000000"/>
                <w:sz w:val="19"/>
                <w:szCs w:val="19"/>
                <w:lang w:bidi="ar-SA"/>
              </w:rPr>
              <w:t>Institute integrated city development and transport planning</w:t>
            </w:r>
          </w:p>
        </w:tc>
        <w:tc>
          <w:tcPr>
            <w:tcW w:w="2866" w:type="dxa"/>
            <w:tcBorders>
              <w:left w:val="none" w:sz="0" w:space="0" w:color="auto"/>
              <w:right w:val="none" w:sz="0" w:space="0" w:color="auto"/>
            </w:tcBorders>
          </w:tcPr>
          <w:p w:rsidR="00DA10D2" w:rsidRPr="00DA10D2" w:rsidRDefault="00DA10D2" w:rsidP="002513E7">
            <w:pPr>
              <w:numPr>
                <w:ilvl w:val="0"/>
                <w:numId w:val="2"/>
              </w:numPr>
              <w:spacing w:after="0"/>
              <w:ind w:left="230" w:hanging="180"/>
              <w:jc w:val="left"/>
              <w:cnfStyle w:val="000000010000"/>
              <w:rPr>
                <w:rFonts w:eastAsia="MS Mincho"/>
                <w:color w:val="000000"/>
                <w:sz w:val="19"/>
                <w:szCs w:val="19"/>
                <w:lang w:bidi="ar-SA"/>
              </w:rPr>
            </w:pPr>
            <w:r w:rsidRPr="00DA10D2">
              <w:rPr>
                <w:rFonts w:eastAsia="MS Mincho"/>
                <w:color w:val="000000"/>
                <w:sz w:val="19"/>
                <w:szCs w:val="19"/>
                <w:lang w:bidi="ar-SA"/>
              </w:rPr>
              <w:t>Make private car use less convenient by introducing parking restrictions in urban centers</w:t>
            </w:r>
          </w:p>
        </w:tc>
        <w:tc>
          <w:tcPr>
            <w:tcW w:w="2494" w:type="dxa"/>
            <w:tcBorders>
              <w:left w:val="none" w:sz="0" w:space="0" w:color="auto"/>
              <w:right w:val="none" w:sz="0" w:space="0" w:color="auto"/>
            </w:tcBorders>
          </w:tcPr>
          <w:p w:rsidR="00DA10D2" w:rsidRPr="00DA10D2" w:rsidRDefault="00DA10D2" w:rsidP="002513E7">
            <w:pPr>
              <w:numPr>
                <w:ilvl w:val="0"/>
                <w:numId w:val="2"/>
              </w:numPr>
              <w:spacing w:after="0"/>
              <w:ind w:left="230" w:hanging="180"/>
              <w:jc w:val="left"/>
              <w:cnfStyle w:val="000000010000"/>
              <w:rPr>
                <w:rFonts w:eastAsia="MS Mincho"/>
                <w:color w:val="000000"/>
                <w:sz w:val="19"/>
                <w:szCs w:val="19"/>
                <w:lang w:bidi="ar-SA"/>
              </w:rPr>
            </w:pPr>
            <w:r w:rsidRPr="00DA10D2">
              <w:rPr>
                <w:rFonts w:eastAsia="MS Mincho"/>
                <w:color w:val="000000"/>
                <w:sz w:val="19"/>
                <w:szCs w:val="19"/>
                <w:lang w:bidi="ar-SA"/>
              </w:rPr>
              <w:t>Make private car use more expensive through appropriate forms of road user charges</w:t>
            </w:r>
          </w:p>
        </w:tc>
        <w:tc>
          <w:tcPr>
            <w:tcW w:w="2481" w:type="dxa"/>
            <w:tcBorders>
              <w:left w:val="none" w:sz="0" w:space="0" w:color="auto"/>
            </w:tcBorders>
          </w:tcPr>
          <w:p w:rsidR="00DA10D2" w:rsidRPr="00DA10D2" w:rsidRDefault="00DA10D2" w:rsidP="002513E7">
            <w:pPr>
              <w:numPr>
                <w:ilvl w:val="0"/>
                <w:numId w:val="2"/>
              </w:numPr>
              <w:spacing w:after="0"/>
              <w:ind w:left="230" w:hanging="180"/>
              <w:jc w:val="left"/>
              <w:cnfStyle w:val="000000010000"/>
              <w:rPr>
                <w:rFonts w:eastAsia="MS Mincho"/>
                <w:color w:val="000000"/>
                <w:sz w:val="19"/>
                <w:szCs w:val="19"/>
                <w:lang w:bidi="ar-SA"/>
              </w:rPr>
            </w:pPr>
            <w:r w:rsidRPr="00DA10D2">
              <w:rPr>
                <w:rFonts w:eastAsia="MS Mincho"/>
                <w:color w:val="000000"/>
                <w:sz w:val="19"/>
                <w:szCs w:val="19"/>
                <w:lang w:bidi="ar-SA"/>
              </w:rPr>
              <w:t>Invest in high-quality and competitive alternatives to private transport</w:t>
            </w:r>
          </w:p>
          <w:p w:rsidR="00DA10D2" w:rsidRPr="00DA10D2" w:rsidRDefault="00DA10D2" w:rsidP="002513E7">
            <w:pPr>
              <w:numPr>
                <w:ilvl w:val="0"/>
                <w:numId w:val="2"/>
              </w:numPr>
              <w:spacing w:after="0"/>
              <w:ind w:left="230" w:hanging="180"/>
              <w:jc w:val="left"/>
              <w:cnfStyle w:val="000000010000"/>
              <w:rPr>
                <w:rFonts w:eastAsia="MS Mincho"/>
                <w:color w:val="000000"/>
                <w:sz w:val="19"/>
                <w:szCs w:val="19"/>
                <w:lang w:bidi="ar-SA"/>
              </w:rPr>
            </w:pPr>
            <w:r w:rsidRPr="00DA10D2">
              <w:rPr>
                <w:rFonts w:eastAsia="MS Mincho"/>
                <w:color w:val="000000"/>
                <w:sz w:val="19"/>
                <w:szCs w:val="19"/>
                <w:lang w:bidi="ar-SA"/>
              </w:rPr>
              <w:t>Introduce intelligent transportation systems for efficient traffic management and better user services in urban areas</w:t>
            </w:r>
          </w:p>
        </w:tc>
      </w:tr>
    </w:tbl>
    <w:p w:rsidR="00254B4B" w:rsidRDefault="00254B4B" w:rsidP="00911CF2"/>
    <w:p w:rsidR="00F74DCE" w:rsidRPr="00E046E9" w:rsidRDefault="00093252" w:rsidP="00F74DCE">
      <w:pPr>
        <w:spacing w:after="80"/>
        <w:rPr>
          <w:b/>
          <w:i/>
        </w:rPr>
      </w:pPr>
      <w:r w:rsidRPr="008B0AB3">
        <w:rPr>
          <w:b/>
          <w:i/>
        </w:rPr>
        <w:t xml:space="preserve">Assessment of the proposed policy framework </w:t>
      </w:r>
      <w:r w:rsidR="006700CB" w:rsidRPr="008B0AB3">
        <w:rPr>
          <w:b/>
          <w:i/>
        </w:rPr>
        <w:t xml:space="preserve">through </w:t>
      </w:r>
      <w:r w:rsidRPr="008B0AB3">
        <w:rPr>
          <w:b/>
          <w:i/>
        </w:rPr>
        <w:t xml:space="preserve">the </w:t>
      </w:r>
      <w:r w:rsidR="006700CB" w:rsidRPr="008B0AB3">
        <w:rPr>
          <w:b/>
          <w:i/>
        </w:rPr>
        <w:t>objectives and constraints</w:t>
      </w:r>
      <w:r w:rsidRPr="008B0AB3">
        <w:rPr>
          <w:b/>
          <w:i/>
        </w:rPr>
        <w:t xml:space="preserve"> of Government</w:t>
      </w:r>
    </w:p>
    <w:p w:rsidR="00A84E2F" w:rsidRPr="00A84E2F" w:rsidRDefault="00B05E65" w:rsidP="00A84E2F">
      <w:r>
        <w:t xml:space="preserve">This paper argues that the proposed </w:t>
      </w:r>
      <w:r w:rsidR="00093252">
        <w:t xml:space="preserve">policy </w:t>
      </w:r>
      <w:r>
        <w:t xml:space="preserve">framework would increase the likelihood for Georgia to achieve greener transportation without undermining mobility and accessibility. </w:t>
      </w:r>
      <w:r w:rsidR="00A84E2F">
        <w:t xml:space="preserve">The policy framework </w:t>
      </w:r>
      <w:r w:rsidR="00911CF2">
        <w:t xml:space="preserve">would </w:t>
      </w:r>
      <w:r w:rsidR="00093252">
        <w:t>contribute to the various development objectives of Government discussed in Section I.B</w:t>
      </w:r>
      <w:r w:rsidR="00A84E2F">
        <w:t xml:space="preserve">. From fiscal point of view </w:t>
      </w:r>
      <w:r w:rsidR="00A84E2F" w:rsidRPr="00A84E2F">
        <w:rPr>
          <w:b/>
        </w:rPr>
        <w:t>it would help</w:t>
      </w:r>
      <w:r w:rsidR="00A84E2F">
        <w:t xml:space="preserve"> </w:t>
      </w:r>
      <w:r w:rsidR="00A84E2F" w:rsidRPr="00A84E2F">
        <w:rPr>
          <w:b/>
        </w:rPr>
        <w:t>reduce fuel imports, and hence, the current account deficits</w:t>
      </w:r>
      <w:r w:rsidR="00A84E2F" w:rsidRPr="00A84E2F">
        <w:t xml:space="preserve">. From environmental point of view, </w:t>
      </w:r>
      <w:r w:rsidR="00A84E2F" w:rsidRPr="00A84E2F">
        <w:rPr>
          <w:b/>
        </w:rPr>
        <w:t>it would help reduce emissions of GHG as well as of local pollutants</w:t>
      </w:r>
      <w:r w:rsidR="00A84E2F" w:rsidRPr="00A84E2F">
        <w:t xml:space="preserve">.  </w:t>
      </w:r>
      <w:r w:rsidR="00A84E2F">
        <w:t>The quantified benefits of the policy framework are discussed in the following section.</w:t>
      </w:r>
    </w:p>
    <w:p w:rsidR="00D54B96" w:rsidRDefault="00093252" w:rsidP="00A84E2F">
      <w:r>
        <w:t>At the same time, the fiscal, political, and administrative constraints facing Government</w:t>
      </w:r>
      <w:r w:rsidR="00A84E2F">
        <w:t xml:space="preserve"> need to be recognized</w:t>
      </w:r>
      <w:r w:rsidR="00BA2D76">
        <w:t xml:space="preserve"> for </w:t>
      </w:r>
      <w:r>
        <w:t>successful implementation</w:t>
      </w:r>
      <w:r w:rsidR="00A84E2F">
        <w:t xml:space="preserve"> </w:t>
      </w:r>
      <w:r w:rsidR="00BA2D76">
        <w:t>of the proposed framework.</w:t>
      </w:r>
      <w:r w:rsidR="00F709C5">
        <w:t xml:space="preserve"> </w:t>
      </w:r>
      <w:r w:rsidR="00BA2D76">
        <w:t xml:space="preserve">First, </w:t>
      </w:r>
      <w:r w:rsidR="00A84E2F" w:rsidRPr="00A84E2F">
        <w:rPr>
          <w:b/>
        </w:rPr>
        <w:t>t</w:t>
      </w:r>
      <w:r w:rsidR="006700CB" w:rsidRPr="006700CB">
        <w:rPr>
          <w:b/>
        </w:rPr>
        <w:t xml:space="preserve">he </w:t>
      </w:r>
      <w:r w:rsidR="006700CB">
        <w:rPr>
          <w:b/>
        </w:rPr>
        <w:t xml:space="preserve">proposed </w:t>
      </w:r>
      <w:r w:rsidR="006700CB" w:rsidRPr="006700CB">
        <w:rPr>
          <w:b/>
        </w:rPr>
        <w:t xml:space="preserve">fiscal and pricing measures </w:t>
      </w:r>
      <w:r>
        <w:rPr>
          <w:b/>
        </w:rPr>
        <w:t xml:space="preserve">would </w:t>
      </w:r>
      <w:r w:rsidR="00AB7EE0">
        <w:rPr>
          <w:b/>
        </w:rPr>
        <w:t>not be inconsistent with the current administrative philosophy that pursues small government</w:t>
      </w:r>
      <w:r w:rsidR="00BA2D76">
        <w:t xml:space="preserve">. </w:t>
      </w:r>
      <w:r w:rsidR="00D54B96">
        <w:t>T</w:t>
      </w:r>
      <w:r w:rsidR="00BA2D76">
        <w:t>he proposed taxes and subsidies do not automatically lead to bigger government or increased tax burden on households</w:t>
      </w:r>
      <w:r w:rsidR="00D54B96">
        <w:t xml:space="preserve"> and firms</w:t>
      </w:r>
      <w:r w:rsidR="00BA2D76">
        <w:t xml:space="preserve">. </w:t>
      </w:r>
      <w:r w:rsidR="00D54B96">
        <w:t xml:space="preserve">Taxes on low quality fuels, pollutants and high-emission vehicles would bring about net welfare benefits in terms of reduced health and environmental costs. Also, income (households) and cost (firms) effects of such fiscal measures can partly be compensated for by how the revenues are used. </w:t>
      </w:r>
      <w:r w:rsidR="00C703F6">
        <w:t>Government can choose (i) to allocate the</w:t>
      </w:r>
      <w:r w:rsidR="00D54B96">
        <w:t xml:space="preserve"> revenues </w:t>
      </w:r>
      <w:r w:rsidR="00C703F6">
        <w:t xml:space="preserve">generated from the proposed “green” taxes for investment in </w:t>
      </w:r>
      <w:r w:rsidR="00D54B96">
        <w:t xml:space="preserve">green transport </w:t>
      </w:r>
      <w:r w:rsidR="00C703F6">
        <w:t>modes,</w:t>
      </w:r>
      <w:r w:rsidR="00D54B96">
        <w:t xml:space="preserve"> </w:t>
      </w:r>
      <w:r w:rsidR="00C703F6">
        <w:t>(ii) to reduce taxes that have negative effects on economic growth, or (iii) to combine both approaches. For instance, if fuel tax revenues are used to improve public transport modes, i</w:t>
      </w:r>
      <w:r w:rsidR="00D54B96">
        <w:t xml:space="preserve">ncreased fuel costs for households can be compensated by </w:t>
      </w:r>
      <w:r w:rsidR="00C703F6">
        <w:t xml:space="preserve">enhanced mobility through high-quality </w:t>
      </w:r>
      <w:r w:rsidR="00D54B96">
        <w:t xml:space="preserve">public transport services. </w:t>
      </w:r>
      <w:r w:rsidR="00C703F6">
        <w:t>If Government, now with the revenues from green taxes and to be revenue-neutral, reduces the labor or corporate taxes, that would help reduce the informal sector or increase domestic and foreign investments.</w:t>
      </w:r>
      <w:r w:rsidR="00DC6B02">
        <w:t xml:space="preserve"> More generally, introduction of green taxes could be planned as part of broader changes in the taxation.</w:t>
      </w:r>
    </w:p>
    <w:p w:rsidR="00DC6B02" w:rsidRDefault="00D54B96" w:rsidP="00A84E2F">
      <w:r>
        <w:t xml:space="preserve">Second, </w:t>
      </w:r>
      <w:r w:rsidR="00DC6B02" w:rsidRPr="00DC6B02">
        <w:rPr>
          <w:b/>
        </w:rPr>
        <w:t>public acceptance of</w:t>
      </w:r>
      <w:r w:rsidRPr="00DC6B02">
        <w:rPr>
          <w:b/>
        </w:rPr>
        <w:t xml:space="preserve"> fiscal </w:t>
      </w:r>
      <w:r w:rsidR="00DC6B02" w:rsidRPr="00DC6B02">
        <w:rPr>
          <w:b/>
        </w:rPr>
        <w:t xml:space="preserve">and regulatory measures can be </w:t>
      </w:r>
      <w:r w:rsidR="00937DAC">
        <w:rPr>
          <w:b/>
        </w:rPr>
        <w:t xml:space="preserve">won through </w:t>
      </w:r>
      <w:r w:rsidR="00DC6B02" w:rsidRPr="00DC6B02">
        <w:rPr>
          <w:b/>
        </w:rPr>
        <w:t>a public outreach strategy that highlights the “service fee” nature of certain pricing measures</w:t>
      </w:r>
      <w:r w:rsidR="00770337">
        <w:rPr>
          <w:b/>
        </w:rPr>
        <w:t xml:space="preserve"> </w:t>
      </w:r>
      <w:r w:rsidR="00DC6B02">
        <w:rPr>
          <w:b/>
        </w:rPr>
        <w:t>and the social costs of environmental externalities</w:t>
      </w:r>
      <w:r w:rsidR="00770337">
        <w:rPr>
          <w:b/>
        </w:rPr>
        <w:t>, and promote “polluters pay principle”</w:t>
      </w:r>
      <w:r w:rsidR="00DC6B02">
        <w:t xml:space="preserve">. </w:t>
      </w:r>
      <w:r w:rsidR="00937DAC">
        <w:t>The proposed fiscal and pricing measures are not blanket taxes, but those that target the sources of pollution and inefficient use of motor fuels</w:t>
      </w:r>
      <w:r w:rsidR="00066094">
        <w:t xml:space="preserve"> (in other words, transport users have options to avoid these taxes, by opting for greener modes of transport)</w:t>
      </w:r>
      <w:r w:rsidR="00937DAC">
        <w:t xml:space="preserve">. Therefore they can easily be formulated </w:t>
      </w:r>
      <w:r w:rsidR="003D5180">
        <w:t xml:space="preserve">and communicated </w:t>
      </w:r>
      <w:r w:rsidR="00937DAC">
        <w:t>as “fees” that need to be paid for polluting the environment</w:t>
      </w:r>
      <w:r w:rsidR="003D5180" w:rsidRPr="003D5180">
        <w:t xml:space="preserve"> </w:t>
      </w:r>
      <w:r w:rsidR="003D5180">
        <w:t>or for using transport infrastructure and services</w:t>
      </w:r>
      <w:r w:rsidR="00937DAC">
        <w:t xml:space="preserve">, instead of “taxes” on </w:t>
      </w:r>
      <w:r w:rsidR="003D5180">
        <w:t>vehicles or fuels</w:t>
      </w:r>
      <w:r w:rsidR="00937DAC">
        <w:t xml:space="preserve">. </w:t>
      </w:r>
      <w:r w:rsidR="003D5180">
        <w:t xml:space="preserve">This approach has also been advocated in the White Paper of the European Commission not only for the political reason but also for the economic rationale. </w:t>
      </w:r>
      <w:r w:rsidR="00066094">
        <w:t>Most congestion charging schemes in Western Europe and North America have gained much political support when they were viewed as fees associated with certain services and users were provided with alternative options.</w:t>
      </w:r>
    </w:p>
    <w:p w:rsidR="006700CB" w:rsidRDefault="00066094" w:rsidP="00F74DCE">
      <w:r>
        <w:lastRenderedPageBreak/>
        <w:t>Third</w:t>
      </w:r>
      <w:r w:rsidR="00A84E2F" w:rsidRPr="00A84E2F">
        <w:t xml:space="preserve">, </w:t>
      </w:r>
      <w:r w:rsidR="00A84E2F">
        <w:rPr>
          <w:b/>
        </w:rPr>
        <w:t>i</w:t>
      </w:r>
      <w:r w:rsidR="006700CB" w:rsidRPr="006700CB">
        <w:rPr>
          <w:b/>
        </w:rPr>
        <w:t xml:space="preserve">mplementation of the proposed regulatory measures </w:t>
      </w:r>
      <w:r w:rsidR="00AB7EE0">
        <w:rPr>
          <w:b/>
        </w:rPr>
        <w:t>can be designed</w:t>
      </w:r>
      <w:r w:rsidR="006700CB" w:rsidRPr="006700CB">
        <w:rPr>
          <w:b/>
        </w:rPr>
        <w:t xml:space="preserve"> </w:t>
      </w:r>
      <w:r w:rsidR="00AB7EE0">
        <w:rPr>
          <w:b/>
        </w:rPr>
        <w:t xml:space="preserve">in a way that </w:t>
      </w:r>
      <w:r w:rsidR="006700CB" w:rsidRPr="006700CB">
        <w:rPr>
          <w:b/>
        </w:rPr>
        <w:t>minimize</w:t>
      </w:r>
      <w:r w:rsidR="00AB7EE0">
        <w:rPr>
          <w:b/>
        </w:rPr>
        <w:t>s</w:t>
      </w:r>
      <w:r w:rsidR="006700CB" w:rsidRPr="006700CB">
        <w:rPr>
          <w:b/>
        </w:rPr>
        <w:t xml:space="preserve"> administrative costs </w:t>
      </w:r>
      <w:r w:rsidR="00BA2D76">
        <w:rPr>
          <w:b/>
        </w:rPr>
        <w:t xml:space="preserve">and sustains </w:t>
      </w:r>
      <w:r w:rsidR="006700CB" w:rsidRPr="006700CB">
        <w:rPr>
          <w:b/>
        </w:rPr>
        <w:t>the achievement of governance reform</w:t>
      </w:r>
      <w:r w:rsidR="006700CB">
        <w:t xml:space="preserve">. </w:t>
      </w:r>
      <w:r w:rsidR="003840BC">
        <w:t>T</w:t>
      </w:r>
      <w:r w:rsidR="008F5394">
        <w:t>o minimize the contact between public officials and the public</w:t>
      </w:r>
      <w:r w:rsidR="003840BC">
        <w:t>, which was the principle of the</w:t>
      </w:r>
      <w:r w:rsidR="00770337">
        <w:t xml:space="preserve"> recent</w:t>
      </w:r>
      <w:r w:rsidR="003840BC">
        <w:t xml:space="preserve"> governance reform</w:t>
      </w:r>
      <w:r w:rsidR="00770337">
        <w:t xml:space="preserve"> in Georgia</w:t>
      </w:r>
      <w:r w:rsidR="003840BC">
        <w:t xml:space="preserve">, phased implementation of </w:t>
      </w:r>
      <w:r w:rsidR="008F5394">
        <w:t xml:space="preserve">regulatory measures </w:t>
      </w:r>
      <w:r w:rsidR="003840BC">
        <w:t>is recommended</w:t>
      </w:r>
      <w:r w:rsidR="008F5394">
        <w:t xml:space="preserve">. </w:t>
      </w:r>
      <w:r w:rsidR="003840BC">
        <w:t xml:space="preserve">Fuel quality inspection poses lowest governance risks as it can be done by checking a limited number of motor fuel importers and distributors. Expanding the current vehicle inspection that is limited to firms that provide international transport services to include other commercial operators including domestic ones would be a sensible next step. </w:t>
      </w:r>
      <w:r w:rsidR="00573C55">
        <w:t>Economic and financial feasibility of inspecting privately owned vehicles needs to be assessed, taking into consideration of governance risks and administrative costs.</w:t>
      </w:r>
    </w:p>
    <w:p w:rsidR="00B94249" w:rsidRPr="00501FB1" w:rsidRDefault="00B94249" w:rsidP="00BA2792">
      <w:pPr>
        <w:pStyle w:val="Heading2"/>
      </w:pPr>
      <w:bookmarkStart w:id="103" w:name="_Toc326892940"/>
      <w:r w:rsidRPr="00501FB1">
        <w:t>Business-As-Usual vs. Green Transport</w:t>
      </w:r>
      <w:r w:rsidR="00030996" w:rsidRPr="00501FB1">
        <w:t>ation</w:t>
      </w:r>
      <w:r w:rsidRPr="00501FB1">
        <w:t xml:space="preserve"> Scenarios</w:t>
      </w:r>
      <w:bookmarkEnd w:id="103"/>
    </w:p>
    <w:p w:rsidR="0006360C" w:rsidRDefault="00030996" w:rsidP="00B94249">
      <w:r>
        <w:t xml:space="preserve">This section presents </w:t>
      </w:r>
      <w:r w:rsidR="00415085">
        <w:t xml:space="preserve">the results of EFFECT analysis for two scenarios: </w:t>
      </w:r>
      <w:r>
        <w:t>b</w:t>
      </w:r>
      <w:r w:rsidR="00BE2C2B">
        <w:t xml:space="preserve">usiness-as-usual </w:t>
      </w:r>
      <w:r>
        <w:t>and green transportation</w:t>
      </w:r>
      <w:r w:rsidR="00C62B75">
        <w:t>; the s</w:t>
      </w:r>
      <w:r>
        <w:t>ame socio-economic parameters were used</w:t>
      </w:r>
      <w:r w:rsidR="00415085">
        <w:t xml:space="preserve"> for both</w:t>
      </w:r>
      <w:r>
        <w:t xml:space="preserve">. </w:t>
      </w:r>
      <w:r w:rsidR="00C62B75">
        <w:t xml:space="preserve">The following assumptions applied to both scenarios: (i) </w:t>
      </w:r>
      <w:r>
        <w:t>total output (GDP) grow</w:t>
      </w:r>
      <w:r w:rsidR="00C62B75">
        <w:t>s</w:t>
      </w:r>
      <w:r>
        <w:t xml:space="preserve"> at an annual rate of 7</w:t>
      </w:r>
      <w:r w:rsidR="00C62B75">
        <w:t>.0</w:t>
      </w:r>
      <w:r>
        <w:t xml:space="preserve"> percent, </w:t>
      </w:r>
      <w:r w:rsidR="00C36822">
        <w:t xml:space="preserve">and the </w:t>
      </w:r>
      <w:r>
        <w:t>population at 1</w:t>
      </w:r>
      <w:r w:rsidR="00C62B75">
        <w:t>.0</w:t>
      </w:r>
      <w:r>
        <w:t xml:space="preserve"> percent</w:t>
      </w:r>
      <w:r w:rsidR="00C62B75">
        <w:t xml:space="preserve">; (ii) </w:t>
      </w:r>
      <w:r w:rsidR="006140BC">
        <w:t xml:space="preserve">moderate motorization rate </w:t>
      </w:r>
      <w:r w:rsidR="00C62B75">
        <w:t xml:space="preserve">results in </w:t>
      </w:r>
      <w:r w:rsidR="006140BC">
        <w:t xml:space="preserve">about 220 vehicles per 1,000 people </w:t>
      </w:r>
      <w:r w:rsidR="00C62B75">
        <w:t xml:space="preserve">by </w:t>
      </w:r>
      <w:r w:rsidR="006140BC">
        <w:t>2027</w:t>
      </w:r>
      <w:r w:rsidR="00C62B75">
        <w:t xml:space="preserve">; (iii) the vehicle fleet undergoes </w:t>
      </w:r>
      <w:r w:rsidR="00415085">
        <w:t>moderate technological improvements</w:t>
      </w:r>
      <w:r w:rsidR="00274F3E">
        <w:t xml:space="preserve"> </w:t>
      </w:r>
      <w:r w:rsidR="00C62B75">
        <w:t xml:space="preserve">in </w:t>
      </w:r>
      <w:r w:rsidR="00415085">
        <w:t>terms of fuel efficiency and</w:t>
      </w:r>
      <w:r w:rsidR="00274F3E">
        <w:t xml:space="preserve"> </w:t>
      </w:r>
      <w:r w:rsidR="00415085">
        <w:t>emissions</w:t>
      </w:r>
      <w:r w:rsidR="00A91862">
        <w:t xml:space="preserve">. </w:t>
      </w:r>
      <w:r w:rsidR="004004FB">
        <w:t xml:space="preserve"> </w:t>
      </w:r>
    </w:p>
    <w:p w:rsidR="00FF1666" w:rsidRDefault="0006360C" w:rsidP="005D59E2">
      <w:pPr>
        <w:spacing w:after="80"/>
      </w:pPr>
      <w:r>
        <w:t xml:space="preserve">The EFFECT </w:t>
      </w:r>
      <w:r w:rsidR="00241CC0">
        <w:t xml:space="preserve">framework predicts future vehicle ownership and </w:t>
      </w:r>
      <w:r w:rsidR="005D59E2">
        <w:t xml:space="preserve">transport demand (in terms of ton-km and passenger-km) </w:t>
      </w:r>
      <w:r w:rsidR="00241CC0">
        <w:t xml:space="preserve">by </w:t>
      </w:r>
      <w:r w:rsidR="005D59E2">
        <w:t xml:space="preserve">mode, </w:t>
      </w:r>
      <w:r w:rsidR="00241CC0">
        <w:t xml:space="preserve">vehicle </w:t>
      </w:r>
      <w:r w:rsidR="005D59E2">
        <w:t>type, and engine technology</w:t>
      </w:r>
      <w:r w:rsidR="00241CC0">
        <w:t xml:space="preserve">, on the basis of the baseline ownership </w:t>
      </w:r>
      <w:r w:rsidR="005D59E2">
        <w:t xml:space="preserve">and transport </w:t>
      </w:r>
      <w:r w:rsidR="00241CC0">
        <w:t xml:space="preserve">data, </w:t>
      </w:r>
      <w:r w:rsidR="005D59E2">
        <w:t xml:space="preserve">future </w:t>
      </w:r>
      <w:r w:rsidR="00241CC0">
        <w:t xml:space="preserve">economic </w:t>
      </w:r>
      <w:r w:rsidR="005D59E2">
        <w:t xml:space="preserve">and population </w:t>
      </w:r>
      <w:r w:rsidR="00241CC0">
        <w:t>growth, fuel prices, mode choice patterns, and anticipated improvements and changes in vehicle technologies</w:t>
      </w:r>
      <w:r w:rsidR="005D59E2">
        <w:t xml:space="preserve">.  The current version of the EFFECT (v3.0) includes a railway module, allowing modal shift between road and rail transport.  It allows users to determine level of disaggregation based on the data availability and objective of the analysis. </w:t>
      </w:r>
      <w:r w:rsidR="004004FB">
        <w:t>Further details of the EFFECT framework, including input data, assumptions, and calibration methodologies are in Annex 1.</w:t>
      </w:r>
    </w:p>
    <w:tbl>
      <w:tblPr>
        <w:tblStyle w:val="TableGrid"/>
        <w:tblW w:w="9319" w:type="dxa"/>
        <w:jc w:val="center"/>
        <w:tblLayout w:type="fixed"/>
        <w:tblCellMar>
          <w:left w:w="115" w:type="dxa"/>
          <w:right w:w="115" w:type="dxa"/>
        </w:tblCellMar>
        <w:tblLook w:val="04A0"/>
      </w:tblPr>
      <w:tblGrid>
        <w:gridCol w:w="4659"/>
        <w:gridCol w:w="4660"/>
      </w:tblGrid>
      <w:tr w:rsidR="00B71A19" w:rsidTr="002B5B91">
        <w:trPr>
          <w:jc w:val="center"/>
        </w:trPr>
        <w:tc>
          <w:tcPr>
            <w:tcW w:w="4659" w:type="dxa"/>
            <w:tcBorders>
              <w:top w:val="nil"/>
              <w:left w:val="nil"/>
              <w:bottom w:val="single" w:sz="4" w:space="0" w:color="auto"/>
              <w:right w:val="nil"/>
            </w:tcBorders>
          </w:tcPr>
          <w:p w:rsidR="00B71A19" w:rsidRPr="000029FF" w:rsidRDefault="00B71A19" w:rsidP="0095101C">
            <w:pPr>
              <w:keepNext/>
              <w:keepLines/>
              <w:spacing w:before="60" w:after="60"/>
              <w:jc w:val="center"/>
              <w:rPr>
                <w:noProof/>
                <w:lang w:eastAsia="ko-KR" w:bidi="ar-SA"/>
              </w:rPr>
            </w:pPr>
            <w:bookmarkStart w:id="104" w:name="_Toc326892844"/>
            <w:r w:rsidRPr="00394B4B">
              <w:rPr>
                <w:b/>
                <w:sz w:val="20"/>
                <w:szCs w:val="20"/>
              </w:rPr>
              <w:t xml:space="preserve">Figure </w:t>
            </w:r>
            <w:r w:rsidR="001A7AF8" w:rsidRPr="00394B4B">
              <w:rPr>
                <w:b/>
                <w:sz w:val="20"/>
                <w:szCs w:val="20"/>
              </w:rPr>
              <w:fldChar w:fldCharType="begin"/>
            </w:r>
            <w:r w:rsidRPr="00394B4B">
              <w:rPr>
                <w:b/>
                <w:sz w:val="20"/>
                <w:szCs w:val="20"/>
              </w:rPr>
              <w:instrText xml:space="preserve"> SEQ Figure \* ARABIC </w:instrText>
            </w:r>
            <w:r w:rsidR="001A7AF8" w:rsidRPr="00394B4B">
              <w:rPr>
                <w:b/>
                <w:sz w:val="20"/>
                <w:szCs w:val="20"/>
              </w:rPr>
              <w:fldChar w:fldCharType="separate"/>
            </w:r>
            <w:r w:rsidR="00F74DCE">
              <w:rPr>
                <w:b/>
                <w:noProof/>
                <w:sz w:val="20"/>
                <w:szCs w:val="20"/>
              </w:rPr>
              <w:t>23</w:t>
            </w:r>
            <w:r w:rsidR="001A7AF8" w:rsidRPr="00394B4B">
              <w:rPr>
                <w:b/>
                <w:sz w:val="20"/>
                <w:szCs w:val="20"/>
              </w:rPr>
              <w:fldChar w:fldCharType="end"/>
            </w:r>
            <w:r>
              <w:rPr>
                <w:sz w:val="20"/>
                <w:szCs w:val="20"/>
              </w:rPr>
              <w:t xml:space="preserve">: </w:t>
            </w:r>
            <w:r w:rsidR="002B5B91">
              <w:rPr>
                <w:sz w:val="20"/>
                <w:szCs w:val="20"/>
              </w:rPr>
              <w:t>V</w:t>
            </w:r>
            <w:r w:rsidR="00A91862">
              <w:rPr>
                <w:sz w:val="20"/>
                <w:szCs w:val="20"/>
              </w:rPr>
              <w:t>ehicle-</w:t>
            </w:r>
            <w:r w:rsidR="006D3927">
              <w:rPr>
                <w:sz w:val="20"/>
                <w:szCs w:val="20"/>
              </w:rPr>
              <w:t>kilometers</w:t>
            </w:r>
            <w:r w:rsidR="00A91862">
              <w:rPr>
                <w:sz w:val="20"/>
                <w:szCs w:val="20"/>
              </w:rPr>
              <w:t>-traveled</w:t>
            </w:r>
            <w:r w:rsidR="00415085">
              <w:rPr>
                <w:sz w:val="20"/>
                <w:szCs w:val="20"/>
              </w:rPr>
              <w:t xml:space="preserve"> under the business-as-usual scenario</w:t>
            </w:r>
            <w:bookmarkEnd w:id="104"/>
          </w:p>
        </w:tc>
        <w:tc>
          <w:tcPr>
            <w:tcW w:w="4660" w:type="dxa"/>
            <w:tcBorders>
              <w:top w:val="nil"/>
              <w:left w:val="nil"/>
              <w:bottom w:val="single" w:sz="4" w:space="0" w:color="auto"/>
              <w:right w:val="nil"/>
            </w:tcBorders>
          </w:tcPr>
          <w:p w:rsidR="00B71A19" w:rsidRPr="00394B4B" w:rsidRDefault="00B71A19" w:rsidP="0095101C">
            <w:pPr>
              <w:keepNext/>
              <w:keepLines/>
              <w:spacing w:before="60" w:after="60"/>
              <w:jc w:val="center"/>
              <w:rPr>
                <w:b/>
                <w:sz w:val="20"/>
                <w:szCs w:val="20"/>
              </w:rPr>
            </w:pPr>
            <w:bookmarkStart w:id="105" w:name="_Toc326892845"/>
            <w:r w:rsidRPr="00394B4B">
              <w:rPr>
                <w:b/>
                <w:sz w:val="20"/>
                <w:szCs w:val="20"/>
              </w:rPr>
              <w:t xml:space="preserve">Figure </w:t>
            </w:r>
            <w:r w:rsidR="001A7AF8" w:rsidRPr="00394B4B">
              <w:rPr>
                <w:b/>
                <w:sz w:val="20"/>
                <w:szCs w:val="20"/>
              </w:rPr>
              <w:fldChar w:fldCharType="begin"/>
            </w:r>
            <w:r w:rsidRPr="00394B4B">
              <w:rPr>
                <w:b/>
                <w:sz w:val="20"/>
                <w:szCs w:val="20"/>
              </w:rPr>
              <w:instrText xml:space="preserve"> SEQ Figure \* ARABIC </w:instrText>
            </w:r>
            <w:r w:rsidR="001A7AF8" w:rsidRPr="00394B4B">
              <w:rPr>
                <w:b/>
                <w:sz w:val="20"/>
                <w:szCs w:val="20"/>
              </w:rPr>
              <w:fldChar w:fldCharType="separate"/>
            </w:r>
            <w:r w:rsidR="00F74DCE">
              <w:rPr>
                <w:b/>
                <w:noProof/>
                <w:sz w:val="20"/>
                <w:szCs w:val="20"/>
              </w:rPr>
              <w:t>24</w:t>
            </w:r>
            <w:r w:rsidR="001A7AF8" w:rsidRPr="00394B4B">
              <w:rPr>
                <w:b/>
                <w:sz w:val="20"/>
                <w:szCs w:val="20"/>
              </w:rPr>
              <w:fldChar w:fldCharType="end"/>
            </w:r>
            <w:r w:rsidRPr="00394B4B">
              <w:rPr>
                <w:sz w:val="20"/>
                <w:szCs w:val="20"/>
              </w:rPr>
              <w:t xml:space="preserve">: </w:t>
            </w:r>
            <w:r w:rsidR="002B5B91">
              <w:rPr>
                <w:sz w:val="20"/>
                <w:szCs w:val="20"/>
              </w:rPr>
              <w:t>V</w:t>
            </w:r>
            <w:r w:rsidR="00A91862">
              <w:rPr>
                <w:sz w:val="20"/>
                <w:szCs w:val="20"/>
              </w:rPr>
              <w:t>ehicle-</w:t>
            </w:r>
            <w:r w:rsidR="006D3927">
              <w:rPr>
                <w:sz w:val="20"/>
                <w:szCs w:val="20"/>
              </w:rPr>
              <w:t>kilometers</w:t>
            </w:r>
            <w:r w:rsidR="00A91862">
              <w:rPr>
                <w:sz w:val="20"/>
                <w:szCs w:val="20"/>
              </w:rPr>
              <w:t>-traveled</w:t>
            </w:r>
            <w:r w:rsidR="00415085">
              <w:rPr>
                <w:sz w:val="20"/>
                <w:szCs w:val="20"/>
              </w:rPr>
              <w:t xml:space="preserve"> under the green transportation scenario</w:t>
            </w:r>
            <w:bookmarkEnd w:id="105"/>
            <w:r w:rsidR="00415085">
              <w:rPr>
                <w:sz w:val="20"/>
                <w:szCs w:val="20"/>
              </w:rPr>
              <w:t xml:space="preserve"> </w:t>
            </w:r>
          </w:p>
        </w:tc>
      </w:tr>
      <w:tr w:rsidR="00B71A19" w:rsidTr="002B5B91">
        <w:trPr>
          <w:jc w:val="center"/>
        </w:trPr>
        <w:tc>
          <w:tcPr>
            <w:tcW w:w="4659" w:type="dxa"/>
            <w:tcBorders>
              <w:bottom w:val="single" w:sz="4" w:space="0" w:color="auto"/>
            </w:tcBorders>
            <w:tcMar>
              <w:left w:w="0" w:type="dxa"/>
              <w:right w:w="0" w:type="dxa"/>
            </w:tcMar>
          </w:tcPr>
          <w:p w:rsidR="003E1471" w:rsidRPr="00761436" w:rsidRDefault="00911A5E" w:rsidP="0095101C">
            <w:pPr>
              <w:keepNext/>
              <w:keepLines/>
              <w:spacing w:after="0"/>
              <w:jc w:val="center"/>
              <w:rPr>
                <w:highlight w:val="yellow"/>
              </w:rPr>
            </w:pPr>
            <w:r>
              <w:rPr>
                <w:noProof/>
                <w:lang w:bidi="ar-SA"/>
              </w:rPr>
              <w:drawing>
                <wp:inline distT="0" distB="0" distL="0" distR="0">
                  <wp:extent cx="2952750" cy="2752725"/>
                  <wp:effectExtent l="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2952750" cy="2752725"/>
                          </a:xfrm>
                          <a:prstGeom prst="rect">
                            <a:avLst/>
                          </a:prstGeom>
                          <a:noFill/>
                          <a:ln w="9525">
                            <a:noFill/>
                            <a:miter lim="800000"/>
                            <a:headEnd/>
                            <a:tailEnd/>
                          </a:ln>
                        </pic:spPr>
                      </pic:pic>
                    </a:graphicData>
                  </a:graphic>
                </wp:inline>
              </w:drawing>
            </w:r>
          </w:p>
        </w:tc>
        <w:tc>
          <w:tcPr>
            <w:tcW w:w="4660" w:type="dxa"/>
            <w:tcBorders>
              <w:bottom w:val="single" w:sz="4" w:space="0" w:color="auto"/>
            </w:tcBorders>
            <w:tcMar>
              <w:left w:w="0" w:type="dxa"/>
              <w:right w:w="0" w:type="dxa"/>
            </w:tcMar>
          </w:tcPr>
          <w:p w:rsidR="00B71A19" w:rsidRPr="00761436" w:rsidRDefault="004B268C" w:rsidP="0095101C">
            <w:pPr>
              <w:keepNext/>
              <w:keepLines/>
              <w:spacing w:after="0"/>
              <w:jc w:val="center"/>
              <w:rPr>
                <w:noProof/>
                <w:highlight w:val="yellow"/>
                <w:lang w:eastAsia="ko-KR" w:bidi="ar-SA"/>
              </w:rPr>
            </w:pPr>
            <w:r>
              <w:rPr>
                <w:noProof/>
                <w:lang w:bidi="ar-SA"/>
              </w:rPr>
              <w:drawing>
                <wp:inline distT="0" distB="0" distL="0" distR="0">
                  <wp:extent cx="2952750" cy="2752725"/>
                  <wp:effectExtent l="0" t="0" r="0"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2952750" cy="2752725"/>
                          </a:xfrm>
                          <a:prstGeom prst="rect">
                            <a:avLst/>
                          </a:prstGeom>
                          <a:noFill/>
                          <a:ln w="9525">
                            <a:noFill/>
                            <a:miter lim="800000"/>
                            <a:headEnd/>
                            <a:tailEnd/>
                          </a:ln>
                        </pic:spPr>
                      </pic:pic>
                    </a:graphicData>
                  </a:graphic>
                </wp:inline>
              </w:drawing>
            </w:r>
          </w:p>
        </w:tc>
      </w:tr>
    </w:tbl>
    <w:p w:rsidR="0095101C" w:rsidRDefault="0095101C" w:rsidP="00C36822">
      <w:pPr>
        <w:spacing w:before="120" w:after="0"/>
        <w:jc w:val="center"/>
        <w:rPr>
          <w:b/>
          <w:sz w:val="20"/>
          <w:szCs w:val="20"/>
        </w:rPr>
      </w:pPr>
    </w:p>
    <w:p w:rsidR="00573C55" w:rsidRPr="00394B4B" w:rsidRDefault="00573C55" w:rsidP="00C36822">
      <w:pPr>
        <w:spacing w:before="120" w:after="0"/>
        <w:jc w:val="center"/>
        <w:rPr>
          <w:b/>
          <w:sz w:val="20"/>
          <w:szCs w:val="20"/>
        </w:rPr>
      </w:pPr>
    </w:p>
    <w:tbl>
      <w:tblPr>
        <w:tblStyle w:val="TableGrid"/>
        <w:tblW w:w="9319" w:type="dxa"/>
        <w:jc w:val="center"/>
        <w:tblLayout w:type="fixed"/>
        <w:tblCellMar>
          <w:left w:w="115" w:type="dxa"/>
          <w:right w:w="115" w:type="dxa"/>
        </w:tblCellMar>
        <w:tblLook w:val="04A0"/>
      </w:tblPr>
      <w:tblGrid>
        <w:gridCol w:w="4659"/>
        <w:gridCol w:w="4660"/>
      </w:tblGrid>
      <w:tr w:rsidR="00415085" w:rsidTr="002B5B91">
        <w:trPr>
          <w:jc w:val="center"/>
        </w:trPr>
        <w:tc>
          <w:tcPr>
            <w:tcW w:w="4659" w:type="dxa"/>
            <w:tcBorders>
              <w:top w:val="nil"/>
              <w:left w:val="nil"/>
              <w:bottom w:val="single" w:sz="4" w:space="0" w:color="auto"/>
              <w:right w:val="nil"/>
            </w:tcBorders>
          </w:tcPr>
          <w:p w:rsidR="00415085" w:rsidRPr="000029FF" w:rsidRDefault="00415085" w:rsidP="00C36822">
            <w:pPr>
              <w:spacing w:before="120" w:after="0"/>
              <w:jc w:val="center"/>
              <w:rPr>
                <w:noProof/>
                <w:lang w:eastAsia="ko-KR" w:bidi="ar-SA"/>
              </w:rPr>
            </w:pPr>
            <w:bookmarkStart w:id="106" w:name="_Toc326892846"/>
            <w:r w:rsidRPr="00394B4B">
              <w:rPr>
                <w:b/>
                <w:sz w:val="20"/>
                <w:szCs w:val="20"/>
              </w:rPr>
              <w:lastRenderedPageBreak/>
              <w:t xml:space="preserve">Figure </w:t>
            </w:r>
            <w:r w:rsidR="001A7AF8" w:rsidRPr="00394B4B">
              <w:rPr>
                <w:b/>
                <w:sz w:val="20"/>
                <w:szCs w:val="20"/>
              </w:rPr>
              <w:fldChar w:fldCharType="begin"/>
            </w:r>
            <w:r w:rsidRPr="00394B4B">
              <w:rPr>
                <w:b/>
                <w:sz w:val="20"/>
                <w:szCs w:val="20"/>
              </w:rPr>
              <w:instrText xml:space="preserve"> SEQ Figure \* ARABIC </w:instrText>
            </w:r>
            <w:r w:rsidR="001A7AF8" w:rsidRPr="00394B4B">
              <w:rPr>
                <w:b/>
                <w:sz w:val="20"/>
                <w:szCs w:val="20"/>
              </w:rPr>
              <w:fldChar w:fldCharType="separate"/>
            </w:r>
            <w:r w:rsidR="00BA2792">
              <w:rPr>
                <w:b/>
                <w:noProof/>
                <w:sz w:val="20"/>
                <w:szCs w:val="20"/>
              </w:rPr>
              <w:t>25</w:t>
            </w:r>
            <w:r w:rsidR="001A7AF8" w:rsidRPr="00394B4B">
              <w:rPr>
                <w:b/>
                <w:sz w:val="20"/>
                <w:szCs w:val="20"/>
              </w:rPr>
              <w:fldChar w:fldCharType="end"/>
            </w:r>
            <w:r>
              <w:rPr>
                <w:sz w:val="20"/>
                <w:szCs w:val="20"/>
              </w:rPr>
              <w:t xml:space="preserve">: </w:t>
            </w:r>
            <w:r w:rsidR="00C36822">
              <w:rPr>
                <w:sz w:val="20"/>
                <w:szCs w:val="20"/>
              </w:rPr>
              <w:t>Motor f</w:t>
            </w:r>
            <w:r w:rsidR="00A91862">
              <w:rPr>
                <w:sz w:val="20"/>
                <w:szCs w:val="20"/>
              </w:rPr>
              <w:t>uel consumption</w:t>
            </w:r>
            <w:r w:rsidR="006D3927">
              <w:rPr>
                <w:sz w:val="20"/>
                <w:szCs w:val="20"/>
              </w:rPr>
              <w:t xml:space="preserve"> </w:t>
            </w:r>
            <w:r>
              <w:rPr>
                <w:sz w:val="20"/>
                <w:szCs w:val="20"/>
              </w:rPr>
              <w:t>under the business-as-usual scenario</w:t>
            </w:r>
            <w:bookmarkEnd w:id="106"/>
          </w:p>
        </w:tc>
        <w:tc>
          <w:tcPr>
            <w:tcW w:w="4660" w:type="dxa"/>
            <w:tcBorders>
              <w:top w:val="nil"/>
              <w:left w:val="nil"/>
              <w:bottom w:val="single" w:sz="4" w:space="0" w:color="auto"/>
              <w:right w:val="nil"/>
            </w:tcBorders>
          </w:tcPr>
          <w:p w:rsidR="00415085" w:rsidRPr="00394B4B" w:rsidRDefault="00415085" w:rsidP="006D3927">
            <w:pPr>
              <w:spacing w:before="120" w:after="0"/>
              <w:jc w:val="center"/>
              <w:rPr>
                <w:b/>
                <w:sz w:val="20"/>
                <w:szCs w:val="20"/>
              </w:rPr>
            </w:pPr>
            <w:bookmarkStart w:id="107" w:name="_Toc326892847"/>
            <w:r w:rsidRPr="00394B4B">
              <w:rPr>
                <w:b/>
                <w:sz w:val="20"/>
                <w:szCs w:val="20"/>
              </w:rPr>
              <w:t xml:space="preserve">Figure </w:t>
            </w:r>
            <w:r w:rsidR="001A7AF8" w:rsidRPr="00394B4B">
              <w:rPr>
                <w:b/>
                <w:sz w:val="20"/>
                <w:szCs w:val="20"/>
              </w:rPr>
              <w:fldChar w:fldCharType="begin"/>
            </w:r>
            <w:r w:rsidRPr="00394B4B">
              <w:rPr>
                <w:b/>
                <w:sz w:val="20"/>
                <w:szCs w:val="20"/>
              </w:rPr>
              <w:instrText xml:space="preserve"> SEQ Figure \* ARABIC </w:instrText>
            </w:r>
            <w:r w:rsidR="001A7AF8" w:rsidRPr="00394B4B">
              <w:rPr>
                <w:b/>
                <w:sz w:val="20"/>
                <w:szCs w:val="20"/>
              </w:rPr>
              <w:fldChar w:fldCharType="separate"/>
            </w:r>
            <w:r w:rsidR="00BA2792">
              <w:rPr>
                <w:b/>
                <w:noProof/>
                <w:sz w:val="20"/>
                <w:szCs w:val="20"/>
              </w:rPr>
              <w:t>26</w:t>
            </w:r>
            <w:r w:rsidR="001A7AF8" w:rsidRPr="00394B4B">
              <w:rPr>
                <w:b/>
                <w:sz w:val="20"/>
                <w:szCs w:val="20"/>
              </w:rPr>
              <w:fldChar w:fldCharType="end"/>
            </w:r>
            <w:r w:rsidRPr="00394B4B">
              <w:rPr>
                <w:sz w:val="20"/>
                <w:szCs w:val="20"/>
              </w:rPr>
              <w:t xml:space="preserve">: </w:t>
            </w:r>
            <w:r w:rsidR="00C36822">
              <w:rPr>
                <w:sz w:val="20"/>
                <w:szCs w:val="20"/>
              </w:rPr>
              <w:t>Motor f</w:t>
            </w:r>
            <w:r>
              <w:rPr>
                <w:sz w:val="20"/>
                <w:szCs w:val="20"/>
              </w:rPr>
              <w:t>uel consumption under the green transportation scenario</w:t>
            </w:r>
            <w:bookmarkEnd w:id="107"/>
            <w:r>
              <w:rPr>
                <w:sz w:val="20"/>
                <w:szCs w:val="20"/>
              </w:rPr>
              <w:t xml:space="preserve"> </w:t>
            </w:r>
          </w:p>
        </w:tc>
      </w:tr>
      <w:tr w:rsidR="00761436" w:rsidTr="00A91862">
        <w:trPr>
          <w:jc w:val="center"/>
        </w:trPr>
        <w:tc>
          <w:tcPr>
            <w:tcW w:w="4659" w:type="dxa"/>
            <w:tcBorders>
              <w:bottom w:val="single" w:sz="4" w:space="0" w:color="auto"/>
            </w:tcBorders>
            <w:tcMar>
              <w:left w:w="0" w:type="dxa"/>
              <w:right w:w="0" w:type="dxa"/>
            </w:tcMar>
          </w:tcPr>
          <w:p w:rsidR="00911A5E" w:rsidRPr="00761436" w:rsidRDefault="00911A5E" w:rsidP="00A91862">
            <w:pPr>
              <w:spacing w:after="0"/>
              <w:jc w:val="center"/>
              <w:rPr>
                <w:highlight w:val="yellow"/>
              </w:rPr>
            </w:pPr>
            <w:r>
              <w:rPr>
                <w:noProof/>
                <w:lang w:bidi="ar-SA"/>
              </w:rPr>
              <w:drawing>
                <wp:inline distT="0" distB="0" distL="0" distR="0">
                  <wp:extent cx="2952750" cy="2752725"/>
                  <wp:effectExtent l="1905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2952750" cy="2752725"/>
                          </a:xfrm>
                          <a:prstGeom prst="rect">
                            <a:avLst/>
                          </a:prstGeom>
                          <a:noFill/>
                          <a:ln w="9525">
                            <a:noFill/>
                            <a:miter lim="800000"/>
                            <a:headEnd/>
                            <a:tailEnd/>
                          </a:ln>
                        </pic:spPr>
                      </pic:pic>
                    </a:graphicData>
                  </a:graphic>
                </wp:inline>
              </w:drawing>
            </w:r>
          </w:p>
        </w:tc>
        <w:tc>
          <w:tcPr>
            <w:tcW w:w="4660" w:type="dxa"/>
            <w:tcBorders>
              <w:bottom w:val="single" w:sz="4" w:space="0" w:color="auto"/>
            </w:tcBorders>
            <w:tcMar>
              <w:left w:w="0" w:type="dxa"/>
              <w:right w:w="0" w:type="dxa"/>
            </w:tcMar>
          </w:tcPr>
          <w:p w:rsidR="00761436" w:rsidRPr="00761436" w:rsidRDefault="004B268C" w:rsidP="00A91862">
            <w:pPr>
              <w:spacing w:after="0"/>
              <w:jc w:val="center"/>
              <w:rPr>
                <w:noProof/>
                <w:highlight w:val="yellow"/>
                <w:lang w:eastAsia="ko-KR" w:bidi="ar-SA"/>
              </w:rPr>
            </w:pPr>
            <w:r>
              <w:rPr>
                <w:noProof/>
                <w:lang w:bidi="ar-SA"/>
              </w:rPr>
              <w:drawing>
                <wp:inline distT="0" distB="0" distL="0" distR="0">
                  <wp:extent cx="2952750" cy="2752725"/>
                  <wp:effectExtent l="19050" t="0" r="0" b="0"/>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2952750" cy="2752725"/>
                          </a:xfrm>
                          <a:prstGeom prst="rect">
                            <a:avLst/>
                          </a:prstGeom>
                          <a:noFill/>
                          <a:ln w="9525">
                            <a:noFill/>
                            <a:miter lim="800000"/>
                            <a:headEnd/>
                            <a:tailEnd/>
                          </a:ln>
                        </pic:spPr>
                      </pic:pic>
                    </a:graphicData>
                  </a:graphic>
                </wp:inline>
              </w:drawing>
            </w:r>
          </w:p>
        </w:tc>
      </w:tr>
      <w:tr w:rsidR="00761436" w:rsidTr="002B5B91">
        <w:trPr>
          <w:jc w:val="center"/>
        </w:trPr>
        <w:tc>
          <w:tcPr>
            <w:tcW w:w="4659" w:type="dxa"/>
            <w:tcBorders>
              <w:top w:val="nil"/>
              <w:left w:val="nil"/>
              <w:bottom w:val="single" w:sz="4" w:space="0" w:color="auto"/>
              <w:right w:val="nil"/>
            </w:tcBorders>
          </w:tcPr>
          <w:p w:rsidR="00761436" w:rsidRPr="000029FF" w:rsidRDefault="00761436" w:rsidP="006D3927">
            <w:pPr>
              <w:spacing w:before="120" w:after="0"/>
              <w:jc w:val="center"/>
              <w:rPr>
                <w:noProof/>
                <w:lang w:eastAsia="ko-KR" w:bidi="ar-SA"/>
              </w:rPr>
            </w:pPr>
            <w:bookmarkStart w:id="108" w:name="_Toc326892848"/>
            <w:r w:rsidRPr="00394B4B">
              <w:rPr>
                <w:b/>
                <w:sz w:val="20"/>
                <w:szCs w:val="20"/>
              </w:rPr>
              <w:t xml:space="preserve">Figure </w:t>
            </w:r>
            <w:r w:rsidR="001A7AF8" w:rsidRPr="00394B4B">
              <w:rPr>
                <w:b/>
                <w:sz w:val="20"/>
                <w:szCs w:val="20"/>
              </w:rPr>
              <w:fldChar w:fldCharType="begin"/>
            </w:r>
            <w:r w:rsidRPr="00394B4B">
              <w:rPr>
                <w:b/>
                <w:sz w:val="20"/>
                <w:szCs w:val="20"/>
              </w:rPr>
              <w:instrText xml:space="preserve"> SEQ Figure \* ARABIC </w:instrText>
            </w:r>
            <w:r w:rsidR="001A7AF8" w:rsidRPr="00394B4B">
              <w:rPr>
                <w:b/>
                <w:sz w:val="20"/>
                <w:szCs w:val="20"/>
              </w:rPr>
              <w:fldChar w:fldCharType="separate"/>
            </w:r>
            <w:r w:rsidR="00BA2792">
              <w:rPr>
                <w:b/>
                <w:noProof/>
                <w:sz w:val="20"/>
                <w:szCs w:val="20"/>
              </w:rPr>
              <w:t>27</w:t>
            </w:r>
            <w:r w:rsidR="001A7AF8" w:rsidRPr="00394B4B">
              <w:rPr>
                <w:b/>
                <w:sz w:val="20"/>
                <w:szCs w:val="20"/>
              </w:rPr>
              <w:fldChar w:fldCharType="end"/>
            </w:r>
            <w:r>
              <w:rPr>
                <w:sz w:val="20"/>
                <w:szCs w:val="20"/>
              </w:rPr>
              <w:t>: CO</w:t>
            </w:r>
            <w:r w:rsidRPr="00A91862">
              <w:rPr>
                <w:sz w:val="20"/>
                <w:szCs w:val="20"/>
                <w:vertAlign w:val="subscript"/>
              </w:rPr>
              <w:t>2</w:t>
            </w:r>
            <w:r>
              <w:rPr>
                <w:sz w:val="20"/>
                <w:szCs w:val="20"/>
              </w:rPr>
              <w:t xml:space="preserve"> emissions </w:t>
            </w:r>
            <w:r w:rsidR="007E7970">
              <w:rPr>
                <w:sz w:val="20"/>
                <w:szCs w:val="20"/>
              </w:rPr>
              <w:t xml:space="preserve">from road transport </w:t>
            </w:r>
            <w:r>
              <w:rPr>
                <w:sz w:val="20"/>
                <w:szCs w:val="20"/>
              </w:rPr>
              <w:t>under the business-as-usual scenario</w:t>
            </w:r>
            <w:bookmarkEnd w:id="108"/>
          </w:p>
        </w:tc>
        <w:tc>
          <w:tcPr>
            <w:tcW w:w="4660" w:type="dxa"/>
            <w:tcBorders>
              <w:top w:val="nil"/>
              <w:left w:val="nil"/>
              <w:bottom w:val="single" w:sz="4" w:space="0" w:color="auto"/>
              <w:right w:val="nil"/>
            </w:tcBorders>
          </w:tcPr>
          <w:p w:rsidR="00761436" w:rsidRPr="00394B4B" w:rsidRDefault="00761436" w:rsidP="006D3927">
            <w:pPr>
              <w:spacing w:before="120" w:after="0"/>
              <w:jc w:val="center"/>
              <w:rPr>
                <w:b/>
                <w:sz w:val="20"/>
                <w:szCs w:val="20"/>
              </w:rPr>
            </w:pPr>
            <w:bookmarkStart w:id="109" w:name="_Toc326892849"/>
            <w:r w:rsidRPr="00394B4B">
              <w:rPr>
                <w:b/>
                <w:sz w:val="20"/>
                <w:szCs w:val="20"/>
              </w:rPr>
              <w:t xml:space="preserve">Figure </w:t>
            </w:r>
            <w:r w:rsidR="001A7AF8" w:rsidRPr="00394B4B">
              <w:rPr>
                <w:b/>
                <w:sz w:val="20"/>
                <w:szCs w:val="20"/>
              </w:rPr>
              <w:fldChar w:fldCharType="begin"/>
            </w:r>
            <w:r w:rsidRPr="00394B4B">
              <w:rPr>
                <w:b/>
                <w:sz w:val="20"/>
                <w:szCs w:val="20"/>
              </w:rPr>
              <w:instrText xml:space="preserve"> SEQ Figure \* ARABIC </w:instrText>
            </w:r>
            <w:r w:rsidR="001A7AF8" w:rsidRPr="00394B4B">
              <w:rPr>
                <w:b/>
                <w:sz w:val="20"/>
                <w:szCs w:val="20"/>
              </w:rPr>
              <w:fldChar w:fldCharType="separate"/>
            </w:r>
            <w:r w:rsidR="00BA2792">
              <w:rPr>
                <w:b/>
                <w:noProof/>
                <w:sz w:val="20"/>
                <w:szCs w:val="20"/>
              </w:rPr>
              <w:t>28</w:t>
            </w:r>
            <w:r w:rsidR="001A7AF8" w:rsidRPr="00394B4B">
              <w:rPr>
                <w:b/>
                <w:sz w:val="20"/>
                <w:szCs w:val="20"/>
              </w:rPr>
              <w:fldChar w:fldCharType="end"/>
            </w:r>
            <w:r w:rsidRPr="00394B4B">
              <w:rPr>
                <w:sz w:val="20"/>
                <w:szCs w:val="20"/>
              </w:rPr>
              <w:t xml:space="preserve">: </w:t>
            </w:r>
            <w:r>
              <w:rPr>
                <w:sz w:val="20"/>
                <w:szCs w:val="20"/>
              </w:rPr>
              <w:t>CO</w:t>
            </w:r>
            <w:r w:rsidRPr="00A91862">
              <w:rPr>
                <w:sz w:val="20"/>
                <w:szCs w:val="20"/>
                <w:vertAlign w:val="subscript"/>
              </w:rPr>
              <w:t>2</w:t>
            </w:r>
            <w:r>
              <w:rPr>
                <w:sz w:val="20"/>
                <w:szCs w:val="20"/>
              </w:rPr>
              <w:t xml:space="preserve"> emissions </w:t>
            </w:r>
            <w:r w:rsidR="007E7970">
              <w:rPr>
                <w:sz w:val="20"/>
                <w:szCs w:val="20"/>
              </w:rPr>
              <w:t xml:space="preserve">from road transport </w:t>
            </w:r>
            <w:r>
              <w:rPr>
                <w:sz w:val="20"/>
                <w:szCs w:val="20"/>
              </w:rPr>
              <w:t>under the green transportation scenario</w:t>
            </w:r>
            <w:bookmarkEnd w:id="109"/>
            <w:r>
              <w:rPr>
                <w:sz w:val="20"/>
                <w:szCs w:val="20"/>
              </w:rPr>
              <w:t xml:space="preserve"> </w:t>
            </w:r>
          </w:p>
        </w:tc>
      </w:tr>
      <w:tr w:rsidR="00761436" w:rsidTr="00A91862">
        <w:trPr>
          <w:jc w:val="center"/>
        </w:trPr>
        <w:tc>
          <w:tcPr>
            <w:tcW w:w="4659" w:type="dxa"/>
            <w:tcBorders>
              <w:bottom w:val="single" w:sz="4" w:space="0" w:color="auto"/>
            </w:tcBorders>
            <w:tcMar>
              <w:left w:w="0" w:type="dxa"/>
              <w:right w:w="0" w:type="dxa"/>
            </w:tcMar>
          </w:tcPr>
          <w:p w:rsidR="00911A5E" w:rsidRPr="00761436" w:rsidRDefault="00911A5E" w:rsidP="00A91862">
            <w:pPr>
              <w:spacing w:after="0"/>
              <w:jc w:val="center"/>
              <w:rPr>
                <w:highlight w:val="yellow"/>
              </w:rPr>
            </w:pPr>
            <w:r>
              <w:rPr>
                <w:noProof/>
                <w:lang w:bidi="ar-SA"/>
              </w:rPr>
              <w:drawing>
                <wp:inline distT="0" distB="0" distL="0" distR="0">
                  <wp:extent cx="2952750" cy="2762250"/>
                  <wp:effectExtent l="19050" t="0" r="0" b="0"/>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2952750" cy="2762250"/>
                          </a:xfrm>
                          <a:prstGeom prst="rect">
                            <a:avLst/>
                          </a:prstGeom>
                          <a:noFill/>
                          <a:ln w="9525">
                            <a:noFill/>
                            <a:miter lim="800000"/>
                            <a:headEnd/>
                            <a:tailEnd/>
                          </a:ln>
                        </pic:spPr>
                      </pic:pic>
                    </a:graphicData>
                  </a:graphic>
                </wp:inline>
              </w:drawing>
            </w:r>
          </w:p>
        </w:tc>
        <w:tc>
          <w:tcPr>
            <w:tcW w:w="4660" w:type="dxa"/>
            <w:tcBorders>
              <w:bottom w:val="single" w:sz="4" w:space="0" w:color="auto"/>
            </w:tcBorders>
            <w:tcMar>
              <w:left w:w="0" w:type="dxa"/>
              <w:right w:w="0" w:type="dxa"/>
            </w:tcMar>
          </w:tcPr>
          <w:p w:rsidR="00761436" w:rsidRPr="00761436" w:rsidRDefault="004B268C" w:rsidP="00A91862">
            <w:pPr>
              <w:spacing w:after="0"/>
              <w:jc w:val="center"/>
              <w:rPr>
                <w:noProof/>
                <w:highlight w:val="yellow"/>
                <w:lang w:eastAsia="ko-KR" w:bidi="ar-SA"/>
              </w:rPr>
            </w:pPr>
            <w:r>
              <w:rPr>
                <w:noProof/>
                <w:lang w:bidi="ar-SA"/>
              </w:rPr>
              <w:drawing>
                <wp:inline distT="0" distB="0" distL="0" distR="0">
                  <wp:extent cx="2952750" cy="2762250"/>
                  <wp:effectExtent l="19050" t="0" r="0" b="0"/>
                  <wp:docPr id="9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2952750" cy="2762250"/>
                          </a:xfrm>
                          <a:prstGeom prst="rect">
                            <a:avLst/>
                          </a:prstGeom>
                          <a:noFill/>
                          <a:ln w="9525">
                            <a:noFill/>
                            <a:miter lim="800000"/>
                            <a:headEnd/>
                            <a:tailEnd/>
                          </a:ln>
                        </pic:spPr>
                      </pic:pic>
                    </a:graphicData>
                  </a:graphic>
                </wp:inline>
              </w:drawing>
            </w:r>
          </w:p>
        </w:tc>
      </w:tr>
      <w:tr w:rsidR="00761436" w:rsidTr="002B5B91">
        <w:trPr>
          <w:jc w:val="center"/>
        </w:trPr>
        <w:tc>
          <w:tcPr>
            <w:tcW w:w="9319" w:type="dxa"/>
            <w:gridSpan w:val="2"/>
            <w:tcBorders>
              <w:left w:val="nil"/>
              <w:bottom w:val="nil"/>
              <w:right w:val="nil"/>
            </w:tcBorders>
            <w:tcMar>
              <w:top w:w="14" w:type="dxa"/>
              <w:left w:w="43" w:type="dxa"/>
              <w:bottom w:w="14" w:type="dxa"/>
              <w:right w:w="43" w:type="dxa"/>
            </w:tcMar>
          </w:tcPr>
          <w:p w:rsidR="00761436" w:rsidRPr="00961A10" w:rsidRDefault="00761436" w:rsidP="00FE58D7">
            <w:pPr>
              <w:spacing w:before="20" w:after="360"/>
              <w:jc w:val="left"/>
              <w:rPr>
                <w:i/>
                <w:sz w:val="18"/>
                <w:szCs w:val="18"/>
              </w:rPr>
            </w:pPr>
            <w:r w:rsidRPr="00961A10">
              <w:rPr>
                <w:i/>
                <w:sz w:val="18"/>
                <w:szCs w:val="18"/>
              </w:rPr>
              <w:t xml:space="preserve">Source: </w:t>
            </w:r>
            <w:r>
              <w:rPr>
                <w:i/>
                <w:sz w:val="18"/>
                <w:szCs w:val="18"/>
              </w:rPr>
              <w:t>WB Staff analysis using the EFFECT Framework based on the data provided by Georgian entities</w:t>
            </w:r>
          </w:p>
        </w:tc>
      </w:tr>
    </w:tbl>
    <w:p w:rsidR="001326D4" w:rsidRDefault="00E44157" w:rsidP="00B94249">
      <w:r>
        <w:t>Under</w:t>
      </w:r>
      <w:r w:rsidR="00C62B75">
        <w:t xml:space="preserve"> the </w:t>
      </w:r>
      <w:r>
        <w:t xml:space="preserve">green transportation scenario, as shown in Figures 23-28 and </w:t>
      </w:r>
      <w:fldSimple w:instr=" REF _Ref324810704 \h  \* MERGEFORMAT ">
        <w:r w:rsidR="009E716A" w:rsidRPr="009E716A">
          <w:t xml:space="preserve">Table </w:t>
        </w:r>
        <w:r w:rsidR="009E716A" w:rsidRPr="009E716A">
          <w:rPr>
            <w:noProof/>
          </w:rPr>
          <w:t>9</w:t>
        </w:r>
      </w:fldSimple>
      <w:r w:rsidR="00274F3E">
        <w:t xml:space="preserve">, Georgians will drive about </w:t>
      </w:r>
      <w:r w:rsidR="00730724">
        <w:t>4</w:t>
      </w:r>
      <w:r w:rsidR="00C62B75">
        <w:t>.0</w:t>
      </w:r>
      <w:r w:rsidR="00730724">
        <w:t>-6</w:t>
      </w:r>
      <w:r w:rsidR="00C62B75">
        <w:t>.0</w:t>
      </w:r>
      <w:r w:rsidR="00730724">
        <w:t xml:space="preserve"> percent less </w:t>
      </w:r>
      <w:r w:rsidR="00274F3E">
        <w:t>during 2012-2027</w:t>
      </w:r>
      <w:r w:rsidR="00730724" w:rsidRPr="00730724">
        <w:t xml:space="preserve"> </w:t>
      </w:r>
      <w:r w:rsidR="00C62B75">
        <w:t xml:space="preserve">as measured by </w:t>
      </w:r>
      <w:r w:rsidR="00730724">
        <w:t>vehicle-kilometers</w:t>
      </w:r>
      <w:r w:rsidR="00274F3E">
        <w:t xml:space="preserve">, compared to the business-as-usual scenario. Subsequently during the same period, reduction in motor fuel consumption is estimated at </w:t>
      </w:r>
      <w:r w:rsidR="00FE58D7">
        <w:t>1,746</w:t>
      </w:r>
      <w:r>
        <w:t xml:space="preserve"> to</w:t>
      </w:r>
      <w:r w:rsidR="00FE58D7">
        <w:t xml:space="preserve"> 1,825 </w:t>
      </w:r>
      <w:r w:rsidR="00274F3E">
        <w:t>million tons</w:t>
      </w:r>
      <w:r w:rsidR="00FE58D7">
        <w:t xml:space="preserve"> (</w:t>
      </w:r>
      <w:r w:rsidR="00712C17">
        <w:t>7-8</w:t>
      </w:r>
      <w:r w:rsidR="00FE58D7">
        <w:t xml:space="preserve"> percent)</w:t>
      </w:r>
      <w:r w:rsidR="00274F3E">
        <w:t xml:space="preserve">, equivalent to </w:t>
      </w:r>
      <w:r w:rsidR="0069180E">
        <w:t xml:space="preserve">about </w:t>
      </w:r>
      <w:r w:rsidR="00712C17">
        <w:t>9</w:t>
      </w:r>
      <w:r>
        <w:t xml:space="preserve"> </w:t>
      </w:r>
      <w:r w:rsidR="00274F3E">
        <w:t xml:space="preserve">billion GEL </w:t>
      </w:r>
      <w:r w:rsidR="0069180E">
        <w:t xml:space="preserve">in </w:t>
      </w:r>
      <w:r w:rsidR="00FE58D7">
        <w:t>fuel cost savings (</w:t>
      </w:r>
      <w:r w:rsidR="00274F3E">
        <w:t>discounted net present value</w:t>
      </w:r>
      <w:r w:rsidR="0069180E">
        <w:t>).  The green transportation scenario would</w:t>
      </w:r>
      <w:r w:rsidR="00FE58D7">
        <w:t xml:space="preserve"> reduc</w:t>
      </w:r>
      <w:r w:rsidR="0069180E">
        <w:t>e</w:t>
      </w:r>
      <w:r w:rsidR="00FE58D7">
        <w:t xml:space="preserve"> CO2</w:t>
      </w:r>
      <w:r w:rsidR="00274F3E">
        <w:t xml:space="preserve"> emissions </w:t>
      </w:r>
      <w:r w:rsidR="0069180E">
        <w:t xml:space="preserve">by an </w:t>
      </w:r>
      <w:r w:rsidR="00274F3E">
        <w:t xml:space="preserve">estimated </w:t>
      </w:r>
      <w:r w:rsidR="00FE58D7">
        <w:t>2,797</w:t>
      </w:r>
      <w:r>
        <w:t xml:space="preserve"> to </w:t>
      </w:r>
      <w:r w:rsidR="00FE58D7">
        <w:t>5,338</w:t>
      </w:r>
      <w:r>
        <w:t xml:space="preserve"> </w:t>
      </w:r>
      <w:r w:rsidR="00274F3E">
        <w:t>million tons</w:t>
      </w:r>
      <w:r w:rsidR="0069180E">
        <w:t xml:space="preserve"> (</w:t>
      </w:r>
      <w:r w:rsidR="00FE58D7">
        <w:t>4-7 percent</w:t>
      </w:r>
      <w:r w:rsidR="0069180E">
        <w:t>)</w:t>
      </w:r>
      <w:r w:rsidR="00274F3E">
        <w:t>.</w:t>
      </w:r>
      <w:r w:rsidR="0069180E">
        <w:t xml:space="preserve"> </w:t>
      </w:r>
      <w:r w:rsidR="00FE58D7">
        <w:t>Most l</w:t>
      </w:r>
      <w:r w:rsidR="0044204F">
        <w:t xml:space="preserve">ocal pollutant emissions are </w:t>
      </w:r>
      <w:r w:rsidR="00FE58D7">
        <w:t xml:space="preserve">substantially reduced under the green transportation scenario </w:t>
      </w:r>
      <w:r w:rsidR="0069180E">
        <w:t>(</w:t>
      </w:r>
      <w:fldSimple w:instr=" REF _Ref324810704 \h  \* MERGEFORMAT ">
        <w:r w:rsidR="00573C55" w:rsidRPr="00573C55">
          <w:t xml:space="preserve">Table </w:t>
        </w:r>
        <w:r w:rsidR="00573C55" w:rsidRPr="00573C55">
          <w:rPr>
            <w:noProof/>
          </w:rPr>
          <w:t>9</w:t>
        </w:r>
      </w:fldSimple>
      <w:r w:rsidR="0069180E">
        <w:t>)</w:t>
      </w:r>
      <w:r w:rsidR="00D50A62">
        <w:t>: CO emissions</w:t>
      </w:r>
      <w:r w:rsidR="0069180E">
        <w:t xml:space="preserve"> by 22-67 percent</w:t>
      </w:r>
      <w:r w:rsidR="00D50A62">
        <w:t xml:space="preserve">, </w:t>
      </w:r>
      <w:r w:rsidR="0069180E">
        <w:t xml:space="preserve">VOC emissions by </w:t>
      </w:r>
      <w:r w:rsidR="00D50A62">
        <w:t>26</w:t>
      </w:r>
      <w:r w:rsidR="0069180E">
        <w:t>-</w:t>
      </w:r>
      <w:r w:rsidR="00D50A62">
        <w:t>54 percent, and NOx emissions</w:t>
      </w:r>
      <w:r w:rsidR="0069180E">
        <w:t xml:space="preserve"> by 11-23 percent</w:t>
      </w:r>
      <w:r w:rsidR="00776DE6">
        <w:t>.</w:t>
      </w:r>
    </w:p>
    <w:p w:rsidR="00B71A19" w:rsidRDefault="0069180E" w:rsidP="00B94249">
      <w:r>
        <w:lastRenderedPageBreak/>
        <w:t>I</w:t>
      </w:r>
      <w:r w:rsidR="001326D4">
        <w:t xml:space="preserve">ndirect benefits of green transportation scenario </w:t>
      </w:r>
      <w:r>
        <w:t xml:space="preserve">were </w:t>
      </w:r>
      <w:r w:rsidR="001326D4">
        <w:t xml:space="preserve">not </w:t>
      </w:r>
      <w:r>
        <w:t xml:space="preserve">factored </w:t>
      </w:r>
      <w:r w:rsidR="001326D4">
        <w:t>in</w:t>
      </w:r>
      <w:r w:rsidR="00F23C87">
        <w:t>to</w:t>
      </w:r>
      <w:r w:rsidR="001326D4">
        <w:t xml:space="preserve"> the calculation</w:t>
      </w:r>
      <w:r w:rsidR="00F23C87">
        <w:t xml:space="preserve"> but would include (i) reduced</w:t>
      </w:r>
      <w:r w:rsidR="001326D4">
        <w:t xml:space="preserve"> traffic congestion, thus time-savings and increased productivity</w:t>
      </w:r>
      <w:r w:rsidR="00F23C87">
        <w:t>; (ii) reduced</w:t>
      </w:r>
      <w:r w:rsidR="001326D4">
        <w:t xml:space="preserve"> road traffic accidents and fatalities</w:t>
      </w:r>
      <w:r w:rsidR="00F23C87">
        <w:t>;</w:t>
      </w:r>
      <w:r w:rsidR="001326D4">
        <w:t xml:space="preserve"> (ii) positive impacts on public health</w:t>
      </w:r>
      <w:r w:rsidR="00F23C87">
        <w:t>; and (iv) potentially lower</w:t>
      </w:r>
      <w:r w:rsidR="001326D4">
        <w:t xml:space="preserve"> transport costs that would enhance competitiveness of Georgia’s export</w:t>
      </w:r>
      <w:r w:rsidR="00F23C87">
        <w:t>s</w:t>
      </w:r>
      <w:r w:rsidR="001326D4">
        <w:t xml:space="preserve"> and lower prices </w:t>
      </w:r>
      <w:r w:rsidR="00F23C87">
        <w:t xml:space="preserve">for </w:t>
      </w:r>
      <w:r w:rsidR="001326D4">
        <w:t xml:space="preserve">consumer goods.  </w:t>
      </w:r>
      <w:r w:rsidR="00F23C87">
        <w:t xml:space="preserve">The </w:t>
      </w:r>
      <w:r w:rsidR="001326D4">
        <w:t xml:space="preserve">modal shift to rail-based transport and electric modes of public transport </w:t>
      </w:r>
      <w:r w:rsidR="00F23C87">
        <w:t xml:space="preserve">would increase </w:t>
      </w:r>
      <w:r w:rsidR="001326D4">
        <w:t>electricity consumption substantially, requiring expansion of hydropower generation capacity.</w:t>
      </w:r>
    </w:p>
    <w:p w:rsidR="00415085" w:rsidRPr="003C7163" w:rsidRDefault="00415085" w:rsidP="00415085">
      <w:pPr>
        <w:pStyle w:val="Caption"/>
        <w:keepNext/>
        <w:spacing w:before="240" w:after="120"/>
        <w:rPr>
          <w:b w:val="0"/>
          <w:color w:val="auto"/>
          <w:sz w:val="20"/>
          <w:szCs w:val="20"/>
        </w:rPr>
      </w:pPr>
      <w:bookmarkStart w:id="110" w:name="_Ref324810704"/>
      <w:bookmarkStart w:id="111" w:name="_Toc326892900"/>
      <w:r w:rsidRPr="00624B2C">
        <w:rPr>
          <w:color w:val="auto"/>
          <w:sz w:val="20"/>
          <w:szCs w:val="20"/>
        </w:rPr>
        <w:t xml:space="preserve">Table </w:t>
      </w:r>
      <w:r w:rsidR="001A7AF8" w:rsidRPr="00624B2C">
        <w:rPr>
          <w:color w:val="auto"/>
          <w:sz w:val="20"/>
          <w:szCs w:val="20"/>
        </w:rPr>
        <w:fldChar w:fldCharType="begin"/>
      </w:r>
      <w:r w:rsidRPr="00624B2C">
        <w:rPr>
          <w:color w:val="auto"/>
          <w:sz w:val="20"/>
          <w:szCs w:val="20"/>
        </w:rPr>
        <w:instrText xml:space="preserve"> SEQ Table \* ARABIC </w:instrText>
      </w:r>
      <w:r w:rsidR="001A7AF8" w:rsidRPr="00624B2C">
        <w:rPr>
          <w:color w:val="auto"/>
          <w:sz w:val="20"/>
          <w:szCs w:val="20"/>
        </w:rPr>
        <w:fldChar w:fldCharType="separate"/>
      </w:r>
      <w:r w:rsidR="009E716A">
        <w:rPr>
          <w:noProof/>
          <w:color w:val="auto"/>
          <w:sz w:val="20"/>
          <w:szCs w:val="20"/>
        </w:rPr>
        <w:t>9</w:t>
      </w:r>
      <w:r w:rsidR="001A7AF8" w:rsidRPr="00624B2C">
        <w:rPr>
          <w:color w:val="auto"/>
          <w:sz w:val="20"/>
          <w:szCs w:val="20"/>
        </w:rPr>
        <w:fldChar w:fldCharType="end"/>
      </w:r>
      <w:bookmarkEnd w:id="110"/>
      <w:r w:rsidRPr="00624B2C">
        <w:rPr>
          <w:b w:val="0"/>
          <w:color w:val="auto"/>
          <w:sz w:val="20"/>
          <w:szCs w:val="20"/>
        </w:rPr>
        <w:t xml:space="preserve">: </w:t>
      </w:r>
      <w:r w:rsidR="00FC59E2">
        <w:rPr>
          <w:b w:val="0"/>
          <w:color w:val="auto"/>
          <w:sz w:val="20"/>
          <w:szCs w:val="20"/>
        </w:rPr>
        <w:t>Comparison of business-as-usual and green transportation scenario for 2012-2027</w:t>
      </w:r>
      <w:bookmarkEnd w:id="111"/>
    </w:p>
    <w:tbl>
      <w:tblPr>
        <w:tblStyle w:val="MediumShading1-Accent31"/>
        <w:tblW w:w="9320" w:type="dxa"/>
        <w:jc w:val="center"/>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tblBorders>
        <w:tblCellMar>
          <w:top w:w="29" w:type="dxa"/>
          <w:left w:w="72" w:type="dxa"/>
          <w:bottom w:w="29" w:type="dxa"/>
          <w:right w:w="72" w:type="dxa"/>
        </w:tblCellMar>
        <w:tblLook w:val="04A0"/>
      </w:tblPr>
      <w:tblGrid>
        <w:gridCol w:w="3490"/>
        <w:gridCol w:w="1620"/>
        <w:gridCol w:w="1052"/>
        <w:gridCol w:w="1053"/>
        <w:gridCol w:w="1052"/>
        <w:gridCol w:w="1053"/>
      </w:tblGrid>
      <w:tr w:rsidR="00FF1666" w:rsidRPr="00FC59E2" w:rsidTr="00350334">
        <w:trPr>
          <w:cnfStyle w:val="100000000000"/>
          <w:jc w:val="center"/>
        </w:trPr>
        <w:tc>
          <w:tcPr>
            <w:cnfStyle w:val="001000000000"/>
            <w:tcW w:w="3490" w:type="dxa"/>
            <w:vMerge w:val="restart"/>
            <w:tcBorders>
              <w:top w:val="single" w:sz="8" w:space="0" w:color="76923C" w:themeColor="accent3" w:themeShade="BF"/>
              <w:left w:val="single" w:sz="8" w:space="0" w:color="76923C" w:themeColor="accent3" w:themeShade="BF"/>
              <w:bottom w:val="single" w:sz="8" w:space="0" w:color="76923C" w:themeColor="accent3" w:themeShade="BF"/>
              <w:right w:val="single" w:sz="8" w:space="0" w:color="FFFFFF" w:themeColor="background1"/>
            </w:tcBorders>
            <w:shd w:val="clear" w:color="auto" w:fill="76923C" w:themeFill="accent3" w:themeFillShade="BF"/>
            <w:vAlign w:val="center"/>
          </w:tcPr>
          <w:p w:rsidR="00FF1666" w:rsidRPr="00FF1666" w:rsidRDefault="00FF1666" w:rsidP="00FF1666">
            <w:pPr>
              <w:spacing w:after="0"/>
              <w:jc w:val="center"/>
              <w:rPr>
                <w:color w:val="F2F2F2" w:themeColor="background1" w:themeShade="F2"/>
                <w:sz w:val="21"/>
                <w:szCs w:val="21"/>
              </w:rPr>
            </w:pPr>
            <w:r w:rsidRPr="00FF1666">
              <w:rPr>
                <w:color w:val="F2F2F2" w:themeColor="background1" w:themeShade="F2"/>
                <w:sz w:val="21"/>
                <w:szCs w:val="21"/>
              </w:rPr>
              <w:t>Indicators</w:t>
            </w:r>
          </w:p>
        </w:tc>
        <w:tc>
          <w:tcPr>
            <w:tcW w:w="1620" w:type="dxa"/>
            <w:vMerge w:val="restart"/>
            <w:tcBorders>
              <w:top w:val="single" w:sz="8" w:space="0" w:color="76923C" w:themeColor="accent3" w:themeShade="BF"/>
              <w:left w:val="single" w:sz="8" w:space="0" w:color="FFFFFF" w:themeColor="background1"/>
              <w:bottom w:val="single" w:sz="8" w:space="0" w:color="76923C" w:themeColor="accent3" w:themeShade="BF"/>
              <w:right w:val="single" w:sz="8" w:space="0" w:color="FFFFFF" w:themeColor="background1"/>
            </w:tcBorders>
            <w:shd w:val="clear" w:color="auto" w:fill="76923C" w:themeFill="accent3" w:themeFillShade="BF"/>
            <w:vAlign w:val="center"/>
          </w:tcPr>
          <w:p w:rsidR="00FF1666" w:rsidRPr="00FF1666" w:rsidRDefault="00FF1666" w:rsidP="00FF1666">
            <w:pPr>
              <w:spacing w:after="0"/>
              <w:jc w:val="center"/>
              <w:cnfStyle w:val="100000000000"/>
              <w:rPr>
                <w:bCs w:val="0"/>
                <w:color w:val="F2F2F2" w:themeColor="background1" w:themeShade="F2"/>
                <w:sz w:val="21"/>
                <w:szCs w:val="21"/>
              </w:rPr>
            </w:pPr>
            <w:r w:rsidRPr="00FF1666">
              <w:rPr>
                <w:color w:val="F2F2F2" w:themeColor="background1" w:themeShade="F2"/>
                <w:sz w:val="21"/>
                <w:szCs w:val="21"/>
              </w:rPr>
              <w:t>Business-as-usual</w:t>
            </w:r>
          </w:p>
        </w:tc>
        <w:tc>
          <w:tcPr>
            <w:tcW w:w="4210" w:type="dxa"/>
            <w:gridSpan w:val="4"/>
            <w:tcBorders>
              <w:top w:val="single" w:sz="8" w:space="0" w:color="76923C" w:themeColor="accent3" w:themeShade="BF"/>
              <w:left w:val="single" w:sz="8" w:space="0" w:color="FFFFFF" w:themeColor="background1"/>
              <w:bottom w:val="single" w:sz="8" w:space="0" w:color="FFFFFF" w:themeColor="background1"/>
              <w:right w:val="single" w:sz="8" w:space="0" w:color="76923C" w:themeColor="accent3" w:themeShade="BF"/>
            </w:tcBorders>
            <w:shd w:val="clear" w:color="auto" w:fill="76923C" w:themeFill="accent3" w:themeFillShade="BF"/>
            <w:vAlign w:val="center"/>
          </w:tcPr>
          <w:p w:rsidR="00FF1666" w:rsidRPr="00FF1666" w:rsidRDefault="00FF1666" w:rsidP="00415085">
            <w:pPr>
              <w:spacing w:after="0"/>
              <w:jc w:val="center"/>
              <w:cnfStyle w:val="100000000000"/>
              <w:rPr>
                <w:bCs w:val="0"/>
                <w:color w:val="F2F2F2" w:themeColor="background1" w:themeShade="F2"/>
                <w:sz w:val="21"/>
                <w:szCs w:val="21"/>
              </w:rPr>
            </w:pPr>
            <w:r w:rsidRPr="00FF1666">
              <w:rPr>
                <w:color w:val="F2F2F2" w:themeColor="background1" w:themeShade="F2"/>
                <w:sz w:val="21"/>
                <w:szCs w:val="21"/>
              </w:rPr>
              <w:t>Green Transportation</w:t>
            </w:r>
          </w:p>
        </w:tc>
      </w:tr>
      <w:tr w:rsidR="003E444C" w:rsidRPr="00FC59E2" w:rsidTr="00350334">
        <w:trPr>
          <w:cnfStyle w:val="000000100000"/>
          <w:jc w:val="center"/>
        </w:trPr>
        <w:tc>
          <w:tcPr>
            <w:cnfStyle w:val="001000000000"/>
            <w:tcW w:w="3490" w:type="dxa"/>
            <w:vMerge/>
            <w:tcBorders>
              <w:top w:val="nil"/>
              <w:left w:val="single" w:sz="8" w:space="0" w:color="76923C" w:themeColor="accent3" w:themeShade="BF"/>
              <w:right w:val="single" w:sz="8" w:space="0" w:color="FFFFFF" w:themeColor="background1"/>
            </w:tcBorders>
            <w:shd w:val="clear" w:color="auto" w:fill="76923C" w:themeFill="accent3" w:themeFillShade="BF"/>
            <w:vAlign w:val="center"/>
          </w:tcPr>
          <w:p w:rsidR="00FF1666" w:rsidRPr="00FF1666" w:rsidRDefault="00FF1666" w:rsidP="00FF1666">
            <w:pPr>
              <w:spacing w:after="0"/>
              <w:jc w:val="center"/>
              <w:rPr>
                <w:b w:val="0"/>
                <w:color w:val="F2F2F2" w:themeColor="background1" w:themeShade="F2"/>
                <w:sz w:val="21"/>
                <w:szCs w:val="21"/>
              </w:rPr>
            </w:pPr>
          </w:p>
        </w:tc>
        <w:tc>
          <w:tcPr>
            <w:tcW w:w="1620" w:type="dxa"/>
            <w:vMerge/>
            <w:tcBorders>
              <w:top w:val="nil"/>
              <w:left w:val="single" w:sz="8" w:space="0" w:color="FFFFFF" w:themeColor="background1"/>
              <w:bottom w:val="single" w:sz="8" w:space="0" w:color="76923C" w:themeColor="accent3" w:themeShade="BF"/>
              <w:right w:val="single" w:sz="8" w:space="0" w:color="FFFFFF" w:themeColor="background1"/>
            </w:tcBorders>
            <w:shd w:val="clear" w:color="auto" w:fill="76923C" w:themeFill="accent3" w:themeFillShade="BF"/>
            <w:vAlign w:val="center"/>
          </w:tcPr>
          <w:p w:rsidR="00FF1666" w:rsidRPr="00FF1666" w:rsidRDefault="00FF1666" w:rsidP="00FF1666">
            <w:pPr>
              <w:spacing w:after="0"/>
              <w:jc w:val="center"/>
              <w:cnfStyle w:val="000000100000"/>
              <w:rPr>
                <w:color w:val="F2F2F2" w:themeColor="background1" w:themeShade="F2"/>
                <w:sz w:val="21"/>
                <w:szCs w:val="21"/>
              </w:rPr>
            </w:pPr>
          </w:p>
        </w:tc>
        <w:tc>
          <w:tcPr>
            <w:tcW w:w="2105" w:type="dxa"/>
            <w:gridSpan w:val="2"/>
            <w:tcBorders>
              <w:top w:val="single" w:sz="8" w:space="0" w:color="FFFFFF" w:themeColor="background1"/>
              <w:left w:val="single" w:sz="8" w:space="0" w:color="FFFFFF" w:themeColor="background1"/>
              <w:bottom w:val="single" w:sz="8" w:space="0" w:color="76923C" w:themeColor="accent3" w:themeShade="BF"/>
              <w:right w:val="single" w:sz="8" w:space="0" w:color="FFFFFF" w:themeColor="background1"/>
            </w:tcBorders>
            <w:shd w:val="clear" w:color="auto" w:fill="76923C" w:themeFill="accent3" w:themeFillShade="BF"/>
            <w:vAlign w:val="center"/>
          </w:tcPr>
          <w:p w:rsidR="00FF1666" w:rsidRPr="00087CE2" w:rsidRDefault="00177638" w:rsidP="00FF1666">
            <w:pPr>
              <w:spacing w:after="0"/>
              <w:jc w:val="center"/>
              <w:cnfStyle w:val="000000100000"/>
              <w:rPr>
                <w:i/>
                <w:color w:val="F2F2F2" w:themeColor="background1" w:themeShade="F2"/>
                <w:sz w:val="21"/>
                <w:szCs w:val="21"/>
              </w:rPr>
            </w:pPr>
            <w:r>
              <w:rPr>
                <w:i/>
                <w:color w:val="F2F2F2" w:themeColor="background1" w:themeShade="F2"/>
                <w:sz w:val="21"/>
                <w:szCs w:val="21"/>
              </w:rPr>
              <w:t>Moderate</w:t>
            </w:r>
          </w:p>
        </w:tc>
        <w:tc>
          <w:tcPr>
            <w:tcW w:w="2105" w:type="dxa"/>
            <w:gridSpan w:val="2"/>
            <w:tcBorders>
              <w:top w:val="single" w:sz="8" w:space="0" w:color="FFFFFF" w:themeColor="background1"/>
              <w:left w:val="single" w:sz="8" w:space="0" w:color="FFFFFF" w:themeColor="background1"/>
            </w:tcBorders>
            <w:shd w:val="clear" w:color="auto" w:fill="76923C" w:themeFill="accent3" w:themeFillShade="BF"/>
            <w:vAlign w:val="center"/>
          </w:tcPr>
          <w:p w:rsidR="00FF1666" w:rsidRPr="00087CE2" w:rsidRDefault="00177638" w:rsidP="00FF1666">
            <w:pPr>
              <w:spacing w:after="0"/>
              <w:jc w:val="center"/>
              <w:cnfStyle w:val="000000100000"/>
              <w:rPr>
                <w:bCs/>
                <w:i/>
                <w:color w:val="F2F2F2" w:themeColor="background1" w:themeShade="F2"/>
                <w:sz w:val="21"/>
                <w:szCs w:val="21"/>
              </w:rPr>
            </w:pPr>
            <w:r>
              <w:rPr>
                <w:bCs/>
                <w:i/>
                <w:color w:val="F2F2F2" w:themeColor="background1" w:themeShade="F2"/>
                <w:sz w:val="21"/>
                <w:szCs w:val="21"/>
              </w:rPr>
              <w:t>Aggressive</w:t>
            </w:r>
          </w:p>
        </w:tc>
      </w:tr>
      <w:tr w:rsidR="00730724" w:rsidRPr="00FC59E2" w:rsidTr="00172B70">
        <w:trPr>
          <w:cnfStyle w:val="000000010000"/>
          <w:jc w:val="center"/>
        </w:trPr>
        <w:tc>
          <w:tcPr>
            <w:cnfStyle w:val="001000000000"/>
            <w:tcW w:w="3490" w:type="dxa"/>
            <w:tcBorders>
              <w:right w:val="single" w:sz="8" w:space="0" w:color="76923C" w:themeColor="accent3" w:themeShade="BF"/>
            </w:tcBorders>
            <w:vAlign w:val="center"/>
          </w:tcPr>
          <w:p w:rsidR="00730724" w:rsidRPr="00FC59E2" w:rsidRDefault="00730724" w:rsidP="00172B70">
            <w:pPr>
              <w:spacing w:after="0"/>
              <w:jc w:val="left"/>
              <w:rPr>
                <w:b w:val="0"/>
                <w:sz w:val="21"/>
                <w:szCs w:val="21"/>
              </w:rPr>
            </w:pPr>
            <w:r w:rsidRPr="00FC59E2">
              <w:rPr>
                <w:b w:val="0"/>
                <w:sz w:val="21"/>
                <w:szCs w:val="21"/>
              </w:rPr>
              <w:t xml:space="preserve">Total </w:t>
            </w:r>
            <w:r>
              <w:rPr>
                <w:b w:val="0"/>
                <w:sz w:val="21"/>
                <w:szCs w:val="21"/>
              </w:rPr>
              <w:t>vehicle-km on road (million)</w:t>
            </w:r>
          </w:p>
        </w:tc>
        <w:tc>
          <w:tcPr>
            <w:tcW w:w="1620" w:type="dxa"/>
            <w:tcBorders>
              <w:left w:val="single" w:sz="8" w:space="0" w:color="76923C" w:themeColor="accent3" w:themeShade="BF"/>
              <w:right w:val="single" w:sz="8" w:space="0" w:color="76923C" w:themeColor="accent3" w:themeShade="BF"/>
            </w:tcBorders>
            <w:vAlign w:val="center"/>
          </w:tcPr>
          <w:p w:rsidR="00730724" w:rsidRPr="003C7163" w:rsidRDefault="00730724" w:rsidP="00172B70">
            <w:pPr>
              <w:spacing w:after="0"/>
              <w:ind w:right="328"/>
              <w:jc w:val="right"/>
              <w:cnfStyle w:val="000000010000"/>
              <w:rPr>
                <w:color w:val="000000"/>
                <w:sz w:val="21"/>
                <w:szCs w:val="21"/>
              </w:rPr>
            </w:pPr>
            <w:r w:rsidRPr="003C7163">
              <w:rPr>
                <w:color w:val="000000"/>
                <w:sz w:val="21"/>
                <w:szCs w:val="21"/>
              </w:rPr>
              <w:t>258,235</w:t>
            </w:r>
          </w:p>
        </w:tc>
        <w:tc>
          <w:tcPr>
            <w:tcW w:w="1052" w:type="dxa"/>
            <w:tcBorders>
              <w:left w:val="single" w:sz="8" w:space="0" w:color="76923C" w:themeColor="accent3" w:themeShade="BF"/>
            </w:tcBorders>
            <w:vAlign w:val="center"/>
          </w:tcPr>
          <w:p w:rsidR="00730724" w:rsidRPr="00350334" w:rsidRDefault="00730724" w:rsidP="00172B70">
            <w:pPr>
              <w:spacing w:after="0"/>
              <w:jc w:val="right"/>
              <w:cnfStyle w:val="000000010000"/>
              <w:rPr>
                <w:color w:val="000000"/>
                <w:sz w:val="21"/>
                <w:szCs w:val="21"/>
              </w:rPr>
            </w:pPr>
            <w:r w:rsidRPr="00350334">
              <w:rPr>
                <w:color w:val="000000"/>
                <w:sz w:val="21"/>
                <w:szCs w:val="21"/>
              </w:rPr>
              <w:t>249,319</w:t>
            </w:r>
          </w:p>
        </w:tc>
        <w:tc>
          <w:tcPr>
            <w:tcW w:w="1053" w:type="dxa"/>
            <w:tcBorders>
              <w:right w:val="single" w:sz="8" w:space="0" w:color="76923C" w:themeColor="accent3" w:themeShade="BF"/>
            </w:tcBorders>
            <w:vAlign w:val="center"/>
          </w:tcPr>
          <w:p w:rsidR="00730724" w:rsidRPr="00350334" w:rsidRDefault="00730724" w:rsidP="00172B70">
            <w:pPr>
              <w:spacing w:after="0"/>
              <w:jc w:val="left"/>
              <w:cnfStyle w:val="000000010000"/>
              <w:rPr>
                <w:color w:val="000000"/>
                <w:sz w:val="21"/>
                <w:szCs w:val="21"/>
              </w:rPr>
            </w:pPr>
            <w:r w:rsidRPr="00350334">
              <w:rPr>
                <w:color w:val="000000"/>
                <w:sz w:val="21"/>
                <w:szCs w:val="21"/>
              </w:rPr>
              <w:t>(</w:t>
            </w:r>
            <w:r w:rsidR="00BC572C">
              <w:rPr>
                <w:color w:val="000000"/>
                <w:sz w:val="21"/>
                <w:szCs w:val="21"/>
              </w:rPr>
              <w:t>-</w:t>
            </w:r>
            <w:r w:rsidRPr="00350334">
              <w:rPr>
                <w:color w:val="000000"/>
                <w:sz w:val="21"/>
                <w:szCs w:val="21"/>
              </w:rPr>
              <w:t>4%)</w:t>
            </w:r>
          </w:p>
        </w:tc>
        <w:tc>
          <w:tcPr>
            <w:tcW w:w="1052" w:type="dxa"/>
            <w:tcBorders>
              <w:left w:val="single" w:sz="8" w:space="0" w:color="76923C" w:themeColor="accent3" w:themeShade="BF"/>
            </w:tcBorders>
            <w:vAlign w:val="center"/>
          </w:tcPr>
          <w:p w:rsidR="00730724" w:rsidRPr="00350334" w:rsidRDefault="00730724" w:rsidP="00172B70">
            <w:pPr>
              <w:spacing w:after="0"/>
              <w:jc w:val="right"/>
              <w:cnfStyle w:val="000000010000"/>
              <w:rPr>
                <w:color w:val="000000"/>
                <w:sz w:val="21"/>
                <w:szCs w:val="21"/>
              </w:rPr>
            </w:pPr>
            <w:r w:rsidRPr="00350334">
              <w:rPr>
                <w:color w:val="000000"/>
                <w:sz w:val="21"/>
                <w:szCs w:val="21"/>
              </w:rPr>
              <w:t>244,075</w:t>
            </w:r>
          </w:p>
        </w:tc>
        <w:tc>
          <w:tcPr>
            <w:tcW w:w="1053" w:type="dxa"/>
            <w:vAlign w:val="center"/>
          </w:tcPr>
          <w:p w:rsidR="00730724" w:rsidRPr="00350334" w:rsidRDefault="00730724" w:rsidP="00172B70">
            <w:pPr>
              <w:spacing w:after="0"/>
              <w:jc w:val="left"/>
              <w:cnfStyle w:val="000000010000"/>
              <w:rPr>
                <w:color w:val="000000"/>
                <w:sz w:val="21"/>
                <w:szCs w:val="21"/>
              </w:rPr>
            </w:pPr>
            <w:r w:rsidRPr="00350334">
              <w:rPr>
                <w:color w:val="000000"/>
                <w:sz w:val="21"/>
                <w:szCs w:val="21"/>
              </w:rPr>
              <w:t>(</w:t>
            </w:r>
            <w:r w:rsidR="00BC572C">
              <w:rPr>
                <w:color w:val="000000"/>
                <w:sz w:val="21"/>
                <w:szCs w:val="21"/>
              </w:rPr>
              <w:t>-</w:t>
            </w:r>
            <w:r w:rsidRPr="00350334">
              <w:rPr>
                <w:color w:val="000000"/>
                <w:sz w:val="21"/>
                <w:szCs w:val="21"/>
              </w:rPr>
              <w:t>6%)</w:t>
            </w:r>
          </w:p>
        </w:tc>
      </w:tr>
      <w:tr w:rsidR="00350334" w:rsidRPr="00FC59E2" w:rsidTr="00350334">
        <w:trPr>
          <w:cnfStyle w:val="000000100000"/>
          <w:jc w:val="center"/>
        </w:trPr>
        <w:tc>
          <w:tcPr>
            <w:cnfStyle w:val="001000000000"/>
            <w:tcW w:w="3490" w:type="dxa"/>
            <w:tcBorders>
              <w:right w:val="single" w:sz="8" w:space="0" w:color="76923C" w:themeColor="accent3" w:themeShade="BF"/>
            </w:tcBorders>
            <w:vAlign w:val="center"/>
          </w:tcPr>
          <w:p w:rsidR="00350334" w:rsidRPr="00FC59E2" w:rsidRDefault="00350334" w:rsidP="00FF1666">
            <w:pPr>
              <w:spacing w:after="0"/>
              <w:jc w:val="left"/>
              <w:rPr>
                <w:b w:val="0"/>
                <w:sz w:val="21"/>
                <w:szCs w:val="21"/>
              </w:rPr>
            </w:pPr>
            <w:r w:rsidRPr="00FC59E2">
              <w:rPr>
                <w:b w:val="0"/>
                <w:sz w:val="21"/>
                <w:szCs w:val="21"/>
              </w:rPr>
              <w:t xml:space="preserve">Total fuel </w:t>
            </w:r>
            <w:r>
              <w:rPr>
                <w:b w:val="0"/>
                <w:sz w:val="21"/>
                <w:szCs w:val="21"/>
              </w:rPr>
              <w:t>consumption (thousand tons)</w:t>
            </w:r>
          </w:p>
        </w:tc>
        <w:tc>
          <w:tcPr>
            <w:tcW w:w="1620" w:type="dxa"/>
            <w:tcBorders>
              <w:left w:val="single" w:sz="8" w:space="0" w:color="76923C" w:themeColor="accent3" w:themeShade="BF"/>
              <w:right w:val="single" w:sz="8" w:space="0" w:color="76923C" w:themeColor="accent3" w:themeShade="BF"/>
            </w:tcBorders>
            <w:vAlign w:val="center"/>
          </w:tcPr>
          <w:p w:rsidR="00350334" w:rsidRPr="003C7163" w:rsidRDefault="00350334" w:rsidP="00350334">
            <w:pPr>
              <w:spacing w:after="0"/>
              <w:ind w:right="328"/>
              <w:jc w:val="right"/>
              <w:cnfStyle w:val="000000100000"/>
              <w:rPr>
                <w:color w:val="000000"/>
                <w:sz w:val="21"/>
                <w:szCs w:val="21"/>
              </w:rPr>
            </w:pPr>
            <w:r w:rsidRPr="003C7163">
              <w:rPr>
                <w:color w:val="000000"/>
                <w:sz w:val="21"/>
                <w:szCs w:val="21"/>
              </w:rPr>
              <w:t>23,492</w:t>
            </w:r>
          </w:p>
        </w:tc>
        <w:tc>
          <w:tcPr>
            <w:tcW w:w="1052" w:type="dxa"/>
            <w:tcBorders>
              <w:left w:val="single" w:sz="8" w:space="0" w:color="76923C" w:themeColor="accent3" w:themeShade="BF"/>
            </w:tcBorders>
            <w:vAlign w:val="center"/>
          </w:tcPr>
          <w:p w:rsidR="00350334" w:rsidRPr="00350334" w:rsidRDefault="00350334" w:rsidP="00350334">
            <w:pPr>
              <w:spacing w:after="0"/>
              <w:jc w:val="right"/>
              <w:cnfStyle w:val="000000100000"/>
              <w:rPr>
                <w:color w:val="000000"/>
                <w:sz w:val="21"/>
                <w:szCs w:val="21"/>
              </w:rPr>
            </w:pPr>
            <w:r w:rsidRPr="00350334">
              <w:rPr>
                <w:color w:val="000000"/>
                <w:sz w:val="21"/>
                <w:szCs w:val="21"/>
              </w:rPr>
              <w:t>21,746</w:t>
            </w:r>
          </w:p>
        </w:tc>
        <w:tc>
          <w:tcPr>
            <w:tcW w:w="1053" w:type="dxa"/>
            <w:tcBorders>
              <w:right w:val="single" w:sz="8" w:space="0" w:color="76923C" w:themeColor="accent3" w:themeShade="BF"/>
            </w:tcBorders>
            <w:vAlign w:val="center"/>
          </w:tcPr>
          <w:p w:rsidR="00350334" w:rsidRPr="00350334" w:rsidRDefault="00350334" w:rsidP="00350334">
            <w:pPr>
              <w:spacing w:after="0"/>
              <w:jc w:val="left"/>
              <w:cnfStyle w:val="000000100000"/>
              <w:rPr>
                <w:color w:val="000000"/>
                <w:sz w:val="21"/>
                <w:szCs w:val="21"/>
              </w:rPr>
            </w:pPr>
            <w:r w:rsidRPr="00350334">
              <w:rPr>
                <w:color w:val="000000"/>
                <w:sz w:val="21"/>
                <w:szCs w:val="21"/>
              </w:rPr>
              <w:t>(</w:t>
            </w:r>
            <w:r w:rsidR="00BC572C">
              <w:rPr>
                <w:color w:val="000000"/>
                <w:sz w:val="21"/>
                <w:szCs w:val="21"/>
              </w:rPr>
              <w:t>-</w:t>
            </w:r>
            <w:r w:rsidRPr="00350334">
              <w:rPr>
                <w:color w:val="000000"/>
                <w:sz w:val="21"/>
                <w:szCs w:val="21"/>
              </w:rPr>
              <w:t>7%)</w:t>
            </w:r>
          </w:p>
        </w:tc>
        <w:tc>
          <w:tcPr>
            <w:tcW w:w="1052" w:type="dxa"/>
            <w:tcBorders>
              <w:left w:val="single" w:sz="8" w:space="0" w:color="76923C" w:themeColor="accent3" w:themeShade="BF"/>
            </w:tcBorders>
            <w:vAlign w:val="center"/>
          </w:tcPr>
          <w:p w:rsidR="00350334" w:rsidRPr="00350334" w:rsidRDefault="00350334" w:rsidP="00350334">
            <w:pPr>
              <w:spacing w:after="0"/>
              <w:jc w:val="right"/>
              <w:cnfStyle w:val="000000100000"/>
              <w:rPr>
                <w:color w:val="000000"/>
                <w:sz w:val="21"/>
                <w:szCs w:val="21"/>
              </w:rPr>
            </w:pPr>
            <w:r w:rsidRPr="00350334">
              <w:rPr>
                <w:color w:val="000000"/>
                <w:sz w:val="21"/>
                <w:szCs w:val="21"/>
              </w:rPr>
              <w:t>21,667</w:t>
            </w:r>
          </w:p>
        </w:tc>
        <w:tc>
          <w:tcPr>
            <w:tcW w:w="1053" w:type="dxa"/>
            <w:vAlign w:val="center"/>
          </w:tcPr>
          <w:p w:rsidR="00350334" w:rsidRPr="00350334" w:rsidRDefault="00350334" w:rsidP="00350334">
            <w:pPr>
              <w:spacing w:after="0"/>
              <w:jc w:val="left"/>
              <w:cnfStyle w:val="000000100000"/>
              <w:rPr>
                <w:color w:val="000000"/>
                <w:sz w:val="21"/>
                <w:szCs w:val="21"/>
              </w:rPr>
            </w:pPr>
            <w:r w:rsidRPr="00350334">
              <w:rPr>
                <w:color w:val="000000"/>
                <w:sz w:val="21"/>
                <w:szCs w:val="21"/>
              </w:rPr>
              <w:t>(</w:t>
            </w:r>
            <w:r w:rsidR="00BC572C">
              <w:rPr>
                <w:color w:val="000000"/>
                <w:sz w:val="21"/>
                <w:szCs w:val="21"/>
              </w:rPr>
              <w:t>-</w:t>
            </w:r>
            <w:r w:rsidRPr="00350334">
              <w:rPr>
                <w:color w:val="000000"/>
                <w:sz w:val="21"/>
                <w:szCs w:val="21"/>
              </w:rPr>
              <w:t>8%)</w:t>
            </w:r>
          </w:p>
        </w:tc>
      </w:tr>
      <w:tr w:rsidR="00350334" w:rsidRPr="00FC59E2" w:rsidTr="00350334">
        <w:trPr>
          <w:cnfStyle w:val="000000010000"/>
          <w:jc w:val="center"/>
        </w:trPr>
        <w:tc>
          <w:tcPr>
            <w:cnfStyle w:val="001000000000"/>
            <w:tcW w:w="3490" w:type="dxa"/>
            <w:tcBorders>
              <w:right w:val="single" w:sz="8" w:space="0" w:color="76923C" w:themeColor="accent3" w:themeShade="BF"/>
            </w:tcBorders>
            <w:vAlign w:val="center"/>
          </w:tcPr>
          <w:p w:rsidR="00350334" w:rsidRPr="00FC59E2" w:rsidRDefault="00350334" w:rsidP="00FF1666">
            <w:pPr>
              <w:spacing w:after="0"/>
              <w:jc w:val="left"/>
              <w:rPr>
                <w:b w:val="0"/>
                <w:sz w:val="21"/>
                <w:szCs w:val="21"/>
              </w:rPr>
            </w:pPr>
            <w:r w:rsidRPr="00FC59E2">
              <w:rPr>
                <w:b w:val="0"/>
                <w:sz w:val="21"/>
                <w:szCs w:val="21"/>
              </w:rPr>
              <w:t>Total fuel costs</w:t>
            </w:r>
            <w:r>
              <w:rPr>
                <w:b w:val="0"/>
                <w:sz w:val="21"/>
                <w:szCs w:val="21"/>
              </w:rPr>
              <w:t xml:space="preserve">, </w:t>
            </w:r>
            <w:r w:rsidRPr="00FC59E2">
              <w:rPr>
                <w:b w:val="0"/>
                <w:sz w:val="21"/>
                <w:szCs w:val="21"/>
              </w:rPr>
              <w:t>excluding electricity</w:t>
            </w:r>
            <w:r>
              <w:rPr>
                <w:b w:val="0"/>
                <w:sz w:val="21"/>
                <w:szCs w:val="21"/>
              </w:rPr>
              <w:t xml:space="preserve"> (million GEL)</w:t>
            </w:r>
            <w:r w:rsidRPr="00761436">
              <w:rPr>
                <w:b w:val="0"/>
                <w:sz w:val="21"/>
                <w:szCs w:val="21"/>
                <w:vertAlign w:val="superscript"/>
              </w:rPr>
              <w:t>a</w:t>
            </w:r>
          </w:p>
        </w:tc>
        <w:tc>
          <w:tcPr>
            <w:tcW w:w="1620" w:type="dxa"/>
            <w:tcBorders>
              <w:left w:val="single" w:sz="8" w:space="0" w:color="76923C" w:themeColor="accent3" w:themeShade="BF"/>
              <w:right w:val="single" w:sz="8" w:space="0" w:color="76923C" w:themeColor="accent3" w:themeShade="BF"/>
            </w:tcBorders>
            <w:vAlign w:val="center"/>
          </w:tcPr>
          <w:p w:rsidR="00350334" w:rsidRPr="003C7163" w:rsidRDefault="00350334" w:rsidP="00350334">
            <w:pPr>
              <w:spacing w:after="0"/>
              <w:ind w:right="328"/>
              <w:jc w:val="right"/>
              <w:cnfStyle w:val="000000010000"/>
              <w:rPr>
                <w:color w:val="000000"/>
                <w:sz w:val="21"/>
                <w:szCs w:val="21"/>
              </w:rPr>
            </w:pPr>
            <w:r w:rsidRPr="003C7163">
              <w:rPr>
                <w:color w:val="000000"/>
                <w:sz w:val="21"/>
                <w:szCs w:val="21"/>
              </w:rPr>
              <w:t>96,226</w:t>
            </w:r>
          </w:p>
        </w:tc>
        <w:tc>
          <w:tcPr>
            <w:tcW w:w="1052" w:type="dxa"/>
            <w:tcBorders>
              <w:left w:val="single" w:sz="8" w:space="0" w:color="76923C" w:themeColor="accent3" w:themeShade="BF"/>
            </w:tcBorders>
            <w:vAlign w:val="center"/>
          </w:tcPr>
          <w:p w:rsidR="00350334" w:rsidRPr="00350334" w:rsidRDefault="00350334" w:rsidP="00350334">
            <w:pPr>
              <w:spacing w:after="0"/>
              <w:jc w:val="right"/>
              <w:cnfStyle w:val="000000010000"/>
              <w:rPr>
                <w:color w:val="000000"/>
                <w:sz w:val="21"/>
                <w:szCs w:val="21"/>
              </w:rPr>
            </w:pPr>
            <w:r w:rsidRPr="00350334">
              <w:rPr>
                <w:color w:val="000000"/>
                <w:sz w:val="21"/>
                <w:szCs w:val="21"/>
              </w:rPr>
              <w:t>87,434</w:t>
            </w:r>
          </w:p>
        </w:tc>
        <w:tc>
          <w:tcPr>
            <w:tcW w:w="1053" w:type="dxa"/>
            <w:tcBorders>
              <w:right w:val="single" w:sz="8" w:space="0" w:color="76923C" w:themeColor="accent3" w:themeShade="BF"/>
            </w:tcBorders>
            <w:vAlign w:val="center"/>
          </w:tcPr>
          <w:p w:rsidR="00350334" w:rsidRPr="00350334" w:rsidRDefault="00350334" w:rsidP="00350334">
            <w:pPr>
              <w:spacing w:after="0"/>
              <w:jc w:val="left"/>
              <w:cnfStyle w:val="000000010000"/>
              <w:rPr>
                <w:color w:val="000000"/>
                <w:sz w:val="21"/>
                <w:szCs w:val="21"/>
              </w:rPr>
            </w:pPr>
            <w:r w:rsidRPr="00350334">
              <w:rPr>
                <w:color w:val="000000"/>
                <w:sz w:val="21"/>
                <w:szCs w:val="21"/>
              </w:rPr>
              <w:t>(</w:t>
            </w:r>
            <w:r w:rsidR="00BC572C">
              <w:rPr>
                <w:color w:val="000000"/>
                <w:sz w:val="21"/>
                <w:szCs w:val="21"/>
              </w:rPr>
              <w:t>-</w:t>
            </w:r>
            <w:r w:rsidRPr="00350334">
              <w:rPr>
                <w:color w:val="000000"/>
                <w:sz w:val="21"/>
                <w:szCs w:val="21"/>
              </w:rPr>
              <w:t>9%)</w:t>
            </w:r>
          </w:p>
        </w:tc>
        <w:tc>
          <w:tcPr>
            <w:tcW w:w="1052" w:type="dxa"/>
            <w:tcBorders>
              <w:left w:val="single" w:sz="8" w:space="0" w:color="76923C" w:themeColor="accent3" w:themeShade="BF"/>
            </w:tcBorders>
            <w:vAlign w:val="center"/>
          </w:tcPr>
          <w:p w:rsidR="00350334" w:rsidRPr="00350334" w:rsidRDefault="00350334" w:rsidP="00350334">
            <w:pPr>
              <w:spacing w:after="0"/>
              <w:jc w:val="right"/>
              <w:cnfStyle w:val="000000010000"/>
              <w:rPr>
                <w:color w:val="000000"/>
                <w:sz w:val="21"/>
                <w:szCs w:val="21"/>
              </w:rPr>
            </w:pPr>
            <w:r w:rsidRPr="00350334">
              <w:rPr>
                <w:color w:val="000000"/>
                <w:sz w:val="21"/>
                <w:szCs w:val="21"/>
              </w:rPr>
              <w:t>87,331</w:t>
            </w:r>
          </w:p>
        </w:tc>
        <w:tc>
          <w:tcPr>
            <w:tcW w:w="1053" w:type="dxa"/>
            <w:vAlign w:val="center"/>
          </w:tcPr>
          <w:p w:rsidR="00350334" w:rsidRPr="00350334" w:rsidRDefault="00350334" w:rsidP="00350334">
            <w:pPr>
              <w:spacing w:after="0"/>
              <w:jc w:val="left"/>
              <w:cnfStyle w:val="000000010000"/>
              <w:rPr>
                <w:color w:val="000000"/>
                <w:sz w:val="21"/>
                <w:szCs w:val="21"/>
              </w:rPr>
            </w:pPr>
            <w:r w:rsidRPr="00350334">
              <w:rPr>
                <w:color w:val="000000"/>
                <w:sz w:val="21"/>
                <w:szCs w:val="21"/>
              </w:rPr>
              <w:t>(</w:t>
            </w:r>
            <w:r w:rsidR="00BC572C">
              <w:rPr>
                <w:color w:val="000000"/>
                <w:sz w:val="21"/>
                <w:szCs w:val="21"/>
              </w:rPr>
              <w:t>-</w:t>
            </w:r>
            <w:r w:rsidRPr="00350334">
              <w:rPr>
                <w:color w:val="000000"/>
                <w:sz w:val="21"/>
                <w:szCs w:val="21"/>
              </w:rPr>
              <w:t>9%)</w:t>
            </w:r>
          </w:p>
        </w:tc>
      </w:tr>
      <w:tr w:rsidR="00350334" w:rsidRPr="00FC59E2" w:rsidTr="00350334">
        <w:trPr>
          <w:cnfStyle w:val="000000100000"/>
          <w:jc w:val="center"/>
        </w:trPr>
        <w:tc>
          <w:tcPr>
            <w:cnfStyle w:val="001000000000"/>
            <w:tcW w:w="3490" w:type="dxa"/>
            <w:tcBorders>
              <w:right w:val="single" w:sz="8" w:space="0" w:color="76923C" w:themeColor="accent3" w:themeShade="BF"/>
            </w:tcBorders>
            <w:vAlign w:val="center"/>
          </w:tcPr>
          <w:p w:rsidR="00350334" w:rsidRPr="00FC59E2" w:rsidRDefault="00350334" w:rsidP="00FF1666">
            <w:pPr>
              <w:spacing w:after="0"/>
              <w:jc w:val="left"/>
              <w:rPr>
                <w:b w:val="0"/>
                <w:sz w:val="21"/>
                <w:szCs w:val="21"/>
              </w:rPr>
            </w:pPr>
            <w:r>
              <w:rPr>
                <w:b w:val="0"/>
                <w:sz w:val="21"/>
                <w:szCs w:val="21"/>
              </w:rPr>
              <w:t>Total electricity use (GWh)</w:t>
            </w:r>
          </w:p>
        </w:tc>
        <w:tc>
          <w:tcPr>
            <w:tcW w:w="1620" w:type="dxa"/>
            <w:tcBorders>
              <w:left w:val="single" w:sz="8" w:space="0" w:color="76923C" w:themeColor="accent3" w:themeShade="BF"/>
              <w:right w:val="single" w:sz="8" w:space="0" w:color="76923C" w:themeColor="accent3" w:themeShade="BF"/>
            </w:tcBorders>
            <w:vAlign w:val="center"/>
          </w:tcPr>
          <w:p w:rsidR="00350334" w:rsidRPr="003C7163" w:rsidRDefault="00350334" w:rsidP="00350334">
            <w:pPr>
              <w:spacing w:after="0"/>
              <w:ind w:right="328"/>
              <w:jc w:val="right"/>
              <w:cnfStyle w:val="000000100000"/>
              <w:rPr>
                <w:color w:val="000000"/>
                <w:sz w:val="21"/>
                <w:szCs w:val="21"/>
              </w:rPr>
            </w:pPr>
            <w:r w:rsidRPr="003C7163">
              <w:rPr>
                <w:color w:val="000000"/>
                <w:sz w:val="21"/>
                <w:szCs w:val="21"/>
              </w:rPr>
              <w:t>46,249</w:t>
            </w:r>
          </w:p>
        </w:tc>
        <w:tc>
          <w:tcPr>
            <w:tcW w:w="1052" w:type="dxa"/>
            <w:tcBorders>
              <w:left w:val="single" w:sz="8" w:space="0" w:color="76923C" w:themeColor="accent3" w:themeShade="BF"/>
            </w:tcBorders>
            <w:vAlign w:val="center"/>
          </w:tcPr>
          <w:p w:rsidR="00350334" w:rsidRPr="00350334" w:rsidRDefault="00350334" w:rsidP="00350334">
            <w:pPr>
              <w:spacing w:after="0"/>
              <w:jc w:val="right"/>
              <w:cnfStyle w:val="000000100000"/>
              <w:rPr>
                <w:color w:val="000000"/>
                <w:sz w:val="21"/>
                <w:szCs w:val="21"/>
              </w:rPr>
            </w:pPr>
            <w:r w:rsidRPr="00350334">
              <w:rPr>
                <w:color w:val="000000"/>
                <w:sz w:val="21"/>
                <w:szCs w:val="21"/>
              </w:rPr>
              <w:t>63,255</w:t>
            </w:r>
          </w:p>
        </w:tc>
        <w:tc>
          <w:tcPr>
            <w:tcW w:w="1053" w:type="dxa"/>
            <w:tcBorders>
              <w:right w:val="single" w:sz="8" w:space="0" w:color="76923C" w:themeColor="accent3" w:themeShade="BF"/>
            </w:tcBorders>
            <w:vAlign w:val="center"/>
          </w:tcPr>
          <w:p w:rsidR="00350334" w:rsidRPr="00350334" w:rsidRDefault="00350334" w:rsidP="00350334">
            <w:pPr>
              <w:spacing w:after="0"/>
              <w:jc w:val="left"/>
              <w:cnfStyle w:val="000000100000"/>
              <w:rPr>
                <w:color w:val="000000"/>
                <w:sz w:val="21"/>
                <w:szCs w:val="21"/>
              </w:rPr>
            </w:pPr>
            <w:r w:rsidRPr="00350334">
              <w:rPr>
                <w:color w:val="000000"/>
                <w:sz w:val="21"/>
                <w:szCs w:val="21"/>
              </w:rPr>
              <w:t>(</w:t>
            </w:r>
            <w:r w:rsidR="00BC572C">
              <w:rPr>
                <w:color w:val="000000"/>
                <w:sz w:val="21"/>
                <w:szCs w:val="21"/>
              </w:rPr>
              <w:t>+</w:t>
            </w:r>
            <w:r w:rsidRPr="00350334">
              <w:rPr>
                <w:color w:val="000000"/>
                <w:sz w:val="21"/>
                <w:szCs w:val="21"/>
              </w:rPr>
              <w:t>37%)</w:t>
            </w:r>
          </w:p>
        </w:tc>
        <w:tc>
          <w:tcPr>
            <w:tcW w:w="1052" w:type="dxa"/>
            <w:tcBorders>
              <w:left w:val="single" w:sz="8" w:space="0" w:color="76923C" w:themeColor="accent3" w:themeShade="BF"/>
            </w:tcBorders>
            <w:vAlign w:val="center"/>
          </w:tcPr>
          <w:p w:rsidR="00350334" w:rsidRPr="00350334" w:rsidRDefault="00350334" w:rsidP="00350334">
            <w:pPr>
              <w:spacing w:after="0"/>
              <w:jc w:val="right"/>
              <w:cnfStyle w:val="000000100000"/>
              <w:rPr>
                <w:color w:val="000000"/>
                <w:sz w:val="21"/>
                <w:szCs w:val="21"/>
              </w:rPr>
            </w:pPr>
            <w:r w:rsidRPr="00350334">
              <w:rPr>
                <w:color w:val="000000"/>
                <w:sz w:val="21"/>
                <w:szCs w:val="21"/>
              </w:rPr>
              <w:t>75,992</w:t>
            </w:r>
          </w:p>
        </w:tc>
        <w:tc>
          <w:tcPr>
            <w:tcW w:w="1053" w:type="dxa"/>
            <w:vAlign w:val="center"/>
          </w:tcPr>
          <w:p w:rsidR="00350334" w:rsidRPr="00350334" w:rsidRDefault="00350334" w:rsidP="00350334">
            <w:pPr>
              <w:spacing w:after="0"/>
              <w:jc w:val="left"/>
              <w:cnfStyle w:val="000000100000"/>
              <w:rPr>
                <w:color w:val="000000"/>
                <w:sz w:val="21"/>
                <w:szCs w:val="21"/>
              </w:rPr>
            </w:pPr>
            <w:r w:rsidRPr="00350334">
              <w:rPr>
                <w:color w:val="000000"/>
                <w:sz w:val="21"/>
                <w:szCs w:val="21"/>
              </w:rPr>
              <w:t>(</w:t>
            </w:r>
            <w:r w:rsidR="00BC572C">
              <w:rPr>
                <w:color w:val="000000"/>
                <w:sz w:val="21"/>
                <w:szCs w:val="21"/>
              </w:rPr>
              <w:t>+</w:t>
            </w:r>
            <w:r w:rsidRPr="00350334">
              <w:rPr>
                <w:color w:val="000000"/>
                <w:sz w:val="21"/>
                <w:szCs w:val="21"/>
              </w:rPr>
              <w:t>64%)</w:t>
            </w:r>
          </w:p>
        </w:tc>
      </w:tr>
      <w:tr w:rsidR="00350334" w:rsidRPr="00FC59E2" w:rsidTr="00350334">
        <w:trPr>
          <w:cnfStyle w:val="000000010000"/>
          <w:jc w:val="center"/>
        </w:trPr>
        <w:tc>
          <w:tcPr>
            <w:cnfStyle w:val="001000000000"/>
            <w:tcW w:w="3490" w:type="dxa"/>
            <w:tcBorders>
              <w:right w:val="single" w:sz="8" w:space="0" w:color="76923C" w:themeColor="accent3" w:themeShade="BF"/>
            </w:tcBorders>
            <w:vAlign w:val="center"/>
          </w:tcPr>
          <w:p w:rsidR="00350334" w:rsidRPr="00FC59E2" w:rsidRDefault="00350334" w:rsidP="00FF1666">
            <w:pPr>
              <w:spacing w:after="0"/>
              <w:jc w:val="left"/>
              <w:rPr>
                <w:b w:val="0"/>
                <w:sz w:val="21"/>
                <w:szCs w:val="21"/>
              </w:rPr>
            </w:pPr>
            <w:r w:rsidRPr="00FC59E2">
              <w:rPr>
                <w:b w:val="0"/>
                <w:sz w:val="21"/>
                <w:szCs w:val="21"/>
              </w:rPr>
              <w:t xml:space="preserve">Total </w:t>
            </w:r>
            <w:r>
              <w:rPr>
                <w:b w:val="0"/>
                <w:sz w:val="21"/>
                <w:szCs w:val="21"/>
              </w:rPr>
              <w:t>p</w:t>
            </w:r>
            <w:r w:rsidRPr="00FC59E2">
              <w:rPr>
                <w:b w:val="0"/>
                <w:sz w:val="21"/>
                <w:szCs w:val="21"/>
              </w:rPr>
              <w:t>assenger</w:t>
            </w:r>
            <w:r>
              <w:rPr>
                <w:b w:val="0"/>
                <w:sz w:val="21"/>
                <w:szCs w:val="21"/>
              </w:rPr>
              <w:t>-km by road (million)</w:t>
            </w:r>
          </w:p>
        </w:tc>
        <w:tc>
          <w:tcPr>
            <w:tcW w:w="1620" w:type="dxa"/>
            <w:tcBorders>
              <w:left w:val="single" w:sz="8" w:space="0" w:color="76923C" w:themeColor="accent3" w:themeShade="BF"/>
              <w:right w:val="single" w:sz="8" w:space="0" w:color="76923C" w:themeColor="accent3" w:themeShade="BF"/>
            </w:tcBorders>
            <w:vAlign w:val="center"/>
          </w:tcPr>
          <w:p w:rsidR="00350334" w:rsidRPr="003C7163" w:rsidRDefault="00350334" w:rsidP="00350334">
            <w:pPr>
              <w:spacing w:after="0"/>
              <w:ind w:right="328"/>
              <w:jc w:val="right"/>
              <w:cnfStyle w:val="000000010000"/>
              <w:rPr>
                <w:color w:val="000000"/>
                <w:sz w:val="21"/>
                <w:szCs w:val="21"/>
              </w:rPr>
            </w:pPr>
            <w:r w:rsidRPr="003C7163">
              <w:rPr>
                <w:color w:val="000000"/>
                <w:sz w:val="21"/>
                <w:szCs w:val="21"/>
              </w:rPr>
              <w:t>730,502</w:t>
            </w:r>
          </w:p>
        </w:tc>
        <w:tc>
          <w:tcPr>
            <w:tcW w:w="1052" w:type="dxa"/>
            <w:tcBorders>
              <w:left w:val="single" w:sz="8" w:space="0" w:color="76923C" w:themeColor="accent3" w:themeShade="BF"/>
            </w:tcBorders>
            <w:vAlign w:val="center"/>
          </w:tcPr>
          <w:p w:rsidR="00350334" w:rsidRPr="00350334" w:rsidRDefault="00350334" w:rsidP="00350334">
            <w:pPr>
              <w:spacing w:after="0"/>
              <w:jc w:val="right"/>
              <w:cnfStyle w:val="000000010000"/>
              <w:rPr>
                <w:color w:val="000000"/>
                <w:sz w:val="21"/>
                <w:szCs w:val="21"/>
              </w:rPr>
            </w:pPr>
            <w:r w:rsidRPr="00350334">
              <w:rPr>
                <w:color w:val="000000"/>
                <w:sz w:val="21"/>
                <w:szCs w:val="21"/>
              </w:rPr>
              <w:t>664,955</w:t>
            </w:r>
          </w:p>
        </w:tc>
        <w:tc>
          <w:tcPr>
            <w:tcW w:w="1053" w:type="dxa"/>
            <w:tcBorders>
              <w:right w:val="single" w:sz="8" w:space="0" w:color="76923C" w:themeColor="accent3" w:themeShade="BF"/>
            </w:tcBorders>
            <w:vAlign w:val="center"/>
          </w:tcPr>
          <w:p w:rsidR="00350334" w:rsidRPr="00350334" w:rsidRDefault="00350334" w:rsidP="00350334">
            <w:pPr>
              <w:spacing w:after="0"/>
              <w:jc w:val="left"/>
              <w:cnfStyle w:val="000000010000"/>
              <w:rPr>
                <w:color w:val="000000"/>
                <w:sz w:val="21"/>
                <w:szCs w:val="21"/>
              </w:rPr>
            </w:pPr>
            <w:r w:rsidRPr="00350334">
              <w:rPr>
                <w:color w:val="000000"/>
                <w:sz w:val="21"/>
                <w:szCs w:val="21"/>
              </w:rPr>
              <w:t>(</w:t>
            </w:r>
            <w:r w:rsidR="00BC572C">
              <w:rPr>
                <w:rFonts w:eastAsia="Malgun Gothic"/>
                <w:color w:val="000000"/>
                <w:sz w:val="21"/>
                <w:szCs w:val="21"/>
              </w:rPr>
              <w:t>-</w:t>
            </w:r>
            <w:r w:rsidRPr="00350334">
              <w:rPr>
                <w:color w:val="000000"/>
                <w:sz w:val="21"/>
                <w:szCs w:val="21"/>
              </w:rPr>
              <w:t>9%)</w:t>
            </w:r>
          </w:p>
        </w:tc>
        <w:tc>
          <w:tcPr>
            <w:tcW w:w="1052" w:type="dxa"/>
            <w:tcBorders>
              <w:left w:val="single" w:sz="8" w:space="0" w:color="76923C" w:themeColor="accent3" w:themeShade="BF"/>
            </w:tcBorders>
            <w:vAlign w:val="center"/>
          </w:tcPr>
          <w:p w:rsidR="00350334" w:rsidRPr="00350334" w:rsidRDefault="00350334" w:rsidP="00350334">
            <w:pPr>
              <w:spacing w:after="0"/>
              <w:jc w:val="right"/>
              <w:cnfStyle w:val="000000010000"/>
              <w:rPr>
                <w:color w:val="000000"/>
                <w:sz w:val="21"/>
                <w:szCs w:val="21"/>
              </w:rPr>
            </w:pPr>
            <w:r w:rsidRPr="00350334">
              <w:rPr>
                <w:color w:val="000000"/>
                <w:sz w:val="21"/>
                <w:szCs w:val="21"/>
              </w:rPr>
              <w:t>689,451</w:t>
            </w:r>
          </w:p>
        </w:tc>
        <w:tc>
          <w:tcPr>
            <w:tcW w:w="1053" w:type="dxa"/>
            <w:vAlign w:val="center"/>
          </w:tcPr>
          <w:p w:rsidR="00350334" w:rsidRPr="00350334" w:rsidRDefault="00350334" w:rsidP="00350334">
            <w:pPr>
              <w:spacing w:after="0"/>
              <w:jc w:val="left"/>
              <w:cnfStyle w:val="000000010000"/>
              <w:rPr>
                <w:color w:val="000000"/>
                <w:sz w:val="21"/>
                <w:szCs w:val="21"/>
              </w:rPr>
            </w:pPr>
            <w:r w:rsidRPr="00350334">
              <w:rPr>
                <w:color w:val="000000"/>
                <w:sz w:val="21"/>
                <w:szCs w:val="21"/>
              </w:rPr>
              <w:t>(</w:t>
            </w:r>
            <w:r w:rsidR="00BC572C">
              <w:rPr>
                <w:rFonts w:eastAsia="Malgun Gothic"/>
                <w:color w:val="000000"/>
                <w:sz w:val="21"/>
                <w:szCs w:val="21"/>
              </w:rPr>
              <w:t>-</w:t>
            </w:r>
            <w:r w:rsidRPr="00350334">
              <w:rPr>
                <w:color w:val="000000"/>
                <w:sz w:val="21"/>
                <w:szCs w:val="21"/>
              </w:rPr>
              <w:t>6%)</w:t>
            </w:r>
          </w:p>
        </w:tc>
      </w:tr>
      <w:tr w:rsidR="00350334" w:rsidRPr="00FC59E2" w:rsidTr="00350334">
        <w:trPr>
          <w:cnfStyle w:val="000000100000"/>
          <w:jc w:val="center"/>
        </w:trPr>
        <w:tc>
          <w:tcPr>
            <w:cnfStyle w:val="001000000000"/>
            <w:tcW w:w="3490" w:type="dxa"/>
            <w:tcBorders>
              <w:right w:val="single" w:sz="8" w:space="0" w:color="76923C" w:themeColor="accent3" w:themeShade="BF"/>
            </w:tcBorders>
            <w:vAlign w:val="center"/>
          </w:tcPr>
          <w:p w:rsidR="00350334" w:rsidRPr="00FC59E2" w:rsidRDefault="00350334" w:rsidP="00FF1666">
            <w:pPr>
              <w:spacing w:after="0"/>
              <w:jc w:val="left"/>
              <w:rPr>
                <w:b w:val="0"/>
                <w:sz w:val="21"/>
                <w:szCs w:val="21"/>
              </w:rPr>
            </w:pPr>
            <w:r w:rsidRPr="00FC59E2">
              <w:rPr>
                <w:b w:val="0"/>
                <w:sz w:val="21"/>
                <w:szCs w:val="21"/>
              </w:rPr>
              <w:t xml:space="preserve">Total </w:t>
            </w:r>
            <w:r>
              <w:rPr>
                <w:b w:val="0"/>
                <w:sz w:val="21"/>
                <w:szCs w:val="21"/>
              </w:rPr>
              <w:t>p</w:t>
            </w:r>
            <w:r w:rsidRPr="00FC59E2">
              <w:rPr>
                <w:b w:val="0"/>
                <w:sz w:val="21"/>
                <w:szCs w:val="21"/>
              </w:rPr>
              <w:t>assenger</w:t>
            </w:r>
            <w:r>
              <w:rPr>
                <w:b w:val="0"/>
                <w:sz w:val="21"/>
                <w:szCs w:val="21"/>
              </w:rPr>
              <w:t>-km by rail and electric public transport (million)</w:t>
            </w:r>
          </w:p>
        </w:tc>
        <w:tc>
          <w:tcPr>
            <w:tcW w:w="1620" w:type="dxa"/>
            <w:tcBorders>
              <w:left w:val="single" w:sz="8" w:space="0" w:color="76923C" w:themeColor="accent3" w:themeShade="BF"/>
              <w:right w:val="single" w:sz="8" w:space="0" w:color="76923C" w:themeColor="accent3" w:themeShade="BF"/>
            </w:tcBorders>
            <w:vAlign w:val="center"/>
          </w:tcPr>
          <w:p w:rsidR="00350334" w:rsidRPr="003C7163" w:rsidRDefault="00350334" w:rsidP="00350334">
            <w:pPr>
              <w:spacing w:after="0"/>
              <w:ind w:right="328"/>
              <w:jc w:val="right"/>
              <w:cnfStyle w:val="000000100000"/>
              <w:rPr>
                <w:color w:val="000000"/>
                <w:sz w:val="21"/>
                <w:szCs w:val="21"/>
              </w:rPr>
            </w:pPr>
            <w:r w:rsidRPr="003C7163">
              <w:rPr>
                <w:color w:val="000000"/>
                <w:sz w:val="21"/>
                <w:szCs w:val="21"/>
              </w:rPr>
              <w:t>30,490</w:t>
            </w:r>
          </w:p>
        </w:tc>
        <w:tc>
          <w:tcPr>
            <w:tcW w:w="1052" w:type="dxa"/>
            <w:tcBorders>
              <w:left w:val="single" w:sz="8" w:space="0" w:color="76923C" w:themeColor="accent3" w:themeShade="BF"/>
            </w:tcBorders>
            <w:vAlign w:val="center"/>
          </w:tcPr>
          <w:p w:rsidR="00350334" w:rsidRPr="00350334" w:rsidRDefault="00350334" w:rsidP="00350334">
            <w:pPr>
              <w:spacing w:after="0"/>
              <w:jc w:val="right"/>
              <w:cnfStyle w:val="000000100000"/>
              <w:rPr>
                <w:color w:val="000000"/>
                <w:sz w:val="21"/>
                <w:szCs w:val="21"/>
              </w:rPr>
            </w:pPr>
            <w:r w:rsidRPr="00350334">
              <w:rPr>
                <w:color w:val="000000"/>
                <w:sz w:val="21"/>
                <w:szCs w:val="21"/>
              </w:rPr>
              <w:t>62,600</w:t>
            </w:r>
          </w:p>
        </w:tc>
        <w:tc>
          <w:tcPr>
            <w:tcW w:w="1053" w:type="dxa"/>
            <w:tcBorders>
              <w:right w:val="single" w:sz="8" w:space="0" w:color="76923C" w:themeColor="accent3" w:themeShade="BF"/>
            </w:tcBorders>
            <w:vAlign w:val="center"/>
          </w:tcPr>
          <w:p w:rsidR="00350334" w:rsidRPr="00350334" w:rsidRDefault="00350334" w:rsidP="00350334">
            <w:pPr>
              <w:spacing w:after="0"/>
              <w:jc w:val="left"/>
              <w:cnfStyle w:val="000000100000"/>
              <w:rPr>
                <w:color w:val="000000"/>
                <w:sz w:val="21"/>
                <w:szCs w:val="21"/>
              </w:rPr>
            </w:pPr>
            <w:r w:rsidRPr="00350334">
              <w:rPr>
                <w:color w:val="000000"/>
                <w:sz w:val="21"/>
                <w:szCs w:val="21"/>
              </w:rPr>
              <w:t>(</w:t>
            </w:r>
            <w:r w:rsidR="00BC572C">
              <w:rPr>
                <w:color w:val="000000"/>
                <w:sz w:val="21"/>
                <w:szCs w:val="21"/>
              </w:rPr>
              <w:t>+</w:t>
            </w:r>
            <w:r w:rsidRPr="00350334">
              <w:rPr>
                <w:color w:val="000000"/>
                <w:sz w:val="21"/>
                <w:szCs w:val="21"/>
              </w:rPr>
              <w:t>105%)</w:t>
            </w:r>
          </w:p>
        </w:tc>
        <w:tc>
          <w:tcPr>
            <w:tcW w:w="1052" w:type="dxa"/>
            <w:tcBorders>
              <w:left w:val="single" w:sz="8" w:space="0" w:color="76923C" w:themeColor="accent3" w:themeShade="BF"/>
            </w:tcBorders>
            <w:vAlign w:val="center"/>
          </w:tcPr>
          <w:p w:rsidR="00350334" w:rsidRPr="00350334" w:rsidRDefault="00350334" w:rsidP="00350334">
            <w:pPr>
              <w:spacing w:after="0"/>
              <w:jc w:val="right"/>
              <w:cnfStyle w:val="000000100000"/>
              <w:rPr>
                <w:color w:val="000000"/>
                <w:sz w:val="21"/>
                <w:szCs w:val="21"/>
              </w:rPr>
            </w:pPr>
            <w:r w:rsidRPr="00350334">
              <w:rPr>
                <w:color w:val="000000"/>
                <w:sz w:val="21"/>
                <w:szCs w:val="21"/>
              </w:rPr>
              <w:t>77,633</w:t>
            </w:r>
          </w:p>
        </w:tc>
        <w:tc>
          <w:tcPr>
            <w:tcW w:w="1053" w:type="dxa"/>
            <w:vAlign w:val="center"/>
          </w:tcPr>
          <w:p w:rsidR="00350334" w:rsidRPr="00350334" w:rsidRDefault="00350334" w:rsidP="00350334">
            <w:pPr>
              <w:spacing w:after="0"/>
              <w:jc w:val="left"/>
              <w:cnfStyle w:val="000000100000"/>
              <w:rPr>
                <w:color w:val="000000"/>
                <w:sz w:val="21"/>
                <w:szCs w:val="21"/>
              </w:rPr>
            </w:pPr>
            <w:r w:rsidRPr="00350334">
              <w:rPr>
                <w:color w:val="000000"/>
                <w:sz w:val="21"/>
                <w:szCs w:val="21"/>
              </w:rPr>
              <w:t>(</w:t>
            </w:r>
            <w:r w:rsidR="00BC572C">
              <w:rPr>
                <w:color w:val="000000"/>
                <w:sz w:val="21"/>
                <w:szCs w:val="21"/>
              </w:rPr>
              <w:t>+</w:t>
            </w:r>
            <w:r w:rsidRPr="00350334">
              <w:rPr>
                <w:color w:val="000000"/>
                <w:sz w:val="21"/>
                <w:szCs w:val="21"/>
              </w:rPr>
              <w:t>155%)</w:t>
            </w:r>
          </w:p>
        </w:tc>
      </w:tr>
      <w:tr w:rsidR="00350334" w:rsidRPr="00FC59E2" w:rsidTr="00350334">
        <w:trPr>
          <w:cnfStyle w:val="000000010000"/>
          <w:jc w:val="center"/>
        </w:trPr>
        <w:tc>
          <w:tcPr>
            <w:cnfStyle w:val="001000000000"/>
            <w:tcW w:w="3490" w:type="dxa"/>
            <w:tcBorders>
              <w:right w:val="single" w:sz="8" w:space="0" w:color="76923C" w:themeColor="accent3" w:themeShade="BF"/>
            </w:tcBorders>
            <w:vAlign w:val="center"/>
          </w:tcPr>
          <w:p w:rsidR="00350334" w:rsidRPr="00FC59E2" w:rsidRDefault="00350334" w:rsidP="00FF1666">
            <w:pPr>
              <w:spacing w:after="0"/>
              <w:jc w:val="left"/>
              <w:rPr>
                <w:b w:val="0"/>
                <w:sz w:val="21"/>
                <w:szCs w:val="21"/>
              </w:rPr>
            </w:pPr>
            <w:r w:rsidRPr="00FC59E2">
              <w:rPr>
                <w:b w:val="0"/>
                <w:sz w:val="21"/>
                <w:szCs w:val="21"/>
              </w:rPr>
              <w:t xml:space="preserve">Total </w:t>
            </w:r>
            <w:r>
              <w:rPr>
                <w:b w:val="0"/>
                <w:sz w:val="21"/>
                <w:szCs w:val="21"/>
              </w:rPr>
              <w:t>t</w:t>
            </w:r>
            <w:r w:rsidRPr="00FC59E2">
              <w:rPr>
                <w:b w:val="0"/>
                <w:sz w:val="21"/>
                <w:szCs w:val="21"/>
              </w:rPr>
              <w:t>on</w:t>
            </w:r>
            <w:r>
              <w:rPr>
                <w:b w:val="0"/>
                <w:sz w:val="21"/>
                <w:szCs w:val="21"/>
              </w:rPr>
              <w:t>-km by road (million)</w:t>
            </w:r>
          </w:p>
        </w:tc>
        <w:tc>
          <w:tcPr>
            <w:tcW w:w="1620" w:type="dxa"/>
            <w:tcBorders>
              <w:left w:val="single" w:sz="8" w:space="0" w:color="76923C" w:themeColor="accent3" w:themeShade="BF"/>
              <w:right w:val="single" w:sz="8" w:space="0" w:color="76923C" w:themeColor="accent3" w:themeShade="BF"/>
            </w:tcBorders>
            <w:vAlign w:val="center"/>
          </w:tcPr>
          <w:p w:rsidR="00350334" w:rsidRPr="003C7163" w:rsidRDefault="00350334" w:rsidP="00350334">
            <w:pPr>
              <w:spacing w:after="0"/>
              <w:ind w:right="328"/>
              <w:jc w:val="right"/>
              <w:cnfStyle w:val="000000010000"/>
              <w:rPr>
                <w:color w:val="000000"/>
                <w:sz w:val="21"/>
                <w:szCs w:val="21"/>
              </w:rPr>
            </w:pPr>
            <w:r w:rsidRPr="003C7163">
              <w:rPr>
                <w:color w:val="000000"/>
                <w:sz w:val="21"/>
                <w:szCs w:val="21"/>
              </w:rPr>
              <w:t>524,924</w:t>
            </w:r>
          </w:p>
        </w:tc>
        <w:tc>
          <w:tcPr>
            <w:tcW w:w="1052" w:type="dxa"/>
            <w:tcBorders>
              <w:left w:val="single" w:sz="8" w:space="0" w:color="76923C" w:themeColor="accent3" w:themeShade="BF"/>
            </w:tcBorders>
            <w:vAlign w:val="center"/>
          </w:tcPr>
          <w:p w:rsidR="00350334" w:rsidRPr="00350334" w:rsidRDefault="00350334" w:rsidP="00350334">
            <w:pPr>
              <w:spacing w:after="0"/>
              <w:jc w:val="right"/>
              <w:cnfStyle w:val="000000010000"/>
              <w:rPr>
                <w:color w:val="000000"/>
                <w:sz w:val="21"/>
                <w:szCs w:val="21"/>
              </w:rPr>
            </w:pPr>
            <w:r w:rsidRPr="00350334">
              <w:rPr>
                <w:color w:val="000000"/>
                <w:sz w:val="21"/>
                <w:szCs w:val="21"/>
              </w:rPr>
              <w:t>489,010</w:t>
            </w:r>
          </w:p>
        </w:tc>
        <w:tc>
          <w:tcPr>
            <w:tcW w:w="1053" w:type="dxa"/>
            <w:tcBorders>
              <w:right w:val="single" w:sz="8" w:space="0" w:color="76923C" w:themeColor="accent3" w:themeShade="BF"/>
            </w:tcBorders>
            <w:vAlign w:val="center"/>
          </w:tcPr>
          <w:p w:rsidR="00350334" w:rsidRPr="00350334" w:rsidRDefault="00350334" w:rsidP="00350334">
            <w:pPr>
              <w:spacing w:after="0"/>
              <w:jc w:val="left"/>
              <w:cnfStyle w:val="000000010000"/>
              <w:rPr>
                <w:color w:val="000000"/>
                <w:sz w:val="21"/>
                <w:szCs w:val="21"/>
              </w:rPr>
            </w:pPr>
            <w:r w:rsidRPr="00350334">
              <w:rPr>
                <w:color w:val="000000"/>
                <w:sz w:val="21"/>
                <w:szCs w:val="21"/>
              </w:rPr>
              <w:t>(</w:t>
            </w:r>
            <w:r w:rsidR="00BC572C">
              <w:rPr>
                <w:color w:val="000000"/>
                <w:sz w:val="21"/>
                <w:szCs w:val="21"/>
              </w:rPr>
              <w:t>-</w:t>
            </w:r>
            <w:r w:rsidRPr="00350334">
              <w:rPr>
                <w:color w:val="000000"/>
                <w:sz w:val="21"/>
                <w:szCs w:val="21"/>
              </w:rPr>
              <w:t>7%)</w:t>
            </w:r>
          </w:p>
        </w:tc>
        <w:tc>
          <w:tcPr>
            <w:tcW w:w="1052" w:type="dxa"/>
            <w:tcBorders>
              <w:left w:val="single" w:sz="8" w:space="0" w:color="76923C" w:themeColor="accent3" w:themeShade="BF"/>
            </w:tcBorders>
            <w:vAlign w:val="center"/>
          </w:tcPr>
          <w:p w:rsidR="00350334" w:rsidRPr="00350334" w:rsidRDefault="00350334" w:rsidP="00350334">
            <w:pPr>
              <w:spacing w:after="0"/>
              <w:jc w:val="right"/>
              <w:cnfStyle w:val="000000010000"/>
              <w:rPr>
                <w:color w:val="000000"/>
                <w:sz w:val="21"/>
                <w:szCs w:val="21"/>
              </w:rPr>
            </w:pPr>
            <w:r w:rsidRPr="00350334">
              <w:rPr>
                <w:color w:val="000000"/>
                <w:sz w:val="21"/>
                <w:szCs w:val="21"/>
              </w:rPr>
              <w:t>453,096</w:t>
            </w:r>
          </w:p>
        </w:tc>
        <w:tc>
          <w:tcPr>
            <w:tcW w:w="1053" w:type="dxa"/>
            <w:vAlign w:val="center"/>
          </w:tcPr>
          <w:p w:rsidR="00350334" w:rsidRPr="00350334" w:rsidRDefault="00350334" w:rsidP="00350334">
            <w:pPr>
              <w:spacing w:after="0"/>
              <w:jc w:val="left"/>
              <w:cnfStyle w:val="000000010000"/>
              <w:rPr>
                <w:color w:val="000000"/>
                <w:sz w:val="21"/>
                <w:szCs w:val="21"/>
              </w:rPr>
            </w:pPr>
            <w:r w:rsidRPr="00350334">
              <w:rPr>
                <w:color w:val="000000"/>
                <w:sz w:val="21"/>
                <w:szCs w:val="21"/>
              </w:rPr>
              <w:t>(</w:t>
            </w:r>
            <w:r w:rsidR="00BC572C">
              <w:rPr>
                <w:color w:val="000000"/>
                <w:sz w:val="21"/>
                <w:szCs w:val="21"/>
              </w:rPr>
              <w:t>-</w:t>
            </w:r>
            <w:r w:rsidRPr="00350334">
              <w:rPr>
                <w:color w:val="000000"/>
                <w:sz w:val="21"/>
                <w:szCs w:val="21"/>
              </w:rPr>
              <w:t>14%)</w:t>
            </w:r>
          </w:p>
        </w:tc>
      </w:tr>
      <w:tr w:rsidR="00350334" w:rsidRPr="00FC59E2" w:rsidTr="00350334">
        <w:trPr>
          <w:cnfStyle w:val="000000100000"/>
          <w:jc w:val="center"/>
        </w:trPr>
        <w:tc>
          <w:tcPr>
            <w:cnfStyle w:val="001000000000"/>
            <w:tcW w:w="3490" w:type="dxa"/>
            <w:tcBorders>
              <w:right w:val="single" w:sz="8" w:space="0" w:color="76923C" w:themeColor="accent3" w:themeShade="BF"/>
            </w:tcBorders>
            <w:vAlign w:val="center"/>
          </w:tcPr>
          <w:p w:rsidR="00350334" w:rsidRPr="00FC59E2" w:rsidRDefault="00350334" w:rsidP="00FF1666">
            <w:pPr>
              <w:spacing w:after="0"/>
              <w:jc w:val="left"/>
              <w:rPr>
                <w:b w:val="0"/>
                <w:sz w:val="21"/>
                <w:szCs w:val="21"/>
              </w:rPr>
            </w:pPr>
            <w:r w:rsidRPr="00FC59E2">
              <w:rPr>
                <w:b w:val="0"/>
                <w:sz w:val="21"/>
                <w:szCs w:val="21"/>
              </w:rPr>
              <w:t xml:space="preserve">Total </w:t>
            </w:r>
            <w:r>
              <w:rPr>
                <w:b w:val="0"/>
                <w:sz w:val="21"/>
                <w:szCs w:val="21"/>
              </w:rPr>
              <w:t>t</w:t>
            </w:r>
            <w:r w:rsidRPr="00FC59E2">
              <w:rPr>
                <w:b w:val="0"/>
                <w:sz w:val="21"/>
                <w:szCs w:val="21"/>
              </w:rPr>
              <w:t>on</w:t>
            </w:r>
            <w:r>
              <w:rPr>
                <w:b w:val="0"/>
                <w:sz w:val="21"/>
                <w:szCs w:val="21"/>
              </w:rPr>
              <w:t>-km by rail (million)</w:t>
            </w:r>
          </w:p>
        </w:tc>
        <w:tc>
          <w:tcPr>
            <w:tcW w:w="1620" w:type="dxa"/>
            <w:tcBorders>
              <w:left w:val="single" w:sz="8" w:space="0" w:color="76923C" w:themeColor="accent3" w:themeShade="BF"/>
              <w:right w:val="single" w:sz="8" w:space="0" w:color="76923C" w:themeColor="accent3" w:themeShade="BF"/>
            </w:tcBorders>
            <w:vAlign w:val="center"/>
          </w:tcPr>
          <w:p w:rsidR="00350334" w:rsidRPr="003C7163" w:rsidRDefault="00350334" w:rsidP="00350334">
            <w:pPr>
              <w:spacing w:after="0"/>
              <w:ind w:right="328"/>
              <w:jc w:val="right"/>
              <w:cnfStyle w:val="000000100000"/>
              <w:rPr>
                <w:color w:val="000000"/>
                <w:sz w:val="21"/>
                <w:szCs w:val="21"/>
              </w:rPr>
            </w:pPr>
            <w:r w:rsidRPr="003C7163">
              <w:rPr>
                <w:color w:val="000000"/>
                <w:sz w:val="21"/>
                <w:szCs w:val="21"/>
              </w:rPr>
              <w:t>154,504</w:t>
            </w:r>
          </w:p>
        </w:tc>
        <w:tc>
          <w:tcPr>
            <w:tcW w:w="1052" w:type="dxa"/>
            <w:tcBorders>
              <w:left w:val="single" w:sz="8" w:space="0" w:color="76923C" w:themeColor="accent3" w:themeShade="BF"/>
            </w:tcBorders>
            <w:vAlign w:val="center"/>
          </w:tcPr>
          <w:p w:rsidR="00350334" w:rsidRPr="00350334" w:rsidRDefault="00350334" w:rsidP="00350334">
            <w:pPr>
              <w:spacing w:after="0"/>
              <w:jc w:val="right"/>
              <w:cnfStyle w:val="000000100000"/>
              <w:rPr>
                <w:color w:val="000000"/>
                <w:sz w:val="21"/>
                <w:szCs w:val="21"/>
              </w:rPr>
            </w:pPr>
            <w:r w:rsidRPr="00350334">
              <w:rPr>
                <w:color w:val="000000"/>
                <w:sz w:val="21"/>
                <w:szCs w:val="21"/>
              </w:rPr>
              <w:t>190,420</w:t>
            </w:r>
          </w:p>
        </w:tc>
        <w:tc>
          <w:tcPr>
            <w:tcW w:w="1053" w:type="dxa"/>
            <w:tcBorders>
              <w:right w:val="single" w:sz="8" w:space="0" w:color="76923C" w:themeColor="accent3" w:themeShade="BF"/>
            </w:tcBorders>
            <w:vAlign w:val="center"/>
          </w:tcPr>
          <w:p w:rsidR="00350334" w:rsidRPr="00350334" w:rsidRDefault="00350334" w:rsidP="00350334">
            <w:pPr>
              <w:spacing w:after="0"/>
              <w:jc w:val="left"/>
              <w:cnfStyle w:val="000000100000"/>
              <w:rPr>
                <w:color w:val="000000"/>
                <w:sz w:val="21"/>
                <w:szCs w:val="21"/>
              </w:rPr>
            </w:pPr>
            <w:r w:rsidRPr="00350334">
              <w:rPr>
                <w:color w:val="000000"/>
                <w:sz w:val="21"/>
                <w:szCs w:val="21"/>
              </w:rPr>
              <w:t>(</w:t>
            </w:r>
            <w:r w:rsidR="00BC572C">
              <w:rPr>
                <w:color w:val="000000"/>
                <w:sz w:val="21"/>
                <w:szCs w:val="21"/>
              </w:rPr>
              <w:t>+</w:t>
            </w:r>
            <w:r w:rsidRPr="00350334">
              <w:rPr>
                <w:color w:val="000000"/>
                <w:sz w:val="21"/>
                <w:szCs w:val="21"/>
              </w:rPr>
              <w:t>23%)</w:t>
            </w:r>
          </w:p>
        </w:tc>
        <w:tc>
          <w:tcPr>
            <w:tcW w:w="1052" w:type="dxa"/>
            <w:tcBorders>
              <w:left w:val="single" w:sz="8" w:space="0" w:color="76923C" w:themeColor="accent3" w:themeShade="BF"/>
            </w:tcBorders>
            <w:vAlign w:val="center"/>
          </w:tcPr>
          <w:p w:rsidR="00350334" w:rsidRPr="00350334" w:rsidRDefault="00350334" w:rsidP="00350334">
            <w:pPr>
              <w:spacing w:after="0"/>
              <w:jc w:val="right"/>
              <w:cnfStyle w:val="000000100000"/>
              <w:rPr>
                <w:color w:val="000000"/>
                <w:sz w:val="21"/>
                <w:szCs w:val="21"/>
              </w:rPr>
            </w:pPr>
            <w:r w:rsidRPr="00350334">
              <w:rPr>
                <w:color w:val="000000"/>
                <w:sz w:val="21"/>
                <w:szCs w:val="21"/>
              </w:rPr>
              <w:t>226,335</w:t>
            </w:r>
          </w:p>
        </w:tc>
        <w:tc>
          <w:tcPr>
            <w:tcW w:w="1053" w:type="dxa"/>
            <w:vAlign w:val="center"/>
          </w:tcPr>
          <w:p w:rsidR="00350334" w:rsidRPr="00350334" w:rsidRDefault="00350334" w:rsidP="00350334">
            <w:pPr>
              <w:spacing w:after="0"/>
              <w:jc w:val="left"/>
              <w:cnfStyle w:val="000000100000"/>
              <w:rPr>
                <w:color w:val="000000"/>
                <w:sz w:val="21"/>
                <w:szCs w:val="21"/>
              </w:rPr>
            </w:pPr>
            <w:r w:rsidRPr="00350334">
              <w:rPr>
                <w:color w:val="000000"/>
                <w:sz w:val="21"/>
                <w:szCs w:val="21"/>
              </w:rPr>
              <w:t>(</w:t>
            </w:r>
            <w:r w:rsidR="00BC572C">
              <w:rPr>
                <w:color w:val="000000"/>
                <w:sz w:val="21"/>
                <w:szCs w:val="21"/>
              </w:rPr>
              <w:t>+</w:t>
            </w:r>
            <w:r w:rsidRPr="00350334">
              <w:rPr>
                <w:color w:val="000000"/>
                <w:sz w:val="21"/>
                <w:szCs w:val="21"/>
              </w:rPr>
              <w:t>47%)</w:t>
            </w:r>
          </w:p>
        </w:tc>
      </w:tr>
      <w:tr w:rsidR="00350334" w:rsidRPr="00FC59E2" w:rsidTr="00350334">
        <w:trPr>
          <w:cnfStyle w:val="000000010000"/>
          <w:jc w:val="center"/>
        </w:trPr>
        <w:tc>
          <w:tcPr>
            <w:cnfStyle w:val="001000000000"/>
            <w:tcW w:w="3490" w:type="dxa"/>
            <w:tcBorders>
              <w:right w:val="single" w:sz="8" w:space="0" w:color="76923C" w:themeColor="accent3" w:themeShade="BF"/>
            </w:tcBorders>
            <w:vAlign w:val="center"/>
          </w:tcPr>
          <w:p w:rsidR="00350334" w:rsidRPr="00FC59E2" w:rsidRDefault="00350334" w:rsidP="00761436">
            <w:pPr>
              <w:spacing w:after="0"/>
              <w:jc w:val="left"/>
              <w:rPr>
                <w:b w:val="0"/>
                <w:sz w:val="21"/>
                <w:szCs w:val="21"/>
              </w:rPr>
            </w:pPr>
            <w:r w:rsidRPr="00FC59E2">
              <w:rPr>
                <w:b w:val="0"/>
                <w:sz w:val="21"/>
                <w:szCs w:val="21"/>
              </w:rPr>
              <w:t>Total CO</w:t>
            </w:r>
            <w:r w:rsidRPr="00FC59E2">
              <w:rPr>
                <w:b w:val="0"/>
                <w:sz w:val="21"/>
                <w:szCs w:val="21"/>
                <w:vertAlign w:val="subscript"/>
              </w:rPr>
              <w:t>2</w:t>
            </w:r>
            <w:r w:rsidRPr="00FC59E2">
              <w:rPr>
                <w:b w:val="0"/>
                <w:sz w:val="21"/>
                <w:szCs w:val="21"/>
              </w:rPr>
              <w:t xml:space="preserve"> </w:t>
            </w:r>
            <w:r>
              <w:rPr>
                <w:b w:val="0"/>
                <w:sz w:val="21"/>
                <w:szCs w:val="21"/>
              </w:rPr>
              <w:t>e</w:t>
            </w:r>
            <w:r w:rsidRPr="00FC59E2">
              <w:rPr>
                <w:b w:val="0"/>
                <w:sz w:val="21"/>
                <w:szCs w:val="21"/>
              </w:rPr>
              <w:t>missions</w:t>
            </w:r>
            <w:r>
              <w:rPr>
                <w:b w:val="0"/>
                <w:sz w:val="21"/>
                <w:szCs w:val="21"/>
              </w:rPr>
              <w:t xml:space="preserve"> (thousand tons)</w:t>
            </w:r>
          </w:p>
        </w:tc>
        <w:tc>
          <w:tcPr>
            <w:tcW w:w="1620" w:type="dxa"/>
            <w:tcBorders>
              <w:left w:val="single" w:sz="8" w:space="0" w:color="76923C" w:themeColor="accent3" w:themeShade="BF"/>
              <w:right w:val="single" w:sz="8" w:space="0" w:color="76923C" w:themeColor="accent3" w:themeShade="BF"/>
            </w:tcBorders>
            <w:vAlign w:val="center"/>
          </w:tcPr>
          <w:p w:rsidR="00350334" w:rsidRPr="003C7163" w:rsidRDefault="00350334" w:rsidP="00350334">
            <w:pPr>
              <w:spacing w:after="0"/>
              <w:ind w:right="328"/>
              <w:jc w:val="right"/>
              <w:cnfStyle w:val="000000010000"/>
              <w:rPr>
                <w:color w:val="000000"/>
                <w:sz w:val="21"/>
                <w:szCs w:val="21"/>
              </w:rPr>
            </w:pPr>
            <w:r w:rsidRPr="003C7163">
              <w:rPr>
                <w:color w:val="000000"/>
                <w:sz w:val="21"/>
                <w:szCs w:val="21"/>
              </w:rPr>
              <w:t>71,793</w:t>
            </w:r>
          </w:p>
        </w:tc>
        <w:tc>
          <w:tcPr>
            <w:tcW w:w="1052" w:type="dxa"/>
            <w:tcBorders>
              <w:left w:val="single" w:sz="8" w:space="0" w:color="76923C" w:themeColor="accent3" w:themeShade="BF"/>
            </w:tcBorders>
            <w:vAlign w:val="center"/>
          </w:tcPr>
          <w:p w:rsidR="00350334" w:rsidRPr="00350334" w:rsidRDefault="00350334" w:rsidP="00350334">
            <w:pPr>
              <w:spacing w:after="0"/>
              <w:jc w:val="right"/>
              <w:cnfStyle w:val="000000010000"/>
              <w:rPr>
                <w:color w:val="000000"/>
                <w:sz w:val="21"/>
                <w:szCs w:val="21"/>
              </w:rPr>
            </w:pPr>
            <w:r w:rsidRPr="00350334">
              <w:rPr>
                <w:color w:val="000000"/>
                <w:sz w:val="21"/>
                <w:szCs w:val="21"/>
              </w:rPr>
              <w:t>68,996</w:t>
            </w:r>
          </w:p>
        </w:tc>
        <w:tc>
          <w:tcPr>
            <w:tcW w:w="1053" w:type="dxa"/>
            <w:tcBorders>
              <w:right w:val="single" w:sz="8" w:space="0" w:color="76923C" w:themeColor="accent3" w:themeShade="BF"/>
            </w:tcBorders>
            <w:vAlign w:val="center"/>
          </w:tcPr>
          <w:p w:rsidR="00350334" w:rsidRPr="00350334" w:rsidRDefault="00350334" w:rsidP="00350334">
            <w:pPr>
              <w:spacing w:after="0"/>
              <w:jc w:val="left"/>
              <w:cnfStyle w:val="000000010000"/>
              <w:rPr>
                <w:color w:val="000000"/>
                <w:sz w:val="21"/>
                <w:szCs w:val="21"/>
              </w:rPr>
            </w:pPr>
            <w:r w:rsidRPr="00350334">
              <w:rPr>
                <w:color w:val="000000"/>
                <w:sz w:val="21"/>
                <w:szCs w:val="21"/>
              </w:rPr>
              <w:t>(</w:t>
            </w:r>
            <w:r w:rsidR="00BC572C">
              <w:rPr>
                <w:color w:val="000000"/>
                <w:sz w:val="21"/>
                <w:szCs w:val="21"/>
              </w:rPr>
              <w:t>-</w:t>
            </w:r>
            <w:r w:rsidRPr="00350334">
              <w:rPr>
                <w:color w:val="000000"/>
                <w:sz w:val="21"/>
                <w:szCs w:val="21"/>
              </w:rPr>
              <w:t>4%)</w:t>
            </w:r>
          </w:p>
        </w:tc>
        <w:tc>
          <w:tcPr>
            <w:tcW w:w="1052" w:type="dxa"/>
            <w:tcBorders>
              <w:left w:val="single" w:sz="8" w:space="0" w:color="76923C" w:themeColor="accent3" w:themeShade="BF"/>
            </w:tcBorders>
            <w:vAlign w:val="center"/>
          </w:tcPr>
          <w:p w:rsidR="00350334" w:rsidRPr="00350334" w:rsidRDefault="00350334" w:rsidP="00350334">
            <w:pPr>
              <w:spacing w:after="0"/>
              <w:jc w:val="right"/>
              <w:cnfStyle w:val="000000010000"/>
              <w:rPr>
                <w:color w:val="000000"/>
                <w:sz w:val="21"/>
                <w:szCs w:val="21"/>
              </w:rPr>
            </w:pPr>
            <w:r w:rsidRPr="00350334">
              <w:rPr>
                <w:color w:val="000000"/>
                <w:sz w:val="21"/>
                <w:szCs w:val="21"/>
              </w:rPr>
              <w:t>66,455</w:t>
            </w:r>
          </w:p>
        </w:tc>
        <w:tc>
          <w:tcPr>
            <w:tcW w:w="1053" w:type="dxa"/>
            <w:vAlign w:val="center"/>
          </w:tcPr>
          <w:p w:rsidR="00350334" w:rsidRPr="00350334" w:rsidRDefault="00350334" w:rsidP="00350334">
            <w:pPr>
              <w:spacing w:after="0"/>
              <w:jc w:val="left"/>
              <w:cnfStyle w:val="000000010000"/>
              <w:rPr>
                <w:color w:val="000000"/>
                <w:sz w:val="21"/>
                <w:szCs w:val="21"/>
              </w:rPr>
            </w:pPr>
            <w:r w:rsidRPr="00350334">
              <w:rPr>
                <w:color w:val="000000"/>
                <w:sz w:val="21"/>
                <w:szCs w:val="21"/>
              </w:rPr>
              <w:t>(</w:t>
            </w:r>
            <w:r w:rsidR="00BC572C">
              <w:rPr>
                <w:color w:val="000000"/>
                <w:sz w:val="21"/>
                <w:szCs w:val="21"/>
              </w:rPr>
              <w:t>-</w:t>
            </w:r>
            <w:r w:rsidRPr="00350334">
              <w:rPr>
                <w:color w:val="000000"/>
                <w:sz w:val="21"/>
                <w:szCs w:val="21"/>
              </w:rPr>
              <w:t>7%)</w:t>
            </w:r>
          </w:p>
        </w:tc>
      </w:tr>
      <w:tr w:rsidR="00350334" w:rsidRPr="00FC59E2" w:rsidTr="00350334">
        <w:trPr>
          <w:cnfStyle w:val="000000100000"/>
          <w:jc w:val="center"/>
        </w:trPr>
        <w:tc>
          <w:tcPr>
            <w:cnfStyle w:val="001000000000"/>
            <w:tcW w:w="3490" w:type="dxa"/>
            <w:tcBorders>
              <w:right w:val="single" w:sz="8" w:space="0" w:color="76923C" w:themeColor="accent3" w:themeShade="BF"/>
            </w:tcBorders>
            <w:vAlign w:val="center"/>
          </w:tcPr>
          <w:p w:rsidR="00350334" w:rsidRPr="00FC59E2" w:rsidRDefault="00350334" w:rsidP="00FC59E2">
            <w:pPr>
              <w:spacing w:after="0"/>
              <w:jc w:val="left"/>
              <w:rPr>
                <w:b w:val="0"/>
                <w:sz w:val="21"/>
                <w:szCs w:val="21"/>
              </w:rPr>
            </w:pPr>
            <w:r w:rsidRPr="00FC59E2">
              <w:rPr>
                <w:b w:val="0"/>
                <w:sz w:val="21"/>
                <w:szCs w:val="21"/>
              </w:rPr>
              <w:t xml:space="preserve">Total CO </w:t>
            </w:r>
            <w:r>
              <w:rPr>
                <w:b w:val="0"/>
                <w:sz w:val="21"/>
                <w:szCs w:val="21"/>
              </w:rPr>
              <w:t>e</w:t>
            </w:r>
            <w:r w:rsidRPr="00FC59E2">
              <w:rPr>
                <w:b w:val="0"/>
                <w:sz w:val="21"/>
                <w:szCs w:val="21"/>
              </w:rPr>
              <w:t>missions</w:t>
            </w:r>
            <w:r>
              <w:rPr>
                <w:b w:val="0"/>
                <w:sz w:val="21"/>
                <w:szCs w:val="21"/>
              </w:rPr>
              <w:t xml:space="preserve"> (thousand tons)</w:t>
            </w:r>
          </w:p>
        </w:tc>
        <w:tc>
          <w:tcPr>
            <w:tcW w:w="1620" w:type="dxa"/>
            <w:tcBorders>
              <w:left w:val="single" w:sz="8" w:space="0" w:color="76923C" w:themeColor="accent3" w:themeShade="BF"/>
              <w:right w:val="single" w:sz="8" w:space="0" w:color="76923C" w:themeColor="accent3" w:themeShade="BF"/>
            </w:tcBorders>
            <w:vAlign w:val="center"/>
          </w:tcPr>
          <w:p w:rsidR="00350334" w:rsidRPr="003C7163" w:rsidRDefault="00350334" w:rsidP="00350334">
            <w:pPr>
              <w:spacing w:after="0"/>
              <w:ind w:right="328"/>
              <w:jc w:val="right"/>
              <w:cnfStyle w:val="000000100000"/>
              <w:rPr>
                <w:color w:val="000000"/>
                <w:sz w:val="21"/>
                <w:szCs w:val="21"/>
              </w:rPr>
            </w:pPr>
            <w:r w:rsidRPr="003C7163">
              <w:rPr>
                <w:color w:val="000000"/>
                <w:sz w:val="21"/>
                <w:szCs w:val="21"/>
              </w:rPr>
              <w:t>1,200</w:t>
            </w:r>
          </w:p>
        </w:tc>
        <w:tc>
          <w:tcPr>
            <w:tcW w:w="1052" w:type="dxa"/>
            <w:tcBorders>
              <w:left w:val="single" w:sz="8" w:space="0" w:color="76923C" w:themeColor="accent3" w:themeShade="BF"/>
            </w:tcBorders>
            <w:vAlign w:val="center"/>
          </w:tcPr>
          <w:p w:rsidR="00350334" w:rsidRPr="00350334" w:rsidRDefault="00350334" w:rsidP="00350334">
            <w:pPr>
              <w:spacing w:after="0"/>
              <w:jc w:val="right"/>
              <w:cnfStyle w:val="000000100000"/>
              <w:rPr>
                <w:color w:val="000000"/>
                <w:sz w:val="21"/>
                <w:szCs w:val="21"/>
              </w:rPr>
            </w:pPr>
            <w:r w:rsidRPr="00350334">
              <w:rPr>
                <w:color w:val="000000"/>
                <w:sz w:val="21"/>
                <w:szCs w:val="21"/>
              </w:rPr>
              <w:t>392</w:t>
            </w:r>
          </w:p>
        </w:tc>
        <w:tc>
          <w:tcPr>
            <w:tcW w:w="1053" w:type="dxa"/>
            <w:tcBorders>
              <w:right w:val="single" w:sz="8" w:space="0" w:color="76923C" w:themeColor="accent3" w:themeShade="BF"/>
            </w:tcBorders>
            <w:vAlign w:val="center"/>
          </w:tcPr>
          <w:p w:rsidR="00350334" w:rsidRPr="00350334" w:rsidRDefault="00350334" w:rsidP="00350334">
            <w:pPr>
              <w:spacing w:after="0"/>
              <w:jc w:val="left"/>
              <w:cnfStyle w:val="000000100000"/>
              <w:rPr>
                <w:color w:val="000000"/>
                <w:sz w:val="21"/>
                <w:szCs w:val="21"/>
              </w:rPr>
            </w:pPr>
            <w:r w:rsidRPr="00350334">
              <w:rPr>
                <w:color w:val="000000"/>
                <w:sz w:val="21"/>
                <w:szCs w:val="21"/>
              </w:rPr>
              <w:t>(</w:t>
            </w:r>
            <w:r w:rsidR="00BC572C">
              <w:rPr>
                <w:color w:val="000000"/>
                <w:sz w:val="21"/>
                <w:szCs w:val="21"/>
              </w:rPr>
              <w:t>-</w:t>
            </w:r>
            <w:r w:rsidRPr="00350334">
              <w:rPr>
                <w:color w:val="000000"/>
                <w:sz w:val="21"/>
                <w:szCs w:val="21"/>
              </w:rPr>
              <w:t>67%)</w:t>
            </w:r>
          </w:p>
        </w:tc>
        <w:tc>
          <w:tcPr>
            <w:tcW w:w="1052" w:type="dxa"/>
            <w:tcBorders>
              <w:left w:val="single" w:sz="8" w:space="0" w:color="76923C" w:themeColor="accent3" w:themeShade="BF"/>
            </w:tcBorders>
            <w:vAlign w:val="center"/>
          </w:tcPr>
          <w:p w:rsidR="00350334" w:rsidRPr="00350334" w:rsidRDefault="00350334" w:rsidP="00350334">
            <w:pPr>
              <w:spacing w:after="0"/>
              <w:jc w:val="right"/>
              <w:cnfStyle w:val="000000100000"/>
              <w:rPr>
                <w:color w:val="000000"/>
                <w:sz w:val="21"/>
                <w:szCs w:val="21"/>
              </w:rPr>
            </w:pPr>
            <w:r w:rsidRPr="00350334">
              <w:rPr>
                <w:color w:val="000000"/>
                <w:sz w:val="21"/>
                <w:szCs w:val="21"/>
              </w:rPr>
              <w:t>941</w:t>
            </w:r>
          </w:p>
        </w:tc>
        <w:tc>
          <w:tcPr>
            <w:tcW w:w="1053" w:type="dxa"/>
            <w:vAlign w:val="center"/>
          </w:tcPr>
          <w:p w:rsidR="00350334" w:rsidRPr="00350334" w:rsidRDefault="00350334" w:rsidP="00350334">
            <w:pPr>
              <w:spacing w:after="0"/>
              <w:jc w:val="left"/>
              <w:cnfStyle w:val="000000100000"/>
              <w:rPr>
                <w:color w:val="000000"/>
                <w:sz w:val="21"/>
                <w:szCs w:val="21"/>
              </w:rPr>
            </w:pPr>
            <w:r w:rsidRPr="00350334">
              <w:rPr>
                <w:color w:val="000000"/>
                <w:sz w:val="21"/>
                <w:szCs w:val="21"/>
              </w:rPr>
              <w:t>(</w:t>
            </w:r>
            <w:r w:rsidR="00BC572C">
              <w:rPr>
                <w:color w:val="000000"/>
                <w:sz w:val="21"/>
                <w:szCs w:val="21"/>
              </w:rPr>
              <w:t>-</w:t>
            </w:r>
            <w:r w:rsidRPr="00350334">
              <w:rPr>
                <w:color w:val="000000"/>
                <w:sz w:val="21"/>
                <w:szCs w:val="21"/>
              </w:rPr>
              <w:t>22%)</w:t>
            </w:r>
          </w:p>
        </w:tc>
      </w:tr>
      <w:tr w:rsidR="00350334" w:rsidRPr="00FC59E2" w:rsidTr="00350334">
        <w:trPr>
          <w:cnfStyle w:val="000000010000"/>
          <w:jc w:val="center"/>
        </w:trPr>
        <w:tc>
          <w:tcPr>
            <w:cnfStyle w:val="001000000000"/>
            <w:tcW w:w="3490" w:type="dxa"/>
            <w:tcBorders>
              <w:right w:val="single" w:sz="8" w:space="0" w:color="76923C" w:themeColor="accent3" w:themeShade="BF"/>
            </w:tcBorders>
            <w:vAlign w:val="center"/>
          </w:tcPr>
          <w:p w:rsidR="00350334" w:rsidRPr="00FC59E2" w:rsidRDefault="00350334" w:rsidP="00FC59E2">
            <w:pPr>
              <w:spacing w:after="0"/>
              <w:jc w:val="left"/>
              <w:rPr>
                <w:b w:val="0"/>
                <w:sz w:val="21"/>
                <w:szCs w:val="21"/>
              </w:rPr>
            </w:pPr>
            <w:r w:rsidRPr="00FC59E2">
              <w:rPr>
                <w:b w:val="0"/>
                <w:sz w:val="21"/>
                <w:szCs w:val="21"/>
              </w:rPr>
              <w:t xml:space="preserve">Total VOC </w:t>
            </w:r>
            <w:r>
              <w:rPr>
                <w:b w:val="0"/>
                <w:sz w:val="21"/>
                <w:szCs w:val="21"/>
              </w:rPr>
              <w:t>e</w:t>
            </w:r>
            <w:r w:rsidRPr="00FC59E2">
              <w:rPr>
                <w:b w:val="0"/>
                <w:sz w:val="21"/>
                <w:szCs w:val="21"/>
              </w:rPr>
              <w:t>missions</w:t>
            </w:r>
            <w:r>
              <w:rPr>
                <w:b w:val="0"/>
                <w:sz w:val="21"/>
                <w:szCs w:val="21"/>
              </w:rPr>
              <w:t xml:space="preserve"> (thousand tons)</w:t>
            </w:r>
          </w:p>
        </w:tc>
        <w:tc>
          <w:tcPr>
            <w:tcW w:w="1620" w:type="dxa"/>
            <w:tcBorders>
              <w:left w:val="single" w:sz="8" w:space="0" w:color="76923C" w:themeColor="accent3" w:themeShade="BF"/>
              <w:right w:val="single" w:sz="8" w:space="0" w:color="76923C" w:themeColor="accent3" w:themeShade="BF"/>
            </w:tcBorders>
            <w:vAlign w:val="center"/>
          </w:tcPr>
          <w:p w:rsidR="00350334" w:rsidRPr="003C7163" w:rsidRDefault="00350334" w:rsidP="00350334">
            <w:pPr>
              <w:spacing w:after="0"/>
              <w:ind w:right="328"/>
              <w:jc w:val="right"/>
              <w:cnfStyle w:val="000000010000"/>
              <w:rPr>
                <w:color w:val="000000"/>
                <w:sz w:val="21"/>
                <w:szCs w:val="21"/>
              </w:rPr>
            </w:pPr>
            <w:r w:rsidRPr="003C7163">
              <w:rPr>
                <w:color w:val="000000"/>
                <w:sz w:val="21"/>
                <w:szCs w:val="21"/>
              </w:rPr>
              <w:t>178</w:t>
            </w:r>
          </w:p>
        </w:tc>
        <w:tc>
          <w:tcPr>
            <w:tcW w:w="1052" w:type="dxa"/>
            <w:tcBorders>
              <w:left w:val="single" w:sz="8" w:space="0" w:color="76923C" w:themeColor="accent3" w:themeShade="BF"/>
            </w:tcBorders>
            <w:vAlign w:val="center"/>
          </w:tcPr>
          <w:p w:rsidR="00350334" w:rsidRPr="00350334" w:rsidRDefault="00350334" w:rsidP="00350334">
            <w:pPr>
              <w:spacing w:after="0"/>
              <w:jc w:val="right"/>
              <w:cnfStyle w:val="000000010000"/>
              <w:rPr>
                <w:color w:val="000000"/>
                <w:sz w:val="21"/>
                <w:szCs w:val="21"/>
              </w:rPr>
            </w:pPr>
            <w:r w:rsidRPr="00350334">
              <w:rPr>
                <w:color w:val="000000"/>
                <w:sz w:val="21"/>
                <w:szCs w:val="21"/>
              </w:rPr>
              <w:t>82</w:t>
            </w:r>
          </w:p>
        </w:tc>
        <w:tc>
          <w:tcPr>
            <w:tcW w:w="1053" w:type="dxa"/>
            <w:tcBorders>
              <w:right w:val="single" w:sz="8" w:space="0" w:color="76923C" w:themeColor="accent3" w:themeShade="BF"/>
            </w:tcBorders>
            <w:vAlign w:val="center"/>
          </w:tcPr>
          <w:p w:rsidR="00350334" w:rsidRPr="00350334" w:rsidRDefault="00350334" w:rsidP="00350334">
            <w:pPr>
              <w:spacing w:after="0"/>
              <w:jc w:val="left"/>
              <w:cnfStyle w:val="000000010000"/>
              <w:rPr>
                <w:color w:val="000000"/>
                <w:sz w:val="21"/>
                <w:szCs w:val="21"/>
              </w:rPr>
            </w:pPr>
            <w:r w:rsidRPr="00350334">
              <w:rPr>
                <w:color w:val="000000"/>
                <w:sz w:val="21"/>
                <w:szCs w:val="21"/>
              </w:rPr>
              <w:t>(</w:t>
            </w:r>
            <w:r w:rsidR="00BC572C">
              <w:rPr>
                <w:color w:val="000000"/>
                <w:sz w:val="21"/>
                <w:szCs w:val="21"/>
              </w:rPr>
              <w:t>-</w:t>
            </w:r>
            <w:r w:rsidRPr="00350334">
              <w:rPr>
                <w:color w:val="000000"/>
                <w:sz w:val="21"/>
                <w:szCs w:val="21"/>
              </w:rPr>
              <w:t>54%)</w:t>
            </w:r>
          </w:p>
        </w:tc>
        <w:tc>
          <w:tcPr>
            <w:tcW w:w="1052" w:type="dxa"/>
            <w:tcBorders>
              <w:left w:val="single" w:sz="8" w:space="0" w:color="76923C" w:themeColor="accent3" w:themeShade="BF"/>
            </w:tcBorders>
            <w:vAlign w:val="center"/>
          </w:tcPr>
          <w:p w:rsidR="00350334" w:rsidRPr="00350334" w:rsidRDefault="00350334" w:rsidP="00350334">
            <w:pPr>
              <w:spacing w:after="0"/>
              <w:jc w:val="right"/>
              <w:cnfStyle w:val="000000010000"/>
              <w:rPr>
                <w:color w:val="000000"/>
                <w:sz w:val="21"/>
                <w:szCs w:val="21"/>
              </w:rPr>
            </w:pPr>
            <w:r w:rsidRPr="00350334">
              <w:rPr>
                <w:color w:val="000000"/>
                <w:sz w:val="21"/>
                <w:szCs w:val="21"/>
              </w:rPr>
              <w:t>131</w:t>
            </w:r>
          </w:p>
        </w:tc>
        <w:tc>
          <w:tcPr>
            <w:tcW w:w="1053" w:type="dxa"/>
            <w:vAlign w:val="center"/>
          </w:tcPr>
          <w:p w:rsidR="00350334" w:rsidRPr="00350334" w:rsidRDefault="00350334" w:rsidP="00350334">
            <w:pPr>
              <w:spacing w:after="0"/>
              <w:jc w:val="left"/>
              <w:cnfStyle w:val="000000010000"/>
              <w:rPr>
                <w:color w:val="000000"/>
                <w:sz w:val="21"/>
                <w:szCs w:val="21"/>
              </w:rPr>
            </w:pPr>
            <w:r w:rsidRPr="00350334">
              <w:rPr>
                <w:color w:val="000000"/>
                <w:sz w:val="21"/>
                <w:szCs w:val="21"/>
              </w:rPr>
              <w:t>(</w:t>
            </w:r>
            <w:r w:rsidR="00BC572C">
              <w:rPr>
                <w:color w:val="000000"/>
                <w:sz w:val="21"/>
                <w:szCs w:val="21"/>
              </w:rPr>
              <w:t>-</w:t>
            </w:r>
            <w:r w:rsidRPr="00350334">
              <w:rPr>
                <w:color w:val="000000"/>
                <w:sz w:val="21"/>
                <w:szCs w:val="21"/>
              </w:rPr>
              <w:t>26%)</w:t>
            </w:r>
          </w:p>
        </w:tc>
      </w:tr>
      <w:tr w:rsidR="00350334" w:rsidRPr="00FC59E2" w:rsidTr="00350334">
        <w:trPr>
          <w:cnfStyle w:val="000000100000"/>
          <w:jc w:val="center"/>
        </w:trPr>
        <w:tc>
          <w:tcPr>
            <w:cnfStyle w:val="001000000000"/>
            <w:tcW w:w="3490" w:type="dxa"/>
            <w:tcBorders>
              <w:right w:val="single" w:sz="8" w:space="0" w:color="76923C" w:themeColor="accent3" w:themeShade="BF"/>
            </w:tcBorders>
            <w:vAlign w:val="center"/>
          </w:tcPr>
          <w:p w:rsidR="00350334" w:rsidRPr="00FC59E2" w:rsidRDefault="00350334" w:rsidP="00FC59E2">
            <w:pPr>
              <w:spacing w:after="0"/>
              <w:jc w:val="left"/>
              <w:rPr>
                <w:b w:val="0"/>
                <w:sz w:val="21"/>
                <w:szCs w:val="21"/>
              </w:rPr>
            </w:pPr>
            <w:r w:rsidRPr="00FC59E2">
              <w:rPr>
                <w:b w:val="0"/>
                <w:sz w:val="21"/>
                <w:szCs w:val="21"/>
              </w:rPr>
              <w:t xml:space="preserve">Total NOx </w:t>
            </w:r>
            <w:r>
              <w:rPr>
                <w:b w:val="0"/>
                <w:sz w:val="21"/>
                <w:szCs w:val="21"/>
              </w:rPr>
              <w:t>e</w:t>
            </w:r>
            <w:r w:rsidRPr="00FC59E2">
              <w:rPr>
                <w:b w:val="0"/>
                <w:sz w:val="21"/>
                <w:szCs w:val="21"/>
              </w:rPr>
              <w:t>missions</w:t>
            </w:r>
            <w:r>
              <w:rPr>
                <w:b w:val="0"/>
                <w:sz w:val="21"/>
                <w:szCs w:val="21"/>
              </w:rPr>
              <w:t xml:space="preserve"> (thousand tons)</w:t>
            </w:r>
          </w:p>
        </w:tc>
        <w:tc>
          <w:tcPr>
            <w:tcW w:w="1620" w:type="dxa"/>
            <w:tcBorders>
              <w:left w:val="single" w:sz="8" w:space="0" w:color="76923C" w:themeColor="accent3" w:themeShade="BF"/>
              <w:right w:val="single" w:sz="8" w:space="0" w:color="76923C" w:themeColor="accent3" w:themeShade="BF"/>
            </w:tcBorders>
            <w:vAlign w:val="center"/>
          </w:tcPr>
          <w:p w:rsidR="00350334" w:rsidRPr="003C7163" w:rsidRDefault="00350334" w:rsidP="00350334">
            <w:pPr>
              <w:spacing w:after="0"/>
              <w:ind w:right="328"/>
              <w:jc w:val="right"/>
              <w:cnfStyle w:val="000000100000"/>
              <w:rPr>
                <w:color w:val="000000"/>
                <w:sz w:val="21"/>
                <w:szCs w:val="21"/>
              </w:rPr>
            </w:pPr>
            <w:r w:rsidRPr="003C7163">
              <w:rPr>
                <w:color w:val="000000"/>
                <w:sz w:val="21"/>
                <w:szCs w:val="21"/>
              </w:rPr>
              <w:t>458</w:t>
            </w:r>
          </w:p>
        </w:tc>
        <w:tc>
          <w:tcPr>
            <w:tcW w:w="1052" w:type="dxa"/>
            <w:tcBorders>
              <w:left w:val="single" w:sz="8" w:space="0" w:color="76923C" w:themeColor="accent3" w:themeShade="BF"/>
            </w:tcBorders>
            <w:vAlign w:val="center"/>
          </w:tcPr>
          <w:p w:rsidR="00350334" w:rsidRPr="00350334" w:rsidRDefault="00350334" w:rsidP="00350334">
            <w:pPr>
              <w:spacing w:after="0"/>
              <w:jc w:val="right"/>
              <w:cnfStyle w:val="000000100000"/>
              <w:rPr>
                <w:color w:val="000000"/>
                <w:sz w:val="21"/>
                <w:szCs w:val="21"/>
              </w:rPr>
            </w:pPr>
            <w:r w:rsidRPr="00350334">
              <w:rPr>
                <w:color w:val="000000"/>
                <w:sz w:val="21"/>
                <w:szCs w:val="21"/>
              </w:rPr>
              <w:t>351</w:t>
            </w:r>
          </w:p>
        </w:tc>
        <w:tc>
          <w:tcPr>
            <w:tcW w:w="1053" w:type="dxa"/>
            <w:tcBorders>
              <w:right w:val="single" w:sz="8" w:space="0" w:color="76923C" w:themeColor="accent3" w:themeShade="BF"/>
            </w:tcBorders>
            <w:vAlign w:val="center"/>
          </w:tcPr>
          <w:p w:rsidR="00350334" w:rsidRPr="00350334" w:rsidRDefault="00350334" w:rsidP="00350334">
            <w:pPr>
              <w:spacing w:after="0"/>
              <w:jc w:val="left"/>
              <w:cnfStyle w:val="000000100000"/>
              <w:rPr>
                <w:color w:val="000000"/>
                <w:sz w:val="21"/>
                <w:szCs w:val="21"/>
              </w:rPr>
            </w:pPr>
            <w:r w:rsidRPr="00350334">
              <w:rPr>
                <w:color w:val="000000"/>
                <w:sz w:val="21"/>
                <w:szCs w:val="21"/>
              </w:rPr>
              <w:t>(</w:t>
            </w:r>
            <w:r w:rsidR="00BC572C">
              <w:rPr>
                <w:color w:val="000000"/>
                <w:sz w:val="21"/>
                <w:szCs w:val="21"/>
              </w:rPr>
              <w:t>-</w:t>
            </w:r>
            <w:r w:rsidRPr="00350334">
              <w:rPr>
                <w:color w:val="000000"/>
                <w:sz w:val="21"/>
                <w:szCs w:val="21"/>
              </w:rPr>
              <w:t>23%)</w:t>
            </w:r>
          </w:p>
        </w:tc>
        <w:tc>
          <w:tcPr>
            <w:tcW w:w="1052" w:type="dxa"/>
            <w:tcBorders>
              <w:left w:val="single" w:sz="8" w:space="0" w:color="76923C" w:themeColor="accent3" w:themeShade="BF"/>
            </w:tcBorders>
            <w:vAlign w:val="center"/>
          </w:tcPr>
          <w:p w:rsidR="00350334" w:rsidRPr="00350334" w:rsidRDefault="00350334" w:rsidP="00350334">
            <w:pPr>
              <w:spacing w:after="0"/>
              <w:jc w:val="right"/>
              <w:cnfStyle w:val="000000100000"/>
              <w:rPr>
                <w:color w:val="000000"/>
                <w:sz w:val="21"/>
                <w:szCs w:val="21"/>
              </w:rPr>
            </w:pPr>
            <w:r w:rsidRPr="00350334">
              <w:rPr>
                <w:color w:val="000000"/>
                <w:sz w:val="21"/>
                <w:szCs w:val="21"/>
              </w:rPr>
              <w:t>406</w:t>
            </w:r>
          </w:p>
        </w:tc>
        <w:tc>
          <w:tcPr>
            <w:tcW w:w="1053" w:type="dxa"/>
            <w:vAlign w:val="center"/>
          </w:tcPr>
          <w:p w:rsidR="00350334" w:rsidRPr="00350334" w:rsidRDefault="00350334" w:rsidP="00350334">
            <w:pPr>
              <w:spacing w:after="0"/>
              <w:jc w:val="left"/>
              <w:cnfStyle w:val="000000100000"/>
              <w:rPr>
                <w:color w:val="000000"/>
                <w:sz w:val="21"/>
                <w:szCs w:val="21"/>
              </w:rPr>
            </w:pPr>
            <w:r w:rsidRPr="00350334">
              <w:rPr>
                <w:color w:val="000000"/>
                <w:sz w:val="21"/>
                <w:szCs w:val="21"/>
              </w:rPr>
              <w:t>(</w:t>
            </w:r>
            <w:r w:rsidR="00BC572C">
              <w:rPr>
                <w:color w:val="000000"/>
                <w:sz w:val="21"/>
                <w:szCs w:val="21"/>
              </w:rPr>
              <w:t>-</w:t>
            </w:r>
            <w:r w:rsidRPr="00350334">
              <w:rPr>
                <w:color w:val="000000"/>
                <w:sz w:val="21"/>
                <w:szCs w:val="21"/>
              </w:rPr>
              <w:t>11%)</w:t>
            </w:r>
          </w:p>
        </w:tc>
      </w:tr>
    </w:tbl>
    <w:p w:rsidR="00415085" w:rsidRDefault="002B5B91" w:rsidP="00761436">
      <w:pPr>
        <w:spacing w:after="0" w:line="240" w:lineRule="auto"/>
        <w:rPr>
          <w:i/>
          <w:sz w:val="18"/>
          <w:szCs w:val="18"/>
        </w:rPr>
      </w:pPr>
      <w:r>
        <w:rPr>
          <w:i/>
          <w:sz w:val="18"/>
          <w:szCs w:val="18"/>
        </w:rPr>
        <w:t xml:space="preserve"> </w:t>
      </w:r>
      <w:r w:rsidR="00FC59E2">
        <w:rPr>
          <w:i/>
          <w:sz w:val="18"/>
          <w:szCs w:val="18"/>
        </w:rPr>
        <w:t>Note</w:t>
      </w:r>
      <w:r w:rsidR="00FC59E2" w:rsidRPr="00961A10">
        <w:rPr>
          <w:i/>
          <w:sz w:val="18"/>
          <w:szCs w:val="18"/>
        </w:rPr>
        <w:t xml:space="preserve">: </w:t>
      </w:r>
      <w:r w:rsidR="00FC59E2">
        <w:rPr>
          <w:i/>
          <w:sz w:val="18"/>
          <w:szCs w:val="18"/>
        </w:rPr>
        <w:t xml:space="preserve">All values are aggregate </w:t>
      </w:r>
      <w:r w:rsidR="00D94AD6" w:rsidRPr="0006568D">
        <w:rPr>
          <w:rFonts w:eastAsia="Malgun Gothic"/>
          <w:i/>
          <w:sz w:val="18"/>
          <w:szCs w:val="18"/>
        </w:rPr>
        <w:t>sum</w:t>
      </w:r>
      <w:r w:rsidR="00D94AD6">
        <w:rPr>
          <w:rFonts w:eastAsia="Malgun Gothic"/>
          <w:i/>
          <w:sz w:val="18"/>
          <w:szCs w:val="18"/>
        </w:rPr>
        <w:t>s</w:t>
      </w:r>
      <w:r w:rsidR="00D94AD6" w:rsidRPr="0006568D">
        <w:rPr>
          <w:rFonts w:eastAsia="Malgun Gothic"/>
          <w:i/>
          <w:sz w:val="18"/>
          <w:szCs w:val="18"/>
        </w:rPr>
        <w:t xml:space="preserve"> </w:t>
      </w:r>
      <w:r w:rsidR="00D94AD6">
        <w:rPr>
          <w:rFonts w:eastAsia="Malgun Gothic"/>
          <w:i/>
          <w:sz w:val="18"/>
          <w:szCs w:val="18"/>
        </w:rPr>
        <w:t xml:space="preserve">for the period </w:t>
      </w:r>
      <w:r w:rsidR="00D94AD6" w:rsidRPr="0006568D">
        <w:rPr>
          <w:rFonts w:eastAsia="Malgun Gothic"/>
          <w:i/>
          <w:sz w:val="18"/>
          <w:szCs w:val="18"/>
        </w:rPr>
        <w:t>2012-2027</w:t>
      </w:r>
    </w:p>
    <w:p w:rsidR="00761436" w:rsidRPr="00FC59E2" w:rsidRDefault="00761436" w:rsidP="00761436">
      <w:pPr>
        <w:spacing w:after="240" w:line="240" w:lineRule="auto"/>
        <w:rPr>
          <w:b/>
        </w:rPr>
      </w:pPr>
      <w:r w:rsidRPr="00761436">
        <w:rPr>
          <w:i/>
          <w:sz w:val="18"/>
          <w:szCs w:val="18"/>
          <w:vertAlign w:val="superscript"/>
        </w:rPr>
        <w:t xml:space="preserve">a </w:t>
      </w:r>
      <w:r>
        <w:rPr>
          <w:i/>
          <w:sz w:val="18"/>
          <w:szCs w:val="18"/>
        </w:rPr>
        <w:t>Discounted</w:t>
      </w:r>
    </w:p>
    <w:p w:rsidR="002B5B91" w:rsidRPr="00A91862" w:rsidRDefault="00350334" w:rsidP="002B5B91">
      <w:r>
        <w:t>T</w:t>
      </w:r>
      <w:r w:rsidR="002B5B91" w:rsidRPr="002B5B91">
        <w:t xml:space="preserve">hese reductions and savings are attributed to various </w:t>
      </w:r>
      <w:r w:rsidR="002B5B91">
        <w:t>factors</w:t>
      </w:r>
      <w:r w:rsidR="00A91862">
        <w:t xml:space="preserve">, </w:t>
      </w:r>
      <w:r w:rsidR="005552EB">
        <w:t xml:space="preserve">as </w:t>
      </w:r>
      <w:r w:rsidR="00F23C87">
        <w:t xml:space="preserve">described below and shown </w:t>
      </w:r>
      <w:r w:rsidR="00A91862">
        <w:t xml:space="preserve">in </w:t>
      </w:r>
      <w:fldSimple w:instr=" REF _Ref324810478 \h  \* MERGEFORMAT ">
        <w:r w:rsidR="009E716A" w:rsidRPr="009E716A">
          <w:t xml:space="preserve">Table </w:t>
        </w:r>
        <w:r w:rsidR="009E716A" w:rsidRPr="009E716A">
          <w:rPr>
            <w:noProof/>
          </w:rPr>
          <w:t>10</w:t>
        </w:r>
      </w:fldSimple>
      <w:r w:rsidR="00A91862">
        <w:t>.</w:t>
      </w:r>
    </w:p>
    <w:p w:rsidR="00AB330E" w:rsidRPr="00415085" w:rsidRDefault="00AB330E" w:rsidP="00AB330E">
      <w:r>
        <w:rPr>
          <w:b/>
        </w:rPr>
        <w:t xml:space="preserve">Cleaner vehicle fleet due to renewal and </w:t>
      </w:r>
      <w:r w:rsidR="0025028E">
        <w:rPr>
          <w:b/>
        </w:rPr>
        <w:t xml:space="preserve">regular </w:t>
      </w:r>
      <w:r>
        <w:rPr>
          <w:b/>
        </w:rPr>
        <w:t xml:space="preserve">inspection (measures </w:t>
      </w:r>
      <w:r w:rsidR="005552EB">
        <w:rPr>
          <w:b/>
        </w:rPr>
        <w:t xml:space="preserve">recommended </w:t>
      </w:r>
      <w:r>
        <w:rPr>
          <w:b/>
        </w:rPr>
        <w:t>in Section</w:t>
      </w:r>
      <w:r w:rsidR="00BC09D6">
        <w:rPr>
          <w:b/>
        </w:rPr>
        <w:t>s</w:t>
      </w:r>
      <w:r>
        <w:rPr>
          <w:b/>
        </w:rPr>
        <w:t xml:space="preserve"> III.</w:t>
      </w:r>
      <w:r w:rsidR="00BC09D6">
        <w:rPr>
          <w:b/>
        </w:rPr>
        <w:t xml:space="preserve"> </w:t>
      </w:r>
      <w:r>
        <w:rPr>
          <w:b/>
        </w:rPr>
        <w:t>A, B)</w:t>
      </w:r>
      <w:r w:rsidRPr="00B71A19">
        <w:t>.</w:t>
      </w:r>
      <w:r>
        <w:t xml:space="preserve">  </w:t>
      </w:r>
      <w:r w:rsidR="003B5E37">
        <w:t>I</w:t>
      </w:r>
      <w:r>
        <w:t xml:space="preserve">n Georgia, the 50-percent vehicle retirement age, at which 50 percent of vehicle fleet of a certain </w:t>
      </w:r>
      <w:r w:rsidR="003B5E37">
        <w:t xml:space="preserve">vehicle cohort </w:t>
      </w:r>
      <w:r>
        <w:t xml:space="preserve">retires, is much higher than in the case of higher-income countries. As in other countries, it will go down naturally as the average income grows, and stricter vehicle emission standards and regular </w:t>
      </w:r>
      <w:r w:rsidR="003B5E37">
        <w:t xml:space="preserve">vehicle </w:t>
      </w:r>
      <w:r>
        <w:t xml:space="preserve">inspection </w:t>
      </w:r>
      <w:r w:rsidR="003B5E37">
        <w:t>will expedite this trend</w:t>
      </w:r>
      <w:r>
        <w:t>.</w:t>
      </w:r>
      <w:r w:rsidR="00BC09D6" w:rsidRPr="00BC09D6">
        <w:t xml:space="preserve"> </w:t>
      </w:r>
      <w:r w:rsidR="00BC09D6">
        <w:t xml:space="preserve">The proposed vehicle scrapping and recycling program </w:t>
      </w:r>
      <w:r w:rsidR="003B5E37">
        <w:t xml:space="preserve">will </w:t>
      </w:r>
      <w:r w:rsidR="00BC09D6">
        <w:t xml:space="preserve">likely result in </w:t>
      </w:r>
      <w:r w:rsidR="003B5E37">
        <w:t xml:space="preserve">large-scale </w:t>
      </w:r>
      <w:r w:rsidR="00BC09D6">
        <w:t>vehicle</w:t>
      </w:r>
      <w:r w:rsidR="003B5E37">
        <w:t xml:space="preserve"> renewal </w:t>
      </w:r>
      <w:r w:rsidR="009C5F64">
        <w:t xml:space="preserve">within </w:t>
      </w:r>
      <w:r w:rsidR="00BC09D6">
        <w:t>a relatively short period of time. Participation rate</w:t>
      </w:r>
      <w:r w:rsidR="009C5F64">
        <w:t>s</w:t>
      </w:r>
      <w:r w:rsidR="00BC09D6">
        <w:t xml:space="preserve"> </w:t>
      </w:r>
      <w:r w:rsidR="009C5F64">
        <w:t xml:space="preserve">for </w:t>
      </w:r>
      <w:r w:rsidR="0025028E">
        <w:t xml:space="preserve">a </w:t>
      </w:r>
      <w:r w:rsidR="00BC09D6">
        <w:t>vehicle scrapping</w:t>
      </w:r>
      <w:r w:rsidR="009C5F64">
        <w:t>-and-</w:t>
      </w:r>
      <w:r w:rsidR="00BC09D6">
        <w:t xml:space="preserve">recycling program would </w:t>
      </w:r>
      <w:r w:rsidR="009C5F64">
        <w:t xml:space="preserve">be influenced by </w:t>
      </w:r>
      <w:r w:rsidR="00BC09D6">
        <w:t xml:space="preserve">financial incentives </w:t>
      </w:r>
      <w:r w:rsidR="009C5F64">
        <w:t xml:space="preserve">such as </w:t>
      </w:r>
      <w:r w:rsidR="00BC09D6">
        <w:t xml:space="preserve">tax breaks and subsidies, </w:t>
      </w:r>
      <w:r w:rsidR="0025028E">
        <w:t xml:space="preserve">the price difference between eligible old and new vehicles, and </w:t>
      </w:r>
      <w:r w:rsidR="009C5F64">
        <w:t>the income level</w:t>
      </w:r>
      <w:r w:rsidR="0025028E">
        <w:t xml:space="preserve">.  </w:t>
      </w:r>
      <w:r w:rsidR="009C5F64">
        <w:t xml:space="preserve">Data were unavailable on </w:t>
      </w:r>
      <w:r w:rsidR="0025028E">
        <w:t xml:space="preserve">Georgian </w:t>
      </w:r>
      <w:r w:rsidR="009C5F64">
        <w:t xml:space="preserve">consumer behavior on vehicle choices; therefore this study assumed that </w:t>
      </w:r>
      <w:r w:rsidR="0025028E">
        <w:t xml:space="preserve">future vehicle choices </w:t>
      </w:r>
      <w:r w:rsidR="009C5F64">
        <w:t xml:space="preserve">in </w:t>
      </w:r>
      <w:r w:rsidR="0025028E">
        <w:t>Georgia</w:t>
      </w:r>
      <w:r w:rsidR="009C5F64">
        <w:t xml:space="preserve"> would resemble those of consumers in </w:t>
      </w:r>
      <w:r w:rsidR="0025028E">
        <w:t>other developing countries (see Annex 1 for detail</w:t>
      </w:r>
      <w:r w:rsidR="009C5F64">
        <w:t xml:space="preserve">ed </w:t>
      </w:r>
      <w:r w:rsidR="0025028E">
        <w:t>assumptions).</w:t>
      </w:r>
      <w:r w:rsidR="009C5F64">
        <w:t xml:space="preserve"> </w:t>
      </w:r>
      <w:r w:rsidR="0025028E">
        <w:t xml:space="preserve">Under the green transportation scenario, </w:t>
      </w:r>
      <w:r w:rsidR="00FE58D7">
        <w:t xml:space="preserve">vehicle-km travelled, fuel consumption, and subsequently CO2 emissions increase. This is due to </w:t>
      </w:r>
      <w:r w:rsidR="00E47EBD">
        <w:t xml:space="preserve">the fact that </w:t>
      </w:r>
      <w:r w:rsidR="009C5F64">
        <w:t xml:space="preserve">typically </w:t>
      </w:r>
      <w:r w:rsidR="00E47EBD">
        <w:t>newer cars are driven longer average distance</w:t>
      </w:r>
      <w:r w:rsidR="009C5F64">
        <w:t>s</w:t>
      </w:r>
      <w:r w:rsidR="00E47EBD">
        <w:t xml:space="preserve"> than older vehicles. The main </w:t>
      </w:r>
      <w:r w:rsidR="0025028E">
        <w:t xml:space="preserve">benefits of vehicle renewal and maintenance </w:t>
      </w:r>
      <w:r w:rsidR="00E47EBD">
        <w:t>are substantial reductions in local emissions</w:t>
      </w:r>
      <w:r w:rsidR="0025028E">
        <w:t xml:space="preserve">: </w:t>
      </w:r>
      <w:r w:rsidR="00E47EBD">
        <w:t xml:space="preserve">CO emissions are </w:t>
      </w:r>
      <w:r w:rsidR="0025028E">
        <w:t xml:space="preserve">estimated to </w:t>
      </w:r>
      <w:r w:rsidR="009C5F64">
        <w:t xml:space="preserve">decline </w:t>
      </w:r>
      <w:r w:rsidR="0025028E">
        <w:t xml:space="preserve">by </w:t>
      </w:r>
      <w:r w:rsidR="00E47EBD">
        <w:t xml:space="preserve">196 </w:t>
      </w:r>
      <w:r w:rsidR="0025028E">
        <w:t xml:space="preserve">thousand tons; </w:t>
      </w:r>
      <w:r w:rsidR="00E47EBD">
        <w:t xml:space="preserve">VOC emissions by 40 thousand tons; and </w:t>
      </w:r>
      <w:r w:rsidR="0025028E">
        <w:t xml:space="preserve">NOx emissions by </w:t>
      </w:r>
      <w:r w:rsidR="00E47EBD">
        <w:t xml:space="preserve">12 </w:t>
      </w:r>
      <w:r w:rsidR="0025028E">
        <w:t>thousand tons.</w:t>
      </w:r>
    </w:p>
    <w:p w:rsidR="002B5B91" w:rsidRDefault="002B5B91" w:rsidP="002B5B91">
      <w:r w:rsidRPr="00B71A19">
        <w:rPr>
          <w:b/>
        </w:rPr>
        <w:lastRenderedPageBreak/>
        <w:t xml:space="preserve">Modal shift </w:t>
      </w:r>
      <w:r>
        <w:rPr>
          <w:b/>
        </w:rPr>
        <w:t>of freight transport</w:t>
      </w:r>
      <w:r w:rsidR="00BF33DC">
        <w:rPr>
          <w:b/>
        </w:rPr>
        <w:t xml:space="preserve"> from road</w:t>
      </w:r>
      <w:r>
        <w:rPr>
          <w:b/>
        </w:rPr>
        <w:t xml:space="preserve"> </w:t>
      </w:r>
      <w:r w:rsidRPr="00B71A19">
        <w:rPr>
          <w:b/>
        </w:rPr>
        <w:t>to rail</w:t>
      </w:r>
      <w:r w:rsidR="00BF33DC">
        <w:rPr>
          <w:b/>
        </w:rPr>
        <w:t>way</w:t>
      </w:r>
      <w:r w:rsidR="00AB330E">
        <w:rPr>
          <w:b/>
        </w:rPr>
        <w:t xml:space="preserve"> (measures </w:t>
      </w:r>
      <w:r w:rsidR="005552EB">
        <w:rPr>
          <w:b/>
        </w:rPr>
        <w:t xml:space="preserve">recommended </w:t>
      </w:r>
      <w:r w:rsidR="00AB330E">
        <w:rPr>
          <w:b/>
        </w:rPr>
        <w:t>in Section III.</w:t>
      </w:r>
      <w:r w:rsidR="00BC09D6">
        <w:rPr>
          <w:b/>
        </w:rPr>
        <w:t xml:space="preserve"> </w:t>
      </w:r>
      <w:r w:rsidR="00AB330E">
        <w:rPr>
          <w:b/>
        </w:rPr>
        <w:t>C)</w:t>
      </w:r>
      <w:r>
        <w:t xml:space="preserve">.  </w:t>
      </w:r>
      <w:r w:rsidR="00A91862">
        <w:t xml:space="preserve">Improvement of intermodal connections and increased road user charges on freight transport will induce road-to-rail modal shift.  </w:t>
      </w:r>
      <w:r w:rsidR="0015269A">
        <w:t>Future modal share</w:t>
      </w:r>
      <w:r w:rsidR="009C5F64">
        <w:t>s</w:t>
      </w:r>
      <w:r w:rsidR="0015269A">
        <w:t xml:space="preserve"> of cargo transport </w:t>
      </w:r>
      <w:r w:rsidR="009C5F64">
        <w:t>between road and railway depend</w:t>
      </w:r>
      <w:r w:rsidR="0015269A">
        <w:t xml:space="preserve"> on </w:t>
      </w:r>
      <w:r w:rsidR="009C5F64">
        <w:t xml:space="preserve">multiple </w:t>
      </w:r>
      <w:r w:rsidR="0015269A">
        <w:t xml:space="preserve">factors, such as charges on road use, </w:t>
      </w:r>
      <w:r w:rsidR="005017BC">
        <w:t xml:space="preserve">fuel prices, </w:t>
      </w:r>
      <w:r w:rsidR="0015269A">
        <w:t>quality and price</w:t>
      </w:r>
      <w:r w:rsidR="005017BC">
        <w:t>s</w:t>
      </w:r>
      <w:r w:rsidR="009C5F64">
        <w:t xml:space="preserve"> of rail</w:t>
      </w:r>
      <w:r w:rsidR="0015269A">
        <w:t xml:space="preserve"> and transshipment services, and difference</w:t>
      </w:r>
      <w:r w:rsidR="009C5F64">
        <w:t>s</w:t>
      </w:r>
      <w:r w:rsidR="0015269A">
        <w:t xml:space="preserve"> in </w:t>
      </w:r>
      <w:r w:rsidR="009C5F64">
        <w:t xml:space="preserve">border-crossing </w:t>
      </w:r>
      <w:r w:rsidR="0015269A">
        <w:t xml:space="preserve">efficiency of each mode.  </w:t>
      </w:r>
      <w:r w:rsidR="009C5F64">
        <w:t xml:space="preserve">Based on </w:t>
      </w:r>
      <w:r w:rsidR="0015269A">
        <w:t xml:space="preserve">past trends of rail and road modal share, it is </w:t>
      </w:r>
      <w:r w:rsidR="00A91862">
        <w:t xml:space="preserve">assumed that </w:t>
      </w:r>
      <w:r w:rsidR="0015269A">
        <w:t>between 6</w:t>
      </w:r>
      <w:r w:rsidR="00A91862">
        <w:t xml:space="preserve"> </w:t>
      </w:r>
      <w:r w:rsidR="0015269A">
        <w:t xml:space="preserve">and 12 </w:t>
      </w:r>
      <w:r w:rsidR="00A91862">
        <w:t xml:space="preserve">percent of total </w:t>
      </w:r>
      <w:r w:rsidR="009C5F64">
        <w:t xml:space="preserve">road </w:t>
      </w:r>
      <w:r w:rsidR="00A91862">
        <w:t>cargo</w:t>
      </w:r>
      <w:r w:rsidR="009C5F64">
        <w:t xml:space="preserve"> (</w:t>
      </w:r>
      <w:r w:rsidR="00A91862">
        <w:t>ton-km</w:t>
      </w:r>
      <w:r w:rsidR="009C5F64">
        <w:t>)</w:t>
      </w:r>
      <w:r w:rsidR="0015269A">
        <w:t xml:space="preserve"> would be shifted </w:t>
      </w:r>
      <w:r w:rsidR="009C5F64">
        <w:t>to rail</w:t>
      </w:r>
      <w:r w:rsidR="00A91862">
        <w:t>.</w:t>
      </w:r>
      <w:r w:rsidR="0015269A">
        <w:t xml:space="preserve">  The benefits of such </w:t>
      </w:r>
      <w:r w:rsidR="009C5F64">
        <w:t xml:space="preserve">a </w:t>
      </w:r>
      <w:r w:rsidR="0015269A">
        <w:t xml:space="preserve">modal shift are estimated as shown </w:t>
      </w:r>
      <w:r w:rsidR="009C5F64">
        <w:t>in Table 9</w:t>
      </w:r>
      <w:r w:rsidR="0015269A">
        <w:t xml:space="preserve">: </w:t>
      </w:r>
      <w:r w:rsidR="00776DE6">
        <w:t xml:space="preserve">fuel consumption is estimated to reduce by </w:t>
      </w:r>
      <w:r w:rsidR="006E60DF">
        <w:t xml:space="preserve">607 </w:t>
      </w:r>
      <w:r w:rsidR="00776DE6">
        <w:t xml:space="preserve">to </w:t>
      </w:r>
      <w:r w:rsidR="006E60DF">
        <w:t xml:space="preserve">1,214 </w:t>
      </w:r>
      <w:r w:rsidR="00776DE6">
        <w:t xml:space="preserve">thousand tons; CO2 emissions by </w:t>
      </w:r>
      <w:r w:rsidR="006E60DF">
        <w:t>1,904</w:t>
      </w:r>
      <w:r w:rsidR="00776DE6">
        <w:t xml:space="preserve"> to </w:t>
      </w:r>
      <w:r w:rsidR="006E60DF">
        <w:t xml:space="preserve">3,809 </w:t>
      </w:r>
      <w:r w:rsidR="00776DE6">
        <w:t xml:space="preserve">thousand tons; </w:t>
      </w:r>
      <w:r w:rsidR="006E60DF">
        <w:t xml:space="preserve">and </w:t>
      </w:r>
      <w:r w:rsidR="00776DE6">
        <w:t xml:space="preserve">NOx emissions by </w:t>
      </w:r>
      <w:r w:rsidR="006E60DF">
        <w:t xml:space="preserve">15 </w:t>
      </w:r>
      <w:r w:rsidR="00776DE6">
        <w:t xml:space="preserve">to </w:t>
      </w:r>
      <w:r w:rsidR="006E60DF">
        <w:t xml:space="preserve">29 </w:t>
      </w:r>
      <w:r w:rsidR="00776DE6">
        <w:t>thousand tons</w:t>
      </w:r>
      <w:r w:rsidR="00BC09D6">
        <w:t>.</w:t>
      </w:r>
    </w:p>
    <w:p w:rsidR="002B5B91" w:rsidRDefault="002B5B91" w:rsidP="002B5B91">
      <w:r w:rsidRPr="00B71A19">
        <w:rPr>
          <w:b/>
        </w:rPr>
        <w:t xml:space="preserve">Modal shift </w:t>
      </w:r>
      <w:r>
        <w:rPr>
          <w:b/>
        </w:rPr>
        <w:t xml:space="preserve">of passenger transport </w:t>
      </w:r>
      <w:r w:rsidR="00BF33DC">
        <w:rPr>
          <w:b/>
        </w:rPr>
        <w:t xml:space="preserve">from private cars to </w:t>
      </w:r>
      <w:r w:rsidRPr="00B71A19">
        <w:rPr>
          <w:b/>
        </w:rPr>
        <w:t>public transport</w:t>
      </w:r>
      <w:r w:rsidR="00AB330E">
        <w:rPr>
          <w:b/>
        </w:rPr>
        <w:t xml:space="preserve"> (measures </w:t>
      </w:r>
      <w:r w:rsidR="005552EB">
        <w:rPr>
          <w:b/>
        </w:rPr>
        <w:t xml:space="preserve">recommended </w:t>
      </w:r>
      <w:r w:rsidR="00AB330E">
        <w:rPr>
          <w:b/>
        </w:rPr>
        <w:t>in Section</w:t>
      </w:r>
      <w:r w:rsidR="00BC09D6">
        <w:rPr>
          <w:b/>
        </w:rPr>
        <w:t>s</w:t>
      </w:r>
      <w:r w:rsidR="00AB330E">
        <w:rPr>
          <w:b/>
        </w:rPr>
        <w:t xml:space="preserve"> </w:t>
      </w:r>
      <w:r w:rsidR="005E5D20">
        <w:rPr>
          <w:b/>
        </w:rPr>
        <w:t>III.</w:t>
      </w:r>
      <w:r w:rsidR="00BC09D6">
        <w:rPr>
          <w:b/>
        </w:rPr>
        <w:t xml:space="preserve"> </w:t>
      </w:r>
      <w:r w:rsidR="00AB330E">
        <w:rPr>
          <w:b/>
        </w:rPr>
        <w:t>D</w:t>
      </w:r>
      <w:r w:rsidR="005E5D20">
        <w:rPr>
          <w:b/>
        </w:rPr>
        <w:t>,</w:t>
      </w:r>
      <w:r w:rsidR="00BC09D6">
        <w:rPr>
          <w:b/>
        </w:rPr>
        <w:t xml:space="preserve"> E,</w:t>
      </w:r>
      <w:r w:rsidR="005E5D20">
        <w:rPr>
          <w:b/>
        </w:rPr>
        <w:t xml:space="preserve"> F)</w:t>
      </w:r>
      <w:r>
        <w:t xml:space="preserve">. </w:t>
      </w:r>
      <w:r w:rsidR="00A91862">
        <w:t xml:space="preserve">Improvement of urban transport systems and introduction of restrictions and pricing for private transport in urban areas </w:t>
      </w:r>
      <w:r w:rsidR="009E4C87">
        <w:t xml:space="preserve">would </w:t>
      </w:r>
      <w:r w:rsidR="00A91862">
        <w:t>induce modal shift from private to public transport</w:t>
      </w:r>
      <w:r w:rsidR="005017BC">
        <w:t>, including regional rail, interurban buses, metro (Tbilisi), in-city buses, and other future in-city electric transport modes (such as LRT, ropeways, etc.)</w:t>
      </w:r>
      <w:r w:rsidR="00A91862">
        <w:t>.</w:t>
      </w:r>
      <w:r w:rsidR="009E4C87">
        <w:t xml:space="preserve"> Well-developed intercity bus services would also be a good alternative to private transport. </w:t>
      </w:r>
      <w:r w:rsidR="005017BC">
        <w:t>Future mode choice patterns of urban and interurban passenger transport would depend on the quality and prices of various modes, fuel prices, level of congestion, and other urban transport demand management measures</w:t>
      </w:r>
      <w:r w:rsidR="005856A1">
        <w:t>,</w:t>
      </w:r>
      <w:r w:rsidR="005017BC">
        <w:t xml:space="preserve"> such as parking </w:t>
      </w:r>
      <w:r w:rsidR="005856A1">
        <w:t xml:space="preserve">restrictions and </w:t>
      </w:r>
      <w:r w:rsidR="005017BC">
        <w:t>congestion pricing.  B</w:t>
      </w:r>
      <w:r w:rsidR="0015269A">
        <w:t xml:space="preserve">enefits </w:t>
      </w:r>
      <w:r w:rsidR="00BF33DC">
        <w:t xml:space="preserve">of green transport policy </w:t>
      </w:r>
      <w:r w:rsidR="005856A1">
        <w:t xml:space="preserve">on </w:t>
      </w:r>
      <w:r w:rsidR="00BF33DC">
        <w:t xml:space="preserve">passenger transport </w:t>
      </w:r>
      <w:r w:rsidR="0015269A">
        <w:t xml:space="preserve">will vary: </w:t>
      </w:r>
      <w:r w:rsidR="00776DE6">
        <w:t xml:space="preserve">fuel consumption is estimated to reduce by </w:t>
      </w:r>
      <w:r w:rsidR="006E60DF">
        <w:t xml:space="preserve">526 </w:t>
      </w:r>
      <w:r w:rsidR="00776DE6">
        <w:t xml:space="preserve">to </w:t>
      </w:r>
      <w:r w:rsidR="006E60DF">
        <w:t xml:space="preserve">750 </w:t>
      </w:r>
      <w:r w:rsidR="00776DE6">
        <w:t xml:space="preserve">thousand tons; CO2 emissions by </w:t>
      </w:r>
      <w:r w:rsidR="006E60DF">
        <w:t>1,577</w:t>
      </w:r>
      <w:r w:rsidR="00776DE6">
        <w:t xml:space="preserve"> to </w:t>
      </w:r>
      <w:r w:rsidR="006E60DF">
        <w:t xml:space="preserve">2,240 </w:t>
      </w:r>
      <w:r w:rsidR="00776DE6">
        <w:t xml:space="preserve">thousand tons; </w:t>
      </w:r>
      <w:r w:rsidR="006E60DF">
        <w:t xml:space="preserve">and </w:t>
      </w:r>
      <w:r w:rsidR="00776DE6">
        <w:t xml:space="preserve">NOx emissions by </w:t>
      </w:r>
      <w:r w:rsidR="006E60DF">
        <w:t xml:space="preserve">9 </w:t>
      </w:r>
      <w:r w:rsidR="00776DE6">
        <w:t xml:space="preserve">to </w:t>
      </w:r>
      <w:r w:rsidR="006E60DF">
        <w:t xml:space="preserve">11 </w:t>
      </w:r>
      <w:r w:rsidR="00776DE6">
        <w:t>thousand tons</w:t>
      </w:r>
      <w:r w:rsidR="005017BC">
        <w:t>.</w:t>
      </w:r>
    </w:p>
    <w:p w:rsidR="00FC59E2" w:rsidRDefault="00FC59E2" w:rsidP="00FC59E2">
      <w:pPr>
        <w:pStyle w:val="Caption"/>
        <w:keepNext/>
        <w:spacing w:before="240" w:after="120"/>
        <w:rPr>
          <w:b w:val="0"/>
          <w:color w:val="auto"/>
          <w:sz w:val="20"/>
          <w:szCs w:val="20"/>
        </w:rPr>
      </w:pPr>
      <w:bookmarkStart w:id="112" w:name="_Ref324810478"/>
      <w:bookmarkStart w:id="113" w:name="_Toc326892901"/>
      <w:r w:rsidRPr="00624B2C">
        <w:rPr>
          <w:color w:val="auto"/>
          <w:sz w:val="20"/>
          <w:szCs w:val="20"/>
        </w:rPr>
        <w:t xml:space="preserve">Table </w:t>
      </w:r>
      <w:r w:rsidR="001A7AF8" w:rsidRPr="00624B2C">
        <w:rPr>
          <w:color w:val="auto"/>
          <w:sz w:val="20"/>
          <w:szCs w:val="20"/>
        </w:rPr>
        <w:fldChar w:fldCharType="begin"/>
      </w:r>
      <w:r w:rsidRPr="00624B2C">
        <w:rPr>
          <w:color w:val="auto"/>
          <w:sz w:val="20"/>
          <w:szCs w:val="20"/>
        </w:rPr>
        <w:instrText xml:space="preserve"> SEQ Table \* ARABIC </w:instrText>
      </w:r>
      <w:r w:rsidR="001A7AF8" w:rsidRPr="00624B2C">
        <w:rPr>
          <w:color w:val="auto"/>
          <w:sz w:val="20"/>
          <w:szCs w:val="20"/>
        </w:rPr>
        <w:fldChar w:fldCharType="separate"/>
      </w:r>
      <w:r w:rsidR="009E716A">
        <w:rPr>
          <w:noProof/>
          <w:color w:val="auto"/>
          <w:sz w:val="20"/>
          <w:szCs w:val="20"/>
        </w:rPr>
        <w:t>10</w:t>
      </w:r>
      <w:r w:rsidR="001A7AF8" w:rsidRPr="00624B2C">
        <w:rPr>
          <w:color w:val="auto"/>
          <w:sz w:val="20"/>
          <w:szCs w:val="20"/>
        </w:rPr>
        <w:fldChar w:fldCharType="end"/>
      </w:r>
      <w:bookmarkEnd w:id="112"/>
      <w:r w:rsidRPr="00624B2C">
        <w:rPr>
          <w:b w:val="0"/>
          <w:color w:val="auto"/>
          <w:sz w:val="20"/>
          <w:szCs w:val="20"/>
        </w:rPr>
        <w:t xml:space="preserve">: </w:t>
      </w:r>
      <w:r>
        <w:rPr>
          <w:b w:val="0"/>
          <w:color w:val="auto"/>
          <w:sz w:val="20"/>
          <w:szCs w:val="20"/>
        </w:rPr>
        <w:t>Green transportation scenario: fuel consumption and emissions reductions by contributing factors</w:t>
      </w:r>
      <w:bookmarkEnd w:id="113"/>
    </w:p>
    <w:tbl>
      <w:tblPr>
        <w:tblStyle w:val="MediumShading1-Accent31"/>
        <w:tblW w:w="9320" w:type="dxa"/>
        <w:jc w:val="center"/>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tblBorders>
        <w:tblCellMar>
          <w:top w:w="29" w:type="dxa"/>
          <w:left w:w="58" w:type="dxa"/>
          <w:bottom w:w="29" w:type="dxa"/>
          <w:right w:w="58" w:type="dxa"/>
        </w:tblCellMar>
        <w:tblLook w:val="04A0"/>
      </w:tblPr>
      <w:tblGrid>
        <w:gridCol w:w="2332"/>
        <w:gridCol w:w="1260"/>
        <w:gridCol w:w="1260"/>
        <w:gridCol w:w="1260"/>
        <w:gridCol w:w="1260"/>
        <w:gridCol w:w="1948"/>
      </w:tblGrid>
      <w:tr w:rsidR="009E4C87" w:rsidRPr="00FC59E2" w:rsidTr="00776DE6">
        <w:trPr>
          <w:cnfStyle w:val="100000000000"/>
          <w:jc w:val="center"/>
        </w:trPr>
        <w:tc>
          <w:tcPr>
            <w:cnfStyle w:val="001000000000"/>
            <w:tcW w:w="2332" w:type="dxa"/>
            <w:vMerge w:val="restart"/>
            <w:tcBorders>
              <w:top w:val="single" w:sz="8" w:space="0" w:color="76923C" w:themeColor="accent3" w:themeShade="BF"/>
              <w:left w:val="single" w:sz="8" w:space="0" w:color="76923C" w:themeColor="accent3" w:themeShade="BF"/>
              <w:right w:val="single" w:sz="8" w:space="0" w:color="FFFFFF" w:themeColor="background1"/>
            </w:tcBorders>
            <w:shd w:val="clear" w:color="auto" w:fill="76923C" w:themeFill="accent3" w:themeFillShade="BF"/>
            <w:vAlign w:val="center"/>
          </w:tcPr>
          <w:p w:rsidR="009E4C87" w:rsidRPr="00761436" w:rsidRDefault="009E4C87" w:rsidP="001D08FB">
            <w:pPr>
              <w:spacing w:after="0"/>
              <w:jc w:val="center"/>
              <w:rPr>
                <w:b w:val="0"/>
                <w:sz w:val="21"/>
                <w:szCs w:val="21"/>
              </w:rPr>
            </w:pPr>
            <w:r w:rsidRPr="00761436">
              <w:rPr>
                <w:b w:val="0"/>
                <w:sz w:val="21"/>
                <w:szCs w:val="21"/>
              </w:rPr>
              <w:t>Reductions</w:t>
            </w:r>
            <w:r>
              <w:rPr>
                <w:b w:val="0"/>
                <w:sz w:val="21"/>
                <w:szCs w:val="21"/>
              </w:rPr>
              <w:t xml:space="preserve"> attributed to</w:t>
            </w:r>
          </w:p>
        </w:tc>
        <w:tc>
          <w:tcPr>
            <w:tcW w:w="2520" w:type="dxa"/>
            <w:gridSpan w:val="2"/>
            <w:tcBorders>
              <w:top w:val="single" w:sz="8" w:space="0" w:color="76923C" w:themeColor="accent3" w:themeShade="BF"/>
              <w:left w:val="single" w:sz="8" w:space="0" w:color="FFFFFF" w:themeColor="background1"/>
              <w:right w:val="single" w:sz="8" w:space="0" w:color="FFFFFF" w:themeColor="background1"/>
            </w:tcBorders>
            <w:shd w:val="clear" w:color="auto" w:fill="76923C" w:themeFill="accent3" w:themeFillShade="BF"/>
          </w:tcPr>
          <w:p w:rsidR="009E4C87" w:rsidRPr="00761436" w:rsidRDefault="009E4C87" w:rsidP="001D08FB">
            <w:pPr>
              <w:spacing w:after="0"/>
              <w:jc w:val="center"/>
              <w:cnfStyle w:val="100000000000"/>
              <w:rPr>
                <w:b w:val="0"/>
                <w:sz w:val="21"/>
                <w:szCs w:val="21"/>
              </w:rPr>
            </w:pPr>
            <w:r w:rsidRPr="00761436">
              <w:rPr>
                <w:b w:val="0"/>
                <w:sz w:val="21"/>
                <w:szCs w:val="21"/>
              </w:rPr>
              <w:t>Freight modal shift</w:t>
            </w:r>
          </w:p>
        </w:tc>
        <w:tc>
          <w:tcPr>
            <w:tcW w:w="2520" w:type="dxa"/>
            <w:gridSpan w:val="2"/>
            <w:tcBorders>
              <w:top w:val="single" w:sz="8" w:space="0" w:color="76923C" w:themeColor="accent3" w:themeShade="BF"/>
              <w:left w:val="single" w:sz="8" w:space="0" w:color="FFFFFF" w:themeColor="background1"/>
              <w:right w:val="single" w:sz="8" w:space="0" w:color="FFFFFF" w:themeColor="background1"/>
            </w:tcBorders>
            <w:shd w:val="clear" w:color="auto" w:fill="76923C" w:themeFill="accent3" w:themeFillShade="BF"/>
          </w:tcPr>
          <w:p w:rsidR="009E4C87" w:rsidRPr="00761436" w:rsidRDefault="009E4C87" w:rsidP="001D08FB">
            <w:pPr>
              <w:spacing w:after="0"/>
              <w:jc w:val="center"/>
              <w:cnfStyle w:val="100000000000"/>
              <w:rPr>
                <w:b w:val="0"/>
                <w:sz w:val="21"/>
                <w:szCs w:val="21"/>
              </w:rPr>
            </w:pPr>
            <w:r w:rsidRPr="00761436">
              <w:rPr>
                <w:b w:val="0"/>
                <w:sz w:val="21"/>
                <w:szCs w:val="21"/>
              </w:rPr>
              <w:t>Passenger modal shift</w:t>
            </w:r>
          </w:p>
        </w:tc>
        <w:tc>
          <w:tcPr>
            <w:tcW w:w="1948" w:type="dxa"/>
            <w:vMerge w:val="restart"/>
            <w:tcBorders>
              <w:top w:val="single" w:sz="8" w:space="0" w:color="76923C" w:themeColor="accent3" w:themeShade="BF"/>
              <w:left w:val="single" w:sz="8" w:space="0" w:color="FFFFFF" w:themeColor="background1"/>
              <w:right w:val="single" w:sz="8" w:space="0" w:color="76923C" w:themeColor="accent3" w:themeShade="BF"/>
            </w:tcBorders>
            <w:shd w:val="clear" w:color="auto" w:fill="76923C" w:themeFill="accent3" w:themeFillShade="BF"/>
            <w:vAlign w:val="center"/>
          </w:tcPr>
          <w:p w:rsidR="009E4C87" w:rsidRPr="00761436" w:rsidRDefault="009E4C87" w:rsidP="00FE58D7">
            <w:pPr>
              <w:spacing w:after="0"/>
              <w:jc w:val="center"/>
              <w:cnfStyle w:val="100000000000"/>
              <w:rPr>
                <w:b w:val="0"/>
                <w:bCs w:val="0"/>
                <w:sz w:val="21"/>
                <w:szCs w:val="21"/>
              </w:rPr>
            </w:pPr>
            <w:r w:rsidRPr="00761436">
              <w:rPr>
                <w:b w:val="0"/>
                <w:bCs w:val="0"/>
                <w:sz w:val="21"/>
                <w:szCs w:val="21"/>
              </w:rPr>
              <w:t xml:space="preserve">Vehicle </w:t>
            </w:r>
            <w:r>
              <w:rPr>
                <w:b w:val="0"/>
                <w:bCs w:val="0"/>
                <w:sz w:val="21"/>
                <w:szCs w:val="21"/>
              </w:rPr>
              <w:t xml:space="preserve">renewal and </w:t>
            </w:r>
            <w:r w:rsidR="00FE58D7">
              <w:rPr>
                <w:b w:val="0"/>
                <w:bCs w:val="0"/>
                <w:sz w:val="21"/>
                <w:szCs w:val="21"/>
              </w:rPr>
              <w:t>inspection</w:t>
            </w:r>
          </w:p>
        </w:tc>
      </w:tr>
      <w:tr w:rsidR="009E4C87" w:rsidRPr="00FC59E2" w:rsidTr="00D93D9E">
        <w:trPr>
          <w:cnfStyle w:val="000000100000"/>
          <w:jc w:val="center"/>
        </w:trPr>
        <w:tc>
          <w:tcPr>
            <w:cnfStyle w:val="001000000000"/>
            <w:tcW w:w="2332" w:type="dxa"/>
            <w:vMerge/>
            <w:tcBorders>
              <w:right w:val="single" w:sz="8" w:space="0" w:color="FFFFFF" w:themeColor="background1"/>
            </w:tcBorders>
            <w:vAlign w:val="center"/>
          </w:tcPr>
          <w:p w:rsidR="009E4C87" w:rsidRPr="00FC59E2" w:rsidRDefault="009E4C87" w:rsidP="0015269A">
            <w:pPr>
              <w:spacing w:after="0"/>
              <w:jc w:val="left"/>
              <w:rPr>
                <w:b w:val="0"/>
                <w:sz w:val="21"/>
                <w:szCs w:val="21"/>
              </w:rPr>
            </w:pPr>
          </w:p>
        </w:tc>
        <w:tc>
          <w:tcPr>
            <w:tcW w:w="1260" w:type="dxa"/>
            <w:tcBorders>
              <w:left w:val="single" w:sz="8" w:space="0" w:color="FFFFFF" w:themeColor="background1"/>
            </w:tcBorders>
            <w:shd w:val="clear" w:color="auto" w:fill="76923C" w:themeFill="accent3" w:themeFillShade="BF"/>
            <w:vAlign w:val="center"/>
          </w:tcPr>
          <w:p w:rsidR="009E4C87" w:rsidRPr="009E4C87" w:rsidRDefault="009E4C87" w:rsidP="0015269A">
            <w:pPr>
              <w:spacing w:after="0"/>
              <w:jc w:val="center"/>
              <w:cnfStyle w:val="000000100000"/>
              <w:rPr>
                <w:i/>
                <w:color w:val="FFFFFF" w:themeColor="background1"/>
                <w:sz w:val="18"/>
                <w:szCs w:val="18"/>
              </w:rPr>
            </w:pPr>
            <w:r w:rsidRPr="009E4C87">
              <w:rPr>
                <w:i/>
                <w:color w:val="FFFFFF" w:themeColor="background1"/>
                <w:sz w:val="18"/>
                <w:szCs w:val="18"/>
              </w:rPr>
              <w:t>Lower bound</w:t>
            </w:r>
          </w:p>
        </w:tc>
        <w:tc>
          <w:tcPr>
            <w:tcW w:w="1260" w:type="dxa"/>
            <w:tcBorders>
              <w:right w:val="single" w:sz="8" w:space="0" w:color="FFFFFF" w:themeColor="background1"/>
            </w:tcBorders>
            <w:shd w:val="clear" w:color="auto" w:fill="76923C" w:themeFill="accent3" w:themeFillShade="BF"/>
            <w:vAlign w:val="center"/>
          </w:tcPr>
          <w:p w:rsidR="009E4C87" w:rsidRPr="009E4C87" w:rsidRDefault="009E4C87" w:rsidP="0015269A">
            <w:pPr>
              <w:spacing w:after="0"/>
              <w:jc w:val="center"/>
              <w:cnfStyle w:val="000000100000"/>
              <w:rPr>
                <w:bCs/>
                <w:i/>
                <w:color w:val="FFFFFF" w:themeColor="background1"/>
                <w:sz w:val="18"/>
                <w:szCs w:val="18"/>
              </w:rPr>
            </w:pPr>
            <w:r w:rsidRPr="009E4C87">
              <w:rPr>
                <w:bCs/>
                <w:i/>
                <w:color w:val="FFFFFF" w:themeColor="background1"/>
                <w:sz w:val="18"/>
                <w:szCs w:val="18"/>
              </w:rPr>
              <w:t>Upper bound</w:t>
            </w:r>
          </w:p>
        </w:tc>
        <w:tc>
          <w:tcPr>
            <w:tcW w:w="1260" w:type="dxa"/>
            <w:tcBorders>
              <w:left w:val="single" w:sz="8" w:space="0" w:color="FFFFFF" w:themeColor="background1"/>
            </w:tcBorders>
            <w:shd w:val="clear" w:color="auto" w:fill="76923C" w:themeFill="accent3" w:themeFillShade="BF"/>
            <w:vAlign w:val="center"/>
          </w:tcPr>
          <w:p w:rsidR="009E4C87" w:rsidRPr="009E4C87" w:rsidRDefault="009E4C87" w:rsidP="0015269A">
            <w:pPr>
              <w:spacing w:after="0"/>
              <w:jc w:val="center"/>
              <w:cnfStyle w:val="000000100000"/>
              <w:rPr>
                <w:i/>
                <w:color w:val="FFFFFF" w:themeColor="background1"/>
                <w:sz w:val="18"/>
                <w:szCs w:val="18"/>
              </w:rPr>
            </w:pPr>
            <w:r w:rsidRPr="009E4C87">
              <w:rPr>
                <w:i/>
                <w:color w:val="FFFFFF" w:themeColor="background1"/>
                <w:sz w:val="18"/>
                <w:szCs w:val="18"/>
              </w:rPr>
              <w:t>Lower bound</w:t>
            </w:r>
          </w:p>
        </w:tc>
        <w:tc>
          <w:tcPr>
            <w:tcW w:w="1260" w:type="dxa"/>
            <w:tcBorders>
              <w:right w:val="single" w:sz="8" w:space="0" w:color="FFFFFF" w:themeColor="background1"/>
            </w:tcBorders>
            <w:shd w:val="clear" w:color="auto" w:fill="76923C" w:themeFill="accent3" w:themeFillShade="BF"/>
            <w:vAlign w:val="center"/>
          </w:tcPr>
          <w:p w:rsidR="009E4C87" w:rsidRPr="009E4C87" w:rsidRDefault="009E4C87" w:rsidP="0015269A">
            <w:pPr>
              <w:spacing w:after="0"/>
              <w:jc w:val="center"/>
              <w:cnfStyle w:val="000000100000"/>
              <w:rPr>
                <w:bCs/>
                <w:i/>
                <w:color w:val="FFFFFF" w:themeColor="background1"/>
                <w:sz w:val="18"/>
                <w:szCs w:val="18"/>
              </w:rPr>
            </w:pPr>
            <w:r w:rsidRPr="009E4C87">
              <w:rPr>
                <w:bCs/>
                <w:i/>
                <w:color w:val="FFFFFF" w:themeColor="background1"/>
                <w:sz w:val="18"/>
                <w:szCs w:val="18"/>
              </w:rPr>
              <w:t>Upper bound</w:t>
            </w:r>
          </w:p>
        </w:tc>
        <w:tc>
          <w:tcPr>
            <w:tcW w:w="1948" w:type="dxa"/>
            <w:vMerge/>
            <w:tcBorders>
              <w:left w:val="single" w:sz="8" w:space="0" w:color="FFFFFF" w:themeColor="background1"/>
            </w:tcBorders>
            <w:vAlign w:val="center"/>
          </w:tcPr>
          <w:p w:rsidR="009E4C87" w:rsidRPr="001D08FB" w:rsidRDefault="009E4C87" w:rsidP="0015269A">
            <w:pPr>
              <w:spacing w:after="0"/>
              <w:jc w:val="center"/>
              <w:cnfStyle w:val="000000100000"/>
              <w:rPr>
                <w:bCs/>
                <w:i/>
                <w:sz w:val="18"/>
                <w:szCs w:val="18"/>
              </w:rPr>
            </w:pPr>
          </w:p>
        </w:tc>
      </w:tr>
      <w:tr w:rsidR="00FE58D7" w:rsidRPr="00FC59E2" w:rsidTr="00FE58D7">
        <w:trPr>
          <w:cnfStyle w:val="000000010000"/>
          <w:jc w:val="center"/>
        </w:trPr>
        <w:tc>
          <w:tcPr>
            <w:cnfStyle w:val="001000000000"/>
            <w:tcW w:w="2332" w:type="dxa"/>
            <w:tcBorders>
              <w:right w:val="single" w:sz="8" w:space="0" w:color="76923C" w:themeColor="accent3" w:themeShade="BF"/>
            </w:tcBorders>
            <w:vAlign w:val="center"/>
          </w:tcPr>
          <w:p w:rsidR="00FE58D7" w:rsidRPr="00FC59E2" w:rsidRDefault="00FE58D7" w:rsidP="00801285">
            <w:pPr>
              <w:spacing w:after="0"/>
              <w:jc w:val="left"/>
              <w:rPr>
                <w:b w:val="0"/>
                <w:sz w:val="21"/>
                <w:szCs w:val="21"/>
              </w:rPr>
            </w:pPr>
            <w:r>
              <w:rPr>
                <w:b w:val="0"/>
                <w:sz w:val="21"/>
                <w:szCs w:val="21"/>
              </w:rPr>
              <w:t>F</w:t>
            </w:r>
            <w:r w:rsidRPr="00FC59E2">
              <w:rPr>
                <w:b w:val="0"/>
                <w:sz w:val="21"/>
                <w:szCs w:val="21"/>
              </w:rPr>
              <w:t xml:space="preserve">uel </w:t>
            </w:r>
            <w:r>
              <w:rPr>
                <w:b w:val="0"/>
                <w:sz w:val="21"/>
                <w:szCs w:val="21"/>
              </w:rPr>
              <w:t>consumption reduction (thousand tons)</w:t>
            </w:r>
          </w:p>
        </w:tc>
        <w:tc>
          <w:tcPr>
            <w:tcW w:w="1260" w:type="dxa"/>
            <w:tcBorders>
              <w:left w:val="single" w:sz="8" w:space="0" w:color="76923C" w:themeColor="accent3" w:themeShade="BF"/>
            </w:tcBorders>
            <w:vAlign w:val="center"/>
          </w:tcPr>
          <w:p w:rsidR="00FE58D7" w:rsidRPr="00FE58D7" w:rsidRDefault="00FE58D7" w:rsidP="00FE58D7">
            <w:pPr>
              <w:spacing w:after="0"/>
              <w:ind w:right="314"/>
              <w:jc w:val="right"/>
              <w:cnfStyle w:val="000000010000"/>
              <w:rPr>
                <w:color w:val="000000"/>
                <w:sz w:val="21"/>
                <w:szCs w:val="21"/>
              </w:rPr>
            </w:pPr>
            <w:r w:rsidRPr="00FE58D7">
              <w:rPr>
                <w:color w:val="000000"/>
                <w:sz w:val="21"/>
                <w:szCs w:val="21"/>
              </w:rPr>
              <w:t>607</w:t>
            </w:r>
          </w:p>
        </w:tc>
        <w:tc>
          <w:tcPr>
            <w:tcW w:w="1260" w:type="dxa"/>
            <w:tcBorders>
              <w:right w:val="single" w:sz="8" w:space="0" w:color="76923C" w:themeColor="accent3" w:themeShade="BF"/>
            </w:tcBorders>
            <w:vAlign w:val="center"/>
          </w:tcPr>
          <w:p w:rsidR="00FE58D7" w:rsidRPr="00FE58D7" w:rsidRDefault="00FE58D7" w:rsidP="00FE58D7">
            <w:pPr>
              <w:spacing w:after="0"/>
              <w:ind w:right="314"/>
              <w:jc w:val="right"/>
              <w:cnfStyle w:val="000000010000"/>
              <w:rPr>
                <w:color w:val="000000"/>
                <w:sz w:val="21"/>
                <w:szCs w:val="21"/>
              </w:rPr>
            </w:pPr>
            <w:r w:rsidRPr="00FE58D7">
              <w:rPr>
                <w:color w:val="000000"/>
                <w:sz w:val="21"/>
                <w:szCs w:val="21"/>
              </w:rPr>
              <w:t>1,214</w:t>
            </w:r>
          </w:p>
        </w:tc>
        <w:tc>
          <w:tcPr>
            <w:tcW w:w="1260" w:type="dxa"/>
            <w:tcBorders>
              <w:left w:val="single" w:sz="8" w:space="0" w:color="76923C" w:themeColor="accent3" w:themeShade="BF"/>
            </w:tcBorders>
            <w:vAlign w:val="center"/>
          </w:tcPr>
          <w:p w:rsidR="00FE58D7" w:rsidRPr="00FE58D7" w:rsidRDefault="00FE58D7" w:rsidP="00FE58D7">
            <w:pPr>
              <w:spacing w:after="0"/>
              <w:ind w:right="314"/>
              <w:jc w:val="right"/>
              <w:cnfStyle w:val="000000010000"/>
              <w:rPr>
                <w:color w:val="000000"/>
                <w:sz w:val="21"/>
                <w:szCs w:val="21"/>
              </w:rPr>
            </w:pPr>
            <w:r w:rsidRPr="00FE58D7">
              <w:rPr>
                <w:color w:val="000000"/>
                <w:sz w:val="21"/>
                <w:szCs w:val="21"/>
              </w:rPr>
              <w:t>526</w:t>
            </w:r>
          </w:p>
        </w:tc>
        <w:tc>
          <w:tcPr>
            <w:tcW w:w="1260" w:type="dxa"/>
            <w:tcBorders>
              <w:right w:val="single" w:sz="8" w:space="0" w:color="76923C" w:themeColor="accent3" w:themeShade="BF"/>
            </w:tcBorders>
            <w:vAlign w:val="center"/>
          </w:tcPr>
          <w:p w:rsidR="00FE58D7" w:rsidRPr="00FE58D7" w:rsidRDefault="00FE58D7" w:rsidP="00FE58D7">
            <w:pPr>
              <w:spacing w:after="0"/>
              <w:ind w:right="314"/>
              <w:jc w:val="right"/>
              <w:cnfStyle w:val="000000010000"/>
              <w:rPr>
                <w:color w:val="000000"/>
                <w:sz w:val="21"/>
                <w:szCs w:val="21"/>
              </w:rPr>
            </w:pPr>
            <w:r w:rsidRPr="00FE58D7">
              <w:rPr>
                <w:color w:val="000000"/>
                <w:sz w:val="21"/>
                <w:szCs w:val="21"/>
              </w:rPr>
              <w:t>750</w:t>
            </w:r>
          </w:p>
        </w:tc>
        <w:tc>
          <w:tcPr>
            <w:tcW w:w="1948" w:type="dxa"/>
            <w:tcBorders>
              <w:left w:val="single" w:sz="8" w:space="0" w:color="76923C" w:themeColor="accent3" w:themeShade="BF"/>
            </w:tcBorders>
            <w:vAlign w:val="center"/>
          </w:tcPr>
          <w:p w:rsidR="00FE58D7" w:rsidRPr="00FE58D7" w:rsidRDefault="00FE58D7" w:rsidP="00FE58D7">
            <w:pPr>
              <w:spacing w:after="0"/>
              <w:ind w:right="732"/>
              <w:jc w:val="right"/>
              <w:cnfStyle w:val="000000010000"/>
              <w:rPr>
                <w:color w:val="000000"/>
                <w:sz w:val="21"/>
                <w:szCs w:val="21"/>
              </w:rPr>
            </w:pPr>
            <w:r w:rsidRPr="00FE58D7">
              <w:rPr>
                <w:color w:val="000000"/>
                <w:sz w:val="21"/>
                <w:szCs w:val="21"/>
              </w:rPr>
              <w:t>-154</w:t>
            </w:r>
          </w:p>
        </w:tc>
      </w:tr>
      <w:tr w:rsidR="00FE58D7" w:rsidRPr="00FC59E2" w:rsidTr="00FE58D7">
        <w:trPr>
          <w:cnfStyle w:val="000000100000"/>
          <w:jc w:val="center"/>
        </w:trPr>
        <w:tc>
          <w:tcPr>
            <w:cnfStyle w:val="001000000000"/>
            <w:tcW w:w="2332" w:type="dxa"/>
            <w:tcBorders>
              <w:right w:val="single" w:sz="8" w:space="0" w:color="76923C" w:themeColor="accent3" w:themeShade="BF"/>
            </w:tcBorders>
            <w:vAlign w:val="center"/>
          </w:tcPr>
          <w:p w:rsidR="00FE58D7" w:rsidRPr="00FC59E2" w:rsidRDefault="00FE58D7" w:rsidP="00087CE2">
            <w:pPr>
              <w:spacing w:after="0"/>
              <w:jc w:val="left"/>
              <w:rPr>
                <w:b w:val="0"/>
                <w:sz w:val="21"/>
                <w:szCs w:val="21"/>
              </w:rPr>
            </w:pPr>
            <w:r>
              <w:rPr>
                <w:b w:val="0"/>
                <w:sz w:val="21"/>
                <w:szCs w:val="21"/>
              </w:rPr>
              <w:t>F</w:t>
            </w:r>
            <w:r w:rsidRPr="00FC59E2">
              <w:rPr>
                <w:b w:val="0"/>
                <w:sz w:val="21"/>
                <w:szCs w:val="21"/>
              </w:rPr>
              <w:t xml:space="preserve">uel costs </w:t>
            </w:r>
            <w:r>
              <w:rPr>
                <w:b w:val="0"/>
                <w:sz w:val="21"/>
                <w:szCs w:val="21"/>
              </w:rPr>
              <w:t>savings (million GEL)</w:t>
            </w:r>
            <w:r w:rsidRPr="00761436">
              <w:rPr>
                <w:b w:val="0"/>
                <w:sz w:val="21"/>
                <w:szCs w:val="21"/>
                <w:vertAlign w:val="superscript"/>
              </w:rPr>
              <w:t>a</w:t>
            </w:r>
          </w:p>
        </w:tc>
        <w:tc>
          <w:tcPr>
            <w:tcW w:w="1260" w:type="dxa"/>
            <w:tcBorders>
              <w:left w:val="single" w:sz="8" w:space="0" w:color="76923C" w:themeColor="accent3" w:themeShade="BF"/>
            </w:tcBorders>
            <w:vAlign w:val="center"/>
          </w:tcPr>
          <w:p w:rsidR="00FE58D7" w:rsidRPr="00FE58D7" w:rsidRDefault="00FE58D7" w:rsidP="00FE58D7">
            <w:pPr>
              <w:spacing w:after="0"/>
              <w:ind w:right="314"/>
              <w:jc w:val="right"/>
              <w:cnfStyle w:val="000000100000"/>
              <w:rPr>
                <w:color w:val="000000"/>
                <w:sz w:val="21"/>
                <w:szCs w:val="21"/>
              </w:rPr>
            </w:pPr>
            <w:r w:rsidRPr="00FE58D7">
              <w:rPr>
                <w:color w:val="000000"/>
                <w:sz w:val="21"/>
                <w:szCs w:val="21"/>
              </w:rPr>
              <w:t>2,369</w:t>
            </w:r>
          </w:p>
        </w:tc>
        <w:tc>
          <w:tcPr>
            <w:tcW w:w="1260" w:type="dxa"/>
            <w:tcBorders>
              <w:right w:val="single" w:sz="8" w:space="0" w:color="76923C" w:themeColor="accent3" w:themeShade="BF"/>
            </w:tcBorders>
            <w:vAlign w:val="center"/>
          </w:tcPr>
          <w:p w:rsidR="00FE58D7" w:rsidRPr="00FE58D7" w:rsidRDefault="00FE58D7" w:rsidP="00FE58D7">
            <w:pPr>
              <w:spacing w:after="0"/>
              <w:ind w:right="314"/>
              <w:jc w:val="right"/>
              <w:cnfStyle w:val="000000100000"/>
              <w:rPr>
                <w:color w:val="000000"/>
                <w:sz w:val="21"/>
                <w:szCs w:val="21"/>
              </w:rPr>
            </w:pPr>
            <w:r w:rsidRPr="00FE58D7">
              <w:rPr>
                <w:color w:val="000000"/>
                <w:sz w:val="21"/>
                <w:szCs w:val="21"/>
              </w:rPr>
              <w:t>4,738</w:t>
            </w:r>
          </w:p>
        </w:tc>
        <w:tc>
          <w:tcPr>
            <w:tcW w:w="1260" w:type="dxa"/>
            <w:tcBorders>
              <w:left w:val="single" w:sz="8" w:space="0" w:color="76923C" w:themeColor="accent3" w:themeShade="BF"/>
            </w:tcBorders>
            <w:vAlign w:val="center"/>
          </w:tcPr>
          <w:p w:rsidR="00FE58D7" w:rsidRPr="00FE58D7" w:rsidRDefault="00FE58D7" w:rsidP="00FE58D7">
            <w:pPr>
              <w:spacing w:after="0"/>
              <w:ind w:right="314"/>
              <w:jc w:val="right"/>
              <w:cnfStyle w:val="000000100000"/>
              <w:rPr>
                <w:color w:val="000000"/>
                <w:sz w:val="21"/>
                <w:szCs w:val="21"/>
              </w:rPr>
            </w:pPr>
            <w:r w:rsidRPr="00FE58D7">
              <w:rPr>
                <w:color w:val="000000"/>
                <w:sz w:val="21"/>
                <w:szCs w:val="21"/>
              </w:rPr>
              <w:t>2,370</w:t>
            </w:r>
          </w:p>
        </w:tc>
        <w:tc>
          <w:tcPr>
            <w:tcW w:w="1260" w:type="dxa"/>
            <w:tcBorders>
              <w:right w:val="single" w:sz="8" w:space="0" w:color="76923C" w:themeColor="accent3" w:themeShade="BF"/>
            </w:tcBorders>
            <w:vAlign w:val="center"/>
          </w:tcPr>
          <w:p w:rsidR="00FE58D7" w:rsidRPr="00FE58D7" w:rsidRDefault="00FE58D7" w:rsidP="00FE58D7">
            <w:pPr>
              <w:spacing w:after="0"/>
              <w:ind w:right="314"/>
              <w:jc w:val="right"/>
              <w:cnfStyle w:val="000000100000"/>
              <w:rPr>
                <w:color w:val="000000"/>
                <w:sz w:val="21"/>
                <w:szCs w:val="21"/>
              </w:rPr>
            </w:pPr>
            <w:r w:rsidRPr="00FE58D7">
              <w:rPr>
                <w:color w:val="000000"/>
                <w:sz w:val="21"/>
                <w:szCs w:val="21"/>
              </w:rPr>
              <w:t>3,463</w:t>
            </w:r>
          </w:p>
        </w:tc>
        <w:tc>
          <w:tcPr>
            <w:tcW w:w="1948" w:type="dxa"/>
            <w:tcBorders>
              <w:left w:val="single" w:sz="8" w:space="0" w:color="76923C" w:themeColor="accent3" w:themeShade="BF"/>
            </w:tcBorders>
            <w:vAlign w:val="center"/>
          </w:tcPr>
          <w:p w:rsidR="00FE58D7" w:rsidRPr="00FE58D7" w:rsidRDefault="00FE58D7" w:rsidP="00FE58D7">
            <w:pPr>
              <w:spacing w:after="0"/>
              <w:ind w:right="732"/>
              <w:jc w:val="right"/>
              <w:cnfStyle w:val="000000100000"/>
              <w:rPr>
                <w:color w:val="000000"/>
                <w:sz w:val="21"/>
                <w:szCs w:val="21"/>
              </w:rPr>
            </w:pPr>
            <w:r w:rsidRPr="00FE58D7">
              <w:rPr>
                <w:color w:val="000000"/>
                <w:sz w:val="21"/>
                <w:szCs w:val="21"/>
              </w:rPr>
              <w:t>722</w:t>
            </w:r>
          </w:p>
        </w:tc>
      </w:tr>
      <w:tr w:rsidR="00FE58D7" w:rsidRPr="00FC59E2" w:rsidTr="00FE58D7">
        <w:trPr>
          <w:cnfStyle w:val="000000010000"/>
          <w:jc w:val="center"/>
        </w:trPr>
        <w:tc>
          <w:tcPr>
            <w:cnfStyle w:val="001000000000"/>
            <w:tcW w:w="2332" w:type="dxa"/>
            <w:tcBorders>
              <w:right w:val="single" w:sz="8" w:space="0" w:color="76923C" w:themeColor="accent3" w:themeShade="BF"/>
            </w:tcBorders>
            <w:vAlign w:val="center"/>
          </w:tcPr>
          <w:p w:rsidR="00FE58D7" w:rsidRPr="00FC59E2" w:rsidRDefault="00FE58D7" w:rsidP="002B5B91">
            <w:pPr>
              <w:spacing w:after="0"/>
              <w:jc w:val="left"/>
              <w:rPr>
                <w:b w:val="0"/>
                <w:sz w:val="21"/>
                <w:szCs w:val="21"/>
              </w:rPr>
            </w:pPr>
            <w:r w:rsidRPr="00FC59E2">
              <w:rPr>
                <w:b w:val="0"/>
                <w:sz w:val="21"/>
                <w:szCs w:val="21"/>
              </w:rPr>
              <w:t>CO</w:t>
            </w:r>
            <w:r w:rsidRPr="00FC59E2">
              <w:rPr>
                <w:b w:val="0"/>
                <w:sz w:val="21"/>
                <w:szCs w:val="21"/>
                <w:vertAlign w:val="subscript"/>
              </w:rPr>
              <w:t>2</w:t>
            </w:r>
            <w:r w:rsidRPr="00FC59E2">
              <w:rPr>
                <w:b w:val="0"/>
                <w:sz w:val="21"/>
                <w:szCs w:val="21"/>
              </w:rPr>
              <w:t xml:space="preserve"> </w:t>
            </w:r>
            <w:r>
              <w:rPr>
                <w:b w:val="0"/>
                <w:sz w:val="21"/>
                <w:szCs w:val="21"/>
              </w:rPr>
              <w:t>e</w:t>
            </w:r>
            <w:r w:rsidRPr="00FC59E2">
              <w:rPr>
                <w:b w:val="0"/>
                <w:sz w:val="21"/>
                <w:szCs w:val="21"/>
              </w:rPr>
              <w:t>missions</w:t>
            </w:r>
            <w:r>
              <w:rPr>
                <w:b w:val="0"/>
                <w:sz w:val="21"/>
                <w:szCs w:val="21"/>
              </w:rPr>
              <w:t xml:space="preserve"> reduction (thousand tons)</w:t>
            </w:r>
          </w:p>
        </w:tc>
        <w:tc>
          <w:tcPr>
            <w:tcW w:w="1260" w:type="dxa"/>
            <w:tcBorders>
              <w:left w:val="single" w:sz="8" w:space="0" w:color="76923C" w:themeColor="accent3" w:themeShade="BF"/>
            </w:tcBorders>
            <w:vAlign w:val="center"/>
          </w:tcPr>
          <w:p w:rsidR="00FE58D7" w:rsidRPr="00FE58D7" w:rsidRDefault="00FE58D7" w:rsidP="00FE58D7">
            <w:pPr>
              <w:spacing w:after="0"/>
              <w:ind w:right="314"/>
              <w:jc w:val="right"/>
              <w:cnfStyle w:val="000000010000"/>
              <w:rPr>
                <w:color w:val="000000"/>
                <w:sz w:val="21"/>
                <w:szCs w:val="21"/>
              </w:rPr>
            </w:pPr>
            <w:r w:rsidRPr="00FE58D7">
              <w:rPr>
                <w:color w:val="000000"/>
                <w:sz w:val="21"/>
                <w:szCs w:val="21"/>
              </w:rPr>
              <w:t>1,904</w:t>
            </w:r>
          </w:p>
        </w:tc>
        <w:tc>
          <w:tcPr>
            <w:tcW w:w="1260" w:type="dxa"/>
            <w:tcBorders>
              <w:right w:val="single" w:sz="8" w:space="0" w:color="76923C" w:themeColor="accent3" w:themeShade="BF"/>
            </w:tcBorders>
            <w:vAlign w:val="center"/>
          </w:tcPr>
          <w:p w:rsidR="00FE58D7" w:rsidRPr="00FE58D7" w:rsidRDefault="00FE58D7" w:rsidP="00FE58D7">
            <w:pPr>
              <w:spacing w:after="0"/>
              <w:ind w:right="314"/>
              <w:jc w:val="right"/>
              <w:cnfStyle w:val="000000010000"/>
              <w:rPr>
                <w:color w:val="000000"/>
                <w:sz w:val="21"/>
                <w:szCs w:val="21"/>
              </w:rPr>
            </w:pPr>
            <w:r w:rsidRPr="00FE58D7">
              <w:rPr>
                <w:color w:val="000000"/>
                <w:sz w:val="21"/>
                <w:szCs w:val="21"/>
              </w:rPr>
              <w:t>3,809</w:t>
            </w:r>
          </w:p>
        </w:tc>
        <w:tc>
          <w:tcPr>
            <w:tcW w:w="1260" w:type="dxa"/>
            <w:tcBorders>
              <w:left w:val="single" w:sz="8" w:space="0" w:color="76923C" w:themeColor="accent3" w:themeShade="BF"/>
            </w:tcBorders>
            <w:vAlign w:val="center"/>
          </w:tcPr>
          <w:p w:rsidR="00FE58D7" w:rsidRPr="00FE58D7" w:rsidRDefault="00FE58D7" w:rsidP="00FE58D7">
            <w:pPr>
              <w:spacing w:after="0"/>
              <w:ind w:right="314"/>
              <w:jc w:val="right"/>
              <w:cnfStyle w:val="000000010000"/>
              <w:rPr>
                <w:color w:val="000000"/>
                <w:sz w:val="21"/>
                <w:szCs w:val="21"/>
              </w:rPr>
            </w:pPr>
            <w:r w:rsidRPr="00FE58D7">
              <w:rPr>
                <w:color w:val="000000"/>
                <w:sz w:val="21"/>
                <w:szCs w:val="21"/>
              </w:rPr>
              <w:t>1,577</w:t>
            </w:r>
          </w:p>
        </w:tc>
        <w:tc>
          <w:tcPr>
            <w:tcW w:w="1260" w:type="dxa"/>
            <w:tcBorders>
              <w:right w:val="single" w:sz="8" w:space="0" w:color="76923C" w:themeColor="accent3" w:themeShade="BF"/>
            </w:tcBorders>
            <w:vAlign w:val="center"/>
          </w:tcPr>
          <w:p w:rsidR="00FE58D7" w:rsidRPr="00FE58D7" w:rsidRDefault="00FE58D7" w:rsidP="00FE58D7">
            <w:pPr>
              <w:spacing w:after="0"/>
              <w:ind w:right="314"/>
              <w:jc w:val="right"/>
              <w:cnfStyle w:val="000000010000"/>
              <w:rPr>
                <w:color w:val="000000"/>
                <w:sz w:val="21"/>
                <w:szCs w:val="21"/>
              </w:rPr>
            </w:pPr>
            <w:r w:rsidRPr="00FE58D7">
              <w:rPr>
                <w:color w:val="000000"/>
                <w:sz w:val="21"/>
                <w:szCs w:val="21"/>
              </w:rPr>
              <w:t>2,240</w:t>
            </w:r>
          </w:p>
        </w:tc>
        <w:tc>
          <w:tcPr>
            <w:tcW w:w="1948" w:type="dxa"/>
            <w:tcBorders>
              <w:left w:val="single" w:sz="8" w:space="0" w:color="76923C" w:themeColor="accent3" w:themeShade="BF"/>
            </w:tcBorders>
            <w:vAlign w:val="center"/>
          </w:tcPr>
          <w:p w:rsidR="00FE58D7" w:rsidRPr="00FE58D7" w:rsidRDefault="00FE58D7" w:rsidP="00FE58D7">
            <w:pPr>
              <w:spacing w:after="0"/>
              <w:ind w:right="732"/>
              <w:jc w:val="right"/>
              <w:cnfStyle w:val="000000010000"/>
              <w:rPr>
                <w:color w:val="000000"/>
                <w:sz w:val="21"/>
                <w:szCs w:val="21"/>
              </w:rPr>
            </w:pPr>
            <w:r w:rsidRPr="00FE58D7">
              <w:rPr>
                <w:color w:val="000000"/>
                <w:sz w:val="21"/>
                <w:szCs w:val="21"/>
              </w:rPr>
              <w:t>-777</w:t>
            </w:r>
          </w:p>
        </w:tc>
      </w:tr>
      <w:tr w:rsidR="00FE58D7" w:rsidRPr="00FC59E2" w:rsidTr="00FE58D7">
        <w:trPr>
          <w:cnfStyle w:val="000000100000"/>
          <w:jc w:val="center"/>
        </w:trPr>
        <w:tc>
          <w:tcPr>
            <w:cnfStyle w:val="001000000000"/>
            <w:tcW w:w="2332" w:type="dxa"/>
            <w:tcBorders>
              <w:right w:val="single" w:sz="8" w:space="0" w:color="76923C" w:themeColor="accent3" w:themeShade="BF"/>
            </w:tcBorders>
            <w:vAlign w:val="center"/>
          </w:tcPr>
          <w:p w:rsidR="00FE58D7" w:rsidRPr="00FC59E2" w:rsidRDefault="00FE58D7" w:rsidP="00FC59E2">
            <w:pPr>
              <w:spacing w:after="0"/>
              <w:jc w:val="left"/>
              <w:rPr>
                <w:b w:val="0"/>
                <w:sz w:val="21"/>
                <w:szCs w:val="21"/>
              </w:rPr>
            </w:pPr>
            <w:r w:rsidRPr="00FC59E2">
              <w:rPr>
                <w:b w:val="0"/>
                <w:sz w:val="21"/>
                <w:szCs w:val="21"/>
              </w:rPr>
              <w:t xml:space="preserve">CO </w:t>
            </w:r>
            <w:r>
              <w:rPr>
                <w:b w:val="0"/>
                <w:sz w:val="21"/>
                <w:szCs w:val="21"/>
              </w:rPr>
              <w:t>e</w:t>
            </w:r>
            <w:r w:rsidRPr="00FC59E2">
              <w:rPr>
                <w:b w:val="0"/>
                <w:sz w:val="21"/>
                <w:szCs w:val="21"/>
              </w:rPr>
              <w:t>missions</w:t>
            </w:r>
            <w:r>
              <w:rPr>
                <w:b w:val="0"/>
                <w:sz w:val="21"/>
                <w:szCs w:val="21"/>
              </w:rPr>
              <w:t xml:space="preserve"> reduction (thousand tons)</w:t>
            </w:r>
          </w:p>
        </w:tc>
        <w:tc>
          <w:tcPr>
            <w:tcW w:w="1260" w:type="dxa"/>
            <w:tcBorders>
              <w:left w:val="single" w:sz="8" w:space="0" w:color="76923C" w:themeColor="accent3" w:themeShade="BF"/>
            </w:tcBorders>
            <w:vAlign w:val="center"/>
          </w:tcPr>
          <w:p w:rsidR="00FE58D7" w:rsidRPr="00FE58D7" w:rsidRDefault="00FE58D7" w:rsidP="00FE58D7">
            <w:pPr>
              <w:spacing w:after="0"/>
              <w:ind w:right="314"/>
              <w:jc w:val="right"/>
              <w:cnfStyle w:val="000000100000"/>
              <w:rPr>
                <w:color w:val="000000"/>
                <w:sz w:val="21"/>
                <w:szCs w:val="21"/>
              </w:rPr>
            </w:pPr>
            <w:r w:rsidRPr="00FE58D7">
              <w:rPr>
                <w:color w:val="000000"/>
                <w:sz w:val="21"/>
                <w:szCs w:val="21"/>
              </w:rPr>
              <w:t>3</w:t>
            </w:r>
          </w:p>
        </w:tc>
        <w:tc>
          <w:tcPr>
            <w:tcW w:w="1260" w:type="dxa"/>
            <w:tcBorders>
              <w:right w:val="single" w:sz="8" w:space="0" w:color="76923C" w:themeColor="accent3" w:themeShade="BF"/>
            </w:tcBorders>
            <w:vAlign w:val="center"/>
          </w:tcPr>
          <w:p w:rsidR="00FE58D7" w:rsidRPr="00FE58D7" w:rsidRDefault="00FE58D7" w:rsidP="00FE58D7">
            <w:pPr>
              <w:spacing w:after="0"/>
              <w:ind w:right="314"/>
              <w:jc w:val="right"/>
              <w:cnfStyle w:val="000000100000"/>
              <w:rPr>
                <w:color w:val="000000"/>
                <w:sz w:val="21"/>
                <w:szCs w:val="21"/>
              </w:rPr>
            </w:pPr>
            <w:r w:rsidRPr="00FE58D7">
              <w:rPr>
                <w:color w:val="000000"/>
                <w:sz w:val="21"/>
                <w:szCs w:val="21"/>
              </w:rPr>
              <w:t>6</w:t>
            </w:r>
          </w:p>
        </w:tc>
        <w:tc>
          <w:tcPr>
            <w:tcW w:w="1260" w:type="dxa"/>
            <w:tcBorders>
              <w:left w:val="single" w:sz="8" w:space="0" w:color="76923C" w:themeColor="accent3" w:themeShade="BF"/>
            </w:tcBorders>
            <w:vAlign w:val="center"/>
          </w:tcPr>
          <w:p w:rsidR="00FE58D7" w:rsidRPr="00FE58D7" w:rsidRDefault="00FE58D7" w:rsidP="00FE58D7">
            <w:pPr>
              <w:spacing w:after="0"/>
              <w:ind w:right="314"/>
              <w:jc w:val="right"/>
              <w:cnfStyle w:val="000000100000"/>
              <w:rPr>
                <w:color w:val="000000"/>
                <w:sz w:val="21"/>
                <w:szCs w:val="21"/>
              </w:rPr>
            </w:pPr>
            <w:r w:rsidRPr="00FE58D7">
              <w:rPr>
                <w:color w:val="000000"/>
                <w:sz w:val="21"/>
                <w:szCs w:val="21"/>
              </w:rPr>
              <w:t>38</w:t>
            </w:r>
          </w:p>
        </w:tc>
        <w:tc>
          <w:tcPr>
            <w:tcW w:w="1260" w:type="dxa"/>
            <w:tcBorders>
              <w:right w:val="single" w:sz="8" w:space="0" w:color="76923C" w:themeColor="accent3" w:themeShade="BF"/>
            </w:tcBorders>
            <w:vAlign w:val="center"/>
          </w:tcPr>
          <w:p w:rsidR="00FE58D7" w:rsidRPr="00FE58D7" w:rsidRDefault="00FE58D7" w:rsidP="00FE58D7">
            <w:pPr>
              <w:spacing w:after="0"/>
              <w:ind w:right="314"/>
              <w:jc w:val="right"/>
              <w:cnfStyle w:val="000000100000"/>
              <w:rPr>
                <w:color w:val="000000"/>
                <w:sz w:val="21"/>
                <w:szCs w:val="21"/>
              </w:rPr>
            </w:pPr>
            <w:r w:rsidRPr="00FE58D7">
              <w:rPr>
                <w:color w:val="000000"/>
                <w:sz w:val="21"/>
                <w:szCs w:val="21"/>
              </w:rPr>
              <w:t>57</w:t>
            </w:r>
          </w:p>
        </w:tc>
        <w:tc>
          <w:tcPr>
            <w:tcW w:w="1948" w:type="dxa"/>
            <w:tcBorders>
              <w:left w:val="single" w:sz="8" w:space="0" w:color="76923C" w:themeColor="accent3" w:themeShade="BF"/>
            </w:tcBorders>
            <w:vAlign w:val="center"/>
          </w:tcPr>
          <w:p w:rsidR="00FE58D7" w:rsidRPr="00FE58D7" w:rsidRDefault="00FE58D7" w:rsidP="00FE58D7">
            <w:pPr>
              <w:spacing w:after="0"/>
              <w:ind w:right="732"/>
              <w:jc w:val="right"/>
              <w:cnfStyle w:val="000000100000"/>
              <w:rPr>
                <w:color w:val="000000"/>
                <w:sz w:val="21"/>
                <w:szCs w:val="21"/>
              </w:rPr>
            </w:pPr>
            <w:r w:rsidRPr="00FE58D7">
              <w:rPr>
                <w:color w:val="000000"/>
                <w:sz w:val="21"/>
                <w:szCs w:val="21"/>
              </w:rPr>
              <w:t>196</w:t>
            </w:r>
          </w:p>
        </w:tc>
      </w:tr>
      <w:tr w:rsidR="00FE58D7" w:rsidRPr="00FC59E2" w:rsidTr="00FE58D7">
        <w:trPr>
          <w:cnfStyle w:val="000000010000"/>
          <w:jc w:val="center"/>
        </w:trPr>
        <w:tc>
          <w:tcPr>
            <w:cnfStyle w:val="001000000000"/>
            <w:tcW w:w="2332" w:type="dxa"/>
            <w:tcBorders>
              <w:right w:val="single" w:sz="8" w:space="0" w:color="76923C" w:themeColor="accent3" w:themeShade="BF"/>
            </w:tcBorders>
            <w:vAlign w:val="center"/>
          </w:tcPr>
          <w:p w:rsidR="00FE58D7" w:rsidRPr="00FC59E2" w:rsidRDefault="00FE58D7" w:rsidP="00FC59E2">
            <w:pPr>
              <w:spacing w:after="0"/>
              <w:jc w:val="left"/>
              <w:rPr>
                <w:b w:val="0"/>
                <w:sz w:val="21"/>
                <w:szCs w:val="21"/>
              </w:rPr>
            </w:pPr>
            <w:r w:rsidRPr="00FC59E2">
              <w:rPr>
                <w:b w:val="0"/>
                <w:sz w:val="21"/>
                <w:szCs w:val="21"/>
              </w:rPr>
              <w:t xml:space="preserve">VOC </w:t>
            </w:r>
            <w:r>
              <w:rPr>
                <w:b w:val="0"/>
                <w:sz w:val="21"/>
                <w:szCs w:val="21"/>
              </w:rPr>
              <w:t>e</w:t>
            </w:r>
            <w:r w:rsidRPr="00FC59E2">
              <w:rPr>
                <w:b w:val="0"/>
                <w:sz w:val="21"/>
                <w:szCs w:val="21"/>
              </w:rPr>
              <w:t>missions</w:t>
            </w:r>
            <w:r>
              <w:rPr>
                <w:b w:val="0"/>
                <w:sz w:val="21"/>
                <w:szCs w:val="21"/>
              </w:rPr>
              <w:t xml:space="preserve"> reduction (thousand tons)</w:t>
            </w:r>
          </w:p>
        </w:tc>
        <w:tc>
          <w:tcPr>
            <w:tcW w:w="1260" w:type="dxa"/>
            <w:tcBorders>
              <w:left w:val="single" w:sz="8" w:space="0" w:color="76923C" w:themeColor="accent3" w:themeShade="BF"/>
            </w:tcBorders>
            <w:vAlign w:val="center"/>
          </w:tcPr>
          <w:p w:rsidR="00FE58D7" w:rsidRPr="00FE58D7" w:rsidRDefault="00FE58D7" w:rsidP="00FE58D7">
            <w:pPr>
              <w:spacing w:after="0"/>
              <w:ind w:right="314"/>
              <w:jc w:val="right"/>
              <w:cnfStyle w:val="000000010000"/>
              <w:rPr>
                <w:color w:val="000000"/>
                <w:sz w:val="21"/>
                <w:szCs w:val="21"/>
              </w:rPr>
            </w:pPr>
            <w:r w:rsidRPr="00FE58D7">
              <w:rPr>
                <w:color w:val="000000"/>
                <w:sz w:val="21"/>
                <w:szCs w:val="21"/>
              </w:rPr>
              <w:t>1</w:t>
            </w:r>
          </w:p>
        </w:tc>
        <w:tc>
          <w:tcPr>
            <w:tcW w:w="1260" w:type="dxa"/>
            <w:tcBorders>
              <w:right w:val="single" w:sz="8" w:space="0" w:color="76923C" w:themeColor="accent3" w:themeShade="BF"/>
            </w:tcBorders>
            <w:vAlign w:val="center"/>
          </w:tcPr>
          <w:p w:rsidR="00FE58D7" w:rsidRPr="00FE58D7" w:rsidRDefault="00FE58D7" w:rsidP="00FE58D7">
            <w:pPr>
              <w:spacing w:after="0"/>
              <w:ind w:right="314"/>
              <w:jc w:val="right"/>
              <w:cnfStyle w:val="000000010000"/>
              <w:rPr>
                <w:color w:val="000000"/>
                <w:sz w:val="21"/>
                <w:szCs w:val="21"/>
              </w:rPr>
            </w:pPr>
            <w:r w:rsidRPr="00FE58D7">
              <w:rPr>
                <w:color w:val="000000"/>
                <w:sz w:val="21"/>
                <w:szCs w:val="21"/>
              </w:rPr>
              <w:t>1</w:t>
            </w:r>
          </w:p>
        </w:tc>
        <w:tc>
          <w:tcPr>
            <w:tcW w:w="1260" w:type="dxa"/>
            <w:tcBorders>
              <w:left w:val="single" w:sz="8" w:space="0" w:color="76923C" w:themeColor="accent3" w:themeShade="BF"/>
            </w:tcBorders>
            <w:vAlign w:val="center"/>
          </w:tcPr>
          <w:p w:rsidR="00FE58D7" w:rsidRPr="00FE58D7" w:rsidRDefault="00FE58D7" w:rsidP="00FE58D7">
            <w:pPr>
              <w:spacing w:after="0"/>
              <w:ind w:right="314"/>
              <w:jc w:val="right"/>
              <w:cnfStyle w:val="000000010000"/>
              <w:rPr>
                <w:color w:val="000000"/>
                <w:sz w:val="21"/>
                <w:szCs w:val="21"/>
              </w:rPr>
            </w:pPr>
            <w:r w:rsidRPr="00FE58D7">
              <w:rPr>
                <w:color w:val="000000"/>
                <w:sz w:val="21"/>
                <w:szCs w:val="21"/>
              </w:rPr>
              <w:t>5</w:t>
            </w:r>
          </w:p>
        </w:tc>
        <w:tc>
          <w:tcPr>
            <w:tcW w:w="1260" w:type="dxa"/>
            <w:tcBorders>
              <w:right w:val="single" w:sz="8" w:space="0" w:color="76923C" w:themeColor="accent3" w:themeShade="BF"/>
            </w:tcBorders>
            <w:vAlign w:val="center"/>
          </w:tcPr>
          <w:p w:rsidR="00FE58D7" w:rsidRPr="00FE58D7" w:rsidRDefault="00FE58D7" w:rsidP="00FE58D7">
            <w:pPr>
              <w:spacing w:after="0"/>
              <w:ind w:right="314"/>
              <w:jc w:val="right"/>
              <w:cnfStyle w:val="000000010000"/>
              <w:rPr>
                <w:color w:val="000000"/>
                <w:sz w:val="21"/>
                <w:szCs w:val="21"/>
              </w:rPr>
            </w:pPr>
            <w:r w:rsidRPr="00FE58D7">
              <w:rPr>
                <w:color w:val="000000"/>
                <w:sz w:val="21"/>
                <w:szCs w:val="21"/>
              </w:rPr>
              <w:t>7</w:t>
            </w:r>
          </w:p>
        </w:tc>
        <w:tc>
          <w:tcPr>
            <w:tcW w:w="1948" w:type="dxa"/>
            <w:tcBorders>
              <w:left w:val="single" w:sz="8" w:space="0" w:color="76923C" w:themeColor="accent3" w:themeShade="BF"/>
            </w:tcBorders>
            <w:vAlign w:val="center"/>
          </w:tcPr>
          <w:p w:rsidR="00FE58D7" w:rsidRPr="00FE58D7" w:rsidRDefault="00FE58D7" w:rsidP="00FE58D7">
            <w:pPr>
              <w:spacing w:after="0"/>
              <w:ind w:right="732"/>
              <w:jc w:val="right"/>
              <w:cnfStyle w:val="000000010000"/>
              <w:rPr>
                <w:color w:val="000000"/>
                <w:sz w:val="21"/>
                <w:szCs w:val="21"/>
              </w:rPr>
            </w:pPr>
            <w:r w:rsidRPr="00FE58D7">
              <w:rPr>
                <w:color w:val="000000"/>
                <w:sz w:val="21"/>
                <w:szCs w:val="21"/>
              </w:rPr>
              <w:t>40</w:t>
            </w:r>
          </w:p>
        </w:tc>
      </w:tr>
      <w:tr w:rsidR="00FE58D7" w:rsidRPr="00FC59E2" w:rsidTr="00FE58D7">
        <w:trPr>
          <w:cnfStyle w:val="000000100000"/>
          <w:jc w:val="center"/>
        </w:trPr>
        <w:tc>
          <w:tcPr>
            <w:cnfStyle w:val="001000000000"/>
            <w:tcW w:w="2332" w:type="dxa"/>
            <w:tcBorders>
              <w:right w:val="single" w:sz="8" w:space="0" w:color="76923C" w:themeColor="accent3" w:themeShade="BF"/>
            </w:tcBorders>
            <w:vAlign w:val="center"/>
          </w:tcPr>
          <w:p w:rsidR="00FE58D7" w:rsidRPr="00FC59E2" w:rsidRDefault="00FE58D7" w:rsidP="00FC59E2">
            <w:pPr>
              <w:spacing w:after="0"/>
              <w:jc w:val="left"/>
              <w:rPr>
                <w:b w:val="0"/>
                <w:sz w:val="21"/>
                <w:szCs w:val="21"/>
              </w:rPr>
            </w:pPr>
            <w:r w:rsidRPr="00FC59E2">
              <w:rPr>
                <w:b w:val="0"/>
                <w:sz w:val="21"/>
                <w:szCs w:val="21"/>
              </w:rPr>
              <w:t xml:space="preserve">NOx </w:t>
            </w:r>
            <w:r>
              <w:rPr>
                <w:b w:val="0"/>
                <w:sz w:val="21"/>
                <w:szCs w:val="21"/>
              </w:rPr>
              <w:t>e</w:t>
            </w:r>
            <w:r w:rsidRPr="00FC59E2">
              <w:rPr>
                <w:b w:val="0"/>
                <w:sz w:val="21"/>
                <w:szCs w:val="21"/>
              </w:rPr>
              <w:t>missions</w:t>
            </w:r>
            <w:r>
              <w:rPr>
                <w:b w:val="0"/>
                <w:sz w:val="21"/>
                <w:szCs w:val="21"/>
              </w:rPr>
              <w:t xml:space="preserve"> reduction (thousand tons)</w:t>
            </w:r>
          </w:p>
        </w:tc>
        <w:tc>
          <w:tcPr>
            <w:tcW w:w="1260" w:type="dxa"/>
            <w:tcBorders>
              <w:left w:val="single" w:sz="8" w:space="0" w:color="76923C" w:themeColor="accent3" w:themeShade="BF"/>
            </w:tcBorders>
            <w:vAlign w:val="center"/>
          </w:tcPr>
          <w:p w:rsidR="00FE58D7" w:rsidRPr="00FE58D7" w:rsidRDefault="00FE58D7" w:rsidP="00FE58D7">
            <w:pPr>
              <w:spacing w:after="0"/>
              <w:ind w:right="314"/>
              <w:jc w:val="right"/>
              <w:cnfStyle w:val="000000100000"/>
              <w:rPr>
                <w:color w:val="000000"/>
                <w:sz w:val="21"/>
                <w:szCs w:val="21"/>
              </w:rPr>
            </w:pPr>
            <w:r w:rsidRPr="00FE58D7">
              <w:rPr>
                <w:color w:val="000000"/>
                <w:sz w:val="21"/>
                <w:szCs w:val="21"/>
              </w:rPr>
              <w:t>15</w:t>
            </w:r>
          </w:p>
        </w:tc>
        <w:tc>
          <w:tcPr>
            <w:tcW w:w="1260" w:type="dxa"/>
            <w:tcBorders>
              <w:right w:val="single" w:sz="8" w:space="0" w:color="76923C" w:themeColor="accent3" w:themeShade="BF"/>
            </w:tcBorders>
            <w:vAlign w:val="center"/>
          </w:tcPr>
          <w:p w:rsidR="00FE58D7" w:rsidRPr="00FE58D7" w:rsidRDefault="00FE58D7" w:rsidP="00FE58D7">
            <w:pPr>
              <w:spacing w:after="0"/>
              <w:ind w:right="314"/>
              <w:jc w:val="right"/>
              <w:cnfStyle w:val="000000100000"/>
              <w:rPr>
                <w:color w:val="000000"/>
                <w:sz w:val="21"/>
                <w:szCs w:val="21"/>
              </w:rPr>
            </w:pPr>
            <w:r w:rsidRPr="00FE58D7">
              <w:rPr>
                <w:color w:val="000000"/>
                <w:sz w:val="21"/>
                <w:szCs w:val="21"/>
              </w:rPr>
              <w:t>29</w:t>
            </w:r>
          </w:p>
        </w:tc>
        <w:tc>
          <w:tcPr>
            <w:tcW w:w="1260" w:type="dxa"/>
            <w:tcBorders>
              <w:left w:val="single" w:sz="8" w:space="0" w:color="76923C" w:themeColor="accent3" w:themeShade="BF"/>
            </w:tcBorders>
            <w:vAlign w:val="center"/>
          </w:tcPr>
          <w:p w:rsidR="00FE58D7" w:rsidRPr="00FE58D7" w:rsidRDefault="00FE58D7" w:rsidP="00FE58D7">
            <w:pPr>
              <w:spacing w:after="0"/>
              <w:ind w:right="314"/>
              <w:jc w:val="right"/>
              <w:cnfStyle w:val="000000100000"/>
              <w:rPr>
                <w:color w:val="000000"/>
                <w:sz w:val="21"/>
                <w:szCs w:val="21"/>
              </w:rPr>
            </w:pPr>
            <w:r w:rsidRPr="00FE58D7">
              <w:rPr>
                <w:color w:val="000000"/>
                <w:sz w:val="21"/>
                <w:szCs w:val="21"/>
              </w:rPr>
              <w:t>9</w:t>
            </w:r>
          </w:p>
        </w:tc>
        <w:tc>
          <w:tcPr>
            <w:tcW w:w="1260" w:type="dxa"/>
            <w:tcBorders>
              <w:right w:val="single" w:sz="8" w:space="0" w:color="76923C" w:themeColor="accent3" w:themeShade="BF"/>
            </w:tcBorders>
            <w:vAlign w:val="center"/>
          </w:tcPr>
          <w:p w:rsidR="00FE58D7" w:rsidRPr="00FE58D7" w:rsidRDefault="00FE58D7" w:rsidP="00FE58D7">
            <w:pPr>
              <w:spacing w:after="0"/>
              <w:ind w:right="314"/>
              <w:jc w:val="right"/>
              <w:cnfStyle w:val="000000100000"/>
              <w:rPr>
                <w:color w:val="000000"/>
                <w:sz w:val="21"/>
                <w:szCs w:val="21"/>
              </w:rPr>
            </w:pPr>
            <w:r w:rsidRPr="00FE58D7">
              <w:rPr>
                <w:color w:val="000000"/>
                <w:sz w:val="21"/>
                <w:szCs w:val="21"/>
              </w:rPr>
              <w:t>11</w:t>
            </w:r>
          </w:p>
        </w:tc>
        <w:tc>
          <w:tcPr>
            <w:tcW w:w="1948" w:type="dxa"/>
            <w:tcBorders>
              <w:left w:val="single" w:sz="8" w:space="0" w:color="76923C" w:themeColor="accent3" w:themeShade="BF"/>
            </w:tcBorders>
            <w:vAlign w:val="center"/>
          </w:tcPr>
          <w:p w:rsidR="00FE58D7" w:rsidRPr="00FE58D7" w:rsidRDefault="00FE58D7" w:rsidP="00FE58D7">
            <w:pPr>
              <w:spacing w:after="0"/>
              <w:ind w:right="732"/>
              <w:jc w:val="right"/>
              <w:cnfStyle w:val="000000100000"/>
              <w:rPr>
                <w:color w:val="000000"/>
                <w:sz w:val="21"/>
                <w:szCs w:val="21"/>
              </w:rPr>
            </w:pPr>
            <w:r w:rsidRPr="00FE58D7">
              <w:rPr>
                <w:color w:val="000000"/>
                <w:sz w:val="21"/>
                <w:szCs w:val="21"/>
              </w:rPr>
              <w:t>12</w:t>
            </w:r>
          </w:p>
        </w:tc>
      </w:tr>
    </w:tbl>
    <w:p w:rsidR="00801285" w:rsidRDefault="00B71A19" w:rsidP="00801285">
      <w:pPr>
        <w:spacing w:after="0" w:line="240" w:lineRule="auto"/>
        <w:rPr>
          <w:i/>
          <w:sz w:val="18"/>
          <w:szCs w:val="18"/>
        </w:rPr>
      </w:pPr>
      <w:r>
        <w:t xml:space="preserve"> </w:t>
      </w:r>
      <w:r w:rsidR="00801285">
        <w:rPr>
          <w:i/>
          <w:sz w:val="18"/>
          <w:szCs w:val="18"/>
        </w:rPr>
        <w:t>Note</w:t>
      </w:r>
      <w:r w:rsidR="00801285" w:rsidRPr="00961A10">
        <w:rPr>
          <w:i/>
          <w:sz w:val="18"/>
          <w:szCs w:val="18"/>
        </w:rPr>
        <w:t xml:space="preserve">: </w:t>
      </w:r>
      <w:r w:rsidR="00801285">
        <w:rPr>
          <w:i/>
          <w:sz w:val="18"/>
          <w:szCs w:val="18"/>
        </w:rPr>
        <w:t>All values are aggregate sum during the period of 2012-2027</w:t>
      </w:r>
    </w:p>
    <w:p w:rsidR="00801285" w:rsidRPr="00FC59E2" w:rsidRDefault="00801285" w:rsidP="00801285">
      <w:pPr>
        <w:spacing w:after="240" w:line="240" w:lineRule="auto"/>
        <w:rPr>
          <w:b/>
        </w:rPr>
      </w:pPr>
      <w:r w:rsidRPr="00761436">
        <w:rPr>
          <w:i/>
          <w:sz w:val="18"/>
          <w:szCs w:val="18"/>
          <w:vertAlign w:val="superscript"/>
        </w:rPr>
        <w:t xml:space="preserve">a </w:t>
      </w:r>
      <w:r>
        <w:rPr>
          <w:i/>
          <w:sz w:val="18"/>
          <w:szCs w:val="18"/>
        </w:rPr>
        <w:t>Discounted</w:t>
      </w:r>
    </w:p>
    <w:p w:rsidR="001E7EF5" w:rsidRDefault="001E7EF5">
      <w:pPr>
        <w:spacing w:after="200"/>
        <w:jc w:val="left"/>
        <w:rPr>
          <w:rFonts w:eastAsiaTheme="majorEastAsia"/>
          <w:bCs/>
          <w:sz w:val="24"/>
          <w:szCs w:val="24"/>
          <w:u w:val="single"/>
        </w:rPr>
      </w:pPr>
      <w:r>
        <w:br w:type="page"/>
      </w:r>
    </w:p>
    <w:p w:rsidR="00441185" w:rsidRDefault="00897BEA" w:rsidP="00BA2792">
      <w:pPr>
        <w:pStyle w:val="Heading2"/>
      </w:pPr>
      <w:bookmarkStart w:id="114" w:name="_Toc326892941"/>
      <w:r>
        <w:lastRenderedPageBreak/>
        <w:t xml:space="preserve">How to Implement the Policy Framework: </w:t>
      </w:r>
      <w:r w:rsidR="00441185">
        <w:t xml:space="preserve">Roadmap </w:t>
      </w:r>
      <w:r w:rsidR="00B71A19">
        <w:t>for</w:t>
      </w:r>
      <w:r w:rsidR="00441185">
        <w:t xml:space="preserve"> </w:t>
      </w:r>
      <w:r w:rsidR="00B71A19">
        <w:t>Green Transportation</w:t>
      </w:r>
      <w:bookmarkEnd w:id="114"/>
    </w:p>
    <w:p w:rsidR="00A57097" w:rsidRDefault="005856A1" w:rsidP="00A57097">
      <w:pPr>
        <w:rPr>
          <w:rFonts w:eastAsia="Malgun Gothic"/>
        </w:rPr>
      </w:pPr>
      <w:r>
        <w:rPr>
          <w:rFonts w:eastAsia="Malgun Gothic"/>
        </w:rPr>
        <w:t>M</w:t>
      </w:r>
      <w:r w:rsidR="00A57097" w:rsidRPr="0006568D">
        <w:rPr>
          <w:rFonts w:eastAsia="Malgun Gothic"/>
        </w:rPr>
        <w:t xml:space="preserve">easures proposed in the above policy framework can be prioritized </w:t>
      </w:r>
      <w:r w:rsidR="00A57097">
        <w:rPr>
          <w:rFonts w:eastAsia="Malgun Gothic"/>
        </w:rPr>
        <w:t xml:space="preserve">based on urgency </w:t>
      </w:r>
      <w:r w:rsidR="00A57097" w:rsidRPr="0006568D">
        <w:rPr>
          <w:rFonts w:eastAsia="Malgun Gothic"/>
        </w:rPr>
        <w:t>and sequenc</w:t>
      </w:r>
      <w:r w:rsidR="00A57097">
        <w:rPr>
          <w:rFonts w:eastAsia="Malgun Gothic"/>
        </w:rPr>
        <w:t>ing</w:t>
      </w:r>
      <w:r w:rsidR="00A57097" w:rsidRPr="0006568D">
        <w:rPr>
          <w:rFonts w:eastAsia="Malgun Gothic"/>
        </w:rPr>
        <w:t xml:space="preserve">. The proposed roadmap </w:t>
      </w:r>
      <w:r w:rsidR="00A57097">
        <w:rPr>
          <w:rFonts w:eastAsia="Malgun Gothic"/>
        </w:rPr>
        <w:t xml:space="preserve">below </w:t>
      </w:r>
      <w:r w:rsidR="00A57097" w:rsidRPr="0006568D">
        <w:rPr>
          <w:rFonts w:eastAsia="Malgun Gothic"/>
        </w:rPr>
        <w:t xml:space="preserve">lays out priority actions for </w:t>
      </w:r>
      <w:r w:rsidR="00A57097">
        <w:rPr>
          <w:rFonts w:eastAsia="Malgun Gothic"/>
        </w:rPr>
        <w:t xml:space="preserve">the </w:t>
      </w:r>
      <w:r w:rsidR="00A57097" w:rsidRPr="0006568D">
        <w:rPr>
          <w:rFonts w:eastAsia="Malgun Gothic"/>
        </w:rPr>
        <w:t>short-term (2012-2014), medium-term (2015-2020), and long</w:t>
      </w:r>
      <w:r w:rsidR="00A57097">
        <w:rPr>
          <w:rFonts w:eastAsia="Malgun Gothic"/>
        </w:rPr>
        <w:t>er</w:t>
      </w:r>
      <w:r w:rsidR="00A57097" w:rsidRPr="0006568D">
        <w:rPr>
          <w:rFonts w:eastAsia="Malgun Gothic"/>
        </w:rPr>
        <w:t>-term (after 2020).</w:t>
      </w:r>
    </w:p>
    <w:p w:rsidR="00573C55" w:rsidRDefault="00573C55" w:rsidP="00A57097">
      <w:pPr>
        <w:rPr>
          <w:rFonts w:eastAsia="Malgun Gothic"/>
        </w:rPr>
      </w:pPr>
      <w:r>
        <w:rPr>
          <w:rFonts w:eastAsia="Malgun Gothic"/>
        </w:rPr>
        <w:t xml:space="preserve">In the short-term, it is critical to focus on building institutional capacity and carrying out preparatory tasks including key studies </w:t>
      </w:r>
      <w:r w:rsidR="00604963">
        <w:rPr>
          <w:rFonts w:eastAsia="Malgun Gothic"/>
        </w:rPr>
        <w:t>and strategy development. High priority activities include (i) reinstating fuel and vehicle emissions standards</w:t>
      </w:r>
      <w:r w:rsidR="008D3279">
        <w:rPr>
          <w:rFonts w:eastAsia="Malgun Gothic"/>
        </w:rPr>
        <w:t>,</w:t>
      </w:r>
      <w:r w:rsidR="00604963">
        <w:rPr>
          <w:rFonts w:eastAsia="Malgun Gothic"/>
        </w:rPr>
        <w:t xml:space="preserve"> </w:t>
      </w:r>
      <w:r w:rsidR="008D3279">
        <w:rPr>
          <w:rFonts w:eastAsia="Malgun Gothic"/>
        </w:rPr>
        <w:t xml:space="preserve">(ii) carrying out green logistics study, identifying investment needs, (iii) developing strategies for intercity passenger transport and minibus reforms, and (iv) carrying out alternative analysis or feasibility study for modern </w:t>
      </w:r>
      <w:r w:rsidR="00770337">
        <w:rPr>
          <w:rFonts w:eastAsia="Malgun Gothic"/>
        </w:rPr>
        <w:t xml:space="preserve">and green </w:t>
      </w:r>
      <w:r w:rsidR="008D3279">
        <w:rPr>
          <w:rFonts w:eastAsia="Malgun Gothic"/>
        </w:rPr>
        <w:t>public transport modes in Georgian cities</w:t>
      </w:r>
      <w:r w:rsidR="00770337">
        <w:rPr>
          <w:rFonts w:eastAsia="Malgun Gothic"/>
        </w:rPr>
        <w:t>, including LRT, BRT and ropeway transport</w:t>
      </w:r>
      <w:r w:rsidR="008D3279">
        <w:rPr>
          <w:rFonts w:eastAsia="Malgun Gothic"/>
        </w:rPr>
        <w:t>.</w:t>
      </w:r>
    </w:p>
    <w:p w:rsidR="00A57097" w:rsidRPr="0006568D" w:rsidRDefault="00A57097" w:rsidP="00A57097">
      <w:pPr>
        <w:spacing w:before="240"/>
        <w:jc w:val="center"/>
        <w:rPr>
          <w:rFonts w:eastAsia="Malgun Gothic"/>
          <w:b/>
          <w:i/>
        </w:rPr>
      </w:pPr>
      <w:r w:rsidRPr="0006568D">
        <w:rPr>
          <w:rFonts w:eastAsia="Malgun Gothic"/>
          <w:b/>
          <w:i/>
        </w:rPr>
        <w:t xml:space="preserve">Short-Term (2012-2014): Institutional </w:t>
      </w:r>
      <w:r>
        <w:rPr>
          <w:rFonts w:eastAsia="Malgun Gothic"/>
          <w:b/>
          <w:i/>
        </w:rPr>
        <w:t>Capacity</w:t>
      </w:r>
      <w:r w:rsidRPr="0006568D">
        <w:rPr>
          <w:rFonts w:eastAsia="Malgun Gothic"/>
          <w:b/>
          <w:i/>
        </w:rPr>
        <w:t xml:space="preserve"> and Preparatory Tasks</w:t>
      </w:r>
    </w:p>
    <w:tbl>
      <w:tblPr>
        <w:tblW w:w="0" w:type="auto"/>
        <w:jc w:val="center"/>
        <w:tblBorders>
          <w:top w:val="single" w:sz="8" w:space="0" w:color="76923C"/>
          <w:left w:val="single" w:sz="8" w:space="0" w:color="76923C"/>
          <w:bottom w:val="single" w:sz="8" w:space="0" w:color="76923C"/>
          <w:right w:val="single" w:sz="8" w:space="0" w:color="76923C"/>
          <w:insideH w:val="single" w:sz="8" w:space="0" w:color="76923C"/>
        </w:tblBorders>
        <w:tblCellMar>
          <w:top w:w="29" w:type="dxa"/>
          <w:left w:w="115" w:type="dxa"/>
          <w:bottom w:w="29" w:type="dxa"/>
          <w:right w:w="115" w:type="dxa"/>
        </w:tblCellMar>
        <w:tblLook w:val="04A0"/>
      </w:tblPr>
      <w:tblGrid>
        <w:gridCol w:w="1915"/>
        <w:gridCol w:w="5310"/>
        <w:gridCol w:w="2351"/>
      </w:tblGrid>
      <w:tr w:rsidR="00A57097" w:rsidRPr="0006568D" w:rsidTr="00A57097">
        <w:trPr>
          <w:jc w:val="center"/>
        </w:trPr>
        <w:tc>
          <w:tcPr>
            <w:tcW w:w="1915" w:type="dxa"/>
            <w:shd w:val="clear" w:color="auto" w:fill="76923C"/>
          </w:tcPr>
          <w:p w:rsidR="00A57097" w:rsidRPr="0006568D" w:rsidRDefault="00A57097" w:rsidP="00A57097">
            <w:pPr>
              <w:spacing w:after="0" w:line="240" w:lineRule="auto"/>
              <w:jc w:val="left"/>
              <w:rPr>
                <w:rFonts w:eastAsia="Malgun Gothic"/>
                <w:bCs/>
                <w:color w:val="FFFFFF"/>
                <w:sz w:val="21"/>
                <w:szCs w:val="21"/>
              </w:rPr>
            </w:pPr>
            <w:r w:rsidRPr="0006568D">
              <w:rPr>
                <w:rFonts w:eastAsia="Malgun Gothic"/>
                <w:bCs/>
                <w:color w:val="FFFFFF"/>
                <w:sz w:val="21"/>
                <w:szCs w:val="21"/>
              </w:rPr>
              <w:t>Objectives</w:t>
            </w:r>
          </w:p>
        </w:tc>
        <w:tc>
          <w:tcPr>
            <w:tcW w:w="5310" w:type="dxa"/>
            <w:shd w:val="clear" w:color="auto" w:fill="76923C"/>
          </w:tcPr>
          <w:p w:rsidR="00A57097" w:rsidRPr="0006568D" w:rsidRDefault="00A57097" w:rsidP="00A57097">
            <w:pPr>
              <w:spacing w:after="0" w:line="240" w:lineRule="auto"/>
              <w:jc w:val="left"/>
              <w:rPr>
                <w:rFonts w:eastAsia="Malgun Gothic"/>
                <w:bCs/>
                <w:color w:val="FFFFFF"/>
                <w:sz w:val="21"/>
                <w:szCs w:val="21"/>
              </w:rPr>
            </w:pPr>
            <w:r w:rsidRPr="0006568D">
              <w:rPr>
                <w:rFonts w:eastAsia="Malgun Gothic"/>
                <w:bCs/>
                <w:color w:val="FFFFFF"/>
                <w:sz w:val="21"/>
                <w:szCs w:val="21"/>
              </w:rPr>
              <w:t>Actions</w:t>
            </w:r>
          </w:p>
        </w:tc>
        <w:tc>
          <w:tcPr>
            <w:tcW w:w="2351" w:type="dxa"/>
            <w:shd w:val="clear" w:color="auto" w:fill="76923C"/>
          </w:tcPr>
          <w:p w:rsidR="00A57097" w:rsidRPr="0006568D" w:rsidRDefault="00A57097" w:rsidP="00A57097">
            <w:pPr>
              <w:spacing w:after="0" w:line="240" w:lineRule="auto"/>
              <w:jc w:val="left"/>
              <w:rPr>
                <w:rFonts w:eastAsia="Malgun Gothic"/>
                <w:bCs/>
                <w:color w:val="FFFFFF"/>
                <w:sz w:val="21"/>
                <w:szCs w:val="21"/>
              </w:rPr>
            </w:pPr>
            <w:r w:rsidRPr="0006568D">
              <w:rPr>
                <w:rFonts w:eastAsia="Malgun Gothic"/>
                <w:bCs/>
                <w:color w:val="FFFFFF"/>
                <w:sz w:val="21"/>
                <w:szCs w:val="21"/>
              </w:rPr>
              <w:t>Responsible Entities</w:t>
            </w:r>
          </w:p>
        </w:tc>
      </w:tr>
      <w:tr w:rsidR="00A57097" w:rsidRPr="0006568D" w:rsidTr="00A57097">
        <w:trPr>
          <w:jc w:val="center"/>
        </w:trPr>
        <w:tc>
          <w:tcPr>
            <w:tcW w:w="1915" w:type="dxa"/>
            <w:vMerge w:val="restart"/>
            <w:shd w:val="clear" w:color="auto" w:fill="auto"/>
          </w:tcPr>
          <w:p w:rsidR="00A57097" w:rsidRPr="0006568D" w:rsidRDefault="00A57097" w:rsidP="00A57097">
            <w:pPr>
              <w:spacing w:after="0" w:line="240" w:lineRule="auto"/>
              <w:jc w:val="left"/>
              <w:rPr>
                <w:rFonts w:eastAsia="Malgun Gothic"/>
                <w:bCs/>
                <w:sz w:val="21"/>
                <w:szCs w:val="21"/>
              </w:rPr>
            </w:pPr>
            <w:r w:rsidRPr="0006568D">
              <w:rPr>
                <w:rFonts w:eastAsia="Malgun Gothic"/>
                <w:bCs/>
                <w:i/>
                <w:sz w:val="21"/>
                <w:szCs w:val="21"/>
              </w:rPr>
              <w:t xml:space="preserve">Strengthen the institutions </w:t>
            </w:r>
            <w:r>
              <w:rPr>
                <w:rFonts w:eastAsia="Malgun Gothic"/>
                <w:bCs/>
                <w:i/>
                <w:sz w:val="21"/>
                <w:szCs w:val="21"/>
              </w:rPr>
              <w:t xml:space="preserve">and policies </w:t>
            </w:r>
            <w:r w:rsidRPr="0006568D">
              <w:rPr>
                <w:rFonts w:eastAsia="Malgun Gothic"/>
                <w:bCs/>
                <w:i/>
                <w:sz w:val="21"/>
                <w:szCs w:val="21"/>
              </w:rPr>
              <w:t>at national and municipal level</w:t>
            </w:r>
          </w:p>
        </w:tc>
        <w:tc>
          <w:tcPr>
            <w:tcW w:w="5310" w:type="dxa"/>
            <w:shd w:val="clear" w:color="auto" w:fill="auto"/>
          </w:tcPr>
          <w:p w:rsidR="00A57097" w:rsidRPr="0006568D" w:rsidRDefault="00A57097" w:rsidP="00A57097">
            <w:pPr>
              <w:numPr>
                <w:ilvl w:val="0"/>
                <w:numId w:val="30"/>
              </w:numPr>
              <w:tabs>
                <w:tab w:val="left" w:pos="418"/>
              </w:tabs>
              <w:spacing w:after="0" w:line="240" w:lineRule="auto"/>
              <w:ind w:left="-32" w:firstLine="0"/>
              <w:contextualSpacing/>
              <w:jc w:val="left"/>
              <w:rPr>
                <w:rFonts w:eastAsia="Malgun Gothic"/>
                <w:sz w:val="21"/>
                <w:szCs w:val="21"/>
              </w:rPr>
            </w:pPr>
            <w:r w:rsidRPr="0006568D">
              <w:rPr>
                <w:rFonts w:eastAsia="Malgun Gothic"/>
                <w:sz w:val="21"/>
                <w:szCs w:val="21"/>
              </w:rPr>
              <w:t>Include environmental objectives and targets in national and municipal transport policies</w:t>
            </w:r>
          </w:p>
        </w:tc>
        <w:tc>
          <w:tcPr>
            <w:tcW w:w="2351" w:type="dxa"/>
            <w:shd w:val="clear" w:color="auto" w:fill="auto"/>
          </w:tcPr>
          <w:p w:rsidR="00A57097" w:rsidRPr="0006568D" w:rsidRDefault="00A57097" w:rsidP="00A57097">
            <w:pPr>
              <w:spacing w:after="0" w:line="240" w:lineRule="auto"/>
              <w:jc w:val="left"/>
              <w:rPr>
                <w:rFonts w:eastAsia="Malgun Gothic"/>
                <w:sz w:val="21"/>
                <w:szCs w:val="21"/>
              </w:rPr>
            </w:pPr>
            <w:r w:rsidRPr="0006568D">
              <w:rPr>
                <w:rFonts w:eastAsia="Malgun Gothic"/>
                <w:sz w:val="21"/>
                <w:szCs w:val="21"/>
              </w:rPr>
              <w:t>(Lead) MoEnv;</w:t>
            </w:r>
          </w:p>
          <w:p w:rsidR="00A57097" w:rsidRPr="0006568D" w:rsidRDefault="00A57097" w:rsidP="00A57097">
            <w:pPr>
              <w:spacing w:after="0" w:line="240" w:lineRule="auto"/>
              <w:jc w:val="left"/>
              <w:rPr>
                <w:rFonts w:eastAsia="Malgun Gothic"/>
                <w:sz w:val="21"/>
                <w:szCs w:val="21"/>
              </w:rPr>
            </w:pPr>
            <w:r w:rsidRPr="0006568D">
              <w:rPr>
                <w:rFonts w:eastAsia="Malgun Gothic"/>
                <w:sz w:val="21"/>
                <w:szCs w:val="21"/>
              </w:rPr>
              <w:t>(Support) TPD</w:t>
            </w:r>
          </w:p>
        </w:tc>
      </w:tr>
      <w:tr w:rsidR="00A57097" w:rsidRPr="0006568D" w:rsidTr="00A57097">
        <w:trPr>
          <w:jc w:val="center"/>
        </w:trPr>
        <w:tc>
          <w:tcPr>
            <w:tcW w:w="1915" w:type="dxa"/>
            <w:vMerge/>
            <w:shd w:val="clear" w:color="auto" w:fill="auto"/>
          </w:tcPr>
          <w:p w:rsidR="00A57097" w:rsidRPr="0006568D" w:rsidRDefault="00A57097" w:rsidP="00A57097">
            <w:pPr>
              <w:spacing w:after="0" w:line="240" w:lineRule="auto"/>
              <w:jc w:val="left"/>
              <w:rPr>
                <w:rFonts w:eastAsia="Malgun Gothic"/>
                <w:bCs/>
                <w:sz w:val="21"/>
                <w:szCs w:val="21"/>
              </w:rPr>
            </w:pPr>
          </w:p>
        </w:tc>
        <w:tc>
          <w:tcPr>
            <w:tcW w:w="5310" w:type="dxa"/>
            <w:shd w:val="clear" w:color="auto" w:fill="auto"/>
          </w:tcPr>
          <w:p w:rsidR="00A57097" w:rsidRPr="0006568D" w:rsidRDefault="00A57097" w:rsidP="00A57097">
            <w:pPr>
              <w:numPr>
                <w:ilvl w:val="0"/>
                <w:numId w:val="30"/>
              </w:numPr>
              <w:tabs>
                <w:tab w:val="left" w:pos="425"/>
              </w:tabs>
              <w:spacing w:after="0" w:line="240" w:lineRule="auto"/>
              <w:ind w:left="-25" w:firstLine="0"/>
              <w:contextualSpacing/>
              <w:jc w:val="left"/>
              <w:rPr>
                <w:rFonts w:eastAsia="Malgun Gothic"/>
                <w:sz w:val="21"/>
                <w:szCs w:val="21"/>
              </w:rPr>
            </w:pPr>
            <w:r w:rsidRPr="0006568D">
              <w:rPr>
                <w:rFonts w:eastAsia="Malgun Gothic"/>
                <w:sz w:val="21"/>
                <w:szCs w:val="21"/>
              </w:rPr>
              <w:t>Develop and implement an environmental monitoring framework, including ambient air quality measurement</w:t>
            </w:r>
          </w:p>
        </w:tc>
        <w:tc>
          <w:tcPr>
            <w:tcW w:w="2351" w:type="dxa"/>
            <w:shd w:val="clear" w:color="auto" w:fill="auto"/>
          </w:tcPr>
          <w:p w:rsidR="00A57097" w:rsidRPr="0006568D" w:rsidRDefault="00A57097" w:rsidP="00A57097">
            <w:pPr>
              <w:spacing w:after="0" w:line="240" w:lineRule="auto"/>
              <w:jc w:val="left"/>
              <w:rPr>
                <w:rFonts w:eastAsia="Malgun Gothic"/>
                <w:sz w:val="21"/>
                <w:szCs w:val="21"/>
              </w:rPr>
            </w:pPr>
            <w:r w:rsidRPr="0006568D">
              <w:rPr>
                <w:rFonts w:eastAsia="Malgun Gothic"/>
                <w:sz w:val="21"/>
                <w:szCs w:val="21"/>
              </w:rPr>
              <w:t>(Lead) MoEnv;</w:t>
            </w:r>
          </w:p>
          <w:p w:rsidR="00A57097" w:rsidRPr="0006568D" w:rsidRDefault="00A57097" w:rsidP="00A57097">
            <w:pPr>
              <w:spacing w:after="0" w:line="240" w:lineRule="auto"/>
              <w:jc w:val="left"/>
              <w:rPr>
                <w:rFonts w:eastAsia="Malgun Gothic"/>
                <w:sz w:val="21"/>
                <w:szCs w:val="21"/>
              </w:rPr>
            </w:pPr>
            <w:r w:rsidRPr="0006568D">
              <w:rPr>
                <w:rFonts w:eastAsia="Malgun Gothic"/>
                <w:sz w:val="21"/>
                <w:szCs w:val="21"/>
              </w:rPr>
              <w:t>(Support) TPD</w:t>
            </w:r>
          </w:p>
        </w:tc>
      </w:tr>
      <w:tr w:rsidR="00A57097" w:rsidRPr="0006568D" w:rsidTr="00A57097">
        <w:trPr>
          <w:jc w:val="center"/>
        </w:trPr>
        <w:tc>
          <w:tcPr>
            <w:tcW w:w="1915" w:type="dxa"/>
            <w:vMerge/>
            <w:shd w:val="clear" w:color="auto" w:fill="auto"/>
          </w:tcPr>
          <w:p w:rsidR="00A57097" w:rsidRPr="0006568D" w:rsidRDefault="00A57097" w:rsidP="00A57097">
            <w:pPr>
              <w:spacing w:after="0" w:line="240" w:lineRule="auto"/>
              <w:jc w:val="left"/>
              <w:rPr>
                <w:rFonts w:eastAsia="Malgun Gothic"/>
                <w:bCs/>
                <w:sz w:val="21"/>
                <w:szCs w:val="21"/>
              </w:rPr>
            </w:pPr>
          </w:p>
        </w:tc>
        <w:tc>
          <w:tcPr>
            <w:tcW w:w="5310" w:type="dxa"/>
            <w:shd w:val="clear" w:color="auto" w:fill="auto"/>
          </w:tcPr>
          <w:p w:rsidR="00A57097" w:rsidRPr="0006568D" w:rsidRDefault="00A57097" w:rsidP="00A57097">
            <w:pPr>
              <w:numPr>
                <w:ilvl w:val="0"/>
                <w:numId w:val="30"/>
              </w:numPr>
              <w:tabs>
                <w:tab w:val="left" w:pos="425"/>
              </w:tabs>
              <w:spacing w:after="0" w:line="240" w:lineRule="auto"/>
              <w:ind w:left="-25" w:firstLine="0"/>
              <w:contextualSpacing/>
              <w:jc w:val="left"/>
              <w:rPr>
                <w:rFonts w:eastAsia="Malgun Gothic"/>
                <w:sz w:val="21"/>
                <w:szCs w:val="21"/>
              </w:rPr>
            </w:pPr>
            <w:r w:rsidRPr="0006568D">
              <w:rPr>
                <w:rFonts w:eastAsia="Malgun Gothic"/>
                <w:sz w:val="21"/>
                <w:szCs w:val="21"/>
              </w:rPr>
              <w:t>Update regulatory framework stipulated in Presidential Decree No. 302, introducing phased implementation plans with defined targets at each phase, streamline administrative procedures with a plan to outsourc</w:t>
            </w:r>
            <w:r>
              <w:rPr>
                <w:rFonts w:eastAsia="Malgun Gothic"/>
                <w:sz w:val="21"/>
                <w:szCs w:val="21"/>
              </w:rPr>
              <w:t>e</w:t>
            </w:r>
            <w:r w:rsidRPr="0006568D">
              <w:rPr>
                <w:rFonts w:eastAsia="Malgun Gothic"/>
                <w:sz w:val="21"/>
                <w:szCs w:val="21"/>
              </w:rPr>
              <w:t xml:space="preserve"> actual implementation.</w:t>
            </w:r>
          </w:p>
        </w:tc>
        <w:tc>
          <w:tcPr>
            <w:tcW w:w="2351" w:type="dxa"/>
            <w:shd w:val="clear" w:color="auto" w:fill="auto"/>
          </w:tcPr>
          <w:p w:rsidR="00A57097" w:rsidRPr="0006568D" w:rsidRDefault="00A57097" w:rsidP="00A57097">
            <w:pPr>
              <w:spacing w:after="0" w:line="240" w:lineRule="auto"/>
              <w:jc w:val="left"/>
              <w:rPr>
                <w:rFonts w:eastAsia="Malgun Gothic"/>
                <w:sz w:val="21"/>
                <w:szCs w:val="21"/>
              </w:rPr>
            </w:pPr>
            <w:r w:rsidRPr="0006568D">
              <w:rPr>
                <w:rFonts w:eastAsia="Malgun Gothic"/>
                <w:sz w:val="21"/>
                <w:szCs w:val="21"/>
              </w:rPr>
              <w:t>(Lead) LTA;</w:t>
            </w:r>
          </w:p>
          <w:p w:rsidR="00A57097" w:rsidRPr="0006568D" w:rsidRDefault="00A57097" w:rsidP="00A57097">
            <w:pPr>
              <w:spacing w:after="0" w:line="240" w:lineRule="auto"/>
              <w:jc w:val="left"/>
              <w:rPr>
                <w:rFonts w:eastAsia="Malgun Gothic"/>
                <w:sz w:val="21"/>
                <w:szCs w:val="21"/>
              </w:rPr>
            </w:pPr>
            <w:r w:rsidRPr="0006568D">
              <w:rPr>
                <w:rFonts w:eastAsia="Malgun Gothic"/>
                <w:sz w:val="21"/>
                <w:szCs w:val="21"/>
              </w:rPr>
              <w:t>(Support) MoEnv, MoE, MoESD</w:t>
            </w:r>
          </w:p>
        </w:tc>
      </w:tr>
      <w:tr w:rsidR="00A57097" w:rsidRPr="0006568D" w:rsidTr="00A57097">
        <w:trPr>
          <w:jc w:val="center"/>
        </w:trPr>
        <w:tc>
          <w:tcPr>
            <w:tcW w:w="1915" w:type="dxa"/>
            <w:vMerge/>
            <w:shd w:val="clear" w:color="auto" w:fill="auto"/>
          </w:tcPr>
          <w:p w:rsidR="00A57097" w:rsidRPr="0006568D" w:rsidRDefault="00A57097" w:rsidP="00A57097">
            <w:pPr>
              <w:spacing w:after="0" w:line="240" w:lineRule="auto"/>
              <w:jc w:val="left"/>
              <w:rPr>
                <w:rFonts w:eastAsia="Malgun Gothic"/>
                <w:bCs/>
                <w:sz w:val="21"/>
                <w:szCs w:val="21"/>
              </w:rPr>
            </w:pPr>
          </w:p>
        </w:tc>
        <w:tc>
          <w:tcPr>
            <w:tcW w:w="5310" w:type="dxa"/>
            <w:shd w:val="clear" w:color="auto" w:fill="auto"/>
          </w:tcPr>
          <w:p w:rsidR="00A57097" w:rsidRPr="0006568D" w:rsidRDefault="00A57097" w:rsidP="00A57097">
            <w:pPr>
              <w:numPr>
                <w:ilvl w:val="0"/>
                <w:numId w:val="30"/>
              </w:numPr>
              <w:tabs>
                <w:tab w:val="left" w:pos="425"/>
              </w:tabs>
              <w:spacing w:after="0" w:line="240" w:lineRule="auto"/>
              <w:ind w:left="-25" w:firstLine="0"/>
              <w:contextualSpacing/>
              <w:jc w:val="left"/>
              <w:rPr>
                <w:rFonts w:eastAsia="Malgun Gothic"/>
                <w:sz w:val="21"/>
                <w:szCs w:val="21"/>
              </w:rPr>
            </w:pPr>
            <w:r w:rsidRPr="0006568D">
              <w:rPr>
                <w:rFonts w:eastAsia="Malgun Gothic"/>
                <w:sz w:val="21"/>
                <w:szCs w:val="21"/>
              </w:rPr>
              <w:t>Strengthen inter-agency collaboration among ministries, and between national government and municipal authorities</w:t>
            </w:r>
          </w:p>
        </w:tc>
        <w:tc>
          <w:tcPr>
            <w:tcW w:w="2351" w:type="dxa"/>
            <w:shd w:val="clear" w:color="auto" w:fill="auto"/>
          </w:tcPr>
          <w:p w:rsidR="00A57097" w:rsidRPr="0006568D" w:rsidRDefault="00A57097" w:rsidP="00A57097">
            <w:pPr>
              <w:spacing w:after="0" w:line="240" w:lineRule="auto"/>
              <w:jc w:val="left"/>
              <w:rPr>
                <w:rFonts w:eastAsia="Malgun Gothic"/>
                <w:sz w:val="21"/>
                <w:szCs w:val="21"/>
              </w:rPr>
            </w:pPr>
            <w:r w:rsidRPr="0006568D">
              <w:rPr>
                <w:rFonts w:eastAsia="Malgun Gothic"/>
                <w:sz w:val="21"/>
                <w:szCs w:val="21"/>
              </w:rPr>
              <w:t>Council of Ministers</w:t>
            </w:r>
          </w:p>
        </w:tc>
      </w:tr>
      <w:tr w:rsidR="00A57097" w:rsidRPr="0006568D" w:rsidTr="00A57097">
        <w:trPr>
          <w:jc w:val="center"/>
        </w:trPr>
        <w:tc>
          <w:tcPr>
            <w:tcW w:w="1915" w:type="dxa"/>
            <w:vMerge w:val="restart"/>
            <w:shd w:val="clear" w:color="auto" w:fill="auto"/>
          </w:tcPr>
          <w:p w:rsidR="00A57097" w:rsidRPr="0006568D" w:rsidRDefault="00A57097" w:rsidP="00A57097">
            <w:pPr>
              <w:spacing w:after="0" w:line="240" w:lineRule="auto"/>
              <w:jc w:val="left"/>
              <w:rPr>
                <w:rFonts w:eastAsia="Malgun Gothic"/>
                <w:bCs/>
                <w:sz w:val="21"/>
                <w:szCs w:val="21"/>
              </w:rPr>
            </w:pPr>
            <w:r w:rsidRPr="0006568D">
              <w:rPr>
                <w:rFonts w:eastAsia="Malgun Gothic"/>
                <w:bCs/>
                <w:i/>
                <w:sz w:val="21"/>
                <w:szCs w:val="21"/>
              </w:rPr>
              <w:t>Carry out preparatory work and studies for medium-term actions</w:t>
            </w:r>
          </w:p>
        </w:tc>
        <w:tc>
          <w:tcPr>
            <w:tcW w:w="5310" w:type="dxa"/>
            <w:shd w:val="clear" w:color="auto" w:fill="auto"/>
          </w:tcPr>
          <w:p w:rsidR="00A57097" w:rsidRPr="0006568D" w:rsidRDefault="00A57097" w:rsidP="00A57097">
            <w:pPr>
              <w:numPr>
                <w:ilvl w:val="0"/>
                <w:numId w:val="30"/>
              </w:numPr>
              <w:tabs>
                <w:tab w:val="left" w:pos="425"/>
              </w:tabs>
              <w:spacing w:after="0" w:line="240" w:lineRule="auto"/>
              <w:ind w:left="-25" w:firstLine="0"/>
              <w:contextualSpacing/>
              <w:jc w:val="left"/>
              <w:rPr>
                <w:rFonts w:eastAsia="Malgun Gothic"/>
                <w:sz w:val="21"/>
                <w:szCs w:val="21"/>
              </w:rPr>
            </w:pPr>
            <w:r w:rsidRPr="0006568D">
              <w:rPr>
                <w:rFonts w:eastAsia="Malgun Gothic"/>
                <w:sz w:val="21"/>
                <w:szCs w:val="21"/>
              </w:rPr>
              <w:t xml:space="preserve">Assess appropriate levels of transit truck charges by emission class and weight, and possibly </w:t>
            </w:r>
            <w:r>
              <w:rPr>
                <w:rFonts w:eastAsia="Malgun Gothic"/>
                <w:sz w:val="21"/>
                <w:szCs w:val="21"/>
              </w:rPr>
              <w:t xml:space="preserve">by </w:t>
            </w:r>
            <w:r w:rsidRPr="0006568D">
              <w:rPr>
                <w:rFonts w:eastAsia="Malgun Gothic"/>
                <w:sz w:val="21"/>
                <w:szCs w:val="21"/>
              </w:rPr>
              <w:t>distance, devise a plan for implementation, including electronic toll collection system</w:t>
            </w:r>
          </w:p>
        </w:tc>
        <w:tc>
          <w:tcPr>
            <w:tcW w:w="2351" w:type="dxa"/>
            <w:shd w:val="clear" w:color="auto" w:fill="auto"/>
          </w:tcPr>
          <w:p w:rsidR="00A57097" w:rsidRPr="0006568D" w:rsidRDefault="00A57097" w:rsidP="00A57097">
            <w:pPr>
              <w:spacing w:after="0" w:line="240" w:lineRule="auto"/>
              <w:jc w:val="left"/>
              <w:rPr>
                <w:rFonts w:eastAsia="Malgun Gothic"/>
                <w:sz w:val="21"/>
                <w:szCs w:val="21"/>
              </w:rPr>
            </w:pPr>
            <w:r w:rsidRPr="0006568D">
              <w:rPr>
                <w:rFonts w:eastAsia="Malgun Gothic"/>
                <w:sz w:val="21"/>
                <w:szCs w:val="21"/>
              </w:rPr>
              <w:t>(Lead) TPD, MoRDI;</w:t>
            </w:r>
          </w:p>
          <w:p w:rsidR="00A57097" w:rsidRPr="0006568D" w:rsidRDefault="00A57097" w:rsidP="00A57097">
            <w:pPr>
              <w:spacing w:after="0" w:line="240" w:lineRule="auto"/>
              <w:jc w:val="left"/>
              <w:rPr>
                <w:rFonts w:eastAsia="Malgun Gothic"/>
                <w:sz w:val="21"/>
                <w:szCs w:val="21"/>
              </w:rPr>
            </w:pPr>
            <w:r w:rsidRPr="0006568D">
              <w:rPr>
                <w:rFonts w:eastAsia="Malgun Gothic"/>
                <w:sz w:val="21"/>
                <w:szCs w:val="21"/>
              </w:rPr>
              <w:t>(Support) MoESD</w:t>
            </w:r>
          </w:p>
        </w:tc>
      </w:tr>
      <w:tr w:rsidR="00A57097" w:rsidRPr="0006568D" w:rsidTr="00A57097">
        <w:trPr>
          <w:jc w:val="center"/>
        </w:trPr>
        <w:tc>
          <w:tcPr>
            <w:tcW w:w="1915" w:type="dxa"/>
            <w:vMerge/>
            <w:shd w:val="clear" w:color="auto" w:fill="auto"/>
          </w:tcPr>
          <w:p w:rsidR="00A57097" w:rsidRPr="0006568D" w:rsidRDefault="00A57097" w:rsidP="00A57097">
            <w:pPr>
              <w:spacing w:after="0" w:line="240" w:lineRule="auto"/>
              <w:jc w:val="left"/>
              <w:rPr>
                <w:rFonts w:eastAsia="Malgun Gothic"/>
                <w:bCs/>
                <w:i/>
                <w:sz w:val="21"/>
                <w:szCs w:val="21"/>
              </w:rPr>
            </w:pPr>
          </w:p>
        </w:tc>
        <w:tc>
          <w:tcPr>
            <w:tcW w:w="5310" w:type="dxa"/>
            <w:shd w:val="clear" w:color="auto" w:fill="auto"/>
          </w:tcPr>
          <w:p w:rsidR="00A57097" w:rsidRPr="0006568D" w:rsidRDefault="00A57097" w:rsidP="00A57097">
            <w:pPr>
              <w:numPr>
                <w:ilvl w:val="0"/>
                <w:numId w:val="30"/>
              </w:numPr>
              <w:tabs>
                <w:tab w:val="left" w:pos="425"/>
              </w:tabs>
              <w:spacing w:after="0" w:line="240" w:lineRule="auto"/>
              <w:ind w:left="-25" w:firstLine="0"/>
              <w:contextualSpacing/>
              <w:jc w:val="left"/>
              <w:rPr>
                <w:rFonts w:eastAsia="Malgun Gothic"/>
                <w:sz w:val="21"/>
                <w:szCs w:val="21"/>
              </w:rPr>
            </w:pPr>
            <w:r w:rsidRPr="0006568D">
              <w:rPr>
                <w:rFonts w:eastAsia="Malgun Gothic"/>
                <w:sz w:val="21"/>
                <w:szCs w:val="21"/>
              </w:rPr>
              <w:t>Carry out green logistics study, assessing feasibility of containerization and transshipment facilities such as Ro-Mo and Ro-Ro and identifying investment needs</w:t>
            </w:r>
          </w:p>
        </w:tc>
        <w:tc>
          <w:tcPr>
            <w:tcW w:w="2351" w:type="dxa"/>
            <w:shd w:val="clear" w:color="auto" w:fill="auto"/>
          </w:tcPr>
          <w:p w:rsidR="00A57097" w:rsidRPr="0006568D" w:rsidRDefault="00A57097" w:rsidP="00A57097">
            <w:pPr>
              <w:spacing w:after="0" w:line="240" w:lineRule="auto"/>
              <w:jc w:val="left"/>
              <w:rPr>
                <w:rFonts w:eastAsia="Malgun Gothic"/>
                <w:sz w:val="21"/>
                <w:szCs w:val="21"/>
              </w:rPr>
            </w:pPr>
            <w:r w:rsidRPr="0006568D">
              <w:rPr>
                <w:rFonts w:eastAsia="Malgun Gothic"/>
                <w:sz w:val="21"/>
                <w:szCs w:val="21"/>
              </w:rPr>
              <w:t>(Lead) TPD;</w:t>
            </w:r>
          </w:p>
          <w:p w:rsidR="00A57097" w:rsidRPr="0006568D" w:rsidRDefault="00A57097" w:rsidP="00A57097">
            <w:pPr>
              <w:spacing w:after="0" w:line="240" w:lineRule="auto"/>
              <w:jc w:val="left"/>
              <w:rPr>
                <w:rFonts w:eastAsia="Malgun Gothic"/>
                <w:sz w:val="21"/>
                <w:szCs w:val="21"/>
              </w:rPr>
            </w:pPr>
            <w:r w:rsidRPr="0006568D">
              <w:rPr>
                <w:rFonts w:eastAsia="Malgun Gothic"/>
                <w:sz w:val="21"/>
                <w:szCs w:val="21"/>
              </w:rPr>
              <w:t>(Support) MoRDI, Georgian Railway</w:t>
            </w:r>
          </w:p>
        </w:tc>
      </w:tr>
      <w:tr w:rsidR="00A57097" w:rsidRPr="0006568D" w:rsidTr="00A57097">
        <w:trPr>
          <w:jc w:val="center"/>
        </w:trPr>
        <w:tc>
          <w:tcPr>
            <w:tcW w:w="1915" w:type="dxa"/>
            <w:vMerge/>
            <w:shd w:val="clear" w:color="auto" w:fill="auto"/>
          </w:tcPr>
          <w:p w:rsidR="00A57097" w:rsidRPr="0006568D" w:rsidRDefault="00A57097" w:rsidP="00A57097">
            <w:pPr>
              <w:spacing w:after="0" w:line="240" w:lineRule="auto"/>
              <w:jc w:val="left"/>
              <w:rPr>
                <w:rFonts w:eastAsia="Malgun Gothic"/>
                <w:bCs/>
                <w:i/>
                <w:sz w:val="21"/>
                <w:szCs w:val="21"/>
              </w:rPr>
            </w:pPr>
          </w:p>
        </w:tc>
        <w:tc>
          <w:tcPr>
            <w:tcW w:w="5310" w:type="dxa"/>
            <w:shd w:val="clear" w:color="auto" w:fill="auto"/>
          </w:tcPr>
          <w:p w:rsidR="00A57097" w:rsidRPr="0006568D" w:rsidRDefault="00A57097" w:rsidP="00A57097">
            <w:pPr>
              <w:numPr>
                <w:ilvl w:val="0"/>
                <w:numId w:val="30"/>
              </w:numPr>
              <w:tabs>
                <w:tab w:val="left" w:pos="425"/>
              </w:tabs>
              <w:spacing w:after="0" w:line="240" w:lineRule="auto"/>
              <w:ind w:left="-25" w:firstLine="0"/>
              <w:contextualSpacing/>
              <w:jc w:val="left"/>
              <w:rPr>
                <w:rFonts w:eastAsia="Malgun Gothic"/>
                <w:sz w:val="21"/>
                <w:szCs w:val="21"/>
              </w:rPr>
            </w:pPr>
            <w:r w:rsidRPr="0006568D">
              <w:rPr>
                <w:rFonts w:eastAsia="Malgun Gothic"/>
                <w:sz w:val="21"/>
                <w:szCs w:val="21"/>
              </w:rPr>
              <w:t>Develop strategy for intercity passenger transport based on ongoing market analysis</w:t>
            </w:r>
          </w:p>
        </w:tc>
        <w:tc>
          <w:tcPr>
            <w:tcW w:w="2351" w:type="dxa"/>
            <w:shd w:val="clear" w:color="auto" w:fill="auto"/>
          </w:tcPr>
          <w:p w:rsidR="00A57097" w:rsidRPr="0006568D" w:rsidRDefault="00A57097" w:rsidP="00A57097">
            <w:pPr>
              <w:spacing w:after="0" w:line="240" w:lineRule="auto"/>
              <w:jc w:val="left"/>
              <w:rPr>
                <w:rFonts w:eastAsia="Malgun Gothic"/>
                <w:sz w:val="21"/>
                <w:szCs w:val="21"/>
              </w:rPr>
            </w:pPr>
            <w:r w:rsidRPr="0006568D">
              <w:rPr>
                <w:rFonts w:eastAsia="Malgun Gothic"/>
                <w:sz w:val="21"/>
                <w:szCs w:val="21"/>
              </w:rPr>
              <w:t>(Lead) TPD;</w:t>
            </w:r>
          </w:p>
          <w:p w:rsidR="00A57097" w:rsidRPr="0006568D" w:rsidRDefault="00A57097" w:rsidP="00A57097">
            <w:pPr>
              <w:spacing w:after="0" w:line="240" w:lineRule="auto"/>
              <w:jc w:val="left"/>
              <w:rPr>
                <w:rFonts w:eastAsia="Malgun Gothic"/>
                <w:sz w:val="21"/>
                <w:szCs w:val="21"/>
              </w:rPr>
            </w:pPr>
            <w:r w:rsidRPr="0006568D">
              <w:rPr>
                <w:rFonts w:eastAsia="Malgun Gothic"/>
                <w:sz w:val="21"/>
                <w:szCs w:val="21"/>
              </w:rPr>
              <w:t>(Support) NTA</w:t>
            </w:r>
          </w:p>
        </w:tc>
      </w:tr>
      <w:tr w:rsidR="00A57097" w:rsidRPr="0006568D" w:rsidTr="00A57097">
        <w:trPr>
          <w:jc w:val="center"/>
        </w:trPr>
        <w:tc>
          <w:tcPr>
            <w:tcW w:w="1915" w:type="dxa"/>
            <w:vMerge/>
            <w:shd w:val="clear" w:color="auto" w:fill="auto"/>
          </w:tcPr>
          <w:p w:rsidR="00A57097" w:rsidRPr="0006568D" w:rsidRDefault="00A57097" w:rsidP="00A57097">
            <w:pPr>
              <w:spacing w:after="0" w:line="240" w:lineRule="auto"/>
              <w:jc w:val="left"/>
              <w:rPr>
                <w:rFonts w:eastAsia="Malgun Gothic"/>
                <w:bCs/>
                <w:i/>
                <w:sz w:val="21"/>
                <w:szCs w:val="21"/>
              </w:rPr>
            </w:pPr>
          </w:p>
        </w:tc>
        <w:tc>
          <w:tcPr>
            <w:tcW w:w="5310" w:type="dxa"/>
            <w:shd w:val="clear" w:color="auto" w:fill="auto"/>
          </w:tcPr>
          <w:p w:rsidR="00A57097" w:rsidRPr="0006568D" w:rsidRDefault="00A57097" w:rsidP="00A57097">
            <w:pPr>
              <w:numPr>
                <w:ilvl w:val="0"/>
                <w:numId w:val="30"/>
              </w:numPr>
              <w:tabs>
                <w:tab w:val="left" w:pos="425"/>
              </w:tabs>
              <w:spacing w:after="0" w:line="240" w:lineRule="auto"/>
              <w:ind w:left="-25" w:firstLine="0"/>
              <w:contextualSpacing/>
              <w:jc w:val="left"/>
              <w:rPr>
                <w:rFonts w:eastAsia="Malgun Gothic"/>
                <w:sz w:val="21"/>
                <w:szCs w:val="21"/>
              </w:rPr>
            </w:pPr>
            <w:r w:rsidRPr="0006568D">
              <w:rPr>
                <w:rFonts w:eastAsia="Malgun Gothic"/>
                <w:sz w:val="21"/>
                <w:szCs w:val="21"/>
              </w:rPr>
              <w:t>Develop strategy for minibus reform, identifying steps to introduce competitive tendering and evaluating feasibility of gross-cost vs. net-cost contracting</w:t>
            </w:r>
          </w:p>
        </w:tc>
        <w:tc>
          <w:tcPr>
            <w:tcW w:w="2351" w:type="dxa"/>
            <w:shd w:val="clear" w:color="auto" w:fill="auto"/>
          </w:tcPr>
          <w:p w:rsidR="00A57097" w:rsidRPr="0006568D" w:rsidRDefault="00A57097" w:rsidP="00A57097">
            <w:pPr>
              <w:spacing w:after="0" w:line="240" w:lineRule="auto"/>
              <w:jc w:val="left"/>
              <w:rPr>
                <w:rFonts w:eastAsia="Malgun Gothic"/>
                <w:sz w:val="21"/>
                <w:szCs w:val="21"/>
              </w:rPr>
            </w:pPr>
            <w:r w:rsidRPr="0006568D">
              <w:rPr>
                <w:rFonts w:eastAsia="Malgun Gothic"/>
                <w:sz w:val="21"/>
                <w:szCs w:val="21"/>
              </w:rPr>
              <w:t>(Lead) TPD;</w:t>
            </w:r>
          </w:p>
          <w:p w:rsidR="00A57097" w:rsidRPr="0006568D" w:rsidRDefault="00A57097" w:rsidP="00A57097">
            <w:pPr>
              <w:spacing w:after="0" w:line="240" w:lineRule="auto"/>
              <w:jc w:val="left"/>
              <w:rPr>
                <w:rFonts w:eastAsia="Malgun Gothic"/>
                <w:sz w:val="21"/>
                <w:szCs w:val="21"/>
              </w:rPr>
            </w:pPr>
            <w:r w:rsidRPr="0006568D">
              <w:rPr>
                <w:rFonts w:eastAsia="Malgun Gothic"/>
                <w:sz w:val="21"/>
                <w:szCs w:val="21"/>
              </w:rPr>
              <w:t>(Support) Municipalities</w:t>
            </w:r>
          </w:p>
        </w:tc>
      </w:tr>
      <w:tr w:rsidR="00A57097" w:rsidRPr="0006568D" w:rsidTr="00A57097">
        <w:trPr>
          <w:jc w:val="center"/>
        </w:trPr>
        <w:tc>
          <w:tcPr>
            <w:tcW w:w="1915" w:type="dxa"/>
            <w:vMerge/>
            <w:shd w:val="clear" w:color="auto" w:fill="auto"/>
          </w:tcPr>
          <w:p w:rsidR="00A57097" w:rsidRPr="0006568D" w:rsidRDefault="00A57097" w:rsidP="00A57097">
            <w:pPr>
              <w:spacing w:after="0" w:line="240" w:lineRule="auto"/>
              <w:jc w:val="left"/>
              <w:rPr>
                <w:rFonts w:eastAsia="Malgun Gothic"/>
                <w:bCs/>
                <w:i/>
                <w:sz w:val="21"/>
                <w:szCs w:val="21"/>
              </w:rPr>
            </w:pPr>
          </w:p>
        </w:tc>
        <w:tc>
          <w:tcPr>
            <w:tcW w:w="5310" w:type="dxa"/>
            <w:shd w:val="clear" w:color="auto" w:fill="auto"/>
          </w:tcPr>
          <w:p w:rsidR="00A57097" w:rsidRPr="0006568D" w:rsidRDefault="00A57097" w:rsidP="00A57097">
            <w:pPr>
              <w:numPr>
                <w:ilvl w:val="0"/>
                <w:numId w:val="30"/>
              </w:numPr>
              <w:tabs>
                <w:tab w:val="left" w:pos="425"/>
              </w:tabs>
              <w:spacing w:after="0" w:line="240" w:lineRule="auto"/>
              <w:ind w:left="-25" w:firstLine="0"/>
              <w:contextualSpacing/>
              <w:jc w:val="left"/>
              <w:rPr>
                <w:rFonts w:eastAsia="Malgun Gothic"/>
                <w:sz w:val="21"/>
                <w:szCs w:val="21"/>
              </w:rPr>
            </w:pPr>
            <w:r>
              <w:rPr>
                <w:rFonts w:eastAsia="Malgun Gothic"/>
                <w:sz w:val="21"/>
                <w:szCs w:val="21"/>
              </w:rPr>
              <w:t>R</w:t>
            </w:r>
            <w:r w:rsidRPr="0006568D">
              <w:rPr>
                <w:rFonts w:eastAsia="Malgun Gothic"/>
                <w:sz w:val="21"/>
                <w:szCs w:val="21"/>
              </w:rPr>
              <w:t>esearch taxi regulations, investigating current market condition and identifying appropriate level of regulations</w:t>
            </w:r>
          </w:p>
        </w:tc>
        <w:tc>
          <w:tcPr>
            <w:tcW w:w="2351" w:type="dxa"/>
            <w:shd w:val="clear" w:color="auto" w:fill="auto"/>
          </w:tcPr>
          <w:p w:rsidR="00A57097" w:rsidRPr="0006568D" w:rsidRDefault="00A57097" w:rsidP="00A57097">
            <w:pPr>
              <w:spacing w:after="0" w:line="240" w:lineRule="auto"/>
              <w:jc w:val="left"/>
              <w:rPr>
                <w:rFonts w:eastAsia="Malgun Gothic"/>
                <w:sz w:val="21"/>
                <w:szCs w:val="21"/>
              </w:rPr>
            </w:pPr>
            <w:r w:rsidRPr="0006568D">
              <w:rPr>
                <w:rFonts w:eastAsia="Malgun Gothic"/>
                <w:sz w:val="21"/>
                <w:szCs w:val="21"/>
              </w:rPr>
              <w:t>(Lead) LTA;</w:t>
            </w:r>
          </w:p>
          <w:p w:rsidR="00A57097" w:rsidRPr="0006568D" w:rsidRDefault="00A57097" w:rsidP="00A57097">
            <w:pPr>
              <w:spacing w:after="0" w:line="240" w:lineRule="auto"/>
              <w:jc w:val="left"/>
              <w:rPr>
                <w:rFonts w:eastAsia="Malgun Gothic"/>
                <w:sz w:val="21"/>
                <w:szCs w:val="21"/>
              </w:rPr>
            </w:pPr>
            <w:r w:rsidRPr="0006568D">
              <w:rPr>
                <w:rFonts w:eastAsia="Malgun Gothic"/>
                <w:sz w:val="21"/>
                <w:szCs w:val="21"/>
              </w:rPr>
              <w:t>(Support) Municipalities, TPD</w:t>
            </w:r>
          </w:p>
        </w:tc>
      </w:tr>
      <w:tr w:rsidR="00A57097" w:rsidRPr="0006568D" w:rsidTr="00A57097">
        <w:trPr>
          <w:jc w:val="center"/>
        </w:trPr>
        <w:tc>
          <w:tcPr>
            <w:tcW w:w="1915" w:type="dxa"/>
            <w:vMerge/>
            <w:shd w:val="clear" w:color="auto" w:fill="auto"/>
          </w:tcPr>
          <w:p w:rsidR="00A57097" w:rsidRPr="0006568D" w:rsidRDefault="00A57097" w:rsidP="00A57097">
            <w:pPr>
              <w:spacing w:after="0" w:line="240" w:lineRule="auto"/>
              <w:jc w:val="left"/>
              <w:rPr>
                <w:rFonts w:eastAsia="Malgun Gothic"/>
                <w:bCs/>
                <w:i/>
                <w:sz w:val="21"/>
                <w:szCs w:val="21"/>
              </w:rPr>
            </w:pPr>
          </w:p>
        </w:tc>
        <w:tc>
          <w:tcPr>
            <w:tcW w:w="5310" w:type="dxa"/>
            <w:shd w:val="clear" w:color="auto" w:fill="auto"/>
          </w:tcPr>
          <w:p w:rsidR="00A57097" w:rsidRPr="0006568D" w:rsidRDefault="00A57097" w:rsidP="00A57097">
            <w:pPr>
              <w:numPr>
                <w:ilvl w:val="0"/>
                <w:numId w:val="30"/>
              </w:numPr>
              <w:tabs>
                <w:tab w:val="left" w:pos="515"/>
              </w:tabs>
              <w:spacing w:after="0" w:line="240" w:lineRule="auto"/>
              <w:ind w:left="-25" w:firstLine="0"/>
              <w:contextualSpacing/>
              <w:jc w:val="left"/>
              <w:rPr>
                <w:rFonts w:eastAsia="Malgun Gothic"/>
                <w:sz w:val="21"/>
                <w:szCs w:val="21"/>
              </w:rPr>
            </w:pPr>
            <w:r w:rsidRPr="0006568D">
              <w:rPr>
                <w:rFonts w:eastAsia="Malgun Gothic"/>
                <w:sz w:val="21"/>
                <w:szCs w:val="21"/>
              </w:rPr>
              <w:t>Develop urban transport strategic plans in cities other than Tbilisi</w:t>
            </w:r>
          </w:p>
        </w:tc>
        <w:tc>
          <w:tcPr>
            <w:tcW w:w="2351" w:type="dxa"/>
            <w:shd w:val="clear" w:color="auto" w:fill="auto"/>
          </w:tcPr>
          <w:p w:rsidR="00A57097" w:rsidRPr="0006568D" w:rsidRDefault="00A57097" w:rsidP="00A57097">
            <w:pPr>
              <w:spacing w:after="0" w:line="240" w:lineRule="auto"/>
              <w:jc w:val="left"/>
              <w:rPr>
                <w:rFonts w:eastAsia="Malgun Gothic"/>
                <w:sz w:val="21"/>
                <w:szCs w:val="21"/>
              </w:rPr>
            </w:pPr>
            <w:r w:rsidRPr="0006568D">
              <w:rPr>
                <w:rFonts w:eastAsia="Malgun Gothic"/>
                <w:sz w:val="21"/>
                <w:szCs w:val="21"/>
              </w:rPr>
              <w:t>(Lead) Municipalities;</w:t>
            </w:r>
          </w:p>
          <w:p w:rsidR="00A57097" w:rsidRPr="0006568D" w:rsidRDefault="00A57097" w:rsidP="00A57097">
            <w:pPr>
              <w:spacing w:after="0" w:line="240" w:lineRule="auto"/>
              <w:jc w:val="left"/>
              <w:rPr>
                <w:rFonts w:eastAsia="Malgun Gothic"/>
                <w:sz w:val="21"/>
                <w:szCs w:val="21"/>
              </w:rPr>
            </w:pPr>
            <w:r w:rsidRPr="0006568D">
              <w:rPr>
                <w:rFonts w:eastAsia="Malgun Gothic"/>
                <w:sz w:val="21"/>
                <w:szCs w:val="21"/>
              </w:rPr>
              <w:t>(Support) TPD</w:t>
            </w:r>
          </w:p>
        </w:tc>
      </w:tr>
      <w:tr w:rsidR="00A57097" w:rsidRPr="0006568D" w:rsidTr="00A57097">
        <w:trPr>
          <w:jc w:val="center"/>
        </w:trPr>
        <w:tc>
          <w:tcPr>
            <w:tcW w:w="1915" w:type="dxa"/>
            <w:vMerge/>
            <w:shd w:val="clear" w:color="auto" w:fill="auto"/>
          </w:tcPr>
          <w:p w:rsidR="00A57097" w:rsidRPr="0006568D" w:rsidRDefault="00A57097" w:rsidP="00A57097">
            <w:pPr>
              <w:spacing w:after="0" w:line="240" w:lineRule="auto"/>
              <w:jc w:val="left"/>
              <w:rPr>
                <w:rFonts w:eastAsia="Malgun Gothic"/>
                <w:bCs/>
                <w:i/>
                <w:sz w:val="21"/>
                <w:szCs w:val="21"/>
              </w:rPr>
            </w:pPr>
          </w:p>
        </w:tc>
        <w:tc>
          <w:tcPr>
            <w:tcW w:w="5310" w:type="dxa"/>
            <w:shd w:val="clear" w:color="auto" w:fill="auto"/>
          </w:tcPr>
          <w:p w:rsidR="00A57097" w:rsidRPr="0006568D" w:rsidRDefault="00A57097" w:rsidP="00A57097">
            <w:pPr>
              <w:numPr>
                <w:ilvl w:val="0"/>
                <w:numId w:val="30"/>
              </w:numPr>
              <w:tabs>
                <w:tab w:val="left" w:pos="515"/>
              </w:tabs>
              <w:spacing w:after="0" w:line="240" w:lineRule="auto"/>
              <w:ind w:left="-25" w:firstLine="0"/>
              <w:contextualSpacing/>
              <w:jc w:val="left"/>
              <w:rPr>
                <w:rFonts w:eastAsia="Malgun Gothic"/>
                <w:sz w:val="21"/>
                <w:szCs w:val="21"/>
              </w:rPr>
            </w:pPr>
            <w:r w:rsidRPr="0006568D">
              <w:rPr>
                <w:rFonts w:eastAsia="Malgun Gothic"/>
                <w:sz w:val="21"/>
                <w:szCs w:val="21"/>
              </w:rPr>
              <w:t>Carry out alternative analysis and/or feasibility studies for public transport modes in Georgian cities, including trams, ropeways, LRT, BRT</w:t>
            </w:r>
          </w:p>
        </w:tc>
        <w:tc>
          <w:tcPr>
            <w:tcW w:w="2351" w:type="dxa"/>
            <w:shd w:val="clear" w:color="auto" w:fill="auto"/>
          </w:tcPr>
          <w:p w:rsidR="00A57097" w:rsidRPr="0006568D" w:rsidRDefault="00A57097" w:rsidP="00A57097">
            <w:pPr>
              <w:spacing w:after="0" w:line="240" w:lineRule="auto"/>
              <w:jc w:val="left"/>
              <w:rPr>
                <w:rFonts w:eastAsia="Malgun Gothic"/>
                <w:sz w:val="21"/>
                <w:szCs w:val="21"/>
              </w:rPr>
            </w:pPr>
            <w:r w:rsidRPr="0006568D">
              <w:rPr>
                <w:rFonts w:eastAsia="Malgun Gothic"/>
                <w:sz w:val="21"/>
                <w:szCs w:val="21"/>
              </w:rPr>
              <w:t>(Lead) Municipalities;</w:t>
            </w:r>
          </w:p>
          <w:p w:rsidR="00A57097" w:rsidRPr="0006568D" w:rsidRDefault="00A57097" w:rsidP="00A57097">
            <w:pPr>
              <w:spacing w:after="0" w:line="240" w:lineRule="auto"/>
              <w:jc w:val="left"/>
              <w:rPr>
                <w:rFonts w:eastAsia="Malgun Gothic"/>
                <w:sz w:val="21"/>
                <w:szCs w:val="21"/>
              </w:rPr>
            </w:pPr>
            <w:r w:rsidRPr="0006568D">
              <w:rPr>
                <w:rFonts w:eastAsia="Malgun Gothic"/>
                <w:sz w:val="21"/>
                <w:szCs w:val="21"/>
              </w:rPr>
              <w:t>(Support) TPD</w:t>
            </w:r>
          </w:p>
        </w:tc>
      </w:tr>
    </w:tbl>
    <w:p w:rsidR="00A57097" w:rsidRPr="0006568D" w:rsidRDefault="00A57097" w:rsidP="0072342D">
      <w:pPr>
        <w:spacing w:before="60" w:after="300"/>
        <w:rPr>
          <w:rFonts w:eastAsia="Malgun Gothic"/>
        </w:rPr>
      </w:pPr>
      <w:r w:rsidRPr="0006568D">
        <w:rPr>
          <w:rFonts w:eastAsia="Malgun Gothic"/>
          <w:i/>
          <w:sz w:val="18"/>
          <w:szCs w:val="18"/>
        </w:rPr>
        <w:lastRenderedPageBreak/>
        <w:t>Note: MoESD (Ministry of Economy and Sustainable Development), TPD (Transport Policy Department within the MoESD), MoEnv (Ministry of Environment), MoE (Ministry of Energy), MoRDI (Ministry of Regional Development and Infrastructure), LTA (Land Transport Agency) NTA (National Tourism Agency)</w:t>
      </w:r>
      <w:r>
        <w:rPr>
          <w:rFonts w:eastAsia="Malgun Gothic"/>
          <w:i/>
          <w:sz w:val="18"/>
          <w:szCs w:val="18"/>
        </w:rPr>
        <w:t>, Ro-Mo (rolling motorway), Ro-Ro (rolled-on and rolled-off)</w:t>
      </w:r>
    </w:p>
    <w:p w:rsidR="008D3279" w:rsidRDefault="008D3279" w:rsidP="008D3279">
      <w:pPr>
        <w:rPr>
          <w:rFonts w:eastAsia="Malgun Gothic"/>
        </w:rPr>
      </w:pPr>
      <w:r>
        <w:rPr>
          <w:rFonts w:eastAsia="Malgun Gothic"/>
        </w:rPr>
        <w:t>In the medium-term, enforcement of various regulatory measures needs to be strengthened, and based on the knowledge gathered through preparatory studies, market reforms need to be implemented.  Investment projects for infrastructure development would also start during this period.</w:t>
      </w:r>
    </w:p>
    <w:p w:rsidR="00A57097" w:rsidRPr="0006568D" w:rsidRDefault="00A57097" w:rsidP="00A57097">
      <w:pPr>
        <w:spacing w:before="240"/>
        <w:jc w:val="center"/>
        <w:rPr>
          <w:rFonts w:eastAsia="Malgun Gothic"/>
          <w:b/>
          <w:i/>
        </w:rPr>
      </w:pPr>
      <w:r w:rsidRPr="0006568D">
        <w:rPr>
          <w:rFonts w:eastAsia="Malgun Gothic"/>
          <w:b/>
          <w:i/>
        </w:rPr>
        <w:t>Medium-Term (2015-2020): Enforcement, Market Reforms, and Infrastructure</w:t>
      </w:r>
    </w:p>
    <w:tbl>
      <w:tblPr>
        <w:tblW w:w="0" w:type="auto"/>
        <w:jc w:val="center"/>
        <w:tblBorders>
          <w:top w:val="single" w:sz="8" w:space="0" w:color="76923C"/>
          <w:left w:val="single" w:sz="8" w:space="0" w:color="76923C"/>
          <w:bottom w:val="single" w:sz="8" w:space="0" w:color="76923C"/>
          <w:right w:val="single" w:sz="8" w:space="0" w:color="76923C"/>
          <w:insideH w:val="single" w:sz="8" w:space="0" w:color="76923C"/>
        </w:tblBorders>
        <w:tblCellMar>
          <w:top w:w="29" w:type="dxa"/>
          <w:left w:w="115" w:type="dxa"/>
          <w:bottom w:w="29" w:type="dxa"/>
          <w:right w:w="115" w:type="dxa"/>
        </w:tblCellMar>
        <w:tblLook w:val="04A0"/>
      </w:tblPr>
      <w:tblGrid>
        <w:gridCol w:w="1825"/>
        <w:gridCol w:w="5310"/>
        <w:gridCol w:w="2441"/>
      </w:tblGrid>
      <w:tr w:rsidR="00A57097" w:rsidRPr="0006568D" w:rsidTr="00A57097">
        <w:trPr>
          <w:jc w:val="center"/>
        </w:trPr>
        <w:tc>
          <w:tcPr>
            <w:tcW w:w="1825" w:type="dxa"/>
            <w:shd w:val="clear" w:color="auto" w:fill="76923C"/>
          </w:tcPr>
          <w:p w:rsidR="00A57097" w:rsidRPr="0006568D" w:rsidRDefault="00A57097" w:rsidP="00A57097">
            <w:pPr>
              <w:spacing w:after="0" w:line="240" w:lineRule="auto"/>
              <w:jc w:val="left"/>
              <w:rPr>
                <w:rFonts w:eastAsia="Malgun Gothic"/>
                <w:bCs/>
                <w:color w:val="FFFFFF"/>
                <w:sz w:val="21"/>
                <w:szCs w:val="21"/>
              </w:rPr>
            </w:pPr>
            <w:r w:rsidRPr="0006568D">
              <w:rPr>
                <w:rFonts w:eastAsia="Malgun Gothic"/>
                <w:bCs/>
                <w:color w:val="FFFFFF"/>
                <w:sz w:val="21"/>
                <w:szCs w:val="21"/>
              </w:rPr>
              <w:t>Objectives</w:t>
            </w:r>
          </w:p>
        </w:tc>
        <w:tc>
          <w:tcPr>
            <w:tcW w:w="5310" w:type="dxa"/>
            <w:shd w:val="clear" w:color="auto" w:fill="76923C"/>
          </w:tcPr>
          <w:p w:rsidR="00A57097" w:rsidRPr="0006568D" w:rsidRDefault="00A57097" w:rsidP="00A57097">
            <w:pPr>
              <w:spacing w:after="0" w:line="240" w:lineRule="auto"/>
              <w:jc w:val="left"/>
              <w:rPr>
                <w:rFonts w:eastAsia="Malgun Gothic"/>
                <w:bCs/>
                <w:color w:val="FFFFFF"/>
                <w:sz w:val="21"/>
                <w:szCs w:val="21"/>
              </w:rPr>
            </w:pPr>
            <w:r w:rsidRPr="0006568D">
              <w:rPr>
                <w:rFonts w:eastAsia="Malgun Gothic"/>
                <w:bCs/>
                <w:color w:val="FFFFFF"/>
                <w:sz w:val="21"/>
                <w:szCs w:val="21"/>
              </w:rPr>
              <w:t>Actions</w:t>
            </w:r>
          </w:p>
        </w:tc>
        <w:tc>
          <w:tcPr>
            <w:tcW w:w="2441" w:type="dxa"/>
            <w:shd w:val="clear" w:color="auto" w:fill="76923C"/>
          </w:tcPr>
          <w:p w:rsidR="00A57097" w:rsidRPr="0006568D" w:rsidRDefault="00A57097" w:rsidP="00A57097">
            <w:pPr>
              <w:spacing w:after="0" w:line="240" w:lineRule="auto"/>
              <w:jc w:val="left"/>
              <w:rPr>
                <w:rFonts w:eastAsia="Malgun Gothic"/>
                <w:bCs/>
                <w:color w:val="FFFFFF"/>
                <w:sz w:val="21"/>
                <w:szCs w:val="21"/>
              </w:rPr>
            </w:pPr>
            <w:r w:rsidRPr="0006568D">
              <w:rPr>
                <w:rFonts w:eastAsia="Malgun Gothic"/>
                <w:bCs/>
                <w:color w:val="FFFFFF"/>
                <w:sz w:val="21"/>
                <w:szCs w:val="21"/>
              </w:rPr>
              <w:t>Responsible Entities</w:t>
            </w:r>
          </w:p>
        </w:tc>
      </w:tr>
      <w:tr w:rsidR="00A57097" w:rsidRPr="0006568D" w:rsidTr="00A57097">
        <w:trPr>
          <w:jc w:val="center"/>
        </w:trPr>
        <w:tc>
          <w:tcPr>
            <w:tcW w:w="1825" w:type="dxa"/>
            <w:vMerge w:val="restart"/>
          </w:tcPr>
          <w:p w:rsidR="00A57097" w:rsidRPr="0006568D" w:rsidRDefault="00A57097" w:rsidP="00A57097">
            <w:pPr>
              <w:spacing w:after="0" w:line="240" w:lineRule="auto"/>
              <w:jc w:val="left"/>
              <w:rPr>
                <w:rFonts w:eastAsia="Malgun Gothic"/>
                <w:bCs/>
                <w:sz w:val="21"/>
                <w:szCs w:val="21"/>
              </w:rPr>
            </w:pPr>
            <w:r w:rsidRPr="0006568D">
              <w:rPr>
                <w:rFonts w:eastAsia="Malgun Gothic"/>
                <w:bCs/>
                <w:i/>
                <w:sz w:val="21"/>
                <w:szCs w:val="21"/>
              </w:rPr>
              <w:t xml:space="preserve">Implement the </w:t>
            </w:r>
            <w:r>
              <w:rPr>
                <w:rFonts w:eastAsia="Malgun Gothic"/>
                <w:bCs/>
                <w:i/>
                <w:sz w:val="21"/>
                <w:szCs w:val="21"/>
              </w:rPr>
              <w:t xml:space="preserve">improved </w:t>
            </w:r>
            <w:r w:rsidRPr="0006568D">
              <w:rPr>
                <w:rFonts w:eastAsia="Malgun Gothic"/>
                <w:bCs/>
                <w:i/>
                <w:sz w:val="21"/>
                <w:szCs w:val="21"/>
              </w:rPr>
              <w:t>regulatory framework</w:t>
            </w:r>
          </w:p>
        </w:tc>
        <w:tc>
          <w:tcPr>
            <w:tcW w:w="5310" w:type="dxa"/>
          </w:tcPr>
          <w:p w:rsidR="00A57097" w:rsidRPr="0006568D" w:rsidRDefault="00A57097" w:rsidP="00A57097">
            <w:pPr>
              <w:numPr>
                <w:ilvl w:val="0"/>
                <w:numId w:val="31"/>
              </w:numPr>
              <w:tabs>
                <w:tab w:val="left" w:pos="425"/>
              </w:tabs>
              <w:spacing w:after="0" w:line="240" w:lineRule="auto"/>
              <w:ind w:left="-32" w:firstLine="0"/>
              <w:contextualSpacing/>
              <w:jc w:val="left"/>
              <w:rPr>
                <w:rFonts w:eastAsia="Malgun Gothic"/>
                <w:sz w:val="21"/>
                <w:szCs w:val="21"/>
              </w:rPr>
            </w:pPr>
            <w:r w:rsidRPr="0006568D">
              <w:rPr>
                <w:rFonts w:eastAsia="Malgun Gothic"/>
                <w:sz w:val="21"/>
                <w:szCs w:val="21"/>
              </w:rPr>
              <w:t>Based on updated regulatory framework developed under (1.3), enforce fuel quality standards</w:t>
            </w:r>
          </w:p>
        </w:tc>
        <w:tc>
          <w:tcPr>
            <w:tcW w:w="2441" w:type="dxa"/>
          </w:tcPr>
          <w:p w:rsidR="00A57097" w:rsidRPr="0006568D" w:rsidRDefault="00A57097" w:rsidP="00A57097">
            <w:pPr>
              <w:spacing w:after="0" w:line="240" w:lineRule="auto"/>
              <w:jc w:val="left"/>
              <w:rPr>
                <w:rFonts w:eastAsia="Malgun Gothic"/>
                <w:sz w:val="21"/>
                <w:szCs w:val="21"/>
              </w:rPr>
            </w:pPr>
            <w:r w:rsidRPr="0006568D">
              <w:rPr>
                <w:rFonts w:eastAsia="Malgun Gothic"/>
                <w:sz w:val="21"/>
                <w:szCs w:val="21"/>
              </w:rPr>
              <w:t>(Lead) LTA or a new designated agency;</w:t>
            </w:r>
          </w:p>
          <w:p w:rsidR="00A57097" w:rsidRPr="0006568D" w:rsidRDefault="00A57097" w:rsidP="00A57097">
            <w:pPr>
              <w:spacing w:after="0" w:line="240" w:lineRule="auto"/>
              <w:jc w:val="left"/>
              <w:rPr>
                <w:rFonts w:eastAsia="Malgun Gothic"/>
                <w:sz w:val="21"/>
                <w:szCs w:val="21"/>
              </w:rPr>
            </w:pPr>
            <w:r w:rsidRPr="0006568D">
              <w:rPr>
                <w:rFonts w:eastAsia="Malgun Gothic"/>
                <w:sz w:val="21"/>
                <w:szCs w:val="21"/>
              </w:rPr>
              <w:t>(Support) MoEnv, MoE</w:t>
            </w:r>
          </w:p>
        </w:tc>
      </w:tr>
      <w:tr w:rsidR="00A57097" w:rsidRPr="0006568D" w:rsidTr="00A57097">
        <w:trPr>
          <w:jc w:val="center"/>
        </w:trPr>
        <w:tc>
          <w:tcPr>
            <w:tcW w:w="1825" w:type="dxa"/>
            <w:vMerge/>
          </w:tcPr>
          <w:p w:rsidR="00A57097" w:rsidRPr="0006568D" w:rsidRDefault="00A57097" w:rsidP="00A57097">
            <w:pPr>
              <w:spacing w:after="0" w:line="240" w:lineRule="auto"/>
              <w:jc w:val="left"/>
              <w:rPr>
                <w:rFonts w:eastAsia="Malgun Gothic"/>
                <w:bCs/>
                <w:sz w:val="21"/>
                <w:szCs w:val="21"/>
              </w:rPr>
            </w:pPr>
          </w:p>
        </w:tc>
        <w:tc>
          <w:tcPr>
            <w:tcW w:w="5310" w:type="dxa"/>
          </w:tcPr>
          <w:p w:rsidR="00A57097" w:rsidRPr="0006568D" w:rsidRDefault="00A57097" w:rsidP="00A57097">
            <w:pPr>
              <w:numPr>
                <w:ilvl w:val="0"/>
                <w:numId w:val="31"/>
              </w:numPr>
              <w:tabs>
                <w:tab w:val="left" w:pos="425"/>
              </w:tabs>
              <w:spacing w:after="0" w:line="240" w:lineRule="auto"/>
              <w:ind w:left="-25" w:firstLine="0"/>
              <w:contextualSpacing/>
              <w:jc w:val="left"/>
              <w:rPr>
                <w:rFonts w:eastAsia="Malgun Gothic"/>
                <w:sz w:val="21"/>
                <w:szCs w:val="21"/>
              </w:rPr>
            </w:pPr>
            <w:r w:rsidRPr="0006568D">
              <w:rPr>
                <w:rFonts w:eastAsia="Malgun Gothic"/>
                <w:sz w:val="21"/>
                <w:szCs w:val="21"/>
              </w:rPr>
              <w:t>Expand vehicle inspections to all commercial vehicles, including those providing domestic services</w:t>
            </w:r>
          </w:p>
        </w:tc>
        <w:tc>
          <w:tcPr>
            <w:tcW w:w="2441" w:type="dxa"/>
          </w:tcPr>
          <w:p w:rsidR="00A57097" w:rsidRPr="0006568D" w:rsidRDefault="00A57097" w:rsidP="00A57097">
            <w:pPr>
              <w:spacing w:after="0" w:line="240" w:lineRule="auto"/>
              <w:jc w:val="left"/>
              <w:rPr>
                <w:rFonts w:eastAsia="Malgun Gothic"/>
                <w:sz w:val="21"/>
                <w:szCs w:val="21"/>
              </w:rPr>
            </w:pPr>
            <w:r w:rsidRPr="0006568D">
              <w:rPr>
                <w:rFonts w:eastAsia="Malgun Gothic"/>
                <w:sz w:val="21"/>
                <w:szCs w:val="21"/>
              </w:rPr>
              <w:t>(Lead) LTA, Police;</w:t>
            </w:r>
          </w:p>
          <w:p w:rsidR="00A57097" w:rsidRPr="0006568D" w:rsidRDefault="00A57097" w:rsidP="00A57097">
            <w:pPr>
              <w:spacing w:after="0" w:line="240" w:lineRule="auto"/>
              <w:jc w:val="left"/>
              <w:rPr>
                <w:rFonts w:eastAsia="Malgun Gothic"/>
                <w:sz w:val="21"/>
                <w:szCs w:val="21"/>
              </w:rPr>
            </w:pPr>
            <w:r w:rsidRPr="0006568D">
              <w:rPr>
                <w:rFonts w:eastAsia="Malgun Gothic"/>
                <w:sz w:val="21"/>
                <w:szCs w:val="21"/>
              </w:rPr>
              <w:t>(Support) MoEnv</w:t>
            </w:r>
          </w:p>
        </w:tc>
      </w:tr>
      <w:tr w:rsidR="00A57097" w:rsidRPr="0006568D" w:rsidTr="00A57097">
        <w:trPr>
          <w:trHeight w:val="581"/>
          <w:jc w:val="center"/>
        </w:trPr>
        <w:tc>
          <w:tcPr>
            <w:tcW w:w="1825" w:type="dxa"/>
            <w:vMerge/>
          </w:tcPr>
          <w:p w:rsidR="00A57097" w:rsidRPr="0006568D" w:rsidRDefault="00A57097" w:rsidP="00A57097">
            <w:pPr>
              <w:spacing w:after="0" w:line="240" w:lineRule="auto"/>
              <w:jc w:val="left"/>
              <w:rPr>
                <w:rFonts w:eastAsia="Malgun Gothic"/>
                <w:bCs/>
                <w:sz w:val="21"/>
                <w:szCs w:val="21"/>
              </w:rPr>
            </w:pPr>
          </w:p>
        </w:tc>
        <w:tc>
          <w:tcPr>
            <w:tcW w:w="5310" w:type="dxa"/>
          </w:tcPr>
          <w:p w:rsidR="00A57097" w:rsidRPr="0006568D" w:rsidRDefault="00A57097" w:rsidP="00A57097">
            <w:pPr>
              <w:numPr>
                <w:ilvl w:val="0"/>
                <w:numId w:val="31"/>
              </w:numPr>
              <w:tabs>
                <w:tab w:val="left" w:pos="425"/>
              </w:tabs>
              <w:spacing w:after="0" w:line="240" w:lineRule="auto"/>
              <w:ind w:left="-25" w:firstLine="0"/>
              <w:contextualSpacing/>
              <w:jc w:val="left"/>
              <w:rPr>
                <w:rFonts w:eastAsia="Malgun Gothic"/>
                <w:sz w:val="21"/>
                <w:szCs w:val="21"/>
              </w:rPr>
            </w:pPr>
            <w:r w:rsidRPr="0006568D">
              <w:rPr>
                <w:rFonts w:eastAsia="Malgun Gothic"/>
                <w:sz w:val="21"/>
                <w:szCs w:val="21"/>
              </w:rPr>
              <w:t>Institute administrative procedures for periodic vehicle registration combined with compulsory safety and emissions inspection for all privately owned vehicles</w:t>
            </w:r>
          </w:p>
        </w:tc>
        <w:tc>
          <w:tcPr>
            <w:tcW w:w="2441" w:type="dxa"/>
          </w:tcPr>
          <w:p w:rsidR="00A57097" w:rsidRPr="0006568D" w:rsidRDefault="00A57097" w:rsidP="00A57097">
            <w:pPr>
              <w:spacing w:after="0" w:line="240" w:lineRule="auto"/>
              <w:jc w:val="left"/>
              <w:rPr>
                <w:rFonts w:eastAsia="Malgun Gothic"/>
                <w:sz w:val="21"/>
                <w:szCs w:val="21"/>
              </w:rPr>
            </w:pPr>
            <w:r w:rsidRPr="0006568D">
              <w:rPr>
                <w:rFonts w:eastAsia="Malgun Gothic"/>
                <w:sz w:val="21"/>
                <w:szCs w:val="21"/>
              </w:rPr>
              <w:t>(Lead) Police, LTA;</w:t>
            </w:r>
          </w:p>
          <w:p w:rsidR="00A57097" w:rsidRPr="0006568D" w:rsidRDefault="00A57097" w:rsidP="00A57097">
            <w:pPr>
              <w:spacing w:after="0" w:line="240" w:lineRule="auto"/>
              <w:jc w:val="left"/>
              <w:rPr>
                <w:rFonts w:eastAsia="Malgun Gothic"/>
                <w:sz w:val="21"/>
                <w:szCs w:val="21"/>
              </w:rPr>
            </w:pPr>
            <w:r w:rsidRPr="0006568D">
              <w:rPr>
                <w:rFonts w:eastAsia="Malgun Gothic"/>
                <w:sz w:val="21"/>
                <w:szCs w:val="21"/>
              </w:rPr>
              <w:t>(Support) TPD, MoEnv</w:t>
            </w:r>
          </w:p>
        </w:tc>
      </w:tr>
      <w:tr w:rsidR="00A57097" w:rsidRPr="0006568D" w:rsidTr="00A57097">
        <w:trPr>
          <w:trHeight w:val="241"/>
          <w:jc w:val="center"/>
        </w:trPr>
        <w:tc>
          <w:tcPr>
            <w:tcW w:w="1825" w:type="dxa"/>
            <w:vMerge/>
          </w:tcPr>
          <w:p w:rsidR="00A57097" w:rsidRPr="0006568D" w:rsidRDefault="00A57097" w:rsidP="00A57097">
            <w:pPr>
              <w:spacing w:after="0" w:line="240" w:lineRule="auto"/>
              <w:jc w:val="left"/>
              <w:rPr>
                <w:rFonts w:eastAsia="Malgun Gothic"/>
                <w:bCs/>
                <w:sz w:val="21"/>
                <w:szCs w:val="21"/>
              </w:rPr>
            </w:pPr>
          </w:p>
        </w:tc>
        <w:tc>
          <w:tcPr>
            <w:tcW w:w="5310" w:type="dxa"/>
          </w:tcPr>
          <w:p w:rsidR="00A57097" w:rsidRPr="0006568D" w:rsidRDefault="00A57097" w:rsidP="00A57097">
            <w:pPr>
              <w:numPr>
                <w:ilvl w:val="0"/>
                <w:numId w:val="31"/>
              </w:numPr>
              <w:tabs>
                <w:tab w:val="left" w:pos="425"/>
              </w:tabs>
              <w:spacing w:after="0" w:line="240" w:lineRule="auto"/>
              <w:ind w:left="-25" w:firstLine="0"/>
              <w:contextualSpacing/>
              <w:jc w:val="left"/>
              <w:rPr>
                <w:rFonts w:eastAsia="Malgun Gothic"/>
                <w:sz w:val="21"/>
                <w:szCs w:val="21"/>
              </w:rPr>
            </w:pPr>
            <w:r w:rsidRPr="0006568D">
              <w:rPr>
                <w:rFonts w:eastAsia="Malgun Gothic"/>
                <w:sz w:val="21"/>
                <w:szCs w:val="21"/>
              </w:rPr>
              <w:t>Establish test facility for technical inspection and start pilot implementation in selected cities and regions</w:t>
            </w:r>
          </w:p>
        </w:tc>
        <w:tc>
          <w:tcPr>
            <w:tcW w:w="2441" w:type="dxa"/>
          </w:tcPr>
          <w:p w:rsidR="00A57097" w:rsidRPr="0006568D" w:rsidRDefault="00A57097" w:rsidP="00A57097">
            <w:pPr>
              <w:spacing w:after="0" w:line="240" w:lineRule="auto"/>
              <w:jc w:val="left"/>
              <w:rPr>
                <w:rFonts w:eastAsia="Malgun Gothic"/>
                <w:sz w:val="21"/>
                <w:szCs w:val="21"/>
              </w:rPr>
            </w:pPr>
            <w:r w:rsidRPr="0006568D">
              <w:rPr>
                <w:rFonts w:eastAsia="Malgun Gothic"/>
                <w:sz w:val="21"/>
                <w:szCs w:val="21"/>
              </w:rPr>
              <w:t>(Lead) LTA, Police;</w:t>
            </w:r>
          </w:p>
          <w:p w:rsidR="00A57097" w:rsidRPr="0006568D" w:rsidRDefault="00A57097" w:rsidP="00A57097">
            <w:pPr>
              <w:spacing w:after="0" w:line="240" w:lineRule="auto"/>
              <w:jc w:val="left"/>
              <w:rPr>
                <w:rFonts w:eastAsia="Malgun Gothic"/>
                <w:sz w:val="21"/>
                <w:szCs w:val="21"/>
              </w:rPr>
            </w:pPr>
            <w:r w:rsidRPr="0006568D">
              <w:rPr>
                <w:rFonts w:eastAsia="Malgun Gothic"/>
                <w:sz w:val="21"/>
                <w:szCs w:val="21"/>
              </w:rPr>
              <w:t>Support municipalities</w:t>
            </w:r>
          </w:p>
        </w:tc>
      </w:tr>
      <w:tr w:rsidR="00A57097" w:rsidRPr="0006568D" w:rsidTr="00A57097">
        <w:trPr>
          <w:jc w:val="center"/>
        </w:trPr>
        <w:tc>
          <w:tcPr>
            <w:tcW w:w="1825" w:type="dxa"/>
            <w:vMerge w:val="restart"/>
          </w:tcPr>
          <w:p w:rsidR="00A57097" w:rsidRPr="0006568D" w:rsidRDefault="00A57097" w:rsidP="00A57097">
            <w:pPr>
              <w:spacing w:after="0" w:line="240" w:lineRule="auto"/>
              <w:jc w:val="left"/>
              <w:rPr>
                <w:rFonts w:eastAsia="Malgun Gothic"/>
                <w:bCs/>
                <w:sz w:val="21"/>
                <w:szCs w:val="21"/>
              </w:rPr>
            </w:pPr>
            <w:r w:rsidRPr="0006568D">
              <w:rPr>
                <w:rFonts w:eastAsia="Malgun Gothic"/>
                <w:bCs/>
                <w:i/>
                <w:sz w:val="21"/>
                <w:szCs w:val="21"/>
              </w:rPr>
              <w:t>Promot</w:t>
            </w:r>
            <w:r>
              <w:rPr>
                <w:rFonts w:eastAsia="Malgun Gothic"/>
                <w:bCs/>
                <w:i/>
                <w:sz w:val="21"/>
                <w:szCs w:val="21"/>
              </w:rPr>
              <w:t>e</w:t>
            </w:r>
            <w:r w:rsidRPr="0006568D">
              <w:rPr>
                <w:rFonts w:eastAsia="Malgun Gothic"/>
                <w:bCs/>
                <w:i/>
                <w:sz w:val="21"/>
                <w:szCs w:val="21"/>
              </w:rPr>
              <w:t xml:space="preserve"> market competition through key sub-sector reforms</w:t>
            </w:r>
          </w:p>
        </w:tc>
        <w:tc>
          <w:tcPr>
            <w:tcW w:w="5310" w:type="dxa"/>
          </w:tcPr>
          <w:p w:rsidR="00A57097" w:rsidRPr="0006568D" w:rsidRDefault="00A57097" w:rsidP="00A57097">
            <w:pPr>
              <w:numPr>
                <w:ilvl w:val="0"/>
                <w:numId w:val="31"/>
              </w:numPr>
              <w:tabs>
                <w:tab w:val="left" w:pos="425"/>
              </w:tabs>
              <w:spacing w:after="0" w:line="240" w:lineRule="auto"/>
              <w:ind w:left="-25" w:firstLine="0"/>
              <w:contextualSpacing/>
              <w:jc w:val="left"/>
              <w:rPr>
                <w:rFonts w:eastAsia="Malgun Gothic"/>
                <w:sz w:val="21"/>
                <w:szCs w:val="21"/>
              </w:rPr>
            </w:pPr>
            <w:r w:rsidRPr="0006568D">
              <w:rPr>
                <w:rFonts w:eastAsia="Malgun Gothic"/>
                <w:sz w:val="21"/>
                <w:szCs w:val="21"/>
              </w:rPr>
              <w:t>Implement intercity passenger transport strategy developed under (1.8)</w:t>
            </w:r>
          </w:p>
        </w:tc>
        <w:tc>
          <w:tcPr>
            <w:tcW w:w="2441" w:type="dxa"/>
          </w:tcPr>
          <w:p w:rsidR="00A57097" w:rsidRPr="0006568D" w:rsidRDefault="00A57097" w:rsidP="00A57097">
            <w:pPr>
              <w:spacing w:after="0" w:line="240" w:lineRule="auto"/>
              <w:jc w:val="left"/>
              <w:rPr>
                <w:rFonts w:eastAsia="Malgun Gothic"/>
                <w:sz w:val="21"/>
                <w:szCs w:val="21"/>
              </w:rPr>
            </w:pPr>
            <w:r w:rsidRPr="0006568D">
              <w:rPr>
                <w:rFonts w:eastAsia="Malgun Gothic"/>
                <w:sz w:val="21"/>
                <w:szCs w:val="21"/>
              </w:rPr>
              <w:t>(Lead) NTA, TPD</w:t>
            </w:r>
          </w:p>
          <w:p w:rsidR="00A57097" w:rsidRPr="0006568D" w:rsidRDefault="00A57097" w:rsidP="00A57097">
            <w:pPr>
              <w:spacing w:after="0" w:line="240" w:lineRule="auto"/>
              <w:jc w:val="left"/>
              <w:rPr>
                <w:rFonts w:eastAsia="Malgun Gothic"/>
                <w:sz w:val="21"/>
                <w:szCs w:val="21"/>
              </w:rPr>
            </w:pPr>
            <w:r w:rsidRPr="0006568D">
              <w:rPr>
                <w:rFonts w:eastAsia="Malgun Gothic"/>
                <w:sz w:val="21"/>
                <w:szCs w:val="21"/>
              </w:rPr>
              <w:t>(Support) MoF</w:t>
            </w:r>
          </w:p>
        </w:tc>
      </w:tr>
      <w:tr w:rsidR="00A57097" w:rsidRPr="0006568D" w:rsidTr="00A57097">
        <w:trPr>
          <w:jc w:val="center"/>
        </w:trPr>
        <w:tc>
          <w:tcPr>
            <w:tcW w:w="1825" w:type="dxa"/>
            <w:vMerge/>
          </w:tcPr>
          <w:p w:rsidR="00A57097" w:rsidRPr="0006568D" w:rsidRDefault="00A57097" w:rsidP="00A57097">
            <w:pPr>
              <w:spacing w:after="0" w:line="240" w:lineRule="auto"/>
              <w:jc w:val="left"/>
              <w:rPr>
                <w:rFonts w:eastAsia="Malgun Gothic"/>
                <w:bCs/>
                <w:i/>
                <w:sz w:val="21"/>
                <w:szCs w:val="21"/>
              </w:rPr>
            </w:pPr>
          </w:p>
        </w:tc>
        <w:tc>
          <w:tcPr>
            <w:tcW w:w="5310" w:type="dxa"/>
          </w:tcPr>
          <w:p w:rsidR="00A57097" w:rsidRPr="0006568D" w:rsidRDefault="00A57097" w:rsidP="00A57097">
            <w:pPr>
              <w:numPr>
                <w:ilvl w:val="0"/>
                <w:numId w:val="31"/>
              </w:numPr>
              <w:tabs>
                <w:tab w:val="left" w:pos="425"/>
              </w:tabs>
              <w:spacing w:after="0" w:line="240" w:lineRule="auto"/>
              <w:ind w:left="-25" w:firstLine="0"/>
              <w:contextualSpacing/>
              <w:jc w:val="left"/>
              <w:rPr>
                <w:rFonts w:eastAsia="Malgun Gothic"/>
                <w:sz w:val="21"/>
                <w:szCs w:val="21"/>
              </w:rPr>
            </w:pPr>
            <w:r w:rsidRPr="0006568D">
              <w:rPr>
                <w:rFonts w:eastAsia="Malgun Gothic"/>
                <w:sz w:val="21"/>
                <w:szCs w:val="21"/>
              </w:rPr>
              <w:t>Implement in-city minibus market reform strategy developed under (1.9)</w:t>
            </w:r>
          </w:p>
        </w:tc>
        <w:tc>
          <w:tcPr>
            <w:tcW w:w="2441" w:type="dxa"/>
          </w:tcPr>
          <w:p w:rsidR="00A57097" w:rsidRPr="0006568D" w:rsidRDefault="00A57097" w:rsidP="00A57097">
            <w:pPr>
              <w:spacing w:after="0" w:line="240" w:lineRule="auto"/>
              <w:jc w:val="left"/>
              <w:rPr>
                <w:rFonts w:eastAsia="Malgun Gothic"/>
                <w:sz w:val="21"/>
                <w:szCs w:val="21"/>
              </w:rPr>
            </w:pPr>
            <w:r w:rsidRPr="0006568D">
              <w:rPr>
                <w:rFonts w:eastAsia="Malgun Gothic"/>
                <w:sz w:val="21"/>
                <w:szCs w:val="21"/>
              </w:rPr>
              <w:t>(Lead) Municipalities</w:t>
            </w:r>
          </w:p>
          <w:p w:rsidR="00A57097" w:rsidRPr="0006568D" w:rsidRDefault="00A57097" w:rsidP="00A57097">
            <w:pPr>
              <w:spacing w:after="0" w:line="240" w:lineRule="auto"/>
              <w:jc w:val="left"/>
              <w:rPr>
                <w:rFonts w:eastAsia="Malgun Gothic"/>
                <w:sz w:val="21"/>
                <w:szCs w:val="21"/>
              </w:rPr>
            </w:pPr>
            <w:r w:rsidRPr="0006568D">
              <w:rPr>
                <w:rFonts w:eastAsia="Malgun Gothic"/>
                <w:sz w:val="21"/>
                <w:szCs w:val="21"/>
              </w:rPr>
              <w:t>(Support) TPD</w:t>
            </w:r>
          </w:p>
        </w:tc>
      </w:tr>
      <w:tr w:rsidR="00A57097" w:rsidRPr="0006568D" w:rsidTr="00A57097">
        <w:trPr>
          <w:jc w:val="center"/>
        </w:trPr>
        <w:tc>
          <w:tcPr>
            <w:tcW w:w="1825" w:type="dxa"/>
            <w:vMerge/>
          </w:tcPr>
          <w:p w:rsidR="00A57097" w:rsidRPr="0006568D" w:rsidRDefault="00A57097" w:rsidP="00A57097">
            <w:pPr>
              <w:spacing w:after="0" w:line="240" w:lineRule="auto"/>
              <w:jc w:val="left"/>
              <w:rPr>
                <w:rFonts w:eastAsia="Malgun Gothic"/>
                <w:bCs/>
                <w:i/>
                <w:sz w:val="21"/>
                <w:szCs w:val="21"/>
              </w:rPr>
            </w:pPr>
          </w:p>
        </w:tc>
        <w:tc>
          <w:tcPr>
            <w:tcW w:w="5310" w:type="dxa"/>
          </w:tcPr>
          <w:p w:rsidR="00A57097" w:rsidRPr="0006568D" w:rsidRDefault="00A57097" w:rsidP="00A57097">
            <w:pPr>
              <w:numPr>
                <w:ilvl w:val="0"/>
                <w:numId w:val="31"/>
              </w:numPr>
              <w:tabs>
                <w:tab w:val="left" w:pos="425"/>
              </w:tabs>
              <w:spacing w:after="0" w:line="240" w:lineRule="auto"/>
              <w:ind w:left="-25" w:firstLine="0"/>
              <w:contextualSpacing/>
              <w:jc w:val="left"/>
              <w:rPr>
                <w:rFonts w:eastAsia="Malgun Gothic"/>
                <w:sz w:val="21"/>
                <w:szCs w:val="21"/>
              </w:rPr>
            </w:pPr>
            <w:r w:rsidRPr="0006568D">
              <w:rPr>
                <w:rFonts w:eastAsia="Malgun Gothic"/>
                <w:sz w:val="21"/>
                <w:szCs w:val="21"/>
              </w:rPr>
              <w:t>Based on the findings from (1.10), implement reforms of the urban taxi market, starting in a pilot city</w:t>
            </w:r>
          </w:p>
        </w:tc>
        <w:tc>
          <w:tcPr>
            <w:tcW w:w="2441" w:type="dxa"/>
          </w:tcPr>
          <w:p w:rsidR="00A57097" w:rsidRPr="0006568D" w:rsidRDefault="00A57097" w:rsidP="00A57097">
            <w:pPr>
              <w:spacing w:after="0" w:line="240" w:lineRule="auto"/>
              <w:jc w:val="left"/>
              <w:rPr>
                <w:rFonts w:eastAsia="Malgun Gothic"/>
                <w:sz w:val="21"/>
                <w:szCs w:val="21"/>
              </w:rPr>
            </w:pPr>
            <w:r w:rsidRPr="0006568D">
              <w:rPr>
                <w:rFonts w:eastAsia="Malgun Gothic"/>
                <w:sz w:val="21"/>
                <w:szCs w:val="21"/>
              </w:rPr>
              <w:t>(Lead) Municipalities</w:t>
            </w:r>
          </w:p>
          <w:p w:rsidR="00A57097" w:rsidRPr="0006568D" w:rsidRDefault="00A57097" w:rsidP="00A57097">
            <w:pPr>
              <w:spacing w:after="0" w:line="240" w:lineRule="auto"/>
              <w:jc w:val="left"/>
              <w:rPr>
                <w:rFonts w:eastAsia="Malgun Gothic"/>
                <w:sz w:val="21"/>
                <w:szCs w:val="21"/>
              </w:rPr>
            </w:pPr>
            <w:r w:rsidRPr="0006568D">
              <w:rPr>
                <w:rFonts w:eastAsia="Malgun Gothic"/>
                <w:sz w:val="21"/>
                <w:szCs w:val="21"/>
              </w:rPr>
              <w:t>(Support) LTA, TPD</w:t>
            </w:r>
          </w:p>
        </w:tc>
      </w:tr>
      <w:tr w:rsidR="00A57097" w:rsidRPr="0006568D" w:rsidTr="00A57097">
        <w:trPr>
          <w:jc w:val="center"/>
        </w:trPr>
        <w:tc>
          <w:tcPr>
            <w:tcW w:w="1825" w:type="dxa"/>
            <w:vMerge w:val="restart"/>
          </w:tcPr>
          <w:p w:rsidR="00A57097" w:rsidRPr="0006568D" w:rsidRDefault="00A57097" w:rsidP="00A57097">
            <w:pPr>
              <w:spacing w:after="0" w:line="240" w:lineRule="auto"/>
              <w:jc w:val="left"/>
              <w:rPr>
                <w:rFonts w:eastAsia="Malgun Gothic"/>
                <w:bCs/>
                <w:i/>
                <w:sz w:val="21"/>
                <w:szCs w:val="21"/>
              </w:rPr>
            </w:pPr>
            <w:r w:rsidRPr="0006568D">
              <w:rPr>
                <w:rFonts w:eastAsia="Malgun Gothic"/>
                <w:bCs/>
                <w:i/>
                <w:sz w:val="21"/>
                <w:szCs w:val="21"/>
              </w:rPr>
              <w:t>Develop infrastructure for lasting transformation</w:t>
            </w:r>
          </w:p>
        </w:tc>
        <w:tc>
          <w:tcPr>
            <w:tcW w:w="5310" w:type="dxa"/>
          </w:tcPr>
          <w:p w:rsidR="00A57097" w:rsidRPr="0006568D" w:rsidRDefault="00A57097" w:rsidP="00A57097">
            <w:pPr>
              <w:numPr>
                <w:ilvl w:val="0"/>
                <w:numId w:val="31"/>
              </w:numPr>
              <w:tabs>
                <w:tab w:val="left" w:pos="425"/>
              </w:tabs>
              <w:spacing w:after="0" w:line="240" w:lineRule="auto"/>
              <w:ind w:left="-25" w:firstLine="0"/>
              <w:contextualSpacing/>
              <w:jc w:val="left"/>
              <w:rPr>
                <w:rFonts w:eastAsia="Malgun Gothic"/>
                <w:sz w:val="21"/>
                <w:szCs w:val="21"/>
              </w:rPr>
            </w:pPr>
            <w:r w:rsidRPr="0006568D">
              <w:rPr>
                <w:rFonts w:eastAsia="Malgun Gothic"/>
                <w:sz w:val="21"/>
                <w:szCs w:val="21"/>
              </w:rPr>
              <w:t>Implement the revised transit truck charges based on the assessment and implementation plan prepared under (1.5)</w:t>
            </w:r>
          </w:p>
        </w:tc>
        <w:tc>
          <w:tcPr>
            <w:tcW w:w="2441" w:type="dxa"/>
          </w:tcPr>
          <w:p w:rsidR="00A57097" w:rsidRPr="0006568D" w:rsidRDefault="00A57097" w:rsidP="00A57097">
            <w:pPr>
              <w:spacing w:after="0" w:line="240" w:lineRule="auto"/>
              <w:jc w:val="left"/>
              <w:rPr>
                <w:rFonts w:eastAsia="Malgun Gothic"/>
                <w:sz w:val="21"/>
                <w:szCs w:val="21"/>
              </w:rPr>
            </w:pPr>
            <w:r w:rsidRPr="0006568D">
              <w:rPr>
                <w:rFonts w:eastAsia="Malgun Gothic"/>
                <w:sz w:val="21"/>
                <w:szCs w:val="21"/>
              </w:rPr>
              <w:t>(Lead) MoRDI or a designated entity;</w:t>
            </w:r>
          </w:p>
          <w:p w:rsidR="00A57097" w:rsidRPr="0006568D" w:rsidRDefault="00A57097" w:rsidP="00A57097">
            <w:pPr>
              <w:spacing w:after="0" w:line="240" w:lineRule="auto"/>
              <w:jc w:val="left"/>
              <w:rPr>
                <w:rFonts w:eastAsia="Malgun Gothic"/>
                <w:sz w:val="21"/>
                <w:szCs w:val="21"/>
              </w:rPr>
            </w:pPr>
            <w:r w:rsidRPr="0006568D">
              <w:rPr>
                <w:rFonts w:eastAsia="Malgun Gothic"/>
                <w:sz w:val="21"/>
                <w:szCs w:val="21"/>
              </w:rPr>
              <w:t>(Support) TPD</w:t>
            </w:r>
          </w:p>
        </w:tc>
      </w:tr>
      <w:tr w:rsidR="00A57097" w:rsidRPr="0006568D" w:rsidTr="00A57097">
        <w:trPr>
          <w:jc w:val="center"/>
        </w:trPr>
        <w:tc>
          <w:tcPr>
            <w:tcW w:w="1825" w:type="dxa"/>
            <w:vMerge/>
          </w:tcPr>
          <w:p w:rsidR="00A57097" w:rsidRPr="0006568D" w:rsidRDefault="00A57097" w:rsidP="00A57097">
            <w:pPr>
              <w:spacing w:after="0" w:line="240" w:lineRule="auto"/>
              <w:jc w:val="left"/>
              <w:rPr>
                <w:rFonts w:eastAsia="Malgun Gothic"/>
                <w:bCs/>
                <w:i/>
                <w:sz w:val="21"/>
                <w:szCs w:val="21"/>
              </w:rPr>
            </w:pPr>
          </w:p>
        </w:tc>
        <w:tc>
          <w:tcPr>
            <w:tcW w:w="5310" w:type="dxa"/>
          </w:tcPr>
          <w:p w:rsidR="00A57097" w:rsidRPr="0006568D" w:rsidRDefault="00A57097" w:rsidP="00A57097">
            <w:pPr>
              <w:numPr>
                <w:ilvl w:val="0"/>
                <w:numId w:val="31"/>
              </w:numPr>
              <w:tabs>
                <w:tab w:val="left" w:pos="425"/>
              </w:tabs>
              <w:spacing w:after="0" w:line="240" w:lineRule="auto"/>
              <w:ind w:left="-25" w:firstLine="0"/>
              <w:contextualSpacing/>
              <w:jc w:val="left"/>
              <w:rPr>
                <w:rFonts w:eastAsia="Malgun Gothic"/>
                <w:sz w:val="21"/>
                <w:szCs w:val="21"/>
              </w:rPr>
            </w:pPr>
            <w:r w:rsidRPr="0006568D">
              <w:rPr>
                <w:rFonts w:eastAsia="Malgun Gothic"/>
                <w:sz w:val="21"/>
                <w:szCs w:val="21"/>
              </w:rPr>
              <w:t>Based on study results from (1.6), prepare and implement infrastructure investment projects for new intermodal facilities, transshipment terminals, capacity expansion, etc.</w:t>
            </w:r>
          </w:p>
        </w:tc>
        <w:tc>
          <w:tcPr>
            <w:tcW w:w="2441" w:type="dxa"/>
          </w:tcPr>
          <w:p w:rsidR="00A57097" w:rsidRPr="0006568D" w:rsidRDefault="00A57097" w:rsidP="00A57097">
            <w:pPr>
              <w:spacing w:after="0" w:line="240" w:lineRule="auto"/>
              <w:jc w:val="left"/>
              <w:rPr>
                <w:rFonts w:eastAsia="Malgun Gothic"/>
                <w:sz w:val="21"/>
                <w:szCs w:val="21"/>
              </w:rPr>
            </w:pPr>
            <w:r w:rsidRPr="0006568D">
              <w:rPr>
                <w:rFonts w:eastAsia="Malgun Gothic"/>
                <w:sz w:val="21"/>
                <w:szCs w:val="21"/>
              </w:rPr>
              <w:t>(Lead) MoRDI, Georgian Railway, Port authorities, municipalities</w:t>
            </w:r>
          </w:p>
          <w:p w:rsidR="00A57097" w:rsidRPr="0006568D" w:rsidRDefault="00A57097" w:rsidP="00A57097">
            <w:pPr>
              <w:spacing w:after="0" w:line="240" w:lineRule="auto"/>
              <w:jc w:val="left"/>
              <w:rPr>
                <w:rFonts w:eastAsia="Malgun Gothic"/>
                <w:sz w:val="21"/>
                <w:szCs w:val="21"/>
              </w:rPr>
            </w:pPr>
            <w:r w:rsidRPr="0006568D">
              <w:rPr>
                <w:rFonts w:eastAsia="Malgun Gothic"/>
                <w:sz w:val="21"/>
                <w:szCs w:val="21"/>
              </w:rPr>
              <w:t>(Support) TPD, MoF</w:t>
            </w:r>
          </w:p>
        </w:tc>
      </w:tr>
      <w:tr w:rsidR="00A57097" w:rsidRPr="0006568D" w:rsidTr="00A57097">
        <w:trPr>
          <w:jc w:val="center"/>
        </w:trPr>
        <w:tc>
          <w:tcPr>
            <w:tcW w:w="1825" w:type="dxa"/>
            <w:vMerge/>
          </w:tcPr>
          <w:p w:rsidR="00A57097" w:rsidRPr="0006568D" w:rsidRDefault="00A57097" w:rsidP="00A57097">
            <w:pPr>
              <w:spacing w:after="0" w:line="240" w:lineRule="auto"/>
              <w:jc w:val="left"/>
              <w:rPr>
                <w:rFonts w:eastAsia="Malgun Gothic"/>
                <w:bCs/>
                <w:i/>
                <w:sz w:val="21"/>
                <w:szCs w:val="21"/>
              </w:rPr>
            </w:pPr>
          </w:p>
        </w:tc>
        <w:tc>
          <w:tcPr>
            <w:tcW w:w="5310" w:type="dxa"/>
          </w:tcPr>
          <w:p w:rsidR="00A57097" w:rsidRPr="0006568D" w:rsidRDefault="00A57097" w:rsidP="00A57097">
            <w:pPr>
              <w:numPr>
                <w:ilvl w:val="0"/>
                <w:numId w:val="31"/>
              </w:numPr>
              <w:tabs>
                <w:tab w:val="left" w:pos="515"/>
              </w:tabs>
              <w:spacing w:after="0" w:line="240" w:lineRule="auto"/>
              <w:ind w:left="-25" w:firstLine="0"/>
              <w:contextualSpacing/>
              <w:jc w:val="left"/>
              <w:rPr>
                <w:rFonts w:eastAsia="Malgun Gothic"/>
                <w:sz w:val="21"/>
                <w:szCs w:val="21"/>
              </w:rPr>
            </w:pPr>
            <w:r w:rsidRPr="0006568D">
              <w:rPr>
                <w:rFonts w:eastAsia="Malgun Gothic"/>
                <w:sz w:val="21"/>
                <w:szCs w:val="21"/>
              </w:rPr>
              <w:t>Based on study outcomes from (1.11), prepare and implement public transport capital investment projects: possible projects include fleet renewal, new investments in public transport trunk corridor development, infrastructure and facility for non-motorized transport, and ITS measures</w:t>
            </w:r>
          </w:p>
        </w:tc>
        <w:tc>
          <w:tcPr>
            <w:tcW w:w="2441" w:type="dxa"/>
          </w:tcPr>
          <w:p w:rsidR="00A57097" w:rsidRPr="0006568D" w:rsidRDefault="00A57097" w:rsidP="00A57097">
            <w:pPr>
              <w:spacing w:after="0" w:line="240" w:lineRule="auto"/>
              <w:jc w:val="left"/>
              <w:rPr>
                <w:rFonts w:eastAsia="Malgun Gothic"/>
                <w:sz w:val="21"/>
                <w:szCs w:val="21"/>
              </w:rPr>
            </w:pPr>
            <w:r w:rsidRPr="0006568D">
              <w:rPr>
                <w:rFonts w:eastAsia="Malgun Gothic"/>
                <w:sz w:val="21"/>
                <w:szCs w:val="21"/>
              </w:rPr>
              <w:t>(Lead) Municipalities</w:t>
            </w:r>
          </w:p>
          <w:p w:rsidR="00A57097" w:rsidRPr="0006568D" w:rsidRDefault="00A57097" w:rsidP="00A57097">
            <w:pPr>
              <w:spacing w:after="0" w:line="240" w:lineRule="auto"/>
              <w:jc w:val="left"/>
              <w:rPr>
                <w:rFonts w:eastAsia="Malgun Gothic"/>
                <w:sz w:val="21"/>
                <w:szCs w:val="21"/>
              </w:rPr>
            </w:pPr>
            <w:r w:rsidRPr="0006568D">
              <w:rPr>
                <w:rFonts w:eastAsia="Malgun Gothic"/>
                <w:sz w:val="21"/>
                <w:szCs w:val="21"/>
              </w:rPr>
              <w:t>(Support) TPD, MoF</w:t>
            </w:r>
          </w:p>
        </w:tc>
      </w:tr>
    </w:tbl>
    <w:p w:rsidR="00A57097" w:rsidRPr="0006568D" w:rsidRDefault="00A57097" w:rsidP="0072342D">
      <w:pPr>
        <w:spacing w:before="60" w:after="300"/>
        <w:rPr>
          <w:rFonts w:eastAsia="Malgun Gothic"/>
        </w:rPr>
      </w:pPr>
      <w:r w:rsidRPr="0006568D">
        <w:rPr>
          <w:rFonts w:eastAsia="Malgun Gothic"/>
          <w:i/>
          <w:sz w:val="18"/>
          <w:szCs w:val="18"/>
        </w:rPr>
        <w:t>Note: MoF (Ministry of Finance), MoESD (Ministry of Economy and Sustainable Development), TPD (Transport Policy Department within the MoESD), MoEnv (Ministry of Environment), MoE (Ministry of Energy), MoRDI (Ministry of Regional Development and Infrastructure), LTA (Land Transport Agency). NTA (National Tourism Agency)</w:t>
      </w:r>
    </w:p>
    <w:p w:rsidR="008D3279" w:rsidRDefault="008D3279" w:rsidP="008D3279">
      <w:pPr>
        <w:rPr>
          <w:rFonts w:eastAsia="Malgun Gothic"/>
        </w:rPr>
      </w:pPr>
      <w:r>
        <w:rPr>
          <w:rFonts w:eastAsia="Malgun Gothic"/>
        </w:rPr>
        <w:t xml:space="preserve">In the long-term, more innovative measures will be examined and introduced </w:t>
      </w:r>
      <w:r w:rsidR="0072342D">
        <w:rPr>
          <w:rFonts w:eastAsia="Malgun Gothic"/>
        </w:rPr>
        <w:t>where</w:t>
      </w:r>
      <w:r>
        <w:rPr>
          <w:rFonts w:eastAsia="Malgun Gothic"/>
        </w:rPr>
        <w:t xml:space="preserve"> feasible.  Given the current trends of vehicle technology development and </w:t>
      </w:r>
      <w:r w:rsidR="0072342D">
        <w:rPr>
          <w:rFonts w:eastAsia="Malgun Gothic"/>
        </w:rPr>
        <w:t xml:space="preserve">battery </w:t>
      </w:r>
      <w:r>
        <w:rPr>
          <w:rFonts w:eastAsia="Malgun Gothic"/>
        </w:rPr>
        <w:t>prices, this would be appropriate time frame for Georgia to consider electric vehicles and other technologies for wider deployment.</w:t>
      </w:r>
    </w:p>
    <w:p w:rsidR="0072342D" w:rsidRDefault="0072342D" w:rsidP="008D3279">
      <w:pPr>
        <w:rPr>
          <w:rFonts w:eastAsia="Malgun Gothic"/>
        </w:rPr>
      </w:pPr>
    </w:p>
    <w:p w:rsidR="00A57097" w:rsidRPr="0006568D" w:rsidRDefault="00A57097" w:rsidP="00A57097">
      <w:pPr>
        <w:spacing w:before="240"/>
        <w:jc w:val="center"/>
        <w:rPr>
          <w:rFonts w:eastAsia="Malgun Gothic"/>
          <w:b/>
          <w:i/>
        </w:rPr>
      </w:pPr>
      <w:r w:rsidRPr="0006568D">
        <w:rPr>
          <w:rFonts w:eastAsia="Malgun Gothic"/>
          <w:b/>
          <w:i/>
        </w:rPr>
        <w:lastRenderedPageBreak/>
        <w:t>Long-Term (2020 and after): Transformation</w:t>
      </w:r>
    </w:p>
    <w:tbl>
      <w:tblPr>
        <w:tblW w:w="0" w:type="auto"/>
        <w:jc w:val="center"/>
        <w:tblBorders>
          <w:top w:val="single" w:sz="8" w:space="0" w:color="76923C"/>
          <w:left w:val="single" w:sz="8" w:space="0" w:color="76923C"/>
          <w:bottom w:val="single" w:sz="8" w:space="0" w:color="76923C"/>
          <w:right w:val="single" w:sz="8" w:space="0" w:color="76923C"/>
          <w:insideH w:val="single" w:sz="8" w:space="0" w:color="76923C"/>
        </w:tblBorders>
        <w:tblCellMar>
          <w:top w:w="29" w:type="dxa"/>
          <w:left w:w="115" w:type="dxa"/>
          <w:bottom w:w="29" w:type="dxa"/>
          <w:right w:w="115" w:type="dxa"/>
        </w:tblCellMar>
        <w:tblLook w:val="04A0"/>
      </w:tblPr>
      <w:tblGrid>
        <w:gridCol w:w="2275"/>
        <w:gridCol w:w="7290"/>
      </w:tblGrid>
      <w:tr w:rsidR="00A57097" w:rsidRPr="0006568D" w:rsidTr="00A57097">
        <w:trPr>
          <w:jc w:val="center"/>
        </w:trPr>
        <w:tc>
          <w:tcPr>
            <w:tcW w:w="2275" w:type="dxa"/>
            <w:shd w:val="clear" w:color="auto" w:fill="76923C"/>
          </w:tcPr>
          <w:p w:rsidR="00A57097" w:rsidRPr="0006568D" w:rsidRDefault="00A57097" w:rsidP="00A57097">
            <w:pPr>
              <w:spacing w:after="0" w:line="240" w:lineRule="auto"/>
              <w:jc w:val="left"/>
              <w:rPr>
                <w:rFonts w:eastAsia="Malgun Gothic"/>
                <w:bCs/>
                <w:color w:val="FFFFFF"/>
                <w:sz w:val="21"/>
                <w:szCs w:val="21"/>
              </w:rPr>
            </w:pPr>
            <w:r w:rsidRPr="0006568D">
              <w:rPr>
                <w:rFonts w:eastAsia="Malgun Gothic"/>
                <w:bCs/>
                <w:color w:val="FFFFFF"/>
                <w:sz w:val="21"/>
                <w:szCs w:val="21"/>
              </w:rPr>
              <w:t>Objectives</w:t>
            </w:r>
          </w:p>
        </w:tc>
        <w:tc>
          <w:tcPr>
            <w:tcW w:w="7290" w:type="dxa"/>
            <w:shd w:val="clear" w:color="auto" w:fill="76923C"/>
          </w:tcPr>
          <w:p w:rsidR="00A57097" w:rsidRPr="0006568D" w:rsidRDefault="00A57097" w:rsidP="00A57097">
            <w:pPr>
              <w:spacing w:after="0" w:line="240" w:lineRule="auto"/>
              <w:jc w:val="left"/>
              <w:rPr>
                <w:rFonts w:eastAsia="Malgun Gothic"/>
                <w:bCs/>
                <w:color w:val="FFFFFF"/>
                <w:sz w:val="21"/>
                <w:szCs w:val="21"/>
              </w:rPr>
            </w:pPr>
            <w:r w:rsidRPr="0006568D">
              <w:rPr>
                <w:rFonts w:eastAsia="Malgun Gothic"/>
                <w:bCs/>
                <w:color w:val="FFFFFF"/>
                <w:sz w:val="21"/>
                <w:szCs w:val="21"/>
              </w:rPr>
              <w:t>Actions</w:t>
            </w:r>
          </w:p>
        </w:tc>
      </w:tr>
      <w:tr w:rsidR="00A57097" w:rsidRPr="0006568D" w:rsidTr="00A57097">
        <w:trPr>
          <w:jc w:val="center"/>
        </w:trPr>
        <w:tc>
          <w:tcPr>
            <w:tcW w:w="2275" w:type="dxa"/>
            <w:vMerge w:val="restart"/>
          </w:tcPr>
          <w:p w:rsidR="00A57097" w:rsidRPr="0006568D" w:rsidRDefault="00A57097" w:rsidP="00A57097">
            <w:pPr>
              <w:spacing w:after="0" w:line="240" w:lineRule="auto"/>
              <w:jc w:val="left"/>
              <w:rPr>
                <w:rFonts w:eastAsia="Malgun Gothic"/>
                <w:bCs/>
                <w:sz w:val="21"/>
                <w:szCs w:val="21"/>
              </w:rPr>
            </w:pPr>
            <w:r w:rsidRPr="0006568D">
              <w:rPr>
                <w:rFonts w:eastAsia="Malgun Gothic"/>
                <w:bCs/>
                <w:i/>
                <w:sz w:val="21"/>
                <w:szCs w:val="21"/>
              </w:rPr>
              <w:t>Transform mobility using advanced technologies</w:t>
            </w:r>
          </w:p>
        </w:tc>
        <w:tc>
          <w:tcPr>
            <w:tcW w:w="7290" w:type="dxa"/>
          </w:tcPr>
          <w:p w:rsidR="00A57097" w:rsidRPr="0006568D" w:rsidRDefault="00A57097" w:rsidP="00A57097">
            <w:pPr>
              <w:numPr>
                <w:ilvl w:val="0"/>
                <w:numId w:val="32"/>
              </w:numPr>
              <w:tabs>
                <w:tab w:val="left" w:pos="425"/>
              </w:tabs>
              <w:spacing w:after="0" w:line="240" w:lineRule="auto"/>
              <w:ind w:left="-37" w:firstLine="0"/>
              <w:contextualSpacing/>
              <w:jc w:val="left"/>
              <w:rPr>
                <w:rFonts w:eastAsia="Malgun Gothic"/>
                <w:sz w:val="21"/>
                <w:szCs w:val="21"/>
              </w:rPr>
            </w:pPr>
            <w:r w:rsidRPr="0006568D">
              <w:rPr>
                <w:rFonts w:eastAsia="Malgun Gothic"/>
                <w:sz w:val="21"/>
                <w:szCs w:val="21"/>
              </w:rPr>
              <w:t xml:space="preserve">Institute financial incentives </w:t>
            </w:r>
            <w:r>
              <w:rPr>
                <w:rFonts w:eastAsia="Malgun Gothic"/>
                <w:sz w:val="21"/>
                <w:szCs w:val="21"/>
              </w:rPr>
              <w:t xml:space="preserve">for </w:t>
            </w:r>
            <w:r w:rsidRPr="0006568D">
              <w:rPr>
                <w:rFonts w:eastAsia="Malgun Gothic"/>
                <w:sz w:val="21"/>
                <w:szCs w:val="21"/>
              </w:rPr>
              <w:t xml:space="preserve">adoption of technologies </w:t>
            </w:r>
            <w:r>
              <w:rPr>
                <w:rFonts w:eastAsia="Malgun Gothic"/>
                <w:sz w:val="21"/>
                <w:szCs w:val="21"/>
              </w:rPr>
              <w:t xml:space="preserve">to </w:t>
            </w:r>
            <w:r w:rsidRPr="0006568D">
              <w:rPr>
                <w:rFonts w:eastAsia="Malgun Gothic"/>
                <w:sz w:val="21"/>
                <w:szCs w:val="21"/>
              </w:rPr>
              <w:t>improve fuel efficiency</w:t>
            </w:r>
          </w:p>
        </w:tc>
      </w:tr>
      <w:tr w:rsidR="00A57097" w:rsidRPr="0006568D" w:rsidTr="00A57097">
        <w:trPr>
          <w:jc w:val="center"/>
        </w:trPr>
        <w:tc>
          <w:tcPr>
            <w:tcW w:w="2275" w:type="dxa"/>
            <w:vMerge/>
          </w:tcPr>
          <w:p w:rsidR="00A57097" w:rsidRPr="0006568D" w:rsidRDefault="00A57097" w:rsidP="00A57097">
            <w:pPr>
              <w:spacing w:after="0" w:line="240" w:lineRule="auto"/>
              <w:jc w:val="left"/>
              <w:rPr>
                <w:rFonts w:eastAsia="Malgun Gothic"/>
                <w:bCs/>
                <w:sz w:val="21"/>
                <w:szCs w:val="21"/>
              </w:rPr>
            </w:pPr>
          </w:p>
        </w:tc>
        <w:tc>
          <w:tcPr>
            <w:tcW w:w="7290" w:type="dxa"/>
          </w:tcPr>
          <w:p w:rsidR="00A57097" w:rsidRPr="0006568D" w:rsidRDefault="00A57097" w:rsidP="00A57097">
            <w:pPr>
              <w:numPr>
                <w:ilvl w:val="0"/>
                <w:numId w:val="32"/>
              </w:numPr>
              <w:tabs>
                <w:tab w:val="left" w:pos="425"/>
              </w:tabs>
              <w:spacing w:after="0" w:line="240" w:lineRule="auto"/>
              <w:ind w:left="-25" w:firstLine="0"/>
              <w:contextualSpacing/>
              <w:jc w:val="left"/>
              <w:rPr>
                <w:rFonts w:eastAsia="Malgun Gothic"/>
                <w:sz w:val="21"/>
                <w:szCs w:val="21"/>
              </w:rPr>
            </w:pPr>
            <w:r w:rsidRPr="0006568D">
              <w:rPr>
                <w:rFonts w:eastAsia="Malgun Gothic"/>
                <w:sz w:val="21"/>
                <w:szCs w:val="21"/>
              </w:rPr>
              <w:t>Evaluate alternative propulsion technology options including electric vehicles</w:t>
            </w:r>
          </w:p>
        </w:tc>
      </w:tr>
      <w:tr w:rsidR="00A57097" w:rsidRPr="0006568D" w:rsidTr="00A57097">
        <w:trPr>
          <w:jc w:val="center"/>
        </w:trPr>
        <w:tc>
          <w:tcPr>
            <w:tcW w:w="2275" w:type="dxa"/>
            <w:vMerge/>
          </w:tcPr>
          <w:p w:rsidR="00A57097" w:rsidRPr="0006568D" w:rsidRDefault="00A57097" w:rsidP="00A57097">
            <w:pPr>
              <w:spacing w:after="0" w:line="240" w:lineRule="auto"/>
              <w:jc w:val="left"/>
              <w:rPr>
                <w:rFonts w:eastAsia="Malgun Gothic"/>
                <w:bCs/>
                <w:sz w:val="21"/>
                <w:szCs w:val="21"/>
              </w:rPr>
            </w:pPr>
          </w:p>
        </w:tc>
        <w:tc>
          <w:tcPr>
            <w:tcW w:w="7290" w:type="dxa"/>
          </w:tcPr>
          <w:p w:rsidR="00A57097" w:rsidRPr="0006568D" w:rsidRDefault="00A57097" w:rsidP="00A57097">
            <w:pPr>
              <w:numPr>
                <w:ilvl w:val="0"/>
                <w:numId w:val="32"/>
              </w:numPr>
              <w:tabs>
                <w:tab w:val="left" w:pos="425"/>
              </w:tabs>
              <w:spacing w:after="0" w:line="240" w:lineRule="auto"/>
              <w:ind w:left="-25" w:firstLine="0"/>
              <w:contextualSpacing/>
              <w:jc w:val="left"/>
              <w:rPr>
                <w:rFonts w:eastAsia="Malgun Gothic"/>
                <w:sz w:val="21"/>
                <w:szCs w:val="21"/>
              </w:rPr>
            </w:pPr>
            <w:r w:rsidRPr="0006568D">
              <w:rPr>
                <w:rFonts w:eastAsia="Malgun Gothic"/>
                <w:sz w:val="21"/>
                <w:szCs w:val="21"/>
              </w:rPr>
              <w:t xml:space="preserve">Invest in infrastructure and facility </w:t>
            </w:r>
            <w:r>
              <w:rPr>
                <w:rFonts w:eastAsia="Malgun Gothic"/>
                <w:sz w:val="21"/>
                <w:szCs w:val="21"/>
              </w:rPr>
              <w:t xml:space="preserve">to </w:t>
            </w:r>
            <w:r w:rsidRPr="0006568D">
              <w:rPr>
                <w:rFonts w:eastAsia="Malgun Gothic"/>
                <w:sz w:val="21"/>
                <w:szCs w:val="21"/>
              </w:rPr>
              <w:t>support deployment of new technologies</w:t>
            </w:r>
          </w:p>
        </w:tc>
      </w:tr>
      <w:tr w:rsidR="00A57097" w:rsidRPr="0006568D" w:rsidTr="00A57097">
        <w:trPr>
          <w:jc w:val="center"/>
        </w:trPr>
        <w:tc>
          <w:tcPr>
            <w:tcW w:w="2275" w:type="dxa"/>
            <w:vMerge w:val="restart"/>
          </w:tcPr>
          <w:p w:rsidR="00A57097" w:rsidRPr="0006568D" w:rsidRDefault="00A57097" w:rsidP="00A57097">
            <w:pPr>
              <w:spacing w:after="0" w:line="240" w:lineRule="auto"/>
              <w:jc w:val="left"/>
              <w:rPr>
                <w:rFonts w:eastAsia="Malgun Gothic"/>
                <w:bCs/>
                <w:sz w:val="21"/>
                <w:szCs w:val="21"/>
              </w:rPr>
            </w:pPr>
            <w:r w:rsidRPr="0006568D">
              <w:rPr>
                <w:rFonts w:eastAsia="Malgun Gothic"/>
                <w:bCs/>
                <w:i/>
                <w:sz w:val="21"/>
                <w:szCs w:val="21"/>
              </w:rPr>
              <w:t>Shap</w:t>
            </w:r>
            <w:r>
              <w:rPr>
                <w:rFonts w:eastAsia="Malgun Gothic"/>
                <w:bCs/>
                <w:i/>
                <w:sz w:val="21"/>
                <w:szCs w:val="21"/>
              </w:rPr>
              <w:t>e</w:t>
            </w:r>
            <w:r w:rsidRPr="0006568D">
              <w:rPr>
                <w:rFonts w:eastAsia="Malgun Gothic"/>
                <w:bCs/>
                <w:i/>
                <w:sz w:val="21"/>
                <w:szCs w:val="21"/>
              </w:rPr>
              <w:t xml:space="preserve"> green mobility patterns</w:t>
            </w:r>
          </w:p>
        </w:tc>
        <w:tc>
          <w:tcPr>
            <w:tcW w:w="7290" w:type="dxa"/>
          </w:tcPr>
          <w:p w:rsidR="00A57097" w:rsidRPr="0006568D" w:rsidRDefault="00A57097" w:rsidP="00A57097">
            <w:pPr>
              <w:numPr>
                <w:ilvl w:val="0"/>
                <w:numId w:val="32"/>
              </w:numPr>
              <w:tabs>
                <w:tab w:val="left" w:pos="425"/>
              </w:tabs>
              <w:spacing w:after="0" w:line="240" w:lineRule="auto"/>
              <w:ind w:left="-25" w:firstLine="0"/>
              <w:contextualSpacing/>
              <w:jc w:val="left"/>
              <w:rPr>
                <w:rFonts w:eastAsia="Malgun Gothic"/>
                <w:sz w:val="21"/>
                <w:szCs w:val="21"/>
              </w:rPr>
            </w:pPr>
            <w:r w:rsidRPr="0006568D">
              <w:rPr>
                <w:rFonts w:eastAsia="Malgun Gothic"/>
                <w:sz w:val="21"/>
                <w:szCs w:val="21"/>
              </w:rPr>
              <w:t>Introduce appropriate road pricing measures, including congestion pricing</w:t>
            </w:r>
          </w:p>
        </w:tc>
      </w:tr>
      <w:tr w:rsidR="00A57097" w:rsidRPr="0006568D" w:rsidTr="00A57097">
        <w:trPr>
          <w:jc w:val="center"/>
        </w:trPr>
        <w:tc>
          <w:tcPr>
            <w:tcW w:w="2275" w:type="dxa"/>
            <w:vMerge/>
          </w:tcPr>
          <w:p w:rsidR="00A57097" w:rsidRPr="0006568D" w:rsidRDefault="00A57097" w:rsidP="00A57097">
            <w:pPr>
              <w:spacing w:after="0" w:line="240" w:lineRule="auto"/>
              <w:jc w:val="left"/>
              <w:rPr>
                <w:rFonts w:eastAsia="Malgun Gothic"/>
                <w:bCs/>
                <w:sz w:val="21"/>
                <w:szCs w:val="21"/>
              </w:rPr>
            </w:pPr>
          </w:p>
        </w:tc>
        <w:tc>
          <w:tcPr>
            <w:tcW w:w="7290" w:type="dxa"/>
          </w:tcPr>
          <w:p w:rsidR="00A57097" w:rsidRPr="0006568D" w:rsidRDefault="00A57097" w:rsidP="00A57097">
            <w:pPr>
              <w:numPr>
                <w:ilvl w:val="0"/>
                <w:numId w:val="32"/>
              </w:numPr>
              <w:tabs>
                <w:tab w:val="left" w:pos="425"/>
              </w:tabs>
              <w:spacing w:after="0" w:line="240" w:lineRule="auto"/>
              <w:ind w:left="-25" w:firstLine="0"/>
              <w:contextualSpacing/>
              <w:jc w:val="left"/>
              <w:rPr>
                <w:rFonts w:eastAsia="Malgun Gothic"/>
                <w:sz w:val="21"/>
                <w:szCs w:val="21"/>
              </w:rPr>
            </w:pPr>
            <w:r w:rsidRPr="0006568D">
              <w:rPr>
                <w:rFonts w:eastAsia="Malgun Gothic"/>
                <w:sz w:val="21"/>
                <w:szCs w:val="21"/>
              </w:rPr>
              <w:t>Incorporate environmental considerations in the existing taxation structure</w:t>
            </w:r>
          </w:p>
        </w:tc>
      </w:tr>
    </w:tbl>
    <w:p w:rsidR="00A57097" w:rsidRDefault="00A57097" w:rsidP="00A57097">
      <w:pPr>
        <w:spacing w:after="200"/>
        <w:jc w:val="left"/>
      </w:pPr>
    </w:p>
    <w:p w:rsidR="00F106CD" w:rsidRPr="004C30B9" w:rsidRDefault="00F106CD">
      <w:pPr>
        <w:spacing w:after="200"/>
        <w:jc w:val="left"/>
      </w:pPr>
      <w:r w:rsidRPr="004C30B9">
        <w:br w:type="page"/>
      </w:r>
    </w:p>
    <w:p w:rsidR="004C30B9" w:rsidRPr="00477DD6" w:rsidRDefault="004C30B9" w:rsidP="00BA2792">
      <w:pPr>
        <w:pStyle w:val="Heading1"/>
        <w:numPr>
          <w:ilvl w:val="0"/>
          <w:numId w:val="0"/>
        </w:numPr>
        <w:rPr>
          <w:sz w:val="26"/>
          <w:szCs w:val="26"/>
        </w:rPr>
      </w:pPr>
      <w:bookmarkStart w:id="115" w:name="_Toc326892942"/>
      <w:r>
        <w:rPr>
          <w:sz w:val="26"/>
          <w:szCs w:val="26"/>
        </w:rPr>
        <w:lastRenderedPageBreak/>
        <w:t xml:space="preserve">ANNEX 1: </w:t>
      </w:r>
      <w:r w:rsidR="00F83E99">
        <w:rPr>
          <w:sz w:val="26"/>
          <w:szCs w:val="26"/>
        </w:rPr>
        <w:t xml:space="preserve">EFFECT </w:t>
      </w:r>
      <w:r w:rsidR="00093252">
        <w:rPr>
          <w:sz w:val="26"/>
          <w:szCs w:val="26"/>
        </w:rPr>
        <w:t xml:space="preserve">Analysis </w:t>
      </w:r>
      <w:r>
        <w:rPr>
          <w:sz w:val="26"/>
          <w:szCs w:val="26"/>
        </w:rPr>
        <w:t>Methodology</w:t>
      </w:r>
      <w:bookmarkEnd w:id="115"/>
    </w:p>
    <w:p w:rsidR="004C30B9" w:rsidRPr="00A24018" w:rsidRDefault="007D249F" w:rsidP="00BA2792">
      <w:pPr>
        <w:pStyle w:val="Heading2"/>
        <w:numPr>
          <w:ilvl w:val="1"/>
          <w:numId w:val="25"/>
        </w:numPr>
        <w:ind w:left="0"/>
      </w:pPr>
      <w:bookmarkStart w:id="116" w:name="_Toc326892943"/>
      <w:r>
        <w:t xml:space="preserve">EFFECT: </w:t>
      </w:r>
      <w:r w:rsidR="004C30B9" w:rsidRPr="004C30B9">
        <w:t>Energy Forecasting Framework and Emissions Consensus Tool</w:t>
      </w:r>
      <w:bookmarkEnd w:id="116"/>
    </w:p>
    <w:tbl>
      <w:tblPr>
        <w:tblStyle w:val="TableGrid"/>
        <w:tblpPr w:leftFromText="180" w:rightFromText="180" w:vertAnchor="text" w:horzAnchor="margin" w:tblpXSpec="right" w:tblpY="300"/>
        <w:tblOverlap w:val="never"/>
        <w:tblW w:w="0" w:type="auto"/>
        <w:tblLayout w:type="fixed"/>
        <w:tblCellMar>
          <w:left w:w="0" w:type="dxa"/>
          <w:right w:w="0" w:type="dxa"/>
        </w:tblCellMar>
        <w:tblLook w:val="04A0"/>
      </w:tblPr>
      <w:tblGrid>
        <w:gridCol w:w="4950"/>
      </w:tblGrid>
      <w:tr w:rsidR="00374614" w:rsidTr="00093252">
        <w:trPr>
          <w:trHeight w:val="183"/>
        </w:trPr>
        <w:tc>
          <w:tcPr>
            <w:tcW w:w="4950" w:type="dxa"/>
            <w:tcBorders>
              <w:top w:val="nil"/>
              <w:left w:val="nil"/>
              <w:bottom w:val="single" w:sz="4" w:space="0" w:color="auto"/>
              <w:right w:val="nil"/>
            </w:tcBorders>
          </w:tcPr>
          <w:p w:rsidR="00374614" w:rsidRPr="005631F9" w:rsidRDefault="00374614" w:rsidP="00093252">
            <w:pPr>
              <w:spacing w:after="0"/>
              <w:jc w:val="center"/>
              <w:rPr>
                <w:sz w:val="20"/>
                <w:szCs w:val="20"/>
              </w:rPr>
            </w:pPr>
            <w:bookmarkStart w:id="117" w:name="_Ref324798370"/>
            <w:bookmarkStart w:id="118" w:name="_Toc326892850"/>
            <w:r w:rsidRPr="00394B4B">
              <w:rPr>
                <w:b/>
                <w:sz w:val="20"/>
                <w:szCs w:val="20"/>
              </w:rPr>
              <w:t xml:space="preserve">Figure </w:t>
            </w:r>
            <w:r w:rsidR="001A7AF8" w:rsidRPr="00394B4B">
              <w:rPr>
                <w:b/>
                <w:sz w:val="20"/>
                <w:szCs w:val="20"/>
              </w:rPr>
              <w:fldChar w:fldCharType="begin"/>
            </w:r>
            <w:r w:rsidRPr="00394B4B">
              <w:rPr>
                <w:b/>
                <w:sz w:val="20"/>
                <w:szCs w:val="20"/>
              </w:rPr>
              <w:instrText xml:space="preserve"> SEQ Figure \* ARABIC </w:instrText>
            </w:r>
            <w:r w:rsidR="001A7AF8" w:rsidRPr="00394B4B">
              <w:rPr>
                <w:b/>
                <w:sz w:val="20"/>
                <w:szCs w:val="20"/>
              </w:rPr>
              <w:fldChar w:fldCharType="separate"/>
            </w:r>
            <w:r w:rsidR="00BA2792">
              <w:rPr>
                <w:b/>
                <w:noProof/>
                <w:sz w:val="20"/>
                <w:szCs w:val="20"/>
              </w:rPr>
              <w:t>29</w:t>
            </w:r>
            <w:r w:rsidR="001A7AF8" w:rsidRPr="00394B4B">
              <w:rPr>
                <w:b/>
                <w:sz w:val="20"/>
                <w:szCs w:val="20"/>
              </w:rPr>
              <w:fldChar w:fldCharType="end"/>
            </w:r>
            <w:bookmarkEnd w:id="117"/>
            <w:r w:rsidRPr="00394B4B">
              <w:rPr>
                <w:sz w:val="20"/>
                <w:szCs w:val="20"/>
              </w:rPr>
              <w:t>:</w:t>
            </w:r>
            <w:r>
              <w:rPr>
                <w:sz w:val="20"/>
                <w:szCs w:val="20"/>
              </w:rPr>
              <w:t xml:space="preserve"> </w:t>
            </w:r>
            <w:r w:rsidRPr="00DB372F">
              <w:rPr>
                <w:sz w:val="20"/>
                <w:szCs w:val="20"/>
              </w:rPr>
              <w:t>Modular Structure of EFFECT</w:t>
            </w:r>
            <w:bookmarkEnd w:id="118"/>
            <w:r w:rsidRPr="00DB372F">
              <w:rPr>
                <w:sz w:val="20"/>
                <w:szCs w:val="20"/>
              </w:rPr>
              <w:t xml:space="preserve"> </w:t>
            </w:r>
            <w:r>
              <w:rPr>
                <w:sz w:val="20"/>
                <w:szCs w:val="20"/>
              </w:rPr>
              <w:t xml:space="preserve"> </w:t>
            </w:r>
          </w:p>
        </w:tc>
      </w:tr>
      <w:tr w:rsidR="00374614" w:rsidTr="00093252">
        <w:tc>
          <w:tcPr>
            <w:tcW w:w="4950" w:type="dxa"/>
            <w:tcBorders>
              <w:bottom w:val="single" w:sz="4" w:space="0" w:color="auto"/>
            </w:tcBorders>
          </w:tcPr>
          <w:p w:rsidR="00374614" w:rsidRDefault="00374614" w:rsidP="00093252">
            <w:pPr>
              <w:spacing w:after="0"/>
              <w:jc w:val="center"/>
            </w:pPr>
            <w:r w:rsidRPr="00DB372F">
              <w:rPr>
                <w:noProof/>
                <w:lang w:bidi="ar-SA"/>
              </w:rPr>
              <w:drawing>
                <wp:inline distT="0" distB="0" distL="0" distR="0">
                  <wp:extent cx="3086100" cy="2002848"/>
                  <wp:effectExtent l="19050" t="0" r="0" b="0"/>
                  <wp:docPr id="21" name="Picture 15" descr="Sector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ctor diagram"/>
                          <pic:cNvPicPr>
                            <a:picLocks noChangeAspect="1" noChangeArrowheads="1"/>
                          </pic:cNvPicPr>
                        </pic:nvPicPr>
                        <pic:blipFill>
                          <a:blip r:embed="rId62" cstate="print"/>
                          <a:srcRect/>
                          <a:stretch>
                            <a:fillRect/>
                          </a:stretch>
                        </pic:blipFill>
                        <pic:spPr bwMode="auto">
                          <a:xfrm>
                            <a:off x="0" y="0"/>
                            <a:ext cx="3099583" cy="2011598"/>
                          </a:xfrm>
                          <a:prstGeom prst="rect">
                            <a:avLst/>
                          </a:prstGeom>
                          <a:noFill/>
                          <a:ln w="9525">
                            <a:noFill/>
                            <a:miter lim="800000"/>
                            <a:headEnd/>
                            <a:tailEnd/>
                          </a:ln>
                        </pic:spPr>
                      </pic:pic>
                    </a:graphicData>
                  </a:graphic>
                </wp:inline>
              </w:drawing>
            </w:r>
          </w:p>
        </w:tc>
      </w:tr>
      <w:tr w:rsidR="00374614" w:rsidTr="00093252">
        <w:tc>
          <w:tcPr>
            <w:tcW w:w="4950" w:type="dxa"/>
            <w:tcBorders>
              <w:left w:val="nil"/>
              <w:bottom w:val="nil"/>
              <w:right w:val="nil"/>
            </w:tcBorders>
          </w:tcPr>
          <w:p w:rsidR="00374614" w:rsidRPr="00DB372F" w:rsidRDefault="00374614" w:rsidP="00093252">
            <w:pPr>
              <w:spacing w:before="20" w:after="60"/>
              <w:jc w:val="center"/>
              <w:rPr>
                <w:noProof/>
                <w:lang w:eastAsia="ko-KR" w:bidi="ar-SA"/>
              </w:rPr>
            </w:pPr>
            <w:r w:rsidRPr="00961A10">
              <w:rPr>
                <w:i/>
                <w:sz w:val="18"/>
                <w:szCs w:val="18"/>
              </w:rPr>
              <w:t xml:space="preserve">Source: </w:t>
            </w:r>
            <w:r w:rsidRPr="00961A10">
              <w:rPr>
                <w:sz w:val="18"/>
                <w:szCs w:val="18"/>
              </w:rPr>
              <w:t xml:space="preserve"> </w:t>
            </w:r>
            <w:r>
              <w:rPr>
                <w:i/>
                <w:sz w:val="18"/>
                <w:szCs w:val="18"/>
              </w:rPr>
              <w:t>ESMAP</w:t>
            </w:r>
          </w:p>
        </w:tc>
      </w:tr>
    </w:tbl>
    <w:p w:rsidR="00374614" w:rsidRPr="00374614" w:rsidRDefault="004C30B9" w:rsidP="00374614">
      <w:pPr>
        <w:spacing w:before="180"/>
        <w:rPr>
          <w:b/>
          <w:i/>
        </w:rPr>
      </w:pPr>
      <w:r w:rsidRPr="00374614">
        <w:rPr>
          <w:b/>
          <w:i/>
        </w:rPr>
        <w:t>The EFFECT framework</w:t>
      </w:r>
    </w:p>
    <w:p w:rsidR="00DB372F" w:rsidRDefault="00DB372F" w:rsidP="00DB372F">
      <w:r w:rsidRPr="00DB372F">
        <w:t>EFFECT is an Excel-based bottom-up modeling tool designed to estimate energy consumption and forecast emissions in a given country over a long-term period</w:t>
      </w:r>
      <w:r w:rsidR="00430CE3">
        <w:t>.</w:t>
      </w:r>
      <w:r w:rsidRPr="00DB372F">
        <w:rPr>
          <w:vertAlign w:val="superscript"/>
        </w:rPr>
        <w:footnoteReference w:id="59"/>
      </w:r>
      <w:r w:rsidRPr="00DB372F">
        <w:t xml:space="preserve"> The tool comprises one general module summarizing the basic socio-economic assumptions and six sector-specific modules for industry, transport, agriculture, power, households, and non-residential segments (</w:t>
      </w:r>
      <w:fldSimple w:instr=" REF _Ref324798370 \h  \* MERGEFORMAT ">
        <w:r w:rsidR="00BA2792" w:rsidRPr="00BA2792">
          <w:t xml:space="preserve">Figure </w:t>
        </w:r>
        <w:r w:rsidR="00BA2792" w:rsidRPr="00BA2792">
          <w:rPr>
            <w:noProof/>
          </w:rPr>
          <w:t>29</w:t>
        </w:r>
      </w:fldSimple>
      <w:r w:rsidRPr="00DB372F">
        <w:t xml:space="preserve">). </w:t>
      </w:r>
      <w:r>
        <w:t xml:space="preserve"> </w:t>
      </w:r>
      <w:r w:rsidRPr="00DB372F">
        <w:t>The modular structure of EFFECT allows aggregating energy use estimates to project total emissions on a country level or, alternatively, simulating developments in an individual sector under various policy scenarios</w:t>
      </w:r>
      <w:r>
        <w:t>.</w:t>
      </w:r>
    </w:p>
    <w:p w:rsidR="005A184F" w:rsidRDefault="005A184F" w:rsidP="005A184F">
      <w:r>
        <w:t xml:space="preserve">For purposes of this study, the analysis focuses on environmental and economic effects of policy choices suggested under the Green Transportation Framework as applied to the transport sector in Georgia. More specifically, the tools offered by EFFECT are employed to model and assess the reduction in fuel consumption and associated improvement of air quality under a number of vehicle use and technology considerations. </w:t>
      </w:r>
    </w:p>
    <w:p w:rsidR="005A184F" w:rsidRDefault="005A184F" w:rsidP="005A184F">
      <w:r>
        <w:t xml:space="preserve">In its simplified form, the basic equation underlying the EFFECT framework expresses transport sector energy use as a function of three elements: (i) total number of vehicles (vehicle ownership), (ii) vehicle use (annual distance traveled = number of trips </w:t>
      </w:r>
      <w:r>
        <w:sym w:font="Symbol" w:char="F0B4"/>
      </w:r>
      <w:r>
        <w:t xml:space="preserve"> average length of a trip), and (iii) vehicle technical parameters (e.g. fuel consumption per km for cars or energy consumption index for metro trains). For road transport, the equation takes the following form:</w:t>
      </w:r>
    </w:p>
    <w:p w:rsidR="005A184F" w:rsidRDefault="005A184F" w:rsidP="005A184F">
      <w:pPr>
        <w:ind w:left="1260" w:right="1260"/>
        <w:jc w:val="center"/>
      </w:pPr>
      <w:r w:rsidRPr="005A184F">
        <w:rPr>
          <w:i/>
        </w:rPr>
        <w:t xml:space="preserve">Fuel consumption = number of motor vehicles </w:t>
      </w:r>
      <w:r>
        <w:sym w:font="Symbol" w:char="F0B4"/>
      </w:r>
      <w:r w:rsidRPr="005A184F">
        <w:rPr>
          <w:i/>
        </w:rPr>
        <w:t xml:space="preserve"> annual distance travelled </w:t>
      </w:r>
      <w:r>
        <w:sym w:font="Symbol" w:char="F0B4"/>
      </w:r>
      <w:r w:rsidRPr="005A184F">
        <w:rPr>
          <w:i/>
        </w:rPr>
        <w:t xml:space="preserve"> fuel consumption per km travelled</w:t>
      </w:r>
    </w:p>
    <w:p w:rsidR="005A184F" w:rsidRPr="005A184F" w:rsidRDefault="005A184F" w:rsidP="005A184F">
      <w:r w:rsidRPr="005A184F">
        <w:t>Of critical importance to understanding the overall modeling framework is a brief description of the three concepts mentioned above and their underlying dependencies and relationships.</w:t>
      </w:r>
    </w:p>
    <w:p w:rsidR="005A184F" w:rsidRDefault="005A184F" w:rsidP="00197EC3">
      <w:pPr>
        <w:numPr>
          <w:ilvl w:val="0"/>
          <w:numId w:val="14"/>
        </w:numPr>
      </w:pPr>
      <w:r w:rsidRPr="005A184F">
        <w:rPr>
          <w:b/>
        </w:rPr>
        <w:t>Vehicle ownership.</w:t>
      </w:r>
      <w:r w:rsidRPr="005A184F">
        <w:t xml:space="preserve"> Total vehicle population of a given country consists of a private vehicle fleet (passenger cars and motorcycles) and vehicles owned by public and private entities, which are used for commercial purposes (freight and passenger transportation). While a number of exogenous macroeconomic parameters (GDP, population growth and urbanization) affect the total vehicle stock, different approaches should be used to project private and commercial vehicle ownership.</w:t>
      </w:r>
    </w:p>
    <w:p w:rsidR="005A184F" w:rsidRDefault="005A184F" w:rsidP="005A184F">
      <w:pPr>
        <w:ind w:left="720"/>
      </w:pPr>
      <w:r w:rsidRPr="005A184F">
        <w:lastRenderedPageBreak/>
        <w:t xml:space="preserve">Private vehicle ownership is a function of an extensive array of factors, including but not limited to household income, vehicle purchase price and operating (in-use) costs, demographic characteristics (driver’s age, lifestyle, etc) and other – all of these parameters can be best accounted for using bottom-up forecasting approach based on household survey data. </w:t>
      </w:r>
    </w:p>
    <w:p w:rsidR="005A184F" w:rsidRPr="005A184F" w:rsidRDefault="005A184F" w:rsidP="005A184F">
      <w:pPr>
        <w:ind w:left="720"/>
      </w:pPr>
      <w:r w:rsidRPr="005A184F">
        <w:t xml:space="preserve">Conversely, top-down modeling is considered to be more appropriate when projecting commercial vehicle fleet. The size of the latter can be estimated based on the forecasted demand for freight and passenger transportation services, for which GDP growth (used as a proxy for increase in economic activity, e.g. transportation of goods) and urbanization rate are key determinants. Both approaches are employed in EFFECT.    </w:t>
      </w:r>
    </w:p>
    <w:p w:rsidR="005A184F" w:rsidRDefault="005A184F" w:rsidP="00197EC3">
      <w:pPr>
        <w:numPr>
          <w:ilvl w:val="0"/>
          <w:numId w:val="14"/>
        </w:numPr>
      </w:pPr>
      <w:r w:rsidRPr="005A184F">
        <w:rPr>
          <w:b/>
        </w:rPr>
        <w:t>Vehicle use.</w:t>
      </w:r>
      <w:r w:rsidRPr="005A184F">
        <w:t xml:space="preserve"> Depending on the average age of the fleet and fuel price fluctuations, the number of vehicle-kilometers driven will vary thus affecting vehicle use. The net effect of change in the fuel price is the sum of two effects: the decline in the share of trips made by private motor vehicles (the in-use price elasticity effect) and the effect of an increase in the price of gasoline on shifts to other modes</w:t>
      </w:r>
      <w:r w:rsidR="000357A0">
        <w:t xml:space="preserve">, </w:t>
      </w:r>
      <w:r w:rsidRPr="005A184F">
        <w:t>e.g.</w:t>
      </w:r>
      <w:r w:rsidR="000357A0">
        <w:t>,</w:t>
      </w:r>
      <w:r w:rsidRPr="005A184F">
        <w:t xml:space="preserve"> shift to rail or bus</w:t>
      </w:r>
      <w:r w:rsidR="000357A0">
        <w:t xml:space="preserve"> (elasticity of substation effect</w:t>
      </w:r>
      <w:r w:rsidRPr="005A184F">
        <w:t xml:space="preserve">). </w:t>
      </w:r>
    </w:p>
    <w:p w:rsidR="005A184F" w:rsidRPr="005A184F" w:rsidRDefault="005A184F" w:rsidP="005A184F">
      <w:pPr>
        <w:ind w:left="720"/>
      </w:pPr>
      <w:r w:rsidRPr="005A184F">
        <w:t xml:space="preserve">As evidenced by ample empirical data, vehicle use is inversely correlated with vehicle use: the older the vehicle, the less it is driven. </w:t>
      </w:r>
      <w:r w:rsidR="000357A0" w:rsidRPr="000357A0">
        <w:t>However, a rebound effect may be observed when the reduction of vehicle operating costs due to improved fuel-efficiency of new cars encourages an increase in annual distance travelled.</w:t>
      </w:r>
    </w:p>
    <w:p w:rsidR="005A184F" w:rsidRDefault="005A184F" w:rsidP="00197EC3">
      <w:pPr>
        <w:numPr>
          <w:ilvl w:val="0"/>
          <w:numId w:val="14"/>
        </w:numPr>
      </w:pPr>
      <w:r w:rsidRPr="005A184F">
        <w:rPr>
          <w:b/>
        </w:rPr>
        <w:t>Vehicle fleet composition</w:t>
      </w:r>
      <w:r w:rsidRPr="005A184F">
        <w:t xml:space="preserve"> (vehicle fleet mix by class and technology). Future vehicle sales mix</w:t>
      </w:r>
      <w:r>
        <w:t>—</w:t>
      </w:r>
      <w:r w:rsidRPr="005A184F">
        <w:t>and, ultimately, the composition of future vehicle population</w:t>
      </w:r>
      <w:r>
        <w:t>—</w:t>
      </w:r>
      <w:r w:rsidRPr="005A184F">
        <w:t>depends</w:t>
      </w:r>
      <w:r>
        <w:t xml:space="preserve"> </w:t>
      </w:r>
      <w:r w:rsidRPr="005A184F">
        <w:t>on a complex set of consumer preferences.  Most published studies of vehicle type choice attempt measuring these preferences by focusing on such explanatory variables as vehicle attributes, household characteristics, brand loyalty, travel attitude, personality, and lifestyle factors.</w:t>
      </w:r>
    </w:p>
    <w:p w:rsidR="005A184F" w:rsidRPr="005A184F" w:rsidRDefault="005A184F" w:rsidP="005A184F">
      <w:pPr>
        <w:ind w:left="720"/>
      </w:pPr>
      <w:r w:rsidRPr="005A184F">
        <w:t xml:space="preserve">Originally conceived as an engineering type modeling tool, EFFECT was not designed to reflect the complicated nature of user choices and their effects on vehicle fleet composition. Noting this caveat, a number of essential assumptions on consumer behavior were introduced in the model exogenously. The behavioral assumptions applied are described in more detail in </w:t>
      </w:r>
      <w:r w:rsidRPr="005A184F">
        <w:rPr>
          <w:i/>
        </w:rPr>
        <w:t xml:space="preserve">Section </w:t>
      </w:r>
      <w:r w:rsidR="000357A0">
        <w:rPr>
          <w:i/>
        </w:rPr>
        <w:t>C</w:t>
      </w:r>
      <w:r w:rsidRPr="005A184F">
        <w:rPr>
          <w:i/>
        </w:rPr>
        <w:t>: Assumptions Used in the Analysis</w:t>
      </w:r>
      <w:r w:rsidRPr="005A184F">
        <w:t>.</w:t>
      </w:r>
    </w:p>
    <w:p w:rsidR="005A184F" w:rsidRPr="005A184F" w:rsidRDefault="005A184F" w:rsidP="005A184F">
      <w:r w:rsidRPr="005A184F">
        <w:t xml:space="preserve">An important factor influencing aggregate transport sector emissions is the modal shift, i.e. relative change in the market share of three transport modes analyzed under EFFECT framework – road transport, railway and metro. Other things being equal, a shift from road to railway vehicles or from passenger cars to public transport will result in reduced emissions and improved air quality. </w:t>
      </w:r>
    </w:p>
    <w:p w:rsidR="005A184F" w:rsidRDefault="005A184F" w:rsidP="005A184F">
      <w:r w:rsidRPr="005A184F">
        <w:t>By analogy to vehicle type choice, travel mode choice by individual users depends on several quality variables (e.g., price, travel time, comfort, convenience, safety, etc.), which cannot be accounted for in EFFECT. To compensate for dearth of such dependencies in EFFECT, benchmarking data was used to model various model shift scenarios</w:t>
      </w:r>
      <w:r>
        <w:t>, as referred to in various places of the report</w:t>
      </w:r>
      <w:r w:rsidRPr="005A184F">
        <w:t>.</w:t>
      </w:r>
      <w:r>
        <w:t xml:space="preserve"> </w:t>
      </w:r>
      <w:r w:rsidRPr="005A184F">
        <w:t>Introducing these exogenous assumptions in EFFECT allows filling out the existing gaps and calibrating a simple but accurate policy simulation.</w:t>
      </w:r>
      <w:r>
        <w:t xml:space="preserve">  Structure of EFFECT analysis is depicted in </w:t>
      </w:r>
      <w:fldSimple w:instr=" REF _Ref324955784 \h  \* MERGEFORMAT ">
        <w:r w:rsidR="00BA2792" w:rsidRPr="00BA2792">
          <w:t xml:space="preserve">Figure </w:t>
        </w:r>
        <w:r w:rsidR="00BA2792" w:rsidRPr="00BA2792">
          <w:rPr>
            <w:noProof/>
          </w:rPr>
          <w:t>30</w:t>
        </w:r>
      </w:fldSimple>
      <w:r w:rsidRPr="005A184F">
        <w:t>.</w:t>
      </w:r>
    </w:p>
    <w:p w:rsidR="005A184F" w:rsidRDefault="005A184F" w:rsidP="005A184F"/>
    <w:p w:rsidR="005A184F" w:rsidRDefault="005A184F" w:rsidP="005A184F"/>
    <w:tbl>
      <w:tblPr>
        <w:tblStyle w:val="TableGrid"/>
        <w:tblW w:w="0" w:type="auto"/>
        <w:jc w:val="center"/>
        <w:tblLayout w:type="fixed"/>
        <w:tblCellMar>
          <w:left w:w="0" w:type="dxa"/>
          <w:right w:w="0" w:type="dxa"/>
        </w:tblCellMar>
        <w:tblLook w:val="04A0"/>
      </w:tblPr>
      <w:tblGrid>
        <w:gridCol w:w="8652"/>
      </w:tblGrid>
      <w:tr w:rsidR="005A184F" w:rsidTr="005A184F">
        <w:trPr>
          <w:trHeight w:val="183"/>
          <w:jc w:val="center"/>
        </w:trPr>
        <w:tc>
          <w:tcPr>
            <w:tcW w:w="8652" w:type="dxa"/>
            <w:tcBorders>
              <w:top w:val="nil"/>
              <w:left w:val="nil"/>
              <w:bottom w:val="single" w:sz="4" w:space="0" w:color="auto"/>
              <w:right w:val="nil"/>
            </w:tcBorders>
          </w:tcPr>
          <w:p w:rsidR="005A184F" w:rsidRPr="005631F9" w:rsidRDefault="005A184F" w:rsidP="005A184F">
            <w:pPr>
              <w:spacing w:after="0"/>
              <w:jc w:val="center"/>
              <w:rPr>
                <w:sz w:val="20"/>
                <w:szCs w:val="20"/>
              </w:rPr>
            </w:pPr>
            <w:bookmarkStart w:id="119" w:name="_Ref324955784"/>
            <w:bookmarkStart w:id="120" w:name="_Toc326892851"/>
            <w:r w:rsidRPr="00394B4B">
              <w:rPr>
                <w:b/>
                <w:sz w:val="20"/>
                <w:szCs w:val="20"/>
              </w:rPr>
              <w:lastRenderedPageBreak/>
              <w:t xml:space="preserve">Figure </w:t>
            </w:r>
            <w:r w:rsidR="001A7AF8" w:rsidRPr="00394B4B">
              <w:rPr>
                <w:b/>
                <w:sz w:val="20"/>
                <w:szCs w:val="20"/>
              </w:rPr>
              <w:fldChar w:fldCharType="begin"/>
            </w:r>
            <w:r w:rsidRPr="00394B4B">
              <w:rPr>
                <w:b/>
                <w:sz w:val="20"/>
                <w:szCs w:val="20"/>
              </w:rPr>
              <w:instrText xml:space="preserve"> SEQ Figure \* ARABIC </w:instrText>
            </w:r>
            <w:r w:rsidR="001A7AF8" w:rsidRPr="00394B4B">
              <w:rPr>
                <w:b/>
                <w:sz w:val="20"/>
                <w:szCs w:val="20"/>
              </w:rPr>
              <w:fldChar w:fldCharType="separate"/>
            </w:r>
            <w:r w:rsidR="00BA2792">
              <w:rPr>
                <w:b/>
                <w:noProof/>
                <w:sz w:val="20"/>
                <w:szCs w:val="20"/>
              </w:rPr>
              <w:t>30</w:t>
            </w:r>
            <w:r w:rsidR="001A7AF8" w:rsidRPr="00394B4B">
              <w:rPr>
                <w:b/>
                <w:sz w:val="20"/>
                <w:szCs w:val="20"/>
              </w:rPr>
              <w:fldChar w:fldCharType="end"/>
            </w:r>
            <w:bookmarkEnd w:id="119"/>
            <w:r w:rsidRPr="00394B4B">
              <w:rPr>
                <w:sz w:val="20"/>
                <w:szCs w:val="20"/>
              </w:rPr>
              <w:t>:</w:t>
            </w:r>
            <w:r>
              <w:rPr>
                <w:sz w:val="20"/>
                <w:szCs w:val="20"/>
              </w:rPr>
              <w:t xml:space="preserve"> </w:t>
            </w:r>
            <w:r w:rsidRPr="00DB372F">
              <w:rPr>
                <w:sz w:val="20"/>
                <w:szCs w:val="20"/>
              </w:rPr>
              <w:t xml:space="preserve">EFFECT </w:t>
            </w:r>
            <w:r>
              <w:rPr>
                <w:sz w:val="20"/>
                <w:szCs w:val="20"/>
              </w:rPr>
              <w:t xml:space="preserve"> Modeling Framework</w:t>
            </w:r>
            <w:bookmarkEnd w:id="120"/>
          </w:p>
        </w:tc>
      </w:tr>
      <w:tr w:rsidR="005A184F" w:rsidTr="005A184F">
        <w:trPr>
          <w:jc w:val="center"/>
        </w:trPr>
        <w:tc>
          <w:tcPr>
            <w:tcW w:w="8652" w:type="dxa"/>
            <w:tcBorders>
              <w:bottom w:val="single" w:sz="4" w:space="0" w:color="auto"/>
            </w:tcBorders>
          </w:tcPr>
          <w:p w:rsidR="005A184F" w:rsidRDefault="005A184F" w:rsidP="005A184F">
            <w:pPr>
              <w:spacing w:after="0"/>
              <w:jc w:val="center"/>
            </w:pPr>
            <w:r w:rsidRPr="005A184F">
              <w:rPr>
                <w:noProof/>
                <w:lang w:bidi="ar-SA"/>
              </w:rPr>
              <w:drawing>
                <wp:inline distT="0" distB="0" distL="0" distR="0">
                  <wp:extent cx="5291904" cy="2466975"/>
                  <wp:effectExtent l="19050" t="0" r="3996"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srcRect/>
                          <a:stretch>
                            <a:fillRect/>
                          </a:stretch>
                        </pic:blipFill>
                        <pic:spPr bwMode="auto">
                          <a:xfrm>
                            <a:off x="0" y="0"/>
                            <a:ext cx="5304739" cy="2472958"/>
                          </a:xfrm>
                          <a:prstGeom prst="rect">
                            <a:avLst/>
                          </a:prstGeom>
                          <a:noFill/>
                          <a:ln w="9525">
                            <a:noFill/>
                            <a:miter lim="800000"/>
                            <a:headEnd/>
                            <a:tailEnd/>
                          </a:ln>
                        </pic:spPr>
                      </pic:pic>
                    </a:graphicData>
                  </a:graphic>
                </wp:inline>
              </w:drawing>
            </w:r>
          </w:p>
        </w:tc>
      </w:tr>
      <w:tr w:rsidR="005A184F" w:rsidTr="005A184F">
        <w:trPr>
          <w:jc w:val="center"/>
        </w:trPr>
        <w:tc>
          <w:tcPr>
            <w:tcW w:w="8652" w:type="dxa"/>
            <w:tcBorders>
              <w:left w:val="nil"/>
              <w:bottom w:val="nil"/>
              <w:right w:val="nil"/>
            </w:tcBorders>
          </w:tcPr>
          <w:p w:rsidR="005A184F" w:rsidRPr="00DB372F" w:rsidRDefault="005A184F" w:rsidP="00E72EC9">
            <w:pPr>
              <w:spacing w:before="20" w:after="0"/>
              <w:jc w:val="center"/>
              <w:rPr>
                <w:noProof/>
                <w:lang w:eastAsia="ko-KR" w:bidi="ar-SA"/>
              </w:rPr>
            </w:pPr>
            <w:r w:rsidRPr="00961A10">
              <w:rPr>
                <w:i/>
                <w:sz w:val="18"/>
                <w:szCs w:val="18"/>
              </w:rPr>
              <w:t xml:space="preserve">Source: </w:t>
            </w:r>
            <w:r w:rsidRPr="00961A10">
              <w:rPr>
                <w:sz w:val="18"/>
                <w:szCs w:val="18"/>
              </w:rPr>
              <w:t xml:space="preserve"> </w:t>
            </w:r>
            <w:r>
              <w:rPr>
                <w:i/>
                <w:sz w:val="18"/>
                <w:szCs w:val="18"/>
              </w:rPr>
              <w:t>ESMAP</w:t>
            </w:r>
          </w:p>
        </w:tc>
      </w:tr>
    </w:tbl>
    <w:p w:rsidR="002360C5" w:rsidRPr="00A24018" w:rsidRDefault="002360C5" w:rsidP="00F83E99">
      <w:pPr>
        <w:pStyle w:val="Heading2"/>
      </w:pPr>
      <w:bookmarkStart w:id="121" w:name="_Toc326892944"/>
      <w:r>
        <w:t>Data used in the analysis</w:t>
      </w:r>
      <w:bookmarkEnd w:id="121"/>
    </w:p>
    <w:p w:rsidR="005A184F" w:rsidRPr="005A184F" w:rsidRDefault="005A184F" w:rsidP="005A184F">
      <w:r w:rsidRPr="005A184F">
        <w:t xml:space="preserve">The transport module encompasses road, railway, and metro transport. A detailed micro-level dataset is used to forecast vehicle population </w:t>
      </w:r>
      <w:r w:rsidR="002360C5">
        <w:t xml:space="preserve">for each mode over a long-term </w:t>
      </w:r>
      <w:r w:rsidRPr="005A184F">
        <w:t>horizon, (the scenarios developed for Georgia span over 25 years, i.e. till 2036). The quantitative and qualitative characteristics of the projected vehicle stock determine the demand for energy in transport sector and the associated greenhouse gas and air pollutant emissions; therefore, high level of disaggregation of input data and projected vehicle stock is crucial to ensure the accuracy and quality of endogenous calculations.</w:t>
      </w:r>
    </w:p>
    <w:p w:rsidR="005A184F" w:rsidRPr="005A184F" w:rsidRDefault="005A184F" w:rsidP="002360C5">
      <w:r w:rsidRPr="005A184F">
        <w:t>The required inputs for the transport module can be broadly categorized as follows:</w:t>
      </w:r>
      <w:r w:rsidR="002360C5">
        <w:t xml:space="preserve"> (i) </w:t>
      </w:r>
      <w:r w:rsidRPr="005A184F">
        <w:t>Baseline vehicle stock data;</w:t>
      </w:r>
      <w:r w:rsidR="002360C5">
        <w:t xml:space="preserve"> (ii) </w:t>
      </w:r>
      <w:r w:rsidRPr="005A184F">
        <w:t>Household survey data;</w:t>
      </w:r>
      <w:r w:rsidR="002360C5">
        <w:t xml:space="preserve"> (iii) </w:t>
      </w:r>
      <w:r w:rsidRPr="005A184F">
        <w:t>Baseline vehicle use data;</w:t>
      </w:r>
      <w:r w:rsidR="002360C5">
        <w:t xml:space="preserve"> (iv) </w:t>
      </w:r>
      <w:r w:rsidRPr="005A184F">
        <w:t>Data on operating conditions;</w:t>
      </w:r>
      <w:r w:rsidR="002360C5">
        <w:t xml:space="preserve"> and (v) </w:t>
      </w:r>
      <w:r w:rsidRPr="005A184F">
        <w:t>Data on vehicle capital and operating costs.</w:t>
      </w:r>
    </w:p>
    <w:p w:rsidR="00503F7F" w:rsidRPr="001B5EB8" w:rsidRDefault="00503F7F" w:rsidP="00525183">
      <w:pPr>
        <w:pStyle w:val="Caption"/>
        <w:spacing w:after="80" w:line="276" w:lineRule="auto"/>
        <w:rPr>
          <w:color w:val="auto"/>
          <w:sz w:val="20"/>
          <w:szCs w:val="20"/>
        </w:rPr>
      </w:pPr>
      <w:bookmarkStart w:id="122" w:name="_Toc326892902"/>
      <w:r w:rsidRPr="001B5EB8">
        <w:rPr>
          <w:color w:val="auto"/>
          <w:sz w:val="20"/>
          <w:szCs w:val="20"/>
        </w:rPr>
        <w:t xml:space="preserve">Table </w:t>
      </w:r>
      <w:r w:rsidR="001A7AF8" w:rsidRPr="001B5EB8">
        <w:rPr>
          <w:color w:val="auto"/>
          <w:sz w:val="20"/>
          <w:szCs w:val="20"/>
        </w:rPr>
        <w:fldChar w:fldCharType="begin"/>
      </w:r>
      <w:r w:rsidRPr="001B5EB8">
        <w:rPr>
          <w:color w:val="auto"/>
          <w:sz w:val="20"/>
          <w:szCs w:val="20"/>
        </w:rPr>
        <w:instrText xml:space="preserve"> SEQ Table \* ARABIC </w:instrText>
      </w:r>
      <w:r w:rsidR="001A7AF8" w:rsidRPr="001B5EB8">
        <w:rPr>
          <w:color w:val="auto"/>
          <w:sz w:val="20"/>
          <w:szCs w:val="20"/>
        </w:rPr>
        <w:fldChar w:fldCharType="separate"/>
      </w:r>
      <w:r w:rsidR="0072342D">
        <w:rPr>
          <w:noProof/>
          <w:color w:val="auto"/>
          <w:sz w:val="20"/>
          <w:szCs w:val="20"/>
        </w:rPr>
        <w:t>11</w:t>
      </w:r>
      <w:r w:rsidR="001A7AF8" w:rsidRPr="001B5EB8">
        <w:rPr>
          <w:color w:val="auto"/>
          <w:sz w:val="20"/>
          <w:szCs w:val="20"/>
        </w:rPr>
        <w:fldChar w:fldCharType="end"/>
      </w:r>
      <w:r w:rsidRPr="001B5EB8">
        <w:rPr>
          <w:color w:val="auto"/>
          <w:sz w:val="20"/>
          <w:szCs w:val="20"/>
        </w:rPr>
        <w:t xml:space="preserve">: </w:t>
      </w:r>
      <w:r>
        <w:rPr>
          <w:color w:val="auto"/>
          <w:sz w:val="20"/>
          <w:szCs w:val="20"/>
        </w:rPr>
        <w:t>EFFECT input data and sources</w:t>
      </w:r>
      <w:bookmarkEnd w:id="122"/>
    </w:p>
    <w:tbl>
      <w:tblPr>
        <w:tblStyle w:val="TableGrid"/>
        <w:tblW w:w="4962" w:type="pct"/>
        <w:tblBorders>
          <w:top w:val="single" w:sz="12" w:space="0" w:color="auto"/>
          <w:left w:val="none" w:sz="0" w:space="0" w:color="auto"/>
          <w:bottom w:val="single" w:sz="12" w:space="0" w:color="auto"/>
          <w:right w:val="none" w:sz="0" w:space="0" w:color="auto"/>
        </w:tblBorders>
        <w:tblCellMar>
          <w:top w:w="14" w:type="dxa"/>
          <w:left w:w="72" w:type="dxa"/>
          <w:bottom w:w="14" w:type="dxa"/>
          <w:right w:w="72" w:type="dxa"/>
        </w:tblCellMar>
        <w:tblLook w:val="04A0"/>
      </w:tblPr>
      <w:tblGrid>
        <w:gridCol w:w="1971"/>
        <w:gridCol w:w="3411"/>
        <w:gridCol w:w="4050"/>
      </w:tblGrid>
      <w:tr w:rsidR="00503F7F" w:rsidRPr="00F3773F" w:rsidTr="00503F7F">
        <w:tc>
          <w:tcPr>
            <w:tcW w:w="1045" w:type="pct"/>
          </w:tcPr>
          <w:p w:rsidR="00503F7F" w:rsidRPr="00374614" w:rsidRDefault="00503F7F" w:rsidP="00503F7F">
            <w:pPr>
              <w:spacing w:after="0"/>
              <w:rPr>
                <w:b/>
                <w:sz w:val="21"/>
                <w:szCs w:val="21"/>
              </w:rPr>
            </w:pPr>
            <w:r w:rsidRPr="00374614">
              <w:rPr>
                <w:b/>
                <w:sz w:val="21"/>
                <w:szCs w:val="21"/>
              </w:rPr>
              <w:t>Category</w:t>
            </w:r>
          </w:p>
        </w:tc>
        <w:tc>
          <w:tcPr>
            <w:tcW w:w="1808" w:type="pct"/>
          </w:tcPr>
          <w:p w:rsidR="00503F7F" w:rsidRPr="00374614" w:rsidRDefault="00503F7F" w:rsidP="00503F7F">
            <w:pPr>
              <w:spacing w:after="0"/>
              <w:rPr>
                <w:b/>
                <w:sz w:val="21"/>
                <w:szCs w:val="21"/>
              </w:rPr>
            </w:pPr>
            <w:r w:rsidRPr="00374614">
              <w:rPr>
                <w:b/>
                <w:sz w:val="21"/>
                <w:szCs w:val="21"/>
              </w:rPr>
              <w:t>Data</w:t>
            </w:r>
          </w:p>
        </w:tc>
        <w:tc>
          <w:tcPr>
            <w:tcW w:w="2147" w:type="pct"/>
            <w:hideMark/>
          </w:tcPr>
          <w:p w:rsidR="00503F7F" w:rsidRPr="00374614" w:rsidRDefault="00503F7F" w:rsidP="00503F7F">
            <w:pPr>
              <w:spacing w:after="0"/>
              <w:rPr>
                <w:b/>
                <w:sz w:val="21"/>
                <w:szCs w:val="21"/>
              </w:rPr>
            </w:pPr>
            <w:r w:rsidRPr="00374614">
              <w:rPr>
                <w:b/>
                <w:sz w:val="21"/>
                <w:szCs w:val="21"/>
              </w:rPr>
              <w:t>Source</w:t>
            </w:r>
          </w:p>
        </w:tc>
      </w:tr>
      <w:tr w:rsidR="00503F7F" w:rsidRPr="00F3773F" w:rsidTr="00503F7F">
        <w:tc>
          <w:tcPr>
            <w:tcW w:w="1045" w:type="pct"/>
            <w:vMerge w:val="restart"/>
          </w:tcPr>
          <w:p w:rsidR="00503F7F" w:rsidRPr="00374614" w:rsidRDefault="00503F7F" w:rsidP="00503F7F">
            <w:pPr>
              <w:spacing w:after="0"/>
              <w:rPr>
                <w:sz w:val="21"/>
                <w:szCs w:val="21"/>
              </w:rPr>
            </w:pPr>
            <w:r w:rsidRPr="00374614">
              <w:rPr>
                <w:sz w:val="21"/>
                <w:szCs w:val="21"/>
              </w:rPr>
              <w:t>Socio-economic</w:t>
            </w:r>
          </w:p>
        </w:tc>
        <w:tc>
          <w:tcPr>
            <w:tcW w:w="1808" w:type="pct"/>
          </w:tcPr>
          <w:p w:rsidR="00503F7F" w:rsidRPr="00374614" w:rsidRDefault="00503F7F" w:rsidP="00503F7F">
            <w:pPr>
              <w:spacing w:after="0"/>
              <w:rPr>
                <w:sz w:val="21"/>
                <w:szCs w:val="21"/>
              </w:rPr>
            </w:pPr>
            <w:r w:rsidRPr="00374614">
              <w:rPr>
                <w:sz w:val="21"/>
                <w:szCs w:val="21"/>
              </w:rPr>
              <w:t>Inflation</w:t>
            </w:r>
          </w:p>
        </w:tc>
        <w:tc>
          <w:tcPr>
            <w:tcW w:w="2147" w:type="pct"/>
            <w:hideMark/>
          </w:tcPr>
          <w:p w:rsidR="00503F7F" w:rsidRPr="00374614" w:rsidRDefault="00503F7F" w:rsidP="00503F7F">
            <w:pPr>
              <w:spacing w:after="0"/>
              <w:rPr>
                <w:sz w:val="21"/>
                <w:szCs w:val="21"/>
              </w:rPr>
            </w:pPr>
            <w:r w:rsidRPr="00374614">
              <w:rPr>
                <w:sz w:val="21"/>
                <w:szCs w:val="21"/>
              </w:rPr>
              <w:t>Geostat.ge</w:t>
            </w:r>
          </w:p>
        </w:tc>
      </w:tr>
      <w:tr w:rsidR="00503F7F" w:rsidRPr="00F3773F" w:rsidTr="00503F7F">
        <w:tc>
          <w:tcPr>
            <w:tcW w:w="1045" w:type="pct"/>
            <w:vMerge/>
          </w:tcPr>
          <w:p w:rsidR="00503F7F" w:rsidRPr="00374614" w:rsidRDefault="00503F7F" w:rsidP="00503F7F">
            <w:pPr>
              <w:spacing w:after="0"/>
              <w:rPr>
                <w:sz w:val="21"/>
                <w:szCs w:val="21"/>
              </w:rPr>
            </w:pPr>
          </w:p>
        </w:tc>
        <w:tc>
          <w:tcPr>
            <w:tcW w:w="1808" w:type="pct"/>
          </w:tcPr>
          <w:p w:rsidR="00503F7F" w:rsidRPr="00374614" w:rsidRDefault="00503F7F" w:rsidP="00503F7F">
            <w:pPr>
              <w:spacing w:after="0"/>
              <w:rPr>
                <w:sz w:val="21"/>
                <w:szCs w:val="21"/>
              </w:rPr>
            </w:pPr>
            <w:r w:rsidRPr="00374614">
              <w:rPr>
                <w:sz w:val="21"/>
                <w:szCs w:val="21"/>
              </w:rPr>
              <w:t>Gross Domestic Product (GDP)</w:t>
            </w:r>
          </w:p>
        </w:tc>
        <w:tc>
          <w:tcPr>
            <w:tcW w:w="2147" w:type="pct"/>
            <w:hideMark/>
          </w:tcPr>
          <w:p w:rsidR="00503F7F" w:rsidRPr="00374614" w:rsidRDefault="00503F7F" w:rsidP="00503F7F">
            <w:pPr>
              <w:spacing w:after="0"/>
              <w:rPr>
                <w:sz w:val="21"/>
                <w:szCs w:val="21"/>
              </w:rPr>
            </w:pPr>
            <w:r w:rsidRPr="00374614">
              <w:rPr>
                <w:sz w:val="21"/>
                <w:szCs w:val="21"/>
              </w:rPr>
              <w:t>Geostat.ge</w:t>
            </w:r>
          </w:p>
        </w:tc>
      </w:tr>
      <w:tr w:rsidR="00503F7F" w:rsidRPr="00F3773F" w:rsidTr="00503F7F">
        <w:tc>
          <w:tcPr>
            <w:tcW w:w="1045" w:type="pct"/>
            <w:vMerge/>
          </w:tcPr>
          <w:p w:rsidR="00503F7F" w:rsidRPr="00374614" w:rsidRDefault="00503F7F" w:rsidP="00503F7F">
            <w:pPr>
              <w:spacing w:after="0"/>
              <w:rPr>
                <w:sz w:val="21"/>
                <w:szCs w:val="21"/>
              </w:rPr>
            </w:pPr>
          </w:p>
        </w:tc>
        <w:tc>
          <w:tcPr>
            <w:tcW w:w="1808" w:type="pct"/>
          </w:tcPr>
          <w:p w:rsidR="00503F7F" w:rsidRPr="00374614" w:rsidRDefault="00503F7F" w:rsidP="00503F7F">
            <w:pPr>
              <w:spacing w:after="0"/>
              <w:rPr>
                <w:sz w:val="21"/>
                <w:szCs w:val="21"/>
              </w:rPr>
            </w:pPr>
            <w:r w:rsidRPr="00374614">
              <w:rPr>
                <w:sz w:val="21"/>
                <w:szCs w:val="21"/>
              </w:rPr>
              <w:t>GDP growth rate</w:t>
            </w:r>
          </w:p>
        </w:tc>
        <w:tc>
          <w:tcPr>
            <w:tcW w:w="2147" w:type="pct"/>
            <w:hideMark/>
          </w:tcPr>
          <w:p w:rsidR="00503F7F" w:rsidRPr="00374614" w:rsidRDefault="00503F7F" w:rsidP="00503F7F">
            <w:pPr>
              <w:spacing w:after="0"/>
              <w:rPr>
                <w:sz w:val="21"/>
                <w:szCs w:val="21"/>
              </w:rPr>
            </w:pPr>
            <w:r w:rsidRPr="00374614">
              <w:rPr>
                <w:sz w:val="21"/>
                <w:szCs w:val="21"/>
              </w:rPr>
              <w:t>World Bank projections based on IMF data</w:t>
            </w:r>
          </w:p>
        </w:tc>
      </w:tr>
      <w:tr w:rsidR="00503F7F" w:rsidRPr="00F3773F" w:rsidTr="00503F7F">
        <w:tc>
          <w:tcPr>
            <w:tcW w:w="1045" w:type="pct"/>
            <w:vMerge/>
          </w:tcPr>
          <w:p w:rsidR="00503F7F" w:rsidRPr="00374614" w:rsidRDefault="00503F7F" w:rsidP="00503F7F">
            <w:pPr>
              <w:spacing w:after="0"/>
              <w:rPr>
                <w:sz w:val="21"/>
                <w:szCs w:val="21"/>
              </w:rPr>
            </w:pPr>
          </w:p>
        </w:tc>
        <w:tc>
          <w:tcPr>
            <w:tcW w:w="1808" w:type="pct"/>
          </w:tcPr>
          <w:p w:rsidR="00503F7F" w:rsidRPr="00374614" w:rsidRDefault="00503F7F" w:rsidP="00503F7F">
            <w:pPr>
              <w:spacing w:after="0"/>
              <w:rPr>
                <w:i/>
                <w:sz w:val="21"/>
                <w:szCs w:val="21"/>
              </w:rPr>
            </w:pPr>
            <w:r w:rsidRPr="00374614">
              <w:rPr>
                <w:sz w:val="21"/>
                <w:szCs w:val="21"/>
              </w:rPr>
              <w:t>GDP by Sector</w:t>
            </w:r>
          </w:p>
        </w:tc>
        <w:tc>
          <w:tcPr>
            <w:tcW w:w="2147" w:type="pct"/>
            <w:hideMark/>
          </w:tcPr>
          <w:p w:rsidR="00503F7F" w:rsidRPr="00374614" w:rsidRDefault="00503F7F" w:rsidP="00503F7F">
            <w:pPr>
              <w:spacing w:after="0"/>
              <w:rPr>
                <w:sz w:val="21"/>
                <w:szCs w:val="21"/>
              </w:rPr>
            </w:pPr>
            <w:r w:rsidRPr="00374614">
              <w:rPr>
                <w:sz w:val="21"/>
                <w:szCs w:val="21"/>
              </w:rPr>
              <w:t>Geostat.ge</w:t>
            </w:r>
          </w:p>
        </w:tc>
      </w:tr>
      <w:tr w:rsidR="00503F7F" w:rsidRPr="00F3773F" w:rsidTr="00503F7F">
        <w:tc>
          <w:tcPr>
            <w:tcW w:w="1045" w:type="pct"/>
            <w:vMerge/>
          </w:tcPr>
          <w:p w:rsidR="00503F7F" w:rsidRPr="00374614" w:rsidRDefault="00503F7F" w:rsidP="00503F7F">
            <w:pPr>
              <w:spacing w:after="0"/>
              <w:rPr>
                <w:sz w:val="21"/>
                <w:szCs w:val="21"/>
              </w:rPr>
            </w:pPr>
          </w:p>
        </w:tc>
        <w:tc>
          <w:tcPr>
            <w:tcW w:w="1808" w:type="pct"/>
          </w:tcPr>
          <w:p w:rsidR="00503F7F" w:rsidRPr="00374614" w:rsidRDefault="00503F7F" w:rsidP="00503F7F">
            <w:pPr>
              <w:spacing w:after="0"/>
              <w:rPr>
                <w:sz w:val="21"/>
                <w:szCs w:val="21"/>
              </w:rPr>
            </w:pPr>
            <w:r w:rsidRPr="00374614">
              <w:rPr>
                <w:sz w:val="21"/>
                <w:szCs w:val="21"/>
              </w:rPr>
              <w:t>Exchange rate (GEO/USD)</w:t>
            </w:r>
          </w:p>
        </w:tc>
        <w:tc>
          <w:tcPr>
            <w:tcW w:w="2147" w:type="pct"/>
            <w:hideMark/>
          </w:tcPr>
          <w:p w:rsidR="00503F7F" w:rsidRPr="00374614" w:rsidRDefault="00503F7F" w:rsidP="00503F7F">
            <w:pPr>
              <w:spacing w:after="0"/>
              <w:rPr>
                <w:sz w:val="21"/>
                <w:szCs w:val="21"/>
              </w:rPr>
            </w:pPr>
            <w:r w:rsidRPr="00374614">
              <w:rPr>
                <w:sz w:val="21"/>
                <w:szCs w:val="21"/>
              </w:rPr>
              <w:t>Annual Report of the Ministry of Transport</w:t>
            </w:r>
          </w:p>
        </w:tc>
      </w:tr>
      <w:tr w:rsidR="00503F7F" w:rsidRPr="00F3773F" w:rsidTr="00503F7F">
        <w:tc>
          <w:tcPr>
            <w:tcW w:w="1045" w:type="pct"/>
            <w:vMerge/>
          </w:tcPr>
          <w:p w:rsidR="00503F7F" w:rsidRPr="00374614" w:rsidRDefault="00503F7F" w:rsidP="00503F7F">
            <w:pPr>
              <w:spacing w:after="0"/>
              <w:rPr>
                <w:sz w:val="21"/>
                <w:szCs w:val="21"/>
              </w:rPr>
            </w:pPr>
          </w:p>
        </w:tc>
        <w:tc>
          <w:tcPr>
            <w:tcW w:w="1808" w:type="pct"/>
          </w:tcPr>
          <w:p w:rsidR="00503F7F" w:rsidRPr="00374614" w:rsidRDefault="00503F7F" w:rsidP="00503F7F">
            <w:pPr>
              <w:spacing w:after="0"/>
              <w:rPr>
                <w:sz w:val="21"/>
                <w:szCs w:val="21"/>
              </w:rPr>
            </w:pPr>
            <w:r w:rsidRPr="00374614">
              <w:rPr>
                <w:sz w:val="21"/>
                <w:szCs w:val="21"/>
              </w:rPr>
              <w:t>Discount rate</w:t>
            </w:r>
          </w:p>
        </w:tc>
        <w:tc>
          <w:tcPr>
            <w:tcW w:w="2147" w:type="pct"/>
            <w:hideMark/>
          </w:tcPr>
          <w:p w:rsidR="00503F7F" w:rsidRPr="00374614" w:rsidRDefault="00503F7F" w:rsidP="00503F7F">
            <w:pPr>
              <w:spacing w:after="0"/>
              <w:rPr>
                <w:sz w:val="21"/>
                <w:szCs w:val="21"/>
              </w:rPr>
            </w:pPr>
            <w:r w:rsidRPr="00374614">
              <w:rPr>
                <w:sz w:val="21"/>
                <w:szCs w:val="21"/>
              </w:rPr>
              <w:t>Geostat.ge</w:t>
            </w:r>
          </w:p>
        </w:tc>
      </w:tr>
      <w:tr w:rsidR="00503F7F" w:rsidRPr="00F3773F" w:rsidTr="00503F7F">
        <w:tc>
          <w:tcPr>
            <w:tcW w:w="1045" w:type="pct"/>
            <w:vMerge/>
          </w:tcPr>
          <w:p w:rsidR="00503F7F" w:rsidRPr="00374614" w:rsidRDefault="00503F7F" w:rsidP="00503F7F">
            <w:pPr>
              <w:spacing w:after="0"/>
              <w:rPr>
                <w:sz w:val="21"/>
                <w:szCs w:val="21"/>
              </w:rPr>
            </w:pPr>
          </w:p>
        </w:tc>
        <w:tc>
          <w:tcPr>
            <w:tcW w:w="1808" w:type="pct"/>
          </w:tcPr>
          <w:p w:rsidR="00503F7F" w:rsidRPr="00374614" w:rsidRDefault="00503F7F" w:rsidP="00503F7F">
            <w:pPr>
              <w:spacing w:after="0"/>
              <w:rPr>
                <w:sz w:val="21"/>
                <w:szCs w:val="21"/>
              </w:rPr>
            </w:pPr>
            <w:r w:rsidRPr="00374614">
              <w:rPr>
                <w:sz w:val="21"/>
                <w:szCs w:val="21"/>
              </w:rPr>
              <w:t>Mean monthly per capita expenditure</w:t>
            </w:r>
          </w:p>
        </w:tc>
        <w:tc>
          <w:tcPr>
            <w:tcW w:w="2147" w:type="pct"/>
            <w:hideMark/>
          </w:tcPr>
          <w:p w:rsidR="00503F7F" w:rsidRPr="00374614" w:rsidRDefault="00503F7F" w:rsidP="00503F7F">
            <w:pPr>
              <w:spacing w:after="0"/>
              <w:rPr>
                <w:sz w:val="21"/>
                <w:szCs w:val="21"/>
              </w:rPr>
            </w:pPr>
            <w:r w:rsidRPr="00374614">
              <w:rPr>
                <w:sz w:val="21"/>
                <w:szCs w:val="21"/>
              </w:rPr>
              <w:t>Household survey 2007</w:t>
            </w:r>
          </w:p>
        </w:tc>
      </w:tr>
      <w:tr w:rsidR="00503F7F" w:rsidRPr="00F3773F" w:rsidTr="00503F7F">
        <w:tc>
          <w:tcPr>
            <w:tcW w:w="1045" w:type="pct"/>
            <w:vMerge/>
          </w:tcPr>
          <w:p w:rsidR="00503F7F" w:rsidRPr="00374614" w:rsidRDefault="00503F7F" w:rsidP="00503F7F">
            <w:pPr>
              <w:spacing w:after="0"/>
              <w:rPr>
                <w:sz w:val="21"/>
                <w:szCs w:val="21"/>
              </w:rPr>
            </w:pPr>
          </w:p>
        </w:tc>
        <w:tc>
          <w:tcPr>
            <w:tcW w:w="1808" w:type="pct"/>
          </w:tcPr>
          <w:p w:rsidR="00503F7F" w:rsidRPr="00374614" w:rsidRDefault="00503F7F" w:rsidP="00503F7F">
            <w:pPr>
              <w:spacing w:after="0"/>
              <w:rPr>
                <w:sz w:val="21"/>
                <w:szCs w:val="21"/>
              </w:rPr>
            </w:pPr>
            <w:r w:rsidRPr="00374614">
              <w:rPr>
                <w:sz w:val="21"/>
                <w:szCs w:val="21"/>
              </w:rPr>
              <w:t>Urban</w:t>
            </w:r>
          </w:p>
        </w:tc>
        <w:tc>
          <w:tcPr>
            <w:tcW w:w="2147" w:type="pct"/>
            <w:hideMark/>
          </w:tcPr>
          <w:p w:rsidR="00503F7F" w:rsidRPr="00374614" w:rsidRDefault="00503F7F" w:rsidP="00503F7F">
            <w:pPr>
              <w:spacing w:after="0"/>
              <w:rPr>
                <w:sz w:val="21"/>
                <w:szCs w:val="21"/>
              </w:rPr>
            </w:pPr>
            <w:r w:rsidRPr="00374614">
              <w:rPr>
                <w:sz w:val="21"/>
                <w:szCs w:val="21"/>
              </w:rPr>
              <w:t>Household survey 2007</w:t>
            </w:r>
          </w:p>
        </w:tc>
      </w:tr>
      <w:tr w:rsidR="00503F7F" w:rsidRPr="00F3773F" w:rsidTr="00503F7F">
        <w:tc>
          <w:tcPr>
            <w:tcW w:w="1045" w:type="pct"/>
            <w:vMerge/>
          </w:tcPr>
          <w:p w:rsidR="00503F7F" w:rsidRPr="00374614" w:rsidRDefault="00503F7F" w:rsidP="00503F7F">
            <w:pPr>
              <w:spacing w:after="0"/>
              <w:rPr>
                <w:sz w:val="21"/>
                <w:szCs w:val="21"/>
              </w:rPr>
            </w:pPr>
          </w:p>
        </w:tc>
        <w:tc>
          <w:tcPr>
            <w:tcW w:w="1808" w:type="pct"/>
          </w:tcPr>
          <w:p w:rsidR="00503F7F" w:rsidRPr="00374614" w:rsidRDefault="00503F7F" w:rsidP="00503F7F">
            <w:pPr>
              <w:spacing w:after="0"/>
              <w:rPr>
                <w:sz w:val="21"/>
                <w:szCs w:val="21"/>
              </w:rPr>
            </w:pPr>
            <w:r w:rsidRPr="00374614">
              <w:rPr>
                <w:sz w:val="21"/>
                <w:szCs w:val="21"/>
              </w:rPr>
              <w:t>Rural</w:t>
            </w:r>
          </w:p>
        </w:tc>
        <w:tc>
          <w:tcPr>
            <w:tcW w:w="2147" w:type="pct"/>
            <w:hideMark/>
          </w:tcPr>
          <w:p w:rsidR="00503F7F" w:rsidRPr="00374614" w:rsidRDefault="00503F7F" w:rsidP="00503F7F">
            <w:pPr>
              <w:spacing w:after="0"/>
              <w:rPr>
                <w:sz w:val="21"/>
                <w:szCs w:val="21"/>
              </w:rPr>
            </w:pPr>
            <w:r w:rsidRPr="00374614">
              <w:rPr>
                <w:sz w:val="21"/>
                <w:szCs w:val="21"/>
              </w:rPr>
              <w:t>Household survey 2007</w:t>
            </w:r>
          </w:p>
        </w:tc>
      </w:tr>
      <w:tr w:rsidR="00503F7F" w:rsidRPr="00F3773F" w:rsidTr="00503F7F">
        <w:tc>
          <w:tcPr>
            <w:tcW w:w="1045" w:type="pct"/>
            <w:vMerge w:val="restart"/>
          </w:tcPr>
          <w:p w:rsidR="00503F7F" w:rsidRPr="00374614" w:rsidRDefault="00503F7F" w:rsidP="00503F7F">
            <w:pPr>
              <w:spacing w:after="0"/>
              <w:rPr>
                <w:sz w:val="21"/>
                <w:szCs w:val="21"/>
              </w:rPr>
            </w:pPr>
            <w:r w:rsidRPr="00374614">
              <w:rPr>
                <w:sz w:val="21"/>
                <w:szCs w:val="21"/>
              </w:rPr>
              <w:t>Population</w:t>
            </w:r>
          </w:p>
        </w:tc>
        <w:tc>
          <w:tcPr>
            <w:tcW w:w="1808" w:type="pct"/>
          </w:tcPr>
          <w:p w:rsidR="00503F7F" w:rsidRPr="00374614" w:rsidRDefault="00503F7F" w:rsidP="00503F7F">
            <w:pPr>
              <w:spacing w:after="0"/>
              <w:rPr>
                <w:sz w:val="21"/>
                <w:szCs w:val="21"/>
              </w:rPr>
            </w:pPr>
            <w:r w:rsidRPr="00374614">
              <w:rPr>
                <w:sz w:val="21"/>
                <w:szCs w:val="21"/>
              </w:rPr>
              <w:t>Urbanization</w:t>
            </w:r>
          </w:p>
        </w:tc>
        <w:tc>
          <w:tcPr>
            <w:tcW w:w="2147" w:type="pct"/>
            <w:hideMark/>
          </w:tcPr>
          <w:p w:rsidR="00503F7F" w:rsidRPr="00374614" w:rsidRDefault="00503F7F" w:rsidP="00503F7F">
            <w:pPr>
              <w:spacing w:after="0"/>
              <w:rPr>
                <w:sz w:val="21"/>
                <w:szCs w:val="21"/>
              </w:rPr>
            </w:pPr>
            <w:r w:rsidRPr="00374614">
              <w:rPr>
                <w:sz w:val="21"/>
                <w:szCs w:val="21"/>
              </w:rPr>
              <w:t>WDI</w:t>
            </w:r>
          </w:p>
        </w:tc>
      </w:tr>
      <w:tr w:rsidR="00503F7F" w:rsidRPr="00F3773F" w:rsidTr="00503F7F">
        <w:tc>
          <w:tcPr>
            <w:tcW w:w="1045" w:type="pct"/>
            <w:vMerge/>
          </w:tcPr>
          <w:p w:rsidR="00503F7F" w:rsidRPr="00374614" w:rsidRDefault="00503F7F" w:rsidP="00503F7F">
            <w:pPr>
              <w:spacing w:after="0"/>
              <w:rPr>
                <w:sz w:val="21"/>
                <w:szCs w:val="21"/>
              </w:rPr>
            </w:pPr>
          </w:p>
        </w:tc>
        <w:tc>
          <w:tcPr>
            <w:tcW w:w="1808" w:type="pct"/>
          </w:tcPr>
          <w:p w:rsidR="00503F7F" w:rsidRPr="00374614" w:rsidRDefault="00503F7F" w:rsidP="00503F7F">
            <w:pPr>
              <w:spacing w:after="0"/>
              <w:rPr>
                <w:sz w:val="21"/>
                <w:szCs w:val="21"/>
              </w:rPr>
            </w:pPr>
            <w:r w:rsidRPr="00374614">
              <w:rPr>
                <w:sz w:val="21"/>
                <w:szCs w:val="21"/>
              </w:rPr>
              <w:t>Urban/rural population</w:t>
            </w:r>
          </w:p>
        </w:tc>
        <w:tc>
          <w:tcPr>
            <w:tcW w:w="2147" w:type="pct"/>
            <w:hideMark/>
          </w:tcPr>
          <w:p w:rsidR="00503F7F" w:rsidRPr="00374614" w:rsidRDefault="00503F7F" w:rsidP="00503F7F">
            <w:pPr>
              <w:spacing w:after="0"/>
              <w:rPr>
                <w:sz w:val="21"/>
                <w:szCs w:val="21"/>
              </w:rPr>
            </w:pPr>
            <w:r w:rsidRPr="00374614">
              <w:rPr>
                <w:sz w:val="21"/>
                <w:szCs w:val="21"/>
              </w:rPr>
              <w:t>Household survey 2007</w:t>
            </w:r>
          </w:p>
        </w:tc>
      </w:tr>
      <w:tr w:rsidR="00503F7F" w:rsidRPr="00F3773F" w:rsidTr="00503F7F">
        <w:tc>
          <w:tcPr>
            <w:tcW w:w="1045" w:type="pct"/>
            <w:vMerge w:val="restart"/>
          </w:tcPr>
          <w:p w:rsidR="00503F7F" w:rsidRPr="00374614" w:rsidRDefault="00503F7F" w:rsidP="00503F7F">
            <w:pPr>
              <w:spacing w:after="0"/>
              <w:rPr>
                <w:sz w:val="21"/>
                <w:szCs w:val="21"/>
              </w:rPr>
            </w:pPr>
            <w:r w:rsidRPr="00374614">
              <w:rPr>
                <w:sz w:val="21"/>
                <w:szCs w:val="21"/>
              </w:rPr>
              <w:t>Land</w:t>
            </w:r>
          </w:p>
        </w:tc>
        <w:tc>
          <w:tcPr>
            <w:tcW w:w="1808" w:type="pct"/>
          </w:tcPr>
          <w:p w:rsidR="00503F7F" w:rsidRPr="00374614" w:rsidRDefault="00503F7F" w:rsidP="00503F7F">
            <w:pPr>
              <w:spacing w:after="0"/>
              <w:rPr>
                <w:sz w:val="21"/>
                <w:szCs w:val="21"/>
              </w:rPr>
            </w:pPr>
            <w:r w:rsidRPr="00374614">
              <w:rPr>
                <w:sz w:val="21"/>
                <w:szCs w:val="21"/>
              </w:rPr>
              <w:t>Total land area</w:t>
            </w:r>
          </w:p>
        </w:tc>
        <w:tc>
          <w:tcPr>
            <w:tcW w:w="2147" w:type="pct"/>
            <w:hideMark/>
          </w:tcPr>
          <w:p w:rsidR="00503F7F" w:rsidRPr="00374614" w:rsidRDefault="00503F7F" w:rsidP="00503F7F">
            <w:pPr>
              <w:spacing w:after="0"/>
              <w:rPr>
                <w:sz w:val="21"/>
                <w:szCs w:val="21"/>
              </w:rPr>
            </w:pPr>
            <w:r w:rsidRPr="00374614">
              <w:rPr>
                <w:sz w:val="21"/>
                <w:szCs w:val="21"/>
              </w:rPr>
              <w:t>Geostat.ge</w:t>
            </w:r>
          </w:p>
        </w:tc>
      </w:tr>
      <w:tr w:rsidR="00503F7F" w:rsidRPr="00F3773F" w:rsidTr="00503F7F">
        <w:tc>
          <w:tcPr>
            <w:tcW w:w="1045" w:type="pct"/>
            <w:vMerge/>
          </w:tcPr>
          <w:p w:rsidR="00503F7F" w:rsidRPr="00374614" w:rsidRDefault="00503F7F" w:rsidP="00503F7F">
            <w:pPr>
              <w:spacing w:after="0"/>
              <w:rPr>
                <w:sz w:val="21"/>
                <w:szCs w:val="21"/>
              </w:rPr>
            </w:pPr>
          </w:p>
        </w:tc>
        <w:tc>
          <w:tcPr>
            <w:tcW w:w="1808" w:type="pct"/>
          </w:tcPr>
          <w:p w:rsidR="00503F7F" w:rsidRPr="00374614" w:rsidRDefault="00503F7F" w:rsidP="00503F7F">
            <w:pPr>
              <w:spacing w:after="0"/>
              <w:rPr>
                <w:sz w:val="21"/>
                <w:szCs w:val="21"/>
              </w:rPr>
            </w:pPr>
            <w:r w:rsidRPr="00374614">
              <w:rPr>
                <w:sz w:val="21"/>
                <w:szCs w:val="21"/>
              </w:rPr>
              <w:t>Land are by use</w:t>
            </w:r>
          </w:p>
        </w:tc>
        <w:tc>
          <w:tcPr>
            <w:tcW w:w="2147" w:type="pct"/>
            <w:hideMark/>
          </w:tcPr>
          <w:p w:rsidR="00503F7F" w:rsidRPr="00374614" w:rsidRDefault="00503F7F" w:rsidP="00503F7F">
            <w:pPr>
              <w:spacing w:after="0"/>
              <w:rPr>
                <w:sz w:val="21"/>
                <w:szCs w:val="21"/>
              </w:rPr>
            </w:pPr>
            <w:r w:rsidRPr="00374614">
              <w:rPr>
                <w:sz w:val="21"/>
                <w:szCs w:val="21"/>
              </w:rPr>
              <w:t>Geostat.ge</w:t>
            </w:r>
          </w:p>
        </w:tc>
      </w:tr>
      <w:tr w:rsidR="00503F7F" w:rsidRPr="00F3773F" w:rsidTr="00503F7F">
        <w:tc>
          <w:tcPr>
            <w:tcW w:w="1045" w:type="pct"/>
            <w:vMerge w:val="restart"/>
          </w:tcPr>
          <w:p w:rsidR="00503F7F" w:rsidRPr="00374614" w:rsidRDefault="00503F7F" w:rsidP="00503F7F">
            <w:pPr>
              <w:spacing w:after="0"/>
              <w:rPr>
                <w:sz w:val="21"/>
                <w:szCs w:val="21"/>
              </w:rPr>
            </w:pPr>
            <w:r w:rsidRPr="00374614">
              <w:rPr>
                <w:sz w:val="21"/>
                <w:szCs w:val="21"/>
              </w:rPr>
              <w:t xml:space="preserve">Fuel </w:t>
            </w:r>
          </w:p>
        </w:tc>
        <w:tc>
          <w:tcPr>
            <w:tcW w:w="1808" w:type="pct"/>
          </w:tcPr>
          <w:p w:rsidR="00503F7F" w:rsidRPr="00374614" w:rsidRDefault="00503F7F" w:rsidP="00503F7F">
            <w:pPr>
              <w:spacing w:after="0"/>
              <w:rPr>
                <w:sz w:val="21"/>
                <w:szCs w:val="21"/>
              </w:rPr>
            </w:pPr>
            <w:r w:rsidRPr="00374614">
              <w:rPr>
                <w:sz w:val="21"/>
                <w:szCs w:val="21"/>
              </w:rPr>
              <w:t>Gasoline price</w:t>
            </w:r>
          </w:p>
        </w:tc>
        <w:tc>
          <w:tcPr>
            <w:tcW w:w="2147" w:type="pct"/>
            <w:hideMark/>
          </w:tcPr>
          <w:p w:rsidR="00503F7F" w:rsidRPr="00374614" w:rsidRDefault="00503F7F" w:rsidP="00503F7F">
            <w:pPr>
              <w:spacing w:after="0"/>
              <w:rPr>
                <w:sz w:val="21"/>
                <w:szCs w:val="21"/>
              </w:rPr>
            </w:pPr>
            <w:r w:rsidRPr="00374614">
              <w:rPr>
                <w:sz w:val="21"/>
                <w:szCs w:val="21"/>
              </w:rPr>
              <w:t>Ministry of Finance of Georgia</w:t>
            </w:r>
          </w:p>
        </w:tc>
      </w:tr>
      <w:tr w:rsidR="00503F7F" w:rsidRPr="00F3773F" w:rsidTr="00503F7F">
        <w:tc>
          <w:tcPr>
            <w:tcW w:w="1045" w:type="pct"/>
            <w:vMerge/>
          </w:tcPr>
          <w:p w:rsidR="00503F7F" w:rsidRPr="00374614" w:rsidRDefault="00503F7F" w:rsidP="00503F7F">
            <w:pPr>
              <w:spacing w:after="0"/>
              <w:rPr>
                <w:sz w:val="21"/>
                <w:szCs w:val="21"/>
              </w:rPr>
            </w:pPr>
          </w:p>
        </w:tc>
        <w:tc>
          <w:tcPr>
            <w:tcW w:w="1808" w:type="pct"/>
          </w:tcPr>
          <w:p w:rsidR="00503F7F" w:rsidRPr="00374614" w:rsidRDefault="00503F7F" w:rsidP="00503F7F">
            <w:pPr>
              <w:spacing w:after="0"/>
              <w:rPr>
                <w:sz w:val="21"/>
                <w:szCs w:val="21"/>
              </w:rPr>
            </w:pPr>
            <w:r w:rsidRPr="00374614">
              <w:rPr>
                <w:sz w:val="21"/>
                <w:szCs w:val="21"/>
              </w:rPr>
              <w:t>Diesel price – Service and Transport</w:t>
            </w:r>
          </w:p>
        </w:tc>
        <w:tc>
          <w:tcPr>
            <w:tcW w:w="2147" w:type="pct"/>
            <w:hideMark/>
          </w:tcPr>
          <w:p w:rsidR="00503F7F" w:rsidRPr="00374614" w:rsidRDefault="00503F7F" w:rsidP="00503F7F">
            <w:pPr>
              <w:spacing w:after="0"/>
              <w:rPr>
                <w:sz w:val="21"/>
                <w:szCs w:val="21"/>
              </w:rPr>
            </w:pPr>
            <w:r w:rsidRPr="00374614">
              <w:rPr>
                <w:sz w:val="21"/>
                <w:szCs w:val="21"/>
              </w:rPr>
              <w:t>Ministry of Finance of Georgia</w:t>
            </w:r>
          </w:p>
        </w:tc>
      </w:tr>
      <w:tr w:rsidR="00503F7F" w:rsidRPr="00F3773F" w:rsidTr="00503F7F">
        <w:tc>
          <w:tcPr>
            <w:tcW w:w="1045" w:type="pct"/>
            <w:vMerge/>
          </w:tcPr>
          <w:p w:rsidR="00503F7F" w:rsidRPr="00374614" w:rsidRDefault="00503F7F" w:rsidP="00503F7F">
            <w:pPr>
              <w:spacing w:after="0"/>
              <w:rPr>
                <w:sz w:val="21"/>
                <w:szCs w:val="21"/>
              </w:rPr>
            </w:pPr>
          </w:p>
        </w:tc>
        <w:tc>
          <w:tcPr>
            <w:tcW w:w="1808" w:type="pct"/>
          </w:tcPr>
          <w:p w:rsidR="00503F7F" w:rsidRPr="00374614" w:rsidRDefault="00503F7F" w:rsidP="00503F7F">
            <w:pPr>
              <w:spacing w:after="0"/>
              <w:rPr>
                <w:sz w:val="21"/>
                <w:szCs w:val="21"/>
              </w:rPr>
            </w:pPr>
            <w:r w:rsidRPr="00374614">
              <w:rPr>
                <w:sz w:val="21"/>
                <w:szCs w:val="21"/>
              </w:rPr>
              <w:t>Tax rate for fuels</w:t>
            </w:r>
          </w:p>
        </w:tc>
        <w:tc>
          <w:tcPr>
            <w:tcW w:w="2147" w:type="pct"/>
            <w:hideMark/>
          </w:tcPr>
          <w:p w:rsidR="00503F7F" w:rsidRPr="00374614" w:rsidRDefault="00503F7F" w:rsidP="00503F7F">
            <w:pPr>
              <w:spacing w:after="0"/>
              <w:rPr>
                <w:sz w:val="21"/>
                <w:szCs w:val="21"/>
              </w:rPr>
            </w:pPr>
            <w:r w:rsidRPr="00374614">
              <w:rPr>
                <w:sz w:val="21"/>
                <w:szCs w:val="21"/>
              </w:rPr>
              <w:t xml:space="preserve">Ministry of Finance of Georgia </w:t>
            </w:r>
          </w:p>
        </w:tc>
      </w:tr>
      <w:tr w:rsidR="00503F7F" w:rsidRPr="00F3773F" w:rsidTr="00503F7F">
        <w:tc>
          <w:tcPr>
            <w:tcW w:w="1045" w:type="pct"/>
            <w:vMerge/>
          </w:tcPr>
          <w:p w:rsidR="00503F7F" w:rsidRPr="00374614" w:rsidRDefault="00503F7F" w:rsidP="00503F7F">
            <w:pPr>
              <w:spacing w:after="0"/>
              <w:rPr>
                <w:sz w:val="21"/>
                <w:szCs w:val="21"/>
              </w:rPr>
            </w:pPr>
          </w:p>
        </w:tc>
        <w:tc>
          <w:tcPr>
            <w:tcW w:w="1808" w:type="pct"/>
          </w:tcPr>
          <w:p w:rsidR="00503F7F" w:rsidRPr="00374614" w:rsidRDefault="00503F7F" w:rsidP="00503F7F">
            <w:pPr>
              <w:spacing w:after="0"/>
              <w:rPr>
                <w:sz w:val="21"/>
                <w:szCs w:val="21"/>
              </w:rPr>
            </w:pPr>
            <w:r w:rsidRPr="00374614">
              <w:rPr>
                <w:sz w:val="21"/>
                <w:szCs w:val="21"/>
              </w:rPr>
              <w:t>Income and price elasticities</w:t>
            </w:r>
          </w:p>
        </w:tc>
        <w:tc>
          <w:tcPr>
            <w:tcW w:w="2147" w:type="pct"/>
            <w:hideMark/>
          </w:tcPr>
          <w:p w:rsidR="00503F7F" w:rsidRPr="00374614" w:rsidRDefault="00503F7F" w:rsidP="00503F7F">
            <w:pPr>
              <w:spacing w:after="0"/>
              <w:rPr>
                <w:sz w:val="21"/>
                <w:szCs w:val="21"/>
              </w:rPr>
            </w:pPr>
            <w:r w:rsidRPr="00374614">
              <w:rPr>
                <w:sz w:val="21"/>
                <w:szCs w:val="21"/>
              </w:rPr>
              <w:t>ESMAP empirical research data</w:t>
            </w:r>
          </w:p>
        </w:tc>
      </w:tr>
      <w:tr w:rsidR="00503F7F" w:rsidRPr="00F3773F" w:rsidTr="00503F7F">
        <w:tc>
          <w:tcPr>
            <w:tcW w:w="1045" w:type="pct"/>
            <w:vMerge/>
          </w:tcPr>
          <w:p w:rsidR="00503F7F" w:rsidRPr="00374614" w:rsidRDefault="00503F7F" w:rsidP="00503F7F">
            <w:pPr>
              <w:spacing w:after="0"/>
              <w:rPr>
                <w:sz w:val="21"/>
                <w:szCs w:val="21"/>
              </w:rPr>
            </w:pPr>
          </w:p>
        </w:tc>
        <w:tc>
          <w:tcPr>
            <w:tcW w:w="1808" w:type="pct"/>
          </w:tcPr>
          <w:p w:rsidR="00503F7F" w:rsidRPr="00374614" w:rsidRDefault="00503F7F" w:rsidP="00503F7F">
            <w:pPr>
              <w:spacing w:after="0"/>
              <w:rPr>
                <w:sz w:val="21"/>
                <w:szCs w:val="21"/>
              </w:rPr>
            </w:pPr>
            <w:r w:rsidRPr="00374614">
              <w:rPr>
                <w:sz w:val="21"/>
                <w:szCs w:val="21"/>
              </w:rPr>
              <w:t>Fuel imports</w:t>
            </w:r>
          </w:p>
        </w:tc>
        <w:tc>
          <w:tcPr>
            <w:tcW w:w="2147" w:type="pct"/>
            <w:hideMark/>
          </w:tcPr>
          <w:p w:rsidR="00503F7F" w:rsidRPr="00374614" w:rsidRDefault="00503F7F" w:rsidP="00503F7F">
            <w:pPr>
              <w:spacing w:after="0"/>
              <w:rPr>
                <w:sz w:val="21"/>
                <w:szCs w:val="21"/>
              </w:rPr>
            </w:pPr>
            <w:r w:rsidRPr="00374614">
              <w:rPr>
                <w:sz w:val="21"/>
                <w:szCs w:val="21"/>
              </w:rPr>
              <w:t>Ministry of Energy of Georgia</w:t>
            </w:r>
          </w:p>
        </w:tc>
      </w:tr>
    </w:tbl>
    <w:p w:rsidR="00503F7F" w:rsidRDefault="00503F7F" w:rsidP="00503F7F"/>
    <w:p w:rsidR="000357A0" w:rsidRDefault="005A184F" w:rsidP="005A184F">
      <w:r w:rsidRPr="005A184F">
        <w:rPr>
          <w:b/>
        </w:rPr>
        <w:t>Baseline vehicle stock data.</w:t>
      </w:r>
      <w:r w:rsidRPr="005A184F">
        <w:t xml:space="preserve"> The baseline vehicle stock data are used as a starting point for vehicle ownership projections in EFFECT. </w:t>
      </w:r>
      <w:r w:rsidR="000357A0" w:rsidRPr="000357A0">
        <w:t>There are three approaches to defining active vehicle population in the baseline year: (i) by running a mortality calculation on historic vehicle sales figures; (ii) by conducting a statistically significant survey of in-use vehicles; (iii) by obtaining active vehicle registration data.</w:t>
      </w:r>
    </w:p>
    <w:p w:rsidR="005A184F" w:rsidRPr="005A184F" w:rsidRDefault="000357A0" w:rsidP="005A184F">
      <w:r w:rsidRPr="000357A0">
        <w:t xml:space="preserve">In the first case, the data should be procured for at least 15 consecutive years. </w:t>
      </w:r>
      <w:r w:rsidR="005A184F" w:rsidRPr="005A184F">
        <w:t xml:space="preserve">The mortality rates determined by Winfrey curve are then applied to the sales data to estimate the fraction of vehicles retiring each year over the analyzed period. </w:t>
      </w:r>
      <w:r>
        <w:t xml:space="preserve"> </w:t>
      </w:r>
      <w:r w:rsidRPr="000357A0">
        <w:t>The surviving vehicle stock is calibrated by adjusting the average life of each vehicle type to yield the active vehicle population numbers consistent with the exogenous data for the baseline year (e.g. from vehicle registration database).</w:t>
      </w:r>
    </w:p>
    <w:p w:rsidR="000357A0" w:rsidRDefault="005A184F" w:rsidP="005A184F">
      <w:r w:rsidRPr="005A184F">
        <w:t xml:space="preserve">When historic sales data for such an extended period is not available, the model is populated with </w:t>
      </w:r>
      <w:r w:rsidR="000357A0" w:rsidRPr="000357A0">
        <w:t xml:space="preserve">in-use survey or </w:t>
      </w:r>
      <w:r w:rsidRPr="005A184F">
        <w:t xml:space="preserve">vehicle registration data for the baseline year. </w:t>
      </w:r>
      <w:r w:rsidR="000357A0" w:rsidRPr="000357A0">
        <w:t>In this case, the vehicles of each type are grouped by year of manufacturing, and zero mortality rate is applied (no vehicles are retired, since the input data reflect the actual fleet composition in the baseline year; the vehicles are grouped by the year of manufacturing to ensure accurate calculation of the average age).</w:t>
      </w:r>
    </w:p>
    <w:p w:rsidR="005A184F" w:rsidRDefault="005A184F" w:rsidP="005A184F">
      <w:r w:rsidRPr="005A184F">
        <w:t xml:space="preserve">The vehicle stock data requirements vary for each transport mode (road transport, metro and railway); however, the input data for all modes should be disaggregated by type (car class for private motor vehicles and rolling stock categories for railway transport), age, and technology (emissions standards, fuel type and consumption intensity). </w:t>
      </w:r>
    </w:p>
    <w:p w:rsidR="00503F7F" w:rsidRPr="00E03156" w:rsidRDefault="00503F7F" w:rsidP="00503F7F">
      <w:r w:rsidRPr="00503F7F">
        <w:t>The baseline vehicle stock data used in the analysis were provided by the Ministry of Internal Affairs of Georgia. The dataset comprising 749, 232 vehicles registered in Georgia as of 2011 specifies the year of manufacturing and the year of registration, vehicle model, make, type and engine displacement of each vehicle. The data were further refined and grouped to match the input requirements of the EFFECT model</w:t>
      </w:r>
      <w:r w:rsidR="00430CE3">
        <w:t>.</w:t>
      </w:r>
      <w:r w:rsidRPr="00503F7F">
        <w:rPr>
          <w:vertAlign w:val="superscript"/>
        </w:rPr>
        <w:footnoteReference w:id="60"/>
      </w:r>
      <w:r w:rsidRPr="00503F7F">
        <w:t xml:space="preserve"> </w:t>
      </w:r>
      <w:r w:rsidR="00E03156">
        <w:t xml:space="preserve"> </w:t>
      </w:r>
      <w:r w:rsidRPr="00503F7F">
        <w:t xml:space="preserve">EFFECT distinguishes 13 vehicle types and 9 subtypes, classified according to vehicle size and engine displacement. The vehicle classification used in EFFECT as well as the grouping criteria applied to the vehicles listed in the registry are summarized </w:t>
      </w:r>
      <w:r w:rsidRPr="00E03156">
        <w:t xml:space="preserve">in </w:t>
      </w:r>
      <w:fldSimple w:instr=" REF _Ref324958352 \h  \* MERGEFORMAT ">
        <w:r w:rsidR="0072342D" w:rsidRPr="0072342D">
          <w:t xml:space="preserve">Table </w:t>
        </w:r>
        <w:r w:rsidR="0072342D" w:rsidRPr="0072342D">
          <w:rPr>
            <w:noProof/>
          </w:rPr>
          <w:t>12</w:t>
        </w:r>
      </w:fldSimple>
      <w:r w:rsidR="00E03156">
        <w:t>.</w:t>
      </w:r>
    </w:p>
    <w:p w:rsidR="00503F7F" w:rsidRPr="001B5EB8" w:rsidRDefault="00503F7F" w:rsidP="00525183">
      <w:pPr>
        <w:pStyle w:val="Caption"/>
        <w:spacing w:after="80" w:line="276" w:lineRule="auto"/>
        <w:rPr>
          <w:color w:val="auto"/>
          <w:sz w:val="20"/>
          <w:szCs w:val="20"/>
        </w:rPr>
      </w:pPr>
      <w:bookmarkStart w:id="123" w:name="_Ref324958352"/>
      <w:bookmarkStart w:id="124" w:name="_Toc326892903"/>
      <w:r w:rsidRPr="001B5EB8">
        <w:rPr>
          <w:color w:val="auto"/>
          <w:sz w:val="20"/>
          <w:szCs w:val="20"/>
        </w:rPr>
        <w:t xml:space="preserve">Table </w:t>
      </w:r>
      <w:r w:rsidR="001A7AF8" w:rsidRPr="001B5EB8">
        <w:rPr>
          <w:color w:val="auto"/>
          <w:sz w:val="20"/>
          <w:szCs w:val="20"/>
        </w:rPr>
        <w:fldChar w:fldCharType="begin"/>
      </w:r>
      <w:r w:rsidRPr="001B5EB8">
        <w:rPr>
          <w:color w:val="auto"/>
          <w:sz w:val="20"/>
          <w:szCs w:val="20"/>
        </w:rPr>
        <w:instrText xml:space="preserve"> SEQ Table \* ARABIC </w:instrText>
      </w:r>
      <w:r w:rsidR="001A7AF8" w:rsidRPr="001B5EB8">
        <w:rPr>
          <w:color w:val="auto"/>
          <w:sz w:val="20"/>
          <w:szCs w:val="20"/>
        </w:rPr>
        <w:fldChar w:fldCharType="separate"/>
      </w:r>
      <w:r w:rsidR="0072342D">
        <w:rPr>
          <w:noProof/>
          <w:color w:val="auto"/>
          <w:sz w:val="20"/>
          <w:szCs w:val="20"/>
        </w:rPr>
        <w:t>12</w:t>
      </w:r>
      <w:r w:rsidR="001A7AF8" w:rsidRPr="001B5EB8">
        <w:rPr>
          <w:color w:val="auto"/>
          <w:sz w:val="20"/>
          <w:szCs w:val="20"/>
        </w:rPr>
        <w:fldChar w:fldCharType="end"/>
      </w:r>
      <w:bookmarkEnd w:id="123"/>
      <w:r w:rsidRPr="001B5EB8">
        <w:rPr>
          <w:color w:val="auto"/>
          <w:sz w:val="20"/>
          <w:szCs w:val="20"/>
        </w:rPr>
        <w:t xml:space="preserve">: </w:t>
      </w:r>
      <w:r>
        <w:rPr>
          <w:color w:val="auto"/>
          <w:sz w:val="20"/>
          <w:szCs w:val="20"/>
        </w:rPr>
        <w:t>Vehicle classification used in EFFECT</w:t>
      </w:r>
      <w:bookmarkEnd w:id="124"/>
    </w:p>
    <w:tbl>
      <w:tblPr>
        <w:tblStyle w:val="TableGrid"/>
        <w:tblW w:w="4962" w:type="pct"/>
        <w:tblBorders>
          <w:top w:val="single" w:sz="12" w:space="0" w:color="auto"/>
          <w:left w:val="none" w:sz="0" w:space="0" w:color="auto"/>
          <w:bottom w:val="single" w:sz="12" w:space="0" w:color="auto"/>
          <w:right w:val="none" w:sz="0" w:space="0" w:color="auto"/>
        </w:tblBorders>
        <w:tblCellMar>
          <w:top w:w="14" w:type="dxa"/>
          <w:left w:w="72" w:type="dxa"/>
          <w:bottom w:w="14" w:type="dxa"/>
          <w:right w:w="72" w:type="dxa"/>
        </w:tblCellMar>
        <w:tblLook w:val="04A0"/>
      </w:tblPr>
      <w:tblGrid>
        <w:gridCol w:w="1692"/>
        <w:gridCol w:w="2069"/>
        <w:gridCol w:w="5671"/>
      </w:tblGrid>
      <w:tr w:rsidR="00503F7F" w:rsidRPr="00F3773F" w:rsidTr="00E03156">
        <w:tc>
          <w:tcPr>
            <w:tcW w:w="897" w:type="pct"/>
            <w:tcBorders>
              <w:bottom w:val="single" w:sz="4" w:space="0" w:color="auto"/>
            </w:tcBorders>
          </w:tcPr>
          <w:p w:rsidR="00503F7F" w:rsidRPr="00374614" w:rsidRDefault="00503F7F" w:rsidP="00503F7F">
            <w:pPr>
              <w:spacing w:after="0"/>
              <w:rPr>
                <w:b/>
                <w:sz w:val="21"/>
                <w:szCs w:val="21"/>
              </w:rPr>
            </w:pPr>
            <w:r>
              <w:rPr>
                <w:b/>
                <w:sz w:val="21"/>
                <w:szCs w:val="21"/>
              </w:rPr>
              <w:t>Type</w:t>
            </w:r>
          </w:p>
        </w:tc>
        <w:tc>
          <w:tcPr>
            <w:tcW w:w="1097" w:type="pct"/>
            <w:tcBorders>
              <w:bottom w:val="single" w:sz="4" w:space="0" w:color="auto"/>
            </w:tcBorders>
          </w:tcPr>
          <w:p w:rsidR="00503F7F" w:rsidRPr="00374614" w:rsidRDefault="00503F7F" w:rsidP="00503F7F">
            <w:pPr>
              <w:spacing w:after="0"/>
              <w:rPr>
                <w:b/>
                <w:sz w:val="21"/>
                <w:szCs w:val="21"/>
              </w:rPr>
            </w:pPr>
            <w:r>
              <w:rPr>
                <w:b/>
                <w:sz w:val="21"/>
                <w:szCs w:val="21"/>
              </w:rPr>
              <w:t>Sub-type</w:t>
            </w:r>
          </w:p>
        </w:tc>
        <w:tc>
          <w:tcPr>
            <w:tcW w:w="3006" w:type="pct"/>
            <w:tcBorders>
              <w:bottom w:val="single" w:sz="4" w:space="0" w:color="auto"/>
            </w:tcBorders>
            <w:hideMark/>
          </w:tcPr>
          <w:p w:rsidR="00503F7F" w:rsidRPr="00374614" w:rsidRDefault="00503F7F" w:rsidP="00503F7F">
            <w:pPr>
              <w:spacing w:after="0"/>
              <w:rPr>
                <w:b/>
                <w:sz w:val="21"/>
                <w:szCs w:val="21"/>
              </w:rPr>
            </w:pPr>
            <w:r>
              <w:rPr>
                <w:b/>
                <w:sz w:val="21"/>
                <w:szCs w:val="21"/>
              </w:rPr>
              <w:t>Classification criteria (engine size)</w:t>
            </w:r>
          </w:p>
        </w:tc>
      </w:tr>
      <w:tr w:rsidR="00503F7F" w:rsidRPr="00F3773F" w:rsidTr="00503F7F">
        <w:tc>
          <w:tcPr>
            <w:tcW w:w="5000" w:type="pct"/>
            <w:gridSpan w:val="3"/>
            <w:tcBorders>
              <w:top w:val="single" w:sz="4" w:space="0" w:color="auto"/>
              <w:bottom w:val="single" w:sz="4" w:space="0" w:color="auto"/>
            </w:tcBorders>
            <w:shd w:val="clear" w:color="auto" w:fill="D9D9D9" w:themeFill="background1" w:themeFillShade="D9"/>
          </w:tcPr>
          <w:p w:rsidR="00503F7F" w:rsidRPr="00503F7F" w:rsidRDefault="00503F7F" w:rsidP="00503F7F">
            <w:pPr>
              <w:spacing w:after="0"/>
              <w:jc w:val="center"/>
              <w:rPr>
                <w:b/>
                <w:i/>
                <w:sz w:val="21"/>
                <w:szCs w:val="21"/>
              </w:rPr>
            </w:pPr>
            <w:r w:rsidRPr="00503F7F">
              <w:rPr>
                <w:b/>
                <w:i/>
                <w:sz w:val="21"/>
                <w:szCs w:val="21"/>
              </w:rPr>
              <w:t>Private vehicles</w:t>
            </w:r>
          </w:p>
        </w:tc>
      </w:tr>
      <w:tr w:rsidR="00E03156" w:rsidRPr="00F3773F" w:rsidTr="00E03156">
        <w:tc>
          <w:tcPr>
            <w:tcW w:w="897" w:type="pct"/>
            <w:vMerge w:val="restart"/>
            <w:tcBorders>
              <w:top w:val="single" w:sz="4" w:space="0" w:color="auto"/>
            </w:tcBorders>
          </w:tcPr>
          <w:p w:rsidR="00E03156" w:rsidRPr="00E03156" w:rsidRDefault="00E03156" w:rsidP="00E03156">
            <w:pPr>
              <w:spacing w:after="0"/>
              <w:jc w:val="left"/>
              <w:rPr>
                <w:sz w:val="21"/>
                <w:szCs w:val="21"/>
              </w:rPr>
            </w:pPr>
            <w:r w:rsidRPr="00E03156">
              <w:rPr>
                <w:sz w:val="21"/>
                <w:szCs w:val="21"/>
              </w:rPr>
              <w:t>Two-wheelers (2W)</w:t>
            </w:r>
          </w:p>
        </w:tc>
        <w:tc>
          <w:tcPr>
            <w:tcW w:w="1097" w:type="pct"/>
            <w:tcBorders>
              <w:top w:val="single" w:sz="4" w:space="0" w:color="auto"/>
            </w:tcBorders>
          </w:tcPr>
          <w:p w:rsidR="00E03156" w:rsidRPr="00E03156" w:rsidRDefault="00E03156" w:rsidP="00E03156">
            <w:pPr>
              <w:autoSpaceDE w:val="0"/>
              <w:autoSpaceDN w:val="0"/>
              <w:adjustRightInd w:val="0"/>
              <w:spacing w:after="0"/>
              <w:jc w:val="left"/>
              <w:rPr>
                <w:sz w:val="21"/>
                <w:szCs w:val="21"/>
                <w:lang w:bidi="ar-SA"/>
              </w:rPr>
            </w:pPr>
            <w:r w:rsidRPr="00E03156">
              <w:rPr>
                <w:sz w:val="21"/>
                <w:szCs w:val="21"/>
                <w:lang w:bidi="ar-SA"/>
              </w:rPr>
              <w:t>Mopeds</w:t>
            </w:r>
          </w:p>
        </w:tc>
        <w:tc>
          <w:tcPr>
            <w:tcW w:w="3006" w:type="pct"/>
            <w:tcBorders>
              <w:top w:val="single" w:sz="4" w:space="0" w:color="auto"/>
            </w:tcBorders>
            <w:hideMark/>
          </w:tcPr>
          <w:p w:rsidR="00E03156" w:rsidRPr="00E03156" w:rsidRDefault="00E03156" w:rsidP="00E03156">
            <w:pPr>
              <w:autoSpaceDE w:val="0"/>
              <w:autoSpaceDN w:val="0"/>
              <w:adjustRightInd w:val="0"/>
              <w:spacing w:after="0"/>
              <w:jc w:val="left"/>
              <w:rPr>
                <w:sz w:val="21"/>
                <w:szCs w:val="21"/>
                <w:lang w:bidi="ar-SA"/>
              </w:rPr>
            </w:pPr>
            <w:r w:rsidRPr="00E03156">
              <w:rPr>
                <w:sz w:val="21"/>
                <w:szCs w:val="21"/>
                <w:lang w:bidi="ar-SA"/>
              </w:rPr>
              <w:t>&lt;50 cc</w:t>
            </w:r>
          </w:p>
        </w:tc>
      </w:tr>
      <w:tr w:rsidR="00E03156" w:rsidRPr="00F3773F" w:rsidTr="00E03156">
        <w:tc>
          <w:tcPr>
            <w:tcW w:w="897" w:type="pct"/>
            <w:vMerge/>
          </w:tcPr>
          <w:p w:rsidR="00E03156" w:rsidRPr="00E03156" w:rsidRDefault="00E03156" w:rsidP="00E03156">
            <w:pPr>
              <w:spacing w:after="0"/>
              <w:jc w:val="left"/>
              <w:rPr>
                <w:sz w:val="21"/>
                <w:szCs w:val="21"/>
              </w:rPr>
            </w:pPr>
          </w:p>
        </w:tc>
        <w:tc>
          <w:tcPr>
            <w:tcW w:w="1097" w:type="pct"/>
          </w:tcPr>
          <w:p w:rsidR="00E03156" w:rsidRPr="00E03156" w:rsidRDefault="00E03156" w:rsidP="00E03156">
            <w:pPr>
              <w:autoSpaceDE w:val="0"/>
              <w:autoSpaceDN w:val="0"/>
              <w:adjustRightInd w:val="0"/>
              <w:spacing w:after="0"/>
              <w:jc w:val="left"/>
              <w:rPr>
                <w:sz w:val="21"/>
                <w:szCs w:val="21"/>
                <w:lang w:bidi="ar-SA"/>
              </w:rPr>
            </w:pPr>
            <w:r w:rsidRPr="00E03156">
              <w:rPr>
                <w:sz w:val="21"/>
                <w:szCs w:val="21"/>
                <w:lang w:bidi="ar-SA"/>
              </w:rPr>
              <w:t>Scooters</w:t>
            </w:r>
          </w:p>
        </w:tc>
        <w:tc>
          <w:tcPr>
            <w:tcW w:w="3006" w:type="pct"/>
            <w:hideMark/>
          </w:tcPr>
          <w:p w:rsidR="00E03156" w:rsidRPr="00E03156" w:rsidRDefault="00E03156" w:rsidP="00E03156">
            <w:pPr>
              <w:autoSpaceDE w:val="0"/>
              <w:autoSpaceDN w:val="0"/>
              <w:adjustRightInd w:val="0"/>
              <w:spacing w:after="0"/>
              <w:jc w:val="left"/>
              <w:rPr>
                <w:sz w:val="21"/>
                <w:szCs w:val="21"/>
                <w:lang w:bidi="ar-SA"/>
              </w:rPr>
            </w:pPr>
            <w:r w:rsidRPr="00E03156">
              <w:rPr>
                <w:sz w:val="21"/>
                <w:szCs w:val="21"/>
                <w:lang w:bidi="ar-SA"/>
              </w:rPr>
              <w:t xml:space="preserve">&lt;250 cc </w:t>
            </w:r>
          </w:p>
        </w:tc>
      </w:tr>
      <w:tr w:rsidR="00E03156" w:rsidRPr="00F3773F" w:rsidTr="00E03156">
        <w:tc>
          <w:tcPr>
            <w:tcW w:w="897" w:type="pct"/>
            <w:vMerge/>
          </w:tcPr>
          <w:p w:rsidR="00E03156" w:rsidRPr="00E03156" w:rsidRDefault="00E03156" w:rsidP="00E03156">
            <w:pPr>
              <w:spacing w:after="0"/>
              <w:jc w:val="left"/>
              <w:rPr>
                <w:sz w:val="21"/>
                <w:szCs w:val="21"/>
              </w:rPr>
            </w:pPr>
          </w:p>
        </w:tc>
        <w:tc>
          <w:tcPr>
            <w:tcW w:w="1097" w:type="pct"/>
          </w:tcPr>
          <w:p w:rsidR="00E03156" w:rsidRPr="00E03156" w:rsidRDefault="00E03156" w:rsidP="00E03156">
            <w:pPr>
              <w:autoSpaceDE w:val="0"/>
              <w:autoSpaceDN w:val="0"/>
              <w:adjustRightInd w:val="0"/>
              <w:spacing w:after="0"/>
              <w:jc w:val="left"/>
              <w:rPr>
                <w:sz w:val="21"/>
                <w:szCs w:val="21"/>
                <w:lang w:bidi="ar-SA"/>
              </w:rPr>
            </w:pPr>
            <w:r w:rsidRPr="00E03156">
              <w:rPr>
                <w:sz w:val="21"/>
                <w:szCs w:val="21"/>
                <w:lang w:bidi="ar-SA"/>
              </w:rPr>
              <w:t>Motorcycles</w:t>
            </w:r>
          </w:p>
        </w:tc>
        <w:tc>
          <w:tcPr>
            <w:tcW w:w="3006" w:type="pct"/>
            <w:hideMark/>
          </w:tcPr>
          <w:p w:rsidR="00E03156" w:rsidRPr="00E03156" w:rsidRDefault="00E03156" w:rsidP="00E03156">
            <w:pPr>
              <w:autoSpaceDE w:val="0"/>
              <w:autoSpaceDN w:val="0"/>
              <w:adjustRightInd w:val="0"/>
              <w:spacing w:after="0"/>
              <w:jc w:val="left"/>
              <w:rPr>
                <w:sz w:val="21"/>
                <w:szCs w:val="21"/>
                <w:lang w:bidi="ar-SA"/>
              </w:rPr>
            </w:pPr>
            <w:r w:rsidRPr="00E03156">
              <w:rPr>
                <w:sz w:val="21"/>
                <w:szCs w:val="21"/>
                <w:lang w:bidi="ar-SA"/>
              </w:rPr>
              <w:t>50 -  250 cc or vehicle type “motorcycle” in the original database</w:t>
            </w:r>
          </w:p>
        </w:tc>
      </w:tr>
      <w:tr w:rsidR="00E03156" w:rsidRPr="00F3773F" w:rsidTr="00E03156">
        <w:tc>
          <w:tcPr>
            <w:tcW w:w="897" w:type="pct"/>
            <w:vMerge w:val="restart"/>
          </w:tcPr>
          <w:p w:rsidR="00E03156" w:rsidRPr="00E03156" w:rsidRDefault="00E03156" w:rsidP="00E03156">
            <w:pPr>
              <w:spacing w:after="0"/>
              <w:jc w:val="left"/>
              <w:rPr>
                <w:sz w:val="21"/>
                <w:szCs w:val="21"/>
              </w:rPr>
            </w:pPr>
            <w:r w:rsidRPr="00E03156">
              <w:rPr>
                <w:sz w:val="21"/>
                <w:szCs w:val="21"/>
              </w:rPr>
              <w:t xml:space="preserve">Passenger Cars </w:t>
            </w:r>
            <w:r w:rsidRPr="00E03156">
              <w:rPr>
                <w:sz w:val="21"/>
                <w:szCs w:val="21"/>
              </w:rPr>
              <w:lastRenderedPageBreak/>
              <w:t>(PC)</w:t>
            </w:r>
          </w:p>
        </w:tc>
        <w:tc>
          <w:tcPr>
            <w:tcW w:w="1097" w:type="pct"/>
          </w:tcPr>
          <w:p w:rsidR="00E03156" w:rsidRPr="00E03156" w:rsidRDefault="00E03156" w:rsidP="00E03156">
            <w:pPr>
              <w:autoSpaceDE w:val="0"/>
              <w:autoSpaceDN w:val="0"/>
              <w:adjustRightInd w:val="0"/>
              <w:spacing w:after="0"/>
              <w:jc w:val="left"/>
              <w:rPr>
                <w:sz w:val="21"/>
                <w:szCs w:val="21"/>
                <w:lang w:bidi="ar-SA"/>
              </w:rPr>
            </w:pPr>
            <w:r w:rsidRPr="00E03156">
              <w:rPr>
                <w:sz w:val="21"/>
                <w:szCs w:val="21"/>
                <w:lang w:bidi="ar-SA"/>
              </w:rPr>
              <w:lastRenderedPageBreak/>
              <w:t>Mini cars</w:t>
            </w:r>
          </w:p>
        </w:tc>
        <w:tc>
          <w:tcPr>
            <w:tcW w:w="3006" w:type="pct"/>
            <w:hideMark/>
          </w:tcPr>
          <w:p w:rsidR="00E03156" w:rsidRPr="00E03156" w:rsidRDefault="00E03156" w:rsidP="00E03156">
            <w:pPr>
              <w:autoSpaceDE w:val="0"/>
              <w:autoSpaceDN w:val="0"/>
              <w:adjustRightInd w:val="0"/>
              <w:spacing w:after="0"/>
              <w:jc w:val="left"/>
              <w:rPr>
                <w:sz w:val="21"/>
                <w:szCs w:val="21"/>
                <w:lang w:bidi="ar-SA"/>
              </w:rPr>
            </w:pPr>
            <w:r w:rsidRPr="00E03156">
              <w:rPr>
                <w:sz w:val="21"/>
                <w:szCs w:val="21"/>
                <w:lang w:bidi="ar-SA"/>
              </w:rPr>
              <w:t>600-1,400 cc</w:t>
            </w:r>
          </w:p>
        </w:tc>
      </w:tr>
      <w:tr w:rsidR="00E03156" w:rsidRPr="00F3773F" w:rsidTr="00E03156">
        <w:tc>
          <w:tcPr>
            <w:tcW w:w="897" w:type="pct"/>
            <w:vMerge/>
          </w:tcPr>
          <w:p w:rsidR="00E03156" w:rsidRPr="00E03156" w:rsidRDefault="00E03156" w:rsidP="00E03156">
            <w:pPr>
              <w:spacing w:after="0"/>
              <w:jc w:val="left"/>
              <w:rPr>
                <w:sz w:val="21"/>
                <w:szCs w:val="21"/>
              </w:rPr>
            </w:pPr>
          </w:p>
        </w:tc>
        <w:tc>
          <w:tcPr>
            <w:tcW w:w="1097" w:type="pct"/>
          </w:tcPr>
          <w:p w:rsidR="00E03156" w:rsidRPr="00E03156" w:rsidRDefault="00E03156" w:rsidP="00E03156">
            <w:pPr>
              <w:autoSpaceDE w:val="0"/>
              <w:autoSpaceDN w:val="0"/>
              <w:adjustRightInd w:val="0"/>
              <w:spacing w:after="0"/>
              <w:jc w:val="left"/>
              <w:rPr>
                <w:sz w:val="21"/>
                <w:szCs w:val="21"/>
                <w:lang w:bidi="ar-SA"/>
              </w:rPr>
            </w:pPr>
            <w:r w:rsidRPr="00E03156">
              <w:rPr>
                <w:sz w:val="21"/>
                <w:szCs w:val="21"/>
                <w:lang w:bidi="ar-SA"/>
              </w:rPr>
              <w:t>Small cars</w:t>
            </w:r>
          </w:p>
        </w:tc>
        <w:tc>
          <w:tcPr>
            <w:tcW w:w="3006" w:type="pct"/>
            <w:hideMark/>
          </w:tcPr>
          <w:p w:rsidR="00E03156" w:rsidRPr="00E03156" w:rsidRDefault="00E03156" w:rsidP="00E03156">
            <w:pPr>
              <w:autoSpaceDE w:val="0"/>
              <w:autoSpaceDN w:val="0"/>
              <w:adjustRightInd w:val="0"/>
              <w:spacing w:after="0"/>
              <w:jc w:val="left"/>
              <w:rPr>
                <w:sz w:val="21"/>
                <w:szCs w:val="21"/>
                <w:lang w:bidi="ar-SA"/>
              </w:rPr>
            </w:pPr>
            <w:r w:rsidRPr="00E03156">
              <w:rPr>
                <w:sz w:val="21"/>
                <w:szCs w:val="21"/>
                <w:lang w:bidi="ar-SA"/>
              </w:rPr>
              <w:t>1400-2000</w:t>
            </w:r>
          </w:p>
        </w:tc>
      </w:tr>
      <w:tr w:rsidR="00E03156" w:rsidRPr="00F3773F" w:rsidTr="00E03156">
        <w:tc>
          <w:tcPr>
            <w:tcW w:w="897" w:type="pct"/>
            <w:vMerge/>
          </w:tcPr>
          <w:p w:rsidR="00E03156" w:rsidRPr="00E03156" w:rsidRDefault="00E03156" w:rsidP="00E03156">
            <w:pPr>
              <w:spacing w:after="0"/>
              <w:jc w:val="left"/>
              <w:rPr>
                <w:sz w:val="21"/>
                <w:szCs w:val="21"/>
              </w:rPr>
            </w:pPr>
          </w:p>
        </w:tc>
        <w:tc>
          <w:tcPr>
            <w:tcW w:w="1097" w:type="pct"/>
          </w:tcPr>
          <w:p w:rsidR="00E03156" w:rsidRPr="00E03156" w:rsidRDefault="00E03156" w:rsidP="00E03156">
            <w:pPr>
              <w:autoSpaceDE w:val="0"/>
              <w:autoSpaceDN w:val="0"/>
              <w:adjustRightInd w:val="0"/>
              <w:spacing w:after="0"/>
              <w:jc w:val="left"/>
              <w:rPr>
                <w:sz w:val="21"/>
                <w:szCs w:val="21"/>
                <w:lang w:bidi="ar-SA"/>
              </w:rPr>
            </w:pPr>
            <w:r w:rsidRPr="00E03156">
              <w:rPr>
                <w:sz w:val="21"/>
                <w:szCs w:val="21"/>
                <w:lang w:bidi="ar-SA"/>
              </w:rPr>
              <w:t>Lower medium cars</w:t>
            </w:r>
          </w:p>
        </w:tc>
        <w:tc>
          <w:tcPr>
            <w:tcW w:w="3006" w:type="pct"/>
            <w:hideMark/>
          </w:tcPr>
          <w:p w:rsidR="00E03156" w:rsidRPr="00E03156" w:rsidRDefault="00E03156" w:rsidP="00E03156">
            <w:pPr>
              <w:autoSpaceDE w:val="0"/>
              <w:autoSpaceDN w:val="0"/>
              <w:adjustRightInd w:val="0"/>
              <w:spacing w:after="0"/>
              <w:jc w:val="left"/>
              <w:rPr>
                <w:sz w:val="21"/>
                <w:szCs w:val="21"/>
                <w:lang w:bidi="ar-SA"/>
              </w:rPr>
            </w:pPr>
            <w:r w:rsidRPr="00E03156">
              <w:rPr>
                <w:sz w:val="21"/>
                <w:szCs w:val="21"/>
                <w:lang w:bidi="ar-SA"/>
              </w:rPr>
              <w:t>N/A</w:t>
            </w:r>
            <w:r w:rsidRPr="00E03156">
              <w:rPr>
                <w:rStyle w:val="FootnoteReference"/>
                <w:sz w:val="21"/>
                <w:szCs w:val="21"/>
                <w:lang w:bidi="ar-SA"/>
              </w:rPr>
              <w:footnoteReference w:id="61"/>
            </w:r>
            <w:r w:rsidRPr="00E03156">
              <w:rPr>
                <w:sz w:val="21"/>
                <w:szCs w:val="21"/>
                <w:lang w:bidi="ar-SA"/>
              </w:rPr>
              <w:t xml:space="preserve"> (EFFECT criterion &lt;=2000 cc)</w:t>
            </w:r>
          </w:p>
        </w:tc>
      </w:tr>
      <w:tr w:rsidR="00E03156" w:rsidRPr="00F3773F" w:rsidTr="00E03156">
        <w:tc>
          <w:tcPr>
            <w:tcW w:w="897" w:type="pct"/>
            <w:vMerge/>
          </w:tcPr>
          <w:p w:rsidR="00E03156" w:rsidRPr="00E03156" w:rsidRDefault="00E03156" w:rsidP="00E03156">
            <w:pPr>
              <w:spacing w:after="0"/>
              <w:jc w:val="left"/>
              <w:rPr>
                <w:sz w:val="21"/>
                <w:szCs w:val="21"/>
              </w:rPr>
            </w:pPr>
          </w:p>
        </w:tc>
        <w:tc>
          <w:tcPr>
            <w:tcW w:w="1097" w:type="pct"/>
          </w:tcPr>
          <w:p w:rsidR="00E03156" w:rsidRPr="00E03156" w:rsidRDefault="00E03156" w:rsidP="00E03156">
            <w:pPr>
              <w:autoSpaceDE w:val="0"/>
              <w:autoSpaceDN w:val="0"/>
              <w:adjustRightInd w:val="0"/>
              <w:spacing w:after="0"/>
              <w:jc w:val="left"/>
              <w:rPr>
                <w:sz w:val="21"/>
                <w:szCs w:val="21"/>
                <w:lang w:bidi="ar-SA"/>
              </w:rPr>
            </w:pPr>
            <w:r w:rsidRPr="00E03156">
              <w:rPr>
                <w:sz w:val="21"/>
                <w:szCs w:val="21"/>
                <w:lang w:bidi="ar-SA"/>
              </w:rPr>
              <w:t>Upper medium cars</w:t>
            </w:r>
          </w:p>
        </w:tc>
        <w:tc>
          <w:tcPr>
            <w:tcW w:w="3006" w:type="pct"/>
            <w:hideMark/>
          </w:tcPr>
          <w:p w:rsidR="00E03156" w:rsidRPr="00E03156" w:rsidRDefault="00E03156" w:rsidP="00E03156">
            <w:pPr>
              <w:autoSpaceDE w:val="0"/>
              <w:autoSpaceDN w:val="0"/>
              <w:adjustRightInd w:val="0"/>
              <w:spacing w:after="0"/>
              <w:jc w:val="left"/>
              <w:rPr>
                <w:sz w:val="21"/>
                <w:szCs w:val="21"/>
                <w:lang w:bidi="ar-SA"/>
              </w:rPr>
            </w:pPr>
            <w:r w:rsidRPr="00E03156">
              <w:rPr>
                <w:sz w:val="21"/>
                <w:szCs w:val="21"/>
                <w:lang w:bidi="ar-SA"/>
              </w:rPr>
              <w:t>2,000-3,500 cc</w:t>
            </w:r>
          </w:p>
        </w:tc>
      </w:tr>
      <w:tr w:rsidR="00E03156" w:rsidRPr="00F3773F" w:rsidTr="00E03156">
        <w:tc>
          <w:tcPr>
            <w:tcW w:w="897" w:type="pct"/>
            <w:vMerge/>
          </w:tcPr>
          <w:p w:rsidR="00E03156" w:rsidRPr="00E03156" w:rsidRDefault="00E03156" w:rsidP="00E03156">
            <w:pPr>
              <w:spacing w:after="0"/>
              <w:jc w:val="left"/>
              <w:rPr>
                <w:sz w:val="21"/>
                <w:szCs w:val="21"/>
              </w:rPr>
            </w:pPr>
          </w:p>
        </w:tc>
        <w:tc>
          <w:tcPr>
            <w:tcW w:w="1097" w:type="pct"/>
          </w:tcPr>
          <w:p w:rsidR="00E03156" w:rsidRPr="00E03156" w:rsidRDefault="00E03156" w:rsidP="00E03156">
            <w:pPr>
              <w:autoSpaceDE w:val="0"/>
              <w:autoSpaceDN w:val="0"/>
              <w:adjustRightInd w:val="0"/>
              <w:spacing w:after="0"/>
              <w:jc w:val="left"/>
              <w:rPr>
                <w:sz w:val="21"/>
                <w:szCs w:val="21"/>
                <w:lang w:bidi="ar-SA"/>
              </w:rPr>
            </w:pPr>
            <w:r w:rsidRPr="00E03156">
              <w:rPr>
                <w:sz w:val="21"/>
                <w:szCs w:val="21"/>
                <w:lang w:bidi="ar-SA"/>
              </w:rPr>
              <w:t>Large and luxury cars</w:t>
            </w:r>
          </w:p>
        </w:tc>
        <w:tc>
          <w:tcPr>
            <w:tcW w:w="3006" w:type="pct"/>
            <w:hideMark/>
          </w:tcPr>
          <w:p w:rsidR="00E03156" w:rsidRPr="00E03156" w:rsidRDefault="00E03156" w:rsidP="00E03156">
            <w:pPr>
              <w:autoSpaceDE w:val="0"/>
              <w:autoSpaceDN w:val="0"/>
              <w:adjustRightInd w:val="0"/>
              <w:spacing w:after="0"/>
              <w:jc w:val="left"/>
              <w:rPr>
                <w:sz w:val="21"/>
                <w:szCs w:val="21"/>
                <w:lang w:bidi="ar-SA"/>
              </w:rPr>
            </w:pPr>
            <w:r w:rsidRPr="00E03156">
              <w:rPr>
                <w:sz w:val="21"/>
                <w:szCs w:val="21"/>
                <w:lang w:bidi="ar-SA"/>
              </w:rPr>
              <w:t>N/A (EFFECT criterion &gt;2000 cc )</w:t>
            </w:r>
          </w:p>
        </w:tc>
      </w:tr>
      <w:tr w:rsidR="00E03156" w:rsidRPr="00F3773F" w:rsidTr="00E03156">
        <w:tc>
          <w:tcPr>
            <w:tcW w:w="897" w:type="pct"/>
            <w:vMerge/>
          </w:tcPr>
          <w:p w:rsidR="00E03156" w:rsidRPr="00E03156" w:rsidRDefault="00E03156" w:rsidP="00E03156">
            <w:pPr>
              <w:spacing w:after="0"/>
              <w:jc w:val="left"/>
              <w:rPr>
                <w:sz w:val="21"/>
                <w:szCs w:val="21"/>
              </w:rPr>
            </w:pPr>
          </w:p>
        </w:tc>
        <w:tc>
          <w:tcPr>
            <w:tcW w:w="1097" w:type="pct"/>
          </w:tcPr>
          <w:p w:rsidR="00E03156" w:rsidRPr="00E03156" w:rsidRDefault="00E03156" w:rsidP="00E03156">
            <w:pPr>
              <w:autoSpaceDE w:val="0"/>
              <w:autoSpaceDN w:val="0"/>
              <w:adjustRightInd w:val="0"/>
              <w:spacing w:after="0"/>
              <w:jc w:val="left"/>
              <w:rPr>
                <w:sz w:val="21"/>
                <w:szCs w:val="21"/>
                <w:lang w:bidi="ar-SA"/>
              </w:rPr>
            </w:pPr>
            <w:r w:rsidRPr="00E03156">
              <w:rPr>
                <w:sz w:val="21"/>
                <w:szCs w:val="21"/>
                <w:lang w:bidi="ar-SA"/>
              </w:rPr>
              <w:t>Sport utility vehicles</w:t>
            </w:r>
          </w:p>
        </w:tc>
        <w:tc>
          <w:tcPr>
            <w:tcW w:w="3006" w:type="pct"/>
            <w:hideMark/>
          </w:tcPr>
          <w:p w:rsidR="00E03156" w:rsidRPr="00E03156" w:rsidRDefault="00E03156" w:rsidP="00E03156">
            <w:pPr>
              <w:autoSpaceDE w:val="0"/>
              <w:autoSpaceDN w:val="0"/>
              <w:adjustRightInd w:val="0"/>
              <w:spacing w:after="0"/>
              <w:jc w:val="left"/>
              <w:rPr>
                <w:sz w:val="21"/>
                <w:szCs w:val="21"/>
                <w:lang w:bidi="ar-SA"/>
              </w:rPr>
            </w:pPr>
            <w:r w:rsidRPr="00E03156">
              <w:rPr>
                <w:sz w:val="21"/>
                <w:szCs w:val="21"/>
                <w:lang w:bidi="ar-SA"/>
              </w:rPr>
              <w:t>3,500-4,250 cc</w:t>
            </w:r>
          </w:p>
        </w:tc>
      </w:tr>
      <w:tr w:rsidR="00E03156" w:rsidRPr="00F3773F" w:rsidTr="0006568D">
        <w:tc>
          <w:tcPr>
            <w:tcW w:w="5000" w:type="pct"/>
            <w:gridSpan w:val="3"/>
            <w:tcBorders>
              <w:top w:val="single" w:sz="4" w:space="0" w:color="auto"/>
              <w:bottom w:val="single" w:sz="4" w:space="0" w:color="auto"/>
            </w:tcBorders>
            <w:shd w:val="clear" w:color="auto" w:fill="D9D9D9" w:themeFill="background1" w:themeFillShade="D9"/>
          </w:tcPr>
          <w:p w:rsidR="00E03156" w:rsidRPr="00E03156" w:rsidRDefault="00E03156" w:rsidP="00E03156">
            <w:pPr>
              <w:spacing w:after="0"/>
              <w:jc w:val="left"/>
              <w:rPr>
                <w:b/>
                <w:i/>
                <w:sz w:val="21"/>
                <w:szCs w:val="21"/>
              </w:rPr>
            </w:pPr>
            <w:r w:rsidRPr="00E03156">
              <w:rPr>
                <w:b/>
                <w:i/>
                <w:sz w:val="21"/>
                <w:szCs w:val="21"/>
              </w:rPr>
              <w:t>Commercial vehicles</w:t>
            </w:r>
          </w:p>
        </w:tc>
      </w:tr>
      <w:tr w:rsidR="00E03156" w:rsidRPr="00F3773F" w:rsidTr="00E03156">
        <w:tc>
          <w:tcPr>
            <w:tcW w:w="897" w:type="pct"/>
            <w:vMerge w:val="restart"/>
          </w:tcPr>
          <w:p w:rsidR="00E03156" w:rsidRPr="00E03156" w:rsidRDefault="00E03156" w:rsidP="00E03156">
            <w:pPr>
              <w:spacing w:after="0"/>
              <w:jc w:val="left"/>
              <w:rPr>
                <w:sz w:val="21"/>
                <w:szCs w:val="21"/>
              </w:rPr>
            </w:pPr>
            <w:r w:rsidRPr="00E03156">
              <w:rPr>
                <w:sz w:val="21"/>
                <w:szCs w:val="21"/>
              </w:rPr>
              <w:t>Light commercial vehicles (LVC)</w:t>
            </w:r>
          </w:p>
        </w:tc>
        <w:tc>
          <w:tcPr>
            <w:tcW w:w="1097" w:type="pct"/>
          </w:tcPr>
          <w:p w:rsidR="00E03156" w:rsidRPr="00E03156" w:rsidRDefault="00E03156" w:rsidP="00E03156">
            <w:pPr>
              <w:autoSpaceDE w:val="0"/>
              <w:autoSpaceDN w:val="0"/>
              <w:adjustRightInd w:val="0"/>
              <w:spacing w:after="0"/>
              <w:jc w:val="left"/>
              <w:rPr>
                <w:sz w:val="21"/>
                <w:szCs w:val="21"/>
                <w:lang w:bidi="ar-SA"/>
              </w:rPr>
            </w:pPr>
            <w:r w:rsidRPr="00E03156">
              <w:rPr>
                <w:sz w:val="21"/>
                <w:szCs w:val="21"/>
                <w:lang w:bidi="ar-SA"/>
              </w:rPr>
              <w:t>Passenger</w:t>
            </w:r>
          </w:p>
        </w:tc>
        <w:tc>
          <w:tcPr>
            <w:tcW w:w="3006" w:type="pct"/>
            <w:hideMark/>
          </w:tcPr>
          <w:p w:rsidR="00E03156" w:rsidRPr="00E03156" w:rsidRDefault="00E03156" w:rsidP="00E03156">
            <w:pPr>
              <w:autoSpaceDE w:val="0"/>
              <w:autoSpaceDN w:val="0"/>
              <w:adjustRightInd w:val="0"/>
              <w:spacing w:after="0"/>
              <w:jc w:val="left"/>
              <w:rPr>
                <w:sz w:val="21"/>
                <w:szCs w:val="21"/>
                <w:lang w:bidi="ar-SA"/>
              </w:rPr>
            </w:pPr>
            <w:r w:rsidRPr="00E03156">
              <w:rPr>
                <w:sz w:val="21"/>
                <w:szCs w:val="21"/>
                <w:lang w:bidi="ar-SA"/>
              </w:rPr>
              <w:t>N/A</w:t>
            </w:r>
          </w:p>
        </w:tc>
      </w:tr>
      <w:tr w:rsidR="00E03156" w:rsidRPr="00F3773F" w:rsidTr="00E03156">
        <w:tc>
          <w:tcPr>
            <w:tcW w:w="897" w:type="pct"/>
            <w:vMerge/>
          </w:tcPr>
          <w:p w:rsidR="00E03156" w:rsidRPr="00E03156" w:rsidRDefault="00E03156" w:rsidP="00E03156">
            <w:pPr>
              <w:spacing w:after="0"/>
              <w:jc w:val="left"/>
              <w:rPr>
                <w:sz w:val="21"/>
                <w:szCs w:val="21"/>
              </w:rPr>
            </w:pPr>
          </w:p>
        </w:tc>
        <w:tc>
          <w:tcPr>
            <w:tcW w:w="1097" w:type="pct"/>
          </w:tcPr>
          <w:p w:rsidR="00E03156" w:rsidRPr="00E03156" w:rsidRDefault="00E03156" w:rsidP="00E03156">
            <w:pPr>
              <w:autoSpaceDE w:val="0"/>
              <w:autoSpaceDN w:val="0"/>
              <w:adjustRightInd w:val="0"/>
              <w:spacing w:after="0"/>
              <w:jc w:val="left"/>
              <w:rPr>
                <w:sz w:val="21"/>
                <w:szCs w:val="21"/>
                <w:lang w:bidi="ar-SA"/>
              </w:rPr>
            </w:pPr>
            <w:r w:rsidRPr="00E03156">
              <w:rPr>
                <w:sz w:val="21"/>
                <w:szCs w:val="21"/>
                <w:lang w:bidi="ar-SA"/>
              </w:rPr>
              <w:t>Goods</w:t>
            </w:r>
          </w:p>
        </w:tc>
        <w:tc>
          <w:tcPr>
            <w:tcW w:w="3006" w:type="pct"/>
            <w:hideMark/>
          </w:tcPr>
          <w:p w:rsidR="00E03156" w:rsidRPr="00E03156" w:rsidRDefault="00E03156" w:rsidP="00E03156">
            <w:pPr>
              <w:autoSpaceDE w:val="0"/>
              <w:autoSpaceDN w:val="0"/>
              <w:adjustRightInd w:val="0"/>
              <w:spacing w:after="0"/>
              <w:jc w:val="left"/>
              <w:rPr>
                <w:sz w:val="21"/>
                <w:szCs w:val="21"/>
                <w:lang w:bidi="ar-SA"/>
              </w:rPr>
            </w:pPr>
            <w:r w:rsidRPr="00E03156">
              <w:rPr>
                <w:sz w:val="21"/>
                <w:szCs w:val="21"/>
                <w:lang w:bidi="ar-SA"/>
              </w:rPr>
              <w:t>N/A</w:t>
            </w:r>
          </w:p>
        </w:tc>
      </w:tr>
      <w:tr w:rsidR="00E03156" w:rsidRPr="00F3773F" w:rsidTr="00E03156">
        <w:tc>
          <w:tcPr>
            <w:tcW w:w="897" w:type="pct"/>
            <w:vMerge w:val="restart"/>
          </w:tcPr>
          <w:p w:rsidR="00E03156" w:rsidRPr="00E03156" w:rsidRDefault="00E03156" w:rsidP="00E03156">
            <w:pPr>
              <w:spacing w:after="0"/>
              <w:jc w:val="left"/>
              <w:rPr>
                <w:sz w:val="21"/>
                <w:szCs w:val="21"/>
              </w:rPr>
            </w:pPr>
            <w:r w:rsidRPr="00E03156">
              <w:rPr>
                <w:sz w:val="21"/>
                <w:szCs w:val="21"/>
              </w:rPr>
              <w:t>Heavy commercial vehicles (HCV – Bus)</w:t>
            </w:r>
          </w:p>
        </w:tc>
        <w:tc>
          <w:tcPr>
            <w:tcW w:w="1097" w:type="pct"/>
          </w:tcPr>
          <w:p w:rsidR="00E03156" w:rsidRPr="00E03156" w:rsidRDefault="00E03156" w:rsidP="00E03156">
            <w:pPr>
              <w:autoSpaceDE w:val="0"/>
              <w:autoSpaceDN w:val="0"/>
              <w:adjustRightInd w:val="0"/>
              <w:spacing w:after="0"/>
              <w:jc w:val="left"/>
              <w:rPr>
                <w:sz w:val="21"/>
                <w:szCs w:val="21"/>
                <w:lang w:bidi="ar-SA"/>
              </w:rPr>
            </w:pPr>
            <w:r w:rsidRPr="00E03156">
              <w:rPr>
                <w:sz w:val="21"/>
                <w:szCs w:val="21"/>
                <w:lang w:bidi="ar-SA"/>
              </w:rPr>
              <w:t>Light urban bus</w:t>
            </w:r>
          </w:p>
        </w:tc>
        <w:tc>
          <w:tcPr>
            <w:tcW w:w="3006" w:type="pct"/>
            <w:hideMark/>
          </w:tcPr>
          <w:p w:rsidR="00E03156" w:rsidRPr="00E03156" w:rsidRDefault="00E03156" w:rsidP="00E03156">
            <w:pPr>
              <w:autoSpaceDE w:val="0"/>
              <w:autoSpaceDN w:val="0"/>
              <w:adjustRightInd w:val="0"/>
              <w:spacing w:after="0"/>
              <w:jc w:val="left"/>
              <w:rPr>
                <w:sz w:val="21"/>
                <w:szCs w:val="21"/>
                <w:lang w:bidi="ar-SA"/>
              </w:rPr>
            </w:pPr>
            <w:r w:rsidRPr="00E03156">
              <w:rPr>
                <w:sz w:val="21"/>
                <w:szCs w:val="21"/>
                <w:lang w:bidi="ar-SA"/>
              </w:rPr>
              <w:t>Buses with engine displacement under 3,600 or carrying 16 passengers or less</w:t>
            </w:r>
          </w:p>
        </w:tc>
      </w:tr>
      <w:tr w:rsidR="00E03156" w:rsidRPr="00F3773F" w:rsidTr="00E03156">
        <w:tc>
          <w:tcPr>
            <w:tcW w:w="897" w:type="pct"/>
            <w:vMerge/>
          </w:tcPr>
          <w:p w:rsidR="00E03156" w:rsidRPr="00E03156" w:rsidRDefault="00E03156" w:rsidP="00E03156">
            <w:pPr>
              <w:spacing w:after="0"/>
              <w:jc w:val="left"/>
              <w:rPr>
                <w:sz w:val="21"/>
                <w:szCs w:val="21"/>
              </w:rPr>
            </w:pPr>
          </w:p>
        </w:tc>
        <w:tc>
          <w:tcPr>
            <w:tcW w:w="1097" w:type="pct"/>
          </w:tcPr>
          <w:p w:rsidR="00E03156" w:rsidRPr="00E03156" w:rsidRDefault="00E03156" w:rsidP="00E03156">
            <w:pPr>
              <w:autoSpaceDE w:val="0"/>
              <w:autoSpaceDN w:val="0"/>
              <w:adjustRightInd w:val="0"/>
              <w:spacing w:after="0"/>
              <w:jc w:val="left"/>
              <w:rPr>
                <w:sz w:val="21"/>
                <w:szCs w:val="21"/>
                <w:lang w:bidi="ar-SA"/>
              </w:rPr>
            </w:pPr>
            <w:r w:rsidRPr="00E03156">
              <w:rPr>
                <w:sz w:val="21"/>
                <w:szCs w:val="21"/>
                <w:lang w:bidi="ar-SA"/>
              </w:rPr>
              <w:t>Medium urban bus</w:t>
            </w:r>
          </w:p>
        </w:tc>
        <w:tc>
          <w:tcPr>
            <w:tcW w:w="3006" w:type="pct"/>
            <w:hideMark/>
          </w:tcPr>
          <w:p w:rsidR="00E03156" w:rsidRPr="00E03156" w:rsidRDefault="00E03156" w:rsidP="00E03156">
            <w:pPr>
              <w:autoSpaceDE w:val="0"/>
              <w:autoSpaceDN w:val="0"/>
              <w:adjustRightInd w:val="0"/>
              <w:spacing w:after="0"/>
              <w:jc w:val="left"/>
              <w:rPr>
                <w:sz w:val="21"/>
                <w:szCs w:val="21"/>
                <w:lang w:bidi="ar-SA"/>
              </w:rPr>
            </w:pPr>
            <w:r w:rsidRPr="00E03156">
              <w:rPr>
                <w:sz w:val="21"/>
                <w:szCs w:val="21"/>
                <w:lang w:bidi="ar-SA"/>
              </w:rPr>
              <w:t>Buses with engine displacement over 3,600 or carrying 16 passengers or more</w:t>
            </w:r>
          </w:p>
        </w:tc>
      </w:tr>
      <w:tr w:rsidR="00E03156" w:rsidRPr="00F3773F" w:rsidTr="00E03156">
        <w:tc>
          <w:tcPr>
            <w:tcW w:w="897" w:type="pct"/>
            <w:vMerge/>
          </w:tcPr>
          <w:p w:rsidR="00E03156" w:rsidRPr="00E03156" w:rsidRDefault="00E03156" w:rsidP="00E03156">
            <w:pPr>
              <w:spacing w:after="0"/>
              <w:jc w:val="left"/>
              <w:rPr>
                <w:sz w:val="21"/>
                <w:szCs w:val="21"/>
              </w:rPr>
            </w:pPr>
          </w:p>
        </w:tc>
        <w:tc>
          <w:tcPr>
            <w:tcW w:w="1097" w:type="pct"/>
          </w:tcPr>
          <w:p w:rsidR="00E03156" w:rsidRPr="00E03156" w:rsidRDefault="00E03156" w:rsidP="00E03156">
            <w:pPr>
              <w:autoSpaceDE w:val="0"/>
              <w:autoSpaceDN w:val="0"/>
              <w:adjustRightInd w:val="0"/>
              <w:spacing w:after="0"/>
              <w:jc w:val="left"/>
              <w:rPr>
                <w:sz w:val="21"/>
                <w:szCs w:val="21"/>
                <w:lang w:bidi="ar-SA"/>
              </w:rPr>
            </w:pPr>
            <w:r w:rsidRPr="00E03156">
              <w:rPr>
                <w:sz w:val="21"/>
                <w:szCs w:val="21"/>
                <w:lang w:bidi="ar-SA"/>
              </w:rPr>
              <w:t>Coach</w:t>
            </w:r>
          </w:p>
        </w:tc>
        <w:tc>
          <w:tcPr>
            <w:tcW w:w="3006" w:type="pct"/>
            <w:hideMark/>
          </w:tcPr>
          <w:p w:rsidR="00E03156" w:rsidRPr="00E03156" w:rsidRDefault="00E03156" w:rsidP="00E03156">
            <w:pPr>
              <w:autoSpaceDE w:val="0"/>
              <w:autoSpaceDN w:val="0"/>
              <w:adjustRightInd w:val="0"/>
              <w:spacing w:after="0"/>
              <w:jc w:val="left"/>
              <w:rPr>
                <w:sz w:val="21"/>
                <w:szCs w:val="21"/>
                <w:lang w:bidi="ar-SA"/>
              </w:rPr>
            </w:pPr>
            <w:r w:rsidRPr="00E03156">
              <w:rPr>
                <w:sz w:val="21"/>
                <w:szCs w:val="21"/>
                <w:lang w:bidi="ar-SA"/>
              </w:rPr>
              <w:t xml:space="preserve">Buses with engine displacement over 16,000 </w:t>
            </w:r>
          </w:p>
        </w:tc>
      </w:tr>
      <w:tr w:rsidR="00E03156" w:rsidRPr="00F3773F" w:rsidTr="00E03156">
        <w:tc>
          <w:tcPr>
            <w:tcW w:w="897" w:type="pct"/>
            <w:vMerge w:val="restart"/>
          </w:tcPr>
          <w:p w:rsidR="00E03156" w:rsidRPr="00E03156" w:rsidRDefault="00E03156" w:rsidP="00E03156">
            <w:pPr>
              <w:spacing w:after="0"/>
              <w:jc w:val="left"/>
              <w:rPr>
                <w:sz w:val="21"/>
                <w:szCs w:val="21"/>
              </w:rPr>
            </w:pPr>
            <w:r w:rsidRPr="00E03156">
              <w:rPr>
                <w:sz w:val="21"/>
                <w:szCs w:val="21"/>
              </w:rPr>
              <w:t>Heavy commercial vehicles (HCV – Truck)</w:t>
            </w:r>
          </w:p>
        </w:tc>
        <w:tc>
          <w:tcPr>
            <w:tcW w:w="1097" w:type="pct"/>
          </w:tcPr>
          <w:p w:rsidR="00E03156" w:rsidRPr="00E03156" w:rsidRDefault="00E03156" w:rsidP="00E03156">
            <w:pPr>
              <w:autoSpaceDE w:val="0"/>
              <w:autoSpaceDN w:val="0"/>
              <w:adjustRightInd w:val="0"/>
              <w:spacing w:after="0"/>
              <w:jc w:val="left"/>
              <w:rPr>
                <w:sz w:val="21"/>
                <w:szCs w:val="21"/>
                <w:lang w:bidi="ar-SA"/>
              </w:rPr>
            </w:pPr>
            <w:r w:rsidRPr="00E03156">
              <w:rPr>
                <w:sz w:val="21"/>
                <w:szCs w:val="21"/>
                <w:lang w:bidi="ar-SA"/>
              </w:rPr>
              <w:t>Light truck</w:t>
            </w:r>
          </w:p>
        </w:tc>
        <w:tc>
          <w:tcPr>
            <w:tcW w:w="3006" w:type="pct"/>
            <w:hideMark/>
          </w:tcPr>
          <w:p w:rsidR="00E03156" w:rsidRPr="00E03156" w:rsidRDefault="00E03156" w:rsidP="00E03156">
            <w:pPr>
              <w:autoSpaceDE w:val="0"/>
              <w:autoSpaceDN w:val="0"/>
              <w:adjustRightInd w:val="0"/>
              <w:spacing w:after="0"/>
              <w:jc w:val="left"/>
              <w:rPr>
                <w:sz w:val="21"/>
                <w:szCs w:val="21"/>
                <w:lang w:bidi="ar-SA"/>
              </w:rPr>
            </w:pPr>
            <w:r w:rsidRPr="00E03156">
              <w:rPr>
                <w:sz w:val="21"/>
                <w:szCs w:val="21"/>
                <w:lang w:bidi="ar-SA"/>
              </w:rPr>
              <w:t>&lt;7000 cc</w:t>
            </w:r>
          </w:p>
        </w:tc>
      </w:tr>
      <w:tr w:rsidR="00E03156" w:rsidRPr="00F3773F" w:rsidTr="00E03156">
        <w:tc>
          <w:tcPr>
            <w:tcW w:w="897" w:type="pct"/>
            <w:vMerge/>
          </w:tcPr>
          <w:p w:rsidR="00E03156" w:rsidRPr="00E03156" w:rsidRDefault="00E03156" w:rsidP="00E03156">
            <w:pPr>
              <w:spacing w:after="0"/>
              <w:jc w:val="left"/>
              <w:rPr>
                <w:sz w:val="21"/>
                <w:szCs w:val="21"/>
              </w:rPr>
            </w:pPr>
          </w:p>
        </w:tc>
        <w:tc>
          <w:tcPr>
            <w:tcW w:w="1097" w:type="pct"/>
          </w:tcPr>
          <w:p w:rsidR="00E03156" w:rsidRPr="00E03156" w:rsidRDefault="00E03156" w:rsidP="00E03156">
            <w:pPr>
              <w:autoSpaceDE w:val="0"/>
              <w:autoSpaceDN w:val="0"/>
              <w:adjustRightInd w:val="0"/>
              <w:spacing w:after="0"/>
              <w:jc w:val="left"/>
              <w:rPr>
                <w:sz w:val="21"/>
                <w:szCs w:val="21"/>
                <w:lang w:bidi="ar-SA"/>
              </w:rPr>
            </w:pPr>
            <w:r w:rsidRPr="00E03156">
              <w:rPr>
                <w:sz w:val="21"/>
                <w:szCs w:val="21"/>
                <w:lang w:bidi="ar-SA"/>
              </w:rPr>
              <w:t>Medium truck</w:t>
            </w:r>
          </w:p>
        </w:tc>
        <w:tc>
          <w:tcPr>
            <w:tcW w:w="3006" w:type="pct"/>
            <w:hideMark/>
          </w:tcPr>
          <w:p w:rsidR="00E03156" w:rsidRPr="00E03156" w:rsidRDefault="00E03156" w:rsidP="00E03156">
            <w:pPr>
              <w:autoSpaceDE w:val="0"/>
              <w:autoSpaceDN w:val="0"/>
              <w:adjustRightInd w:val="0"/>
              <w:spacing w:after="0"/>
              <w:jc w:val="left"/>
              <w:rPr>
                <w:sz w:val="21"/>
                <w:szCs w:val="21"/>
                <w:lang w:bidi="ar-SA"/>
              </w:rPr>
            </w:pPr>
            <w:r w:rsidRPr="00E03156">
              <w:rPr>
                <w:sz w:val="21"/>
                <w:szCs w:val="21"/>
                <w:lang w:bidi="ar-SA"/>
              </w:rPr>
              <w:t>&lt;7000-10000</w:t>
            </w:r>
          </w:p>
        </w:tc>
      </w:tr>
      <w:tr w:rsidR="00E03156" w:rsidRPr="00F3773F" w:rsidTr="00E03156">
        <w:tc>
          <w:tcPr>
            <w:tcW w:w="897" w:type="pct"/>
            <w:vMerge/>
          </w:tcPr>
          <w:p w:rsidR="00E03156" w:rsidRPr="00E03156" w:rsidRDefault="00E03156" w:rsidP="00E03156">
            <w:pPr>
              <w:spacing w:after="0"/>
              <w:jc w:val="left"/>
              <w:rPr>
                <w:sz w:val="21"/>
                <w:szCs w:val="21"/>
              </w:rPr>
            </w:pPr>
          </w:p>
        </w:tc>
        <w:tc>
          <w:tcPr>
            <w:tcW w:w="1097" w:type="pct"/>
          </w:tcPr>
          <w:p w:rsidR="00E03156" w:rsidRPr="00E03156" w:rsidRDefault="00E03156" w:rsidP="00E03156">
            <w:pPr>
              <w:autoSpaceDE w:val="0"/>
              <w:autoSpaceDN w:val="0"/>
              <w:adjustRightInd w:val="0"/>
              <w:spacing w:after="0"/>
              <w:jc w:val="left"/>
              <w:rPr>
                <w:sz w:val="21"/>
                <w:szCs w:val="21"/>
                <w:lang w:bidi="ar-SA"/>
              </w:rPr>
            </w:pPr>
            <w:r w:rsidRPr="00E03156">
              <w:rPr>
                <w:sz w:val="21"/>
                <w:szCs w:val="21"/>
                <w:lang w:bidi="ar-SA"/>
              </w:rPr>
              <w:t>Heavy truck</w:t>
            </w:r>
          </w:p>
        </w:tc>
        <w:tc>
          <w:tcPr>
            <w:tcW w:w="3006" w:type="pct"/>
            <w:hideMark/>
          </w:tcPr>
          <w:p w:rsidR="00E03156" w:rsidRPr="00E03156" w:rsidRDefault="00E03156" w:rsidP="00E03156">
            <w:pPr>
              <w:autoSpaceDE w:val="0"/>
              <w:autoSpaceDN w:val="0"/>
              <w:adjustRightInd w:val="0"/>
              <w:spacing w:after="0"/>
              <w:jc w:val="left"/>
              <w:rPr>
                <w:sz w:val="21"/>
                <w:szCs w:val="21"/>
                <w:lang w:bidi="ar-SA"/>
              </w:rPr>
            </w:pPr>
            <w:r w:rsidRPr="00E03156">
              <w:rPr>
                <w:sz w:val="21"/>
                <w:szCs w:val="21"/>
                <w:lang w:bidi="ar-SA"/>
              </w:rPr>
              <w:t>&gt;16200</w:t>
            </w:r>
          </w:p>
        </w:tc>
      </w:tr>
      <w:tr w:rsidR="00E03156" w:rsidRPr="00F3773F" w:rsidTr="00E03156">
        <w:tc>
          <w:tcPr>
            <w:tcW w:w="897" w:type="pct"/>
            <w:vMerge/>
          </w:tcPr>
          <w:p w:rsidR="00E03156" w:rsidRPr="00E03156" w:rsidRDefault="00E03156" w:rsidP="00E03156">
            <w:pPr>
              <w:spacing w:after="0"/>
              <w:jc w:val="left"/>
              <w:rPr>
                <w:sz w:val="21"/>
                <w:szCs w:val="21"/>
              </w:rPr>
            </w:pPr>
          </w:p>
        </w:tc>
        <w:tc>
          <w:tcPr>
            <w:tcW w:w="1097" w:type="pct"/>
          </w:tcPr>
          <w:p w:rsidR="00E03156" w:rsidRPr="00E03156" w:rsidRDefault="00E03156" w:rsidP="00E03156">
            <w:pPr>
              <w:autoSpaceDE w:val="0"/>
              <w:autoSpaceDN w:val="0"/>
              <w:adjustRightInd w:val="0"/>
              <w:spacing w:after="0"/>
              <w:jc w:val="left"/>
              <w:rPr>
                <w:sz w:val="21"/>
                <w:szCs w:val="21"/>
                <w:lang w:bidi="ar-SA"/>
              </w:rPr>
            </w:pPr>
            <w:r w:rsidRPr="00E03156">
              <w:rPr>
                <w:sz w:val="21"/>
                <w:szCs w:val="21"/>
                <w:lang w:bidi="ar-SA"/>
              </w:rPr>
              <w:t>Prime mover</w:t>
            </w:r>
          </w:p>
        </w:tc>
        <w:tc>
          <w:tcPr>
            <w:tcW w:w="3006" w:type="pct"/>
            <w:hideMark/>
          </w:tcPr>
          <w:p w:rsidR="00E03156" w:rsidRPr="00E03156" w:rsidRDefault="00E03156" w:rsidP="00E03156">
            <w:pPr>
              <w:autoSpaceDE w:val="0"/>
              <w:autoSpaceDN w:val="0"/>
              <w:adjustRightInd w:val="0"/>
              <w:spacing w:after="0"/>
              <w:jc w:val="left"/>
              <w:rPr>
                <w:sz w:val="21"/>
                <w:szCs w:val="21"/>
                <w:lang w:bidi="ar-SA"/>
              </w:rPr>
            </w:pPr>
            <w:r w:rsidRPr="00E03156">
              <w:rPr>
                <w:sz w:val="21"/>
                <w:szCs w:val="21"/>
                <w:lang w:bidi="ar-SA"/>
              </w:rPr>
              <w:t>N/A</w:t>
            </w:r>
          </w:p>
        </w:tc>
      </w:tr>
      <w:tr w:rsidR="00E03156" w:rsidRPr="00F3773F" w:rsidTr="00E03156">
        <w:tc>
          <w:tcPr>
            <w:tcW w:w="897" w:type="pct"/>
          </w:tcPr>
          <w:p w:rsidR="00E03156" w:rsidRPr="00E03156" w:rsidRDefault="00E03156" w:rsidP="00E03156">
            <w:pPr>
              <w:spacing w:after="0"/>
              <w:jc w:val="left"/>
              <w:rPr>
                <w:sz w:val="21"/>
                <w:szCs w:val="21"/>
              </w:rPr>
            </w:pPr>
            <w:r w:rsidRPr="00E03156">
              <w:rPr>
                <w:sz w:val="21"/>
                <w:szCs w:val="21"/>
              </w:rPr>
              <w:t>Two-wheelers</w:t>
            </w:r>
          </w:p>
        </w:tc>
        <w:tc>
          <w:tcPr>
            <w:tcW w:w="1097" w:type="pct"/>
          </w:tcPr>
          <w:p w:rsidR="00E03156" w:rsidRPr="00E03156" w:rsidRDefault="00E03156" w:rsidP="00E03156">
            <w:pPr>
              <w:autoSpaceDE w:val="0"/>
              <w:autoSpaceDN w:val="0"/>
              <w:adjustRightInd w:val="0"/>
              <w:spacing w:after="0"/>
              <w:jc w:val="left"/>
              <w:rPr>
                <w:sz w:val="21"/>
                <w:szCs w:val="21"/>
                <w:lang w:bidi="ar-SA"/>
              </w:rPr>
            </w:pPr>
          </w:p>
        </w:tc>
        <w:tc>
          <w:tcPr>
            <w:tcW w:w="3006" w:type="pct"/>
            <w:hideMark/>
          </w:tcPr>
          <w:p w:rsidR="00E03156" w:rsidRPr="00E03156" w:rsidRDefault="00E03156" w:rsidP="00E03156">
            <w:pPr>
              <w:keepNext/>
              <w:autoSpaceDE w:val="0"/>
              <w:autoSpaceDN w:val="0"/>
              <w:adjustRightInd w:val="0"/>
              <w:spacing w:after="0"/>
              <w:jc w:val="left"/>
              <w:rPr>
                <w:sz w:val="21"/>
                <w:szCs w:val="21"/>
                <w:lang w:bidi="ar-SA"/>
              </w:rPr>
            </w:pPr>
            <w:r w:rsidRPr="00E03156">
              <w:rPr>
                <w:sz w:val="21"/>
                <w:szCs w:val="21"/>
                <w:lang w:bidi="ar-SA"/>
              </w:rPr>
              <w:t>N/A</w:t>
            </w:r>
          </w:p>
        </w:tc>
      </w:tr>
    </w:tbl>
    <w:p w:rsidR="00503F7F" w:rsidRDefault="00503F7F" w:rsidP="00503F7F"/>
    <w:tbl>
      <w:tblPr>
        <w:tblStyle w:val="TableGrid"/>
        <w:tblpPr w:leftFromText="180" w:rightFromText="180" w:vertAnchor="text" w:horzAnchor="margin" w:tblpXSpec="right" w:tblpY="31"/>
        <w:tblOverlap w:val="never"/>
        <w:tblW w:w="2216" w:type="pct"/>
        <w:tblBorders>
          <w:top w:val="single" w:sz="12" w:space="0" w:color="auto"/>
          <w:left w:val="none" w:sz="0" w:space="0" w:color="auto"/>
          <w:bottom w:val="single" w:sz="12" w:space="0" w:color="auto"/>
          <w:right w:val="none" w:sz="0" w:space="0" w:color="auto"/>
        </w:tblBorders>
        <w:tblCellMar>
          <w:top w:w="14" w:type="dxa"/>
          <w:left w:w="72" w:type="dxa"/>
          <w:bottom w:w="14" w:type="dxa"/>
          <w:right w:w="72" w:type="dxa"/>
        </w:tblCellMar>
        <w:tblLook w:val="04A0"/>
      </w:tblPr>
      <w:tblGrid>
        <w:gridCol w:w="1872"/>
        <w:gridCol w:w="2340"/>
      </w:tblGrid>
      <w:tr w:rsidR="00E03156" w:rsidRPr="00F3773F" w:rsidTr="00E03156">
        <w:tc>
          <w:tcPr>
            <w:tcW w:w="5000" w:type="pct"/>
            <w:gridSpan w:val="2"/>
            <w:tcBorders>
              <w:top w:val="nil"/>
              <w:bottom w:val="single" w:sz="12" w:space="0" w:color="auto"/>
            </w:tcBorders>
          </w:tcPr>
          <w:p w:rsidR="00E03156" w:rsidRPr="00E03156" w:rsidRDefault="00E03156" w:rsidP="00E03156">
            <w:pPr>
              <w:spacing w:after="0"/>
              <w:rPr>
                <w:b/>
                <w:sz w:val="21"/>
                <w:szCs w:val="21"/>
              </w:rPr>
            </w:pPr>
            <w:bookmarkStart w:id="125" w:name="_Ref324958948"/>
            <w:bookmarkStart w:id="126" w:name="_Toc326892904"/>
            <w:r w:rsidRPr="00E03156">
              <w:rPr>
                <w:b/>
                <w:sz w:val="20"/>
                <w:szCs w:val="20"/>
              </w:rPr>
              <w:t xml:space="preserve">Table </w:t>
            </w:r>
            <w:r w:rsidR="001A7AF8" w:rsidRPr="00E03156">
              <w:rPr>
                <w:b/>
                <w:sz w:val="20"/>
                <w:szCs w:val="20"/>
              </w:rPr>
              <w:fldChar w:fldCharType="begin"/>
            </w:r>
            <w:r w:rsidRPr="00E03156">
              <w:rPr>
                <w:b/>
                <w:sz w:val="20"/>
                <w:szCs w:val="20"/>
              </w:rPr>
              <w:instrText xml:space="preserve"> SEQ Table \* ARABIC </w:instrText>
            </w:r>
            <w:r w:rsidR="001A7AF8" w:rsidRPr="00E03156">
              <w:rPr>
                <w:b/>
                <w:sz w:val="20"/>
                <w:szCs w:val="20"/>
              </w:rPr>
              <w:fldChar w:fldCharType="separate"/>
            </w:r>
            <w:r w:rsidR="0072342D">
              <w:rPr>
                <w:b/>
                <w:noProof/>
                <w:sz w:val="20"/>
                <w:szCs w:val="20"/>
              </w:rPr>
              <w:t>13</w:t>
            </w:r>
            <w:r w:rsidR="001A7AF8" w:rsidRPr="00E03156">
              <w:rPr>
                <w:b/>
                <w:sz w:val="20"/>
                <w:szCs w:val="20"/>
              </w:rPr>
              <w:fldChar w:fldCharType="end"/>
            </w:r>
            <w:bookmarkEnd w:id="125"/>
            <w:r w:rsidRPr="001B5EB8">
              <w:rPr>
                <w:sz w:val="20"/>
                <w:szCs w:val="20"/>
              </w:rPr>
              <w:t xml:space="preserve">: </w:t>
            </w:r>
            <w:r>
              <w:rPr>
                <w:sz w:val="20"/>
                <w:szCs w:val="20"/>
              </w:rPr>
              <w:t>Assumptions on vehicle standards</w:t>
            </w:r>
            <w:bookmarkEnd w:id="126"/>
          </w:p>
        </w:tc>
      </w:tr>
      <w:tr w:rsidR="00E03156" w:rsidRPr="00F3773F" w:rsidTr="00E03156">
        <w:tc>
          <w:tcPr>
            <w:tcW w:w="2222" w:type="pct"/>
            <w:tcBorders>
              <w:top w:val="single" w:sz="12" w:space="0" w:color="auto"/>
            </w:tcBorders>
          </w:tcPr>
          <w:p w:rsidR="00E03156" w:rsidRPr="00E03156" w:rsidRDefault="00E03156" w:rsidP="00E03156">
            <w:pPr>
              <w:spacing w:after="0"/>
              <w:jc w:val="center"/>
              <w:rPr>
                <w:b/>
                <w:sz w:val="20"/>
                <w:szCs w:val="20"/>
              </w:rPr>
            </w:pPr>
            <w:r w:rsidRPr="00E03156">
              <w:rPr>
                <w:b/>
                <w:sz w:val="20"/>
                <w:szCs w:val="20"/>
              </w:rPr>
              <w:t>Emission standards</w:t>
            </w:r>
          </w:p>
        </w:tc>
        <w:tc>
          <w:tcPr>
            <w:tcW w:w="2778" w:type="pct"/>
            <w:tcBorders>
              <w:top w:val="single" w:sz="12" w:space="0" w:color="auto"/>
            </w:tcBorders>
            <w:hideMark/>
          </w:tcPr>
          <w:p w:rsidR="00E03156" w:rsidRPr="00E03156" w:rsidRDefault="00E03156" w:rsidP="00E03156">
            <w:pPr>
              <w:spacing w:after="0"/>
              <w:jc w:val="center"/>
              <w:rPr>
                <w:b/>
                <w:sz w:val="20"/>
                <w:szCs w:val="20"/>
              </w:rPr>
            </w:pPr>
            <w:r w:rsidRPr="00E03156">
              <w:rPr>
                <w:b/>
                <w:sz w:val="20"/>
                <w:szCs w:val="20"/>
              </w:rPr>
              <w:t>Years of manufacturing</w:t>
            </w:r>
          </w:p>
        </w:tc>
      </w:tr>
      <w:tr w:rsidR="00E03156" w:rsidRPr="00F3773F" w:rsidTr="00E03156">
        <w:tc>
          <w:tcPr>
            <w:tcW w:w="2222" w:type="pct"/>
          </w:tcPr>
          <w:p w:rsidR="00E03156" w:rsidRPr="00E03156" w:rsidRDefault="00E03156" w:rsidP="00E03156">
            <w:pPr>
              <w:autoSpaceDE w:val="0"/>
              <w:autoSpaceDN w:val="0"/>
              <w:adjustRightInd w:val="0"/>
              <w:spacing w:after="0"/>
              <w:jc w:val="center"/>
              <w:rPr>
                <w:sz w:val="20"/>
                <w:szCs w:val="20"/>
                <w:lang w:bidi="ar-SA"/>
              </w:rPr>
            </w:pPr>
            <w:r w:rsidRPr="00E03156">
              <w:rPr>
                <w:sz w:val="20"/>
                <w:szCs w:val="20"/>
                <w:lang w:bidi="ar-SA"/>
              </w:rPr>
              <w:t>Euro 0</w:t>
            </w:r>
          </w:p>
        </w:tc>
        <w:tc>
          <w:tcPr>
            <w:tcW w:w="2778" w:type="pct"/>
            <w:hideMark/>
          </w:tcPr>
          <w:p w:rsidR="00E03156" w:rsidRPr="00E03156" w:rsidRDefault="00E03156" w:rsidP="00E03156">
            <w:pPr>
              <w:autoSpaceDE w:val="0"/>
              <w:autoSpaceDN w:val="0"/>
              <w:adjustRightInd w:val="0"/>
              <w:spacing w:after="0"/>
              <w:jc w:val="center"/>
              <w:rPr>
                <w:sz w:val="20"/>
                <w:szCs w:val="20"/>
                <w:lang w:bidi="ar-SA"/>
              </w:rPr>
            </w:pPr>
            <w:r w:rsidRPr="00E03156">
              <w:rPr>
                <w:sz w:val="20"/>
                <w:szCs w:val="20"/>
                <w:lang w:bidi="ar-SA"/>
              </w:rPr>
              <w:t>Prior to 1991</w:t>
            </w:r>
          </w:p>
        </w:tc>
      </w:tr>
      <w:tr w:rsidR="00E03156" w:rsidRPr="00F3773F" w:rsidTr="00E03156">
        <w:tc>
          <w:tcPr>
            <w:tcW w:w="2222" w:type="pct"/>
          </w:tcPr>
          <w:p w:rsidR="00E03156" w:rsidRPr="00E03156" w:rsidRDefault="00E03156" w:rsidP="00E03156">
            <w:pPr>
              <w:autoSpaceDE w:val="0"/>
              <w:autoSpaceDN w:val="0"/>
              <w:adjustRightInd w:val="0"/>
              <w:spacing w:after="0"/>
              <w:jc w:val="center"/>
              <w:rPr>
                <w:sz w:val="20"/>
                <w:szCs w:val="20"/>
                <w:lang w:bidi="ar-SA"/>
              </w:rPr>
            </w:pPr>
            <w:r w:rsidRPr="00E03156">
              <w:rPr>
                <w:sz w:val="20"/>
                <w:szCs w:val="20"/>
                <w:lang w:bidi="ar-SA"/>
              </w:rPr>
              <w:t>Euro 1</w:t>
            </w:r>
          </w:p>
        </w:tc>
        <w:tc>
          <w:tcPr>
            <w:tcW w:w="2778" w:type="pct"/>
            <w:hideMark/>
          </w:tcPr>
          <w:p w:rsidR="00E03156" w:rsidRPr="00E03156" w:rsidRDefault="00E03156" w:rsidP="00E03156">
            <w:pPr>
              <w:autoSpaceDE w:val="0"/>
              <w:autoSpaceDN w:val="0"/>
              <w:adjustRightInd w:val="0"/>
              <w:spacing w:after="0"/>
              <w:jc w:val="center"/>
              <w:rPr>
                <w:sz w:val="20"/>
                <w:szCs w:val="20"/>
                <w:lang w:bidi="ar-SA"/>
              </w:rPr>
            </w:pPr>
            <w:r w:rsidRPr="00E03156">
              <w:rPr>
                <w:sz w:val="20"/>
                <w:szCs w:val="20"/>
                <w:lang w:bidi="ar-SA"/>
              </w:rPr>
              <w:t>1993-1995</w:t>
            </w:r>
          </w:p>
        </w:tc>
      </w:tr>
      <w:tr w:rsidR="00E03156" w:rsidRPr="00F3773F" w:rsidTr="00E03156">
        <w:tc>
          <w:tcPr>
            <w:tcW w:w="2222" w:type="pct"/>
          </w:tcPr>
          <w:p w:rsidR="00E03156" w:rsidRPr="00E03156" w:rsidRDefault="00E03156" w:rsidP="00E03156">
            <w:pPr>
              <w:autoSpaceDE w:val="0"/>
              <w:autoSpaceDN w:val="0"/>
              <w:adjustRightInd w:val="0"/>
              <w:spacing w:after="0"/>
              <w:jc w:val="center"/>
              <w:rPr>
                <w:sz w:val="20"/>
                <w:szCs w:val="20"/>
                <w:lang w:bidi="ar-SA"/>
              </w:rPr>
            </w:pPr>
            <w:r w:rsidRPr="00E03156">
              <w:rPr>
                <w:sz w:val="20"/>
                <w:szCs w:val="20"/>
                <w:lang w:bidi="ar-SA"/>
              </w:rPr>
              <w:t>Euro 2</w:t>
            </w:r>
          </w:p>
        </w:tc>
        <w:tc>
          <w:tcPr>
            <w:tcW w:w="2778" w:type="pct"/>
            <w:hideMark/>
          </w:tcPr>
          <w:p w:rsidR="00E03156" w:rsidRPr="00E03156" w:rsidRDefault="00E03156" w:rsidP="00E03156">
            <w:pPr>
              <w:autoSpaceDE w:val="0"/>
              <w:autoSpaceDN w:val="0"/>
              <w:adjustRightInd w:val="0"/>
              <w:spacing w:after="0"/>
              <w:jc w:val="center"/>
              <w:rPr>
                <w:sz w:val="20"/>
                <w:szCs w:val="20"/>
                <w:lang w:bidi="ar-SA"/>
              </w:rPr>
            </w:pPr>
            <w:r w:rsidRPr="00E03156">
              <w:rPr>
                <w:sz w:val="20"/>
                <w:szCs w:val="20"/>
                <w:lang w:bidi="ar-SA"/>
              </w:rPr>
              <w:t>1996-1999</w:t>
            </w:r>
          </w:p>
        </w:tc>
      </w:tr>
      <w:tr w:rsidR="00E03156" w:rsidRPr="00F3773F" w:rsidTr="00E03156">
        <w:tc>
          <w:tcPr>
            <w:tcW w:w="2222" w:type="pct"/>
          </w:tcPr>
          <w:p w:rsidR="00E03156" w:rsidRPr="00E03156" w:rsidRDefault="00E03156" w:rsidP="00E03156">
            <w:pPr>
              <w:autoSpaceDE w:val="0"/>
              <w:autoSpaceDN w:val="0"/>
              <w:adjustRightInd w:val="0"/>
              <w:spacing w:after="0"/>
              <w:jc w:val="center"/>
              <w:rPr>
                <w:sz w:val="20"/>
                <w:szCs w:val="20"/>
                <w:lang w:bidi="ar-SA"/>
              </w:rPr>
            </w:pPr>
            <w:r w:rsidRPr="00E03156">
              <w:rPr>
                <w:sz w:val="20"/>
                <w:szCs w:val="20"/>
                <w:lang w:bidi="ar-SA"/>
              </w:rPr>
              <w:t>Euro 3</w:t>
            </w:r>
          </w:p>
        </w:tc>
        <w:tc>
          <w:tcPr>
            <w:tcW w:w="2778" w:type="pct"/>
            <w:hideMark/>
          </w:tcPr>
          <w:p w:rsidR="00E03156" w:rsidRPr="00E03156" w:rsidRDefault="00E03156" w:rsidP="00E03156">
            <w:pPr>
              <w:autoSpaceDE w:val="0"/>
              <w:autoSpaceDN w:val="0"/>
              <w:adjustRightInd w:val="0"/>
              <w:spacing w:after="0"/>
              <w:jc w:val="center"/>
              <w:rPr>
                <w:sz w:val="20"/>
                <w:szCs w:val="20"/>
                <w:lang w:bidi="ar-SA"/>
              </w:rPr>
            </w:pPr>
            <w:r w:rsidRPr="00E03156">
              <w:rPr>
                <w:sz w:val="20"/>
                <w:szCs w:val="20"/>
                <w:lang w:bidi="ar-SA"/>
              </w:rPr>
              <w:t>2000-2004</w:t>
            </w:r>
          </w:p>
        </w:tc>
      </w:tr>
      <w:tr w:rsidR="00E03156" w:rsidRPr="00F3773F" w:rsidTr="00E03156">
        <w:tc>
          <w:tcPr>
            <w:tcW w:w="2222" w:type="pct"/>
          </w:tcPr>
          <w:p w:rsidR="00E03156" w:rsidRPr="00E03156" w:rsidRDefault="00E03156" w:rsidP="00E03156">
            <w:pPr>
              <w:autoSpaceDE w:val="0"/>
              <w:autoSpaceDN w:val="0"/>
              <w:adjustRightInd w:val="0"/>
              <w:spacing w:after="0"/>
              <w:jc w:val="center"/>
              <w:rPr>
                <w:sz w:val="20"/>
                <w:szCs w:val="20"/>
                <w:lang w:bidi="ar-SA"/>
              </w:rPr>
            </w:pPr>
            <w:r w:rsidRPr="00E03156">
              <w:rPr>
                <w:sz w:val="20"/>
                <w:szCs w:val="20"/>
                <w:lang w:bidi="ar-SA"/>
              </w:rPr>
              <w:t>Euro 4</w:t>
            </w:r>
          </w:p>
        </w:tc>
        <w:tc>
          <w:tcPr>
            <w:tcW w:w="2778" w:type="pct"/>
            <w:hideMark/>
          </w:tcPr>
          <w:p w:rsidR="00E03156" w:rsidRPr="00E03156" w:rsidRDefault="00E03156" w:rsidP="00E03156">
            <w:pPr>
              <w:autoSpaceDE w:val="0"/>
              <w:autoSpaceDN w:val="0"/>
              <w:adjustRightInd w:val="0"/>
              <w:spacing w:after="0"/>
              <w:jc w:val="center"/>
              <w:rPr>
                <w:sz w:val="20"/>
                <w:szCs w:val="20"/>
                <w:lang w:bidi="ar-SA"/>
              </w:rPr>
            </w:pPr>
            <w:r w:rsidRPr="00E03156">
              <w:rPr>
                <w:sz w:val="20"/>
                <w:szCs w:val="20"/>
                <w:lang w:bidi="ar-SA"/>
              </w:rPr>
              <w:t>2005-2008</w:t>
            </w:r>
          </w:p>
        </w:tc>
      </w:tr>
      <w:tr w:rsidR="00E03156" w:rsidRPr="00F3773F" w:rsidTr="00E03156">
        <w:tc>
          <w:tcPr>
            <w:tcW w:w="2222" w:type="pct"/>
          </w:tcPr>
          <w:p w:rsidR="00E03156" w:rsidRPr="00E03156" w:rsidRDefault="00E03156" w:rsidP="00E03156">
            <w:pPr>
              <w:autoSpaceDE w:val="0"/>
              <w:autoSpaceDN w:val="0"/>
              <w:adjustRightInd w:val="0"/>
              <w:spacing w:after="0"/>
              <w:jc w:val="center"/>
              <w:rPr>
                <w:sz w:val="20"/>
                <w:szCs w:val="20"/>
                <w:lang w:bidi="ar-SA"/>
              </w:rPr>
            </w:pPr>
            <w:r w:rsidRPr="00E03156">
              <w:rPr>
                <w:sz w:val="20"/>
                <w:szCs w:val="20"/>
                <w:lang w:bidi="ar-SA"/>
              </w:rPr>
              <w:t>Euro 5</w:t>
            </w:r>
          </w:p>
        </w:tc>
        <w:tc>
          <w:tcPr>
            <w:tcW w:w="2778" w:type="pct"/>
            <w:hideMark/>
          </w:tcPr>
          <w:p w:rsidR="00E03156" w:rsidRPr="00E03156" w:rsidRDefault="00E03156" w:rsidP="00E03156">
            <w:pPr>
              <w:keepNext/>
              <w:autoSpaceDE w:val="0"/>
              <w:autoSpaceDN w:val="0"/>
              <w:adjustRightInd w:val="0"/>
              <w:spacing w:after="0"/>
              <w:jc w:val="center"/>
              <w:rPr>
                <w:sz w:val="20"/>
                <w:szCs w:val="20"/>
                <w:lang w:bidi="ar-SA"/>
              </w:rPr>
            </w:pPr>
            <w:r w:rsidRPr="00E03156">
              <w:rPr>
                <w:sz w:val="20"/>
                <w:szCs w:val="20"/>
                <w:lang w:bidi="ar-SA"/>
              </w:rPr>
              <w:t>2009-2011</w:t>
            </w:r>
          </w:p>
        </w:tc>
      </w:tr>
    </w:tbl>
    <w:p w:rsidR="00E03156" w:rsidRDefault="00E03156" w:rsidP="00E03156">
      <w:r w:rsidRPr="00E03156">
        <w:t>On-road transport fuel consumption is determined based on a range of intrinsic vehicle characteristics including vehicle type, subtype, engine displacement, technology, GVW, accumulated mileage, and fuel used. Thus, to obtain reliable estimates of fuel consumption and emissions, the baseline population needs to be further disaggregated into these categories.</w:t>
      </w:r>
      <w:r>
        <w:t xml:space="preserve"> </w:t>
      </w:r>
      <w:r w:rsidRPr="00E03156">
        <w:t xml:space="preserve">In order to determine the vehicle emission standards for the baseline (2010) vehicle population in Georgia, the following assumptions were used </w:t>
      </w:r>
      <w:fldSimple w:instr=" REF _Ref324958948 \h  \* MERGEFORMAT ">
        <w:r w:rsidR="0072342D" w:rsidRPr="0072342D">
          <w:t xml:space="preserve">Table </w:t>
        </w:r>
        <w:r w:rsidR="0072342D" w:rsidRPr="0072342D">
          <w:rPr>
            <w:noProof/>
          </w:rPr>
          <w:t>13</w:t>
        </w:r>
      </w:fldSimple>
      <w:r>
        <w:t>.</w:t>
      </w:r>
    </w:p>
    <w:p w:rsidR="005A184F" w:rsidRPr="005A184F" w:rsidRDefault="005A184F" w:rsidP="005A184F">
      <w:r w:rsidRPr="005A184F">
        <w:rPr>
          <w:b/>
        </w:rPr>
        <w:t xml:space="preserve">Household survey data. </w:t>
      </w:r>
      <w:r w:rsidRPr="005A184F">
        <w:t xml:space="preserve">Household survey data is needed to make bottom-up projections of private vehicle ownership. The information on the average per capita income obtained from the survey is used to group rural and urban population into percentiles and derive mean monthly expenditure of each household. Applying assumptions on income elasticities to the mean monthly expenditure data allows forecasting vehicle ownership on the household level. </w:t>
      </w:r>
      <w:r w:rsidR="00374614">
        <w:t xml:space="preserve"> </w:t>
      </w:r>
      <w:r w:rsidRPr="005A184F">
        <w:t>Finally, car ownership forecast for each household is multiplied by the projected number of households (a function of population growth rate) to determine private vehicle ownership on the country level.</w:t>
      </w:r>
    </w:p>
    <w:p w:rsidR="005A184F" w:rsidRDefault="005A184F" w:rsidP="005A184F">
      <w:r w:rsidRPr="005A184F">
        <w:rPr>
          <w:b/>
        </w:rPr>
        <w:t xml:space="preserve">Baseline vehicle use data. </w:t>
      </w:r>
      <w:r w:rsidRPr="005A184F">
        <w:t xml:space="preserve">Due to its direct influence on fuel consumption and emissions intensity, the baseline vehicle use data is factored in the EFFECT calculations. The key variables used to determine the vehicle use are the number of trips and average trip length for passenger transport and vehicle load and average trip length for freight transport. </w:t>
      </w:r>
    </w:p>
    <w:p w:rsidR="000357A0" w:rsidRPr="005A184F" w:rsidRDefault="000357A0" w:rsidP="005A184F">
      <w:r w:rsidRPr="000357A0">
        <w:lastRenderedPageBreak/>
        <w:t>For road vehicles, the annual age-sensitive vehicle use data by vehicle type, subtype and usage pattern applied in simulations for Georgia are based on expert-determined estimates used in previous ESMAP studies. For railway and metro transport, the model allows entering the actual country-specific number (annual distance trave</w:t>
      </w:r>
      <w:r>
        <w:t xml:space="preserve">led, number of passengers, and </w:t>
      </w:r>
      <w:r w:rsidRPr="000357A0">
        <w:t>loading factor) to compute the aggregate vehicle use data endogenously.</w:t>
      </w:r>
    </w:p>
    <w:p w:rsidR="005A184F" w:rsidRPr="005A184F" w:rsidRDefault="005A184F" w:rsidP="005A184F">
      <w:r w:rsidRPr="005A184F">
        <w:t>The explanatory variables employed in projecting vehicle use are closely linked to the operating conditions dataset. Thus, the average trip length determines the number of starts per day, which, in its turn, causes aggregate cold start over</w:t>
      </w:r>
      <w:r w:rsidR="00374614">
        <w:t>-</w:t>
      </w:r>
      <w:r w:rsidRPr="005A184F">
        <w:t>emissions.</w:t>
      </w:r>
    </w:p>
    <w:p w:rsidR="005A184F" w:rsidRDefault="005A184F" w:rsidP="005A184F">
      <w:r w:rsidRPr="005A184F">
        <w:t xml:space="preserve">For heavy-duty vehicles, both passenger and freight, vehicle loading has a significant impact on fuel consumption and emissions. Usually, a 50% load condition is used to determine average fuel consumption to account for deadheading (the truck </w:t>
      </w:r>
      <w:r w:rsidR="00374614" w:rsidRPr="005A184F">
        <w:t>running</w:t>
      </w:r>
      <w:r w:rsidRPr="005A184F">
        <w:t xml:space="preserve"> empty on the return journey or to pick up a load) and to cover the frequent occurrence for lighter weight loads where the volumetric capacity of the truck is reached before its maximum weight limitation. These assumptions have been applied for the scenarios modeled for this study.</w:t>
      </w:r>
    </w:p>
    <w:p w:rsidR="00E03156" w:rsidRPr="005A184F" w:rsidRDefault="00E03156" w:rsidP="00E03156">
      <w:r w:rsidRPr="00E03156">
        <w:t>The definition of the yearly in-use vehicle population, the annual kilometers driven by each vehicle and the mix of private and business usage patterns allow the vehicle-kilometers-travelled (VKT) to be calculated for each vehicle type and sub-type.</w:t>
      </w:r>
      <w:r>
        <w:t xml:space="preserve">  </w:t>
      </w:r>
      <w:r w:rsidRPr="00E03156">
        <w:t>The average number of passengers per vehicle is then projected to determine the passenger-kilometers per year (PKT) from these segments. In these calculations an average of 1.5 riders per moped, scooter, and motorcycle is assumed and an average of 1.85 passengers in passenger cars (not counting professional drivers) is used.</w:t>
      </w:r>
      <w:r>
        <w:t xml:space="preserve">  </w:t>
      </w:r>
      <w:r w:rsidRPr="00E03156">
        <w:t>The annual per-vehicle age-sensitive usage (km/year) by vehicle type and subtype and by usage pattern are estimated using the data collected for a previous ESMAP study</w:t>
      </w:r>
      <w:r w:rsidR="000357A0">
        <w:t>.</w:t>
      </w:r>
    </w:p>
    <w:p w:rsidR="005A184F" w:rsidRPr="005A184F" w:rsidRDefault="005A184F" w:rsidP="00374614">
      <w:pPr>
        <w:spacing w:after="60"/>
      </w:pPr>
      <w:r w:rsidRPr="005A184F">
        <w:rPr>
          <w:b/>
        </w:rPr>
        <w:t xml:space="preserve">Data on operating conditions. </w:t>
      </w:r>
      <w:r w:rsidRPr="005A184F">
        <w:t>A number of operating conditions directly affect vehicle energy use and emissions generated by the transport sector. The data need to be defined for each year of the modeling period to calculate and apply emissions factors to each vehicle in the active population.</w:t>
      </w:r>
      <w:r w:rsidR="00374614">
        <w:t xml:space="preserve">  </w:t>
      </w:r>
      <w:r w:rsidRPr="005A184F">
        <w:t>The following factors are taken into account in EFFECT:</w:t>
      </w:r>
      <w:r w:rsidR="00374614">
        <w:t xml:space="preserve"> (i) </w:t>
      </w:r>
      <w:r w:rsidR="00374614" w:rsidRPr="005A184F">
        <w:t>ambient temperature;</w:t>
      </w:r>
      <w:r w:rsidR="00374614">
        <w:t xml:space="preserve"> (ii) </w:t>
      </w:r>
      <w:r w:rsidR="00374614" w:rsidRPr="005A184F">
        <w:t>driving conditions;</w:t>
      </w:r>
      <w:r w:rsidR="00374614">
        <w:t xml:space="preserve"> (iii) </w:t>
      </w:r>
      <w:r w:rsidR="00374614" w:rsidRPr="005A184F">
        <w:t>bio-fuel mix;</w:t>
      </w:r>
      <w:r w:rsidR="00374614">
        <w:t xml:space="preserve"> (iv) </w:t>
      </w:r>
      <w:r w:rsidR="00374614" w:rsidRPr="005A184F">
        <w:t>inspection and maintenance programs;</w:t>
      </w:r>
      <w:r w:rsidR="00374614">
        <w:t xml:space="preserve"> and (v) </w:t>
      </w:r>
      <w:r w:rsidR="00374614" w:rsidRPr="005A184F">
        <w:t>total vehicle expenditures.</w:t>
      </w:r>
    </w:p>
    <w:p w:rsidR="00374614" w:rsidRDefault="005A184F" w:rsidP="00197EC3">
      <w:pPr>
        <w:pStyle w:val="ListParagraph"/>
        <w:numPr>
          <w:ilvl w:val="0"/>
          <w:numId w:val="8"/>
        </w:numPr>
        <w:spacing w:after="60"/>
        <w:contextualSpacing w:val="0"/>
      </w:pPr>
      <w:r w:rsidRPr="00374614">
        <w:rPr>
          <w:i/>
        </w:rPr>
        <w:t>Ambient temperature.</w:t>
      </w:r>
      <w:r w:rsidRPr="005A184F">
        <w:t xml:space="preserve"> Low ambient temperatures may cause over-emissions due to cold starts and evaporative emissions. While determining emission-factors, it is necessary to include monthly mean high and low temperatures based on a vehicle-population-weighted average rather than on a national geographical average. In scenarios analyzed under the present study, the monthly mean high and low temperatures for Georgia are taken from historical airport records.</w:t>
      </w:r>
    </w:p>
    <w:p w:rsidR="00374614" w:rsidRDefault="005A184F" w:rsidP="00197EC3">
      <w:pPr>
        <w:pStyle w:val="ListParagraph"/>
        <w:numPr>
          <w:ilvl w:val="0"/>
          <w:numId w:val="8"/>
        </w:numPr>
        <w:spacing w:after="60"/>
        <w:contextualSpacing w:val="0"/>
      </w:pPr>
      <w:r w:rsidRPr="00374614">
        <w:rPr>
          <w:i/>
        </w:rPr>
        <w:t xml:space="preserve">Driving conditions. </w:t>
      </w:r>
      <w:r w:rsidRPr="005A184F">
        <w:t xml:space="preserve">Different urban, </w:t>
      </w:r>
      <w:r w:rsidR="00374614" w:rsidRPr="005A184F">
        <w:t>rural</w:t>
      </w:r>
      <w:r w:rsidRPr="005A184F">
        <w:t xml:space="preserve"> and highway road speed conditions result in varying fuel consumption and emissions levels. Whenever possible, the percentage of vehicle-kilometers travelled for each type of vehicle under different road conditions should be determined by using a traditional four-step transport model for each year of the modeling period. Given the data availability limitations, the travel mixes for the present analysis were obtained from previous ESMAP research and are based on expert judgment.</w:t>
      </w:r>
    </w:p>
    <w:p w:rsidR="00374614" w:rsidRDefault="005A184F" w:rsidP="00197EC3">
      <w:pPr>
        <w:pStyle w:val="ListParagraph"/>
        <w:numPr>
          <w:ilvl w:val="0"/>
          <w:numId w:val="8"/>
        </w:numPr>
        <w:spacing w:after="60"/>
        <w:contextualSpacing w:val="0"/>
      </w:pPr>
      <w:r w:rsidRPr="00374614">
        <w:rPr>
          <w:i/>
        </w:rPr>
        <w:t>Bio-fuel mix.</w:t>
      </w:r>
      <w:r w:rsidRPr="005A184F">
        <w:t xml:space="preserve"> The incorporation of bio-fuels into the petrol and diesel fuel mix changes the emissions characteristics of each vehicle. Additionally, under UNFCCC rules, the emissions from the combustion of biofuels are counted as agricultural emissions, not transport emissions, to avoid </w:t>
      </w:r>
      <w:r w:rsidRPr="005A184F">
        <w:lastRenderedPageBreak/>
        <w:t>double-counting. Given the scarcity of data on vehicle fleet composition in Georgia by type of fuel used, bio-diesel blend share is consi</w:t>
      </w:r>
      <w:r w:rsidR="00374614">
        <w:t>dered in the current scenarios.</w:t>
      </w:r>
    </w:p>
    <w:p w:rsidR="005A184F" w:rsidRPr="005A184F" w:rsidRDefault="005A184F" w:rsidP="00197EC3">
      <w:pPr>
        <w:pStyle w:val="ListParagraph"/>
        <w:numPr>
          <w:ilvl w:val="0"/>
          <w:numId w:val="8"/>
        </w:numPr>
      </w:pPr>
      <w:r w:rsidRPr="00374614">
        <w:rPr>
          <w:i/>
        </w:rPr>
        <w:t xml:space="preserve">Inspection and maintenance. </w:t>
      </w:r>
      <w:r w:rsidRPr="005A184F">
        <w:t>Effective vehicle inspection programs reduce fuel consumption and emissions, particularly from older vehicles, because of the improved maintenance. Therefore, it is necessary to take into account the average accumulated mileage of the vehicles in the population. For Georgia, the effects of improved inspection and maintenance programs have not been analyzed.</w:t>
      </w:r>
    </w:p>
    <w:p w:rsidR="005A184F" w:rsidRPr="005A184F" w:rsidRDefault="005A184F" w:rsidP="00374614">
      <w:r w:rsidRPr="005A184F">
        <w:rPr>
          <w:b/>
        </w:rPr>
        <w:t xml:space="preserve">Data on vehicle expenditures (capital and operating costs). </w:t>
      </w:r>
      <w:r w:rsidRPr="005A184F">
        <w:t>Vehicle capital and operating costs have a direct influence on vehicle ownership and use. In EFFECT, the data on vehicle purchase prices and operating costs are used for the benefit-cost analysis, which juxtaposes annual vehicle costs (net of co-benefits) to annual CO</w:t>
      </w:r>
      <w:r w:rsidRPr="005A184F">
        <w:rPr>
          <w:vertAlign w:val="subscript"/>
        </w:rPr>
        <w:t xml:space="preserve">2 </w:t>
      </w:r>
      <w:r w:rsidRPr="005A184F">
        <w:t>emissions. The stream of annual net costs is discounted to derive the present value of net costs using a Ramsey annual discount rate with Delta (δ) equal to 0.001 and Eta (η) equal to 2 to arrive at the present value of the net cost. Annual tons of CO</w:t>
      </w:r>
      <w:r w:rsidRPr="005A184F">
        <w:rPr>
          <w:vertAlign w:val="subscript"/>
        </w:rPr>
        <w:t>2</w:t>
      </w:r>
      <w:r w:rsidRPr="005A184F">
        <w:t xml:space="preserve"> emissions are added up without discounting to estimate the total CO</w:t>
      </w:r>
      <w:r w:rsidRPr="005A184F">
        <w:rPr>
          <w:vertAlign w:val="subscript"/>
        </w:rPr>
        <w:t>2</w:t>
      </w:r>
      <w:r w:rsidRPr="005A184F">
        <w:t xml:space="preserve"> emissions mitigated by the option. The cost effectiveness ratio (cost per ton of CO</w:t>
      </w:r>
      <w:r w:rsidRPr="005A184F">
        <w:rPr>
          <w:vertAlign w:val="subscript"/>
        </w:rPr>
        <w:t>2</w:t>
      </w:r>
      <w:r w:rsidRPr="005A184F">
        <w:t xml:space="preserve"> reduction) is calculated by dividing the former by the latter.</w:t>
      </w:r>
      <w:r w:rsidR="00374614">
        <w:t xml:space="preserve"> </w:t>
      </w:r>
      <w:r w:rsidRPr="005A184F">
        <w:t>The following operating costs are considered in the analysis:</w:t>
      </w:r>
      <w:r w:rsidR="00374614">
        <w:t xml:space="preserve"> (i) </w:t>
      </w:r>
      <w:r w:rsidRPr="005A184F">
        <w:t>Fuel costs;</w:t>
      </w:r>
      <w:r w:rsidR="00374614">
        <w:t xml:space="preserve"> (ii) </w:t>
      </w:r>
      <w:r w:rsidRPr="005A184F">
        <w:t>Insurance costs;</w:t>
      </w:r>
      <w:r w:rsidR="00374614">
        <w:t xml:space="preserve"> and (iii) </w:t>
      </w:r>
      <w:r w:rsidRPr="005A184F">
        <w:t>Maintenance (repairs, periodic service, oil consumption and tires wear and tear) and other costs (registration and other charges).</w:t>
      </w:r>
    </w:p>
    <w:p w:rsidR="005A184F" w:rsidRPr="005A184F" w:rsidRDefault="005A184F" w:rsidP="005A184F">
      <w:r w:rsidRPr="005A184F">
        <w:t>The data on new and used vehicle fixed costs (purchase prices) are based on publicly available market reference prices (</w:t>
      </w:r>
      <w:hyperlink r:id="rId64" w:history="1">
        <w:r w:rsidRPr="005A184F">
          <w:rPr>
            <w:rStyle w:val="Hyperlink"/>
          </w:rPr>
          <w:t>www.autopapa.ge</w:t>
        </w:r>
      </w:hyperlink>
      <w:r w:rsidRPr="005A184F">
        <w:t>). The information on vehicle fuel prices (petrol and diesel) was provided by the Ministry of Energy of Georgia. The other operating costs are estimated using the empirical data from previous research conducted by ESMAP.</w:t>
      </w:r>
    </w:p>
    <w:tbl>
      <w:tblPr>
        <w:tblStyle w:val="TableGrid"/>
        <w:tblpPr w:leftFromText="180" w:rightFromText="180" w:vertAnchor="text" w:horzAnchor="margin" w:tblpXSpec="right" w:tblpY="16"/>
        <w:tblOverlap w:val="never"/>
        <w:tblW w:w="0" w:type="auto"/>
        <w:tblLayout w:type="fixed"/>
        <w:tblCellMar>
          <w:left w:w="0" w:type="dxa"/>
          <w:right w:w="0" w:type="dxa"/>
        </w:tblCellMar>
        <w:tblLook w:val="04A0"/>
      </w:tblPr>
      <w:tblGrid>
        <w:gridCol w:w="5040"/>
      </w:tblGrid>
      <w:tr w:rsidR="002360C5" w:rsidTr="002360C5">
        <w:trPr>
          <w:trHeight w:val="183"/>
        </w:trPr>
        <w:tc>
          <w:tcPr>
            <w:tcW w:w="5040" w:type="dxa"/>
            <w:tcBorders>
              <w:top w:val="nil"/>
              <w:left w:val="nil"/>
              <w:bottom w:val="single" w:sz="4" w:space="0" w:color="auto"/>
              <w:right w:val="nil"/>
            </w:tcBorders>
          </w:tcPr>
          <w:p w:rsidR="002360C5" w:rsidRPr="005631F9" w:rsidRDefault="002360C5" w:rsidP="002360C5">
            <w:pPr>
              <w:spacing w:after="0"/>
              <w:jc w:val="center"/>
              <w:rPr>
                <w:sz w:val="20"/>
                <w:szCs w:val="20"/>
              </w:rPr>
            </w:pPr>
            <w:bookmarkStart w:id="127" w:name="_Ref324956894"/>
            <w:bookmarkStart w:id="128" w:name="_Toc326892852"/>
            <w:r w:rsidRPr="00394B4B">
              <w:rPr>
                <w:b/>
                <w:sz w:val="20"/>
                <w:szCs w:val="20"/>
              </w:rPr>
              <w:t xml:space="preserve">Figure </w:t>
            </w:r>
            <w:r w:rsidR="001A7AF8" w:rsidRPr="00394B4B">
              <w:rPr>
                <w:b/>
                <w:sz w:val="20"/>
                <w:szCs w:val="20"/>
              </w:rPr>
              <w:fldChar w:fldCharType="begin"/>
            </w:r>
            <w:r w:rsidRPr="00394B4B">
              <w:rPr>
                <w:b/>
                <w:sz w:val="20"/>
                <w:szCs w:val="20"/>
              </w:rPr>
              <w:instrText xml:space="preserve"> SEQ Figure \* ARABIC </w:instrText>
            </w:r>
            <w:r w:rsidR="001A7AF8" w:rsidRPr="00394B4B">
              <w:rPr>
                <w:b/>
                <w:sz w:val="20"/>
                <w:szCs w:val="20"/>
              </w:rPr>
              <w:fldChar w:fldCharType="separate"/>
            </w:r>
            <w:r w:rsidR="00BA2792">
              <w:rPr>
                <w:b/>
                <w:noProof/>
                <w:sz w:val="20"/>
                <w:szCs w:val="20"/>
              </w:rPr>
              <w:t>31</w:t>
            </w:r>
            <w:r w:rsidR="001A7AF8" w:rsidRPr="00394B4B">
              <w:rPr>
                <w:b/>
                <w:sz w:val="20"/>
                <w:szCs w:val="20"/>
              </w:rPr>
              <w:fldChar w:fldCharType="end"/>
            </w:r>
            <w:bookmarkEnd w:id="127"/>
            <w:r w:rsidRPr="00394B4B">
              <w:rPr>
                <w:sz w:val="20"/>
                <w:szCs w:val="20"/>
              </w:rPr>
              <w:t>:</w:t>
            </w:r>
            <w:r>
              <w:rPr>
                <w:sz w:val="20"/>
                <w:szCs w:val="20"/>
              </w:rPr>
              <w:t xml:space="preserve"> Winfrey S3 Survival Curves</w:t>
            </w:r>
            <w:bookmarkEnd w:id="128"/>
            <w:r>
              <w:rPr>
                <w:sz w:val="20"/>
                <w:szCs w:val="20"/>
              </w:rPr>
              <w:t xml:space="preserve"> </w:t>
            </w:r>
          </w:p>
        </w:tc>
      </w:tr>
      <w:tr w:rsidR="002360C5" w:rsidTr="002360C5">
        <w:tc>
          <w:tcPr>
            <w:tcW w:w="5040" w:type="dxa"/>
            <w:tcBorders>
              <w:bottom w:val="single" w:sz="4" w:space="0" w:color="auto"/>
            </w:tcBorders>
          </w:tcPr>
          <w:p w:rsidR="002360C5" w:rsidRDefault="002360C5" w:rsidP="002360C5">
            <w:pPr>
              <w:spacing w:after="0"/>
              <w:jc w:val="center"/>
            </w:pPr>
            <w:r w:rsidRPr="002360C5">
              <w:rPr>
                <w:noProof/>
                <w:lang w:bidi="ar-SA"/>
              </w:rPr>
              <w:drawing>
                <wp:inline distT="0" distB="0" distL="0" distR="0">
                  <wp:extent cx="3200400" cy="2181225"/>
                  <wp:effectExtent l="19050" t="0" r="0" b="0"/>
                  <wp:docPr id="9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cstate="print"/>
                          <a:srcRect/>
                          <a:stretch>
                            <a:fillRect/>
                          </a:stretch>
                        </pic:blipFill>
                        <pic:spPr bwMode="auto">
                          <a:xfrm>
                            <a:off x="0" y="0"/>
                            <a:ext cx="3200400" cy="2181225"/>
                          </a:xfrm>
                          <a:prstGeom prst="rect">
                            <a:avLst/>
                          </a:prstGeom>
                          <a:noFill/>
                          <a:ln w="9525">
                            <a:noFill/>
                            <a:miter lim="800000"/>
                            <a:headEnd/>
                            <a:tailEnd/>
                          </a:ln>
                        </pic:spPr>
                      </pic:pic>
                    </a:graphicData>
                  </a:graphic>
                </wp:inline>
              </w:drawing>
            </w:r>
          </w:p>
        </w:tc>
      </w:tr>
      <w:tr w:rsidR="002360C5" w:rsidTr="002360C5">
        <w:tc>
          <w:tcPr>
            <w:tcW w:w="5040" w:type="dxa"/>
            <w:tcBorders>
              <w:left w:val="nil"/>
              <w:bottom w:val="nil"/>
              <w:right w:val="nil"/>
            </w:tcBorders>
          </w:tcPr>
          <w:p w:rsidR="002360C5" w:rsidRPr="00DB372F" w:rsidRDefault="002360C5" w:rsidP="002360C5">
            <w:pPr>
              <w:spacing w:before="20" w:after="60"/>
              <w:jc w:val="center"/>
              <w:rPr>
                <w:noProof/>
                <w:lang w:eastAsia="ko-KR" w:bidi="ar-SA"/>
              </w:rPr>
            </w:pPr>
            <w:r w:rsidRPr="00961A10">
              <w:rPr>
                <w:i/>
                <w:sz w:val="18"/>
                <w:szCs w:val="18"/>
              </w:rPr>
              <w:t xml:space="preserve">Source: </w:t>
            </w:r>
            <w:r w:rsidRPr="00961A10">
              <w:rPr>
                <w:sz w:val="18"/>
                <w:szCs w:val="18"/>
              </w:rPr>
              <w:t xml:space="preserve"> </w:t>
            </w:r>
            <w:r>
              <w:rPr>
                <w:i/>
                <w:sz w:val="18"/>
                <w:szCs w:val="18"/>
              </w:rPr>
              <w:t>ESMAP</w:t>
            </w:r>
          </w:p>
        </w:tc>
      </w:tr>
    </w:tbl>
    <w:p w:rsidR="005A184F" w:rsidRPr="005A184F" w:rsidRDefault="005A184F" w:rsidP="005A184F">
      <w:r w:rsidRPr="005A184F">
        <w:rPr>
          <w:b/>
        </w:rPr>
        <w:t>Projection of future vehicle stock</w:t>
      </w:r>
      <w:r w:rsidR="00374614">
        <w:rPr>
          <w:b/>
        </w:rPr>
        <w:t xml:space="preserve">. </w:t>
      </w:r>
      <w:r w:rsidR="00374614" w:rsidRPr="005A184F">
        <w:t xml:space="preserve"> </w:t>
      </w:r>
      <w:r w:rsidRPr="005A184F">
        <w:t>The EFFECT transport module projects annual in-use vehicle fleet by mode using the scrap-and-sales methodology. The projected total vehicle stock is disaggregated by vehicle type, technology and age to calculate energy use and emissions. This requires detailed modeling and forecasting of the vehicle fleet structures. For each transport mode, the projection follows the same basic steps.</w:t>
      </w:r>
    </w:p>
    <w:p w:rsidR="002360C5" w:rsidRDefault="005A184F" w:rsidP="00197EC3">
      <w:pPr>
        <w:pStyle w:val="ListParagraph"/>
        <w:numPr>
          <w:ilvl w:val="0"/>
          <w:numId w:val="16"/>
        </w:numPr>
        <w:contextualSpacing w:val="0"/>
      </w:pPr>
      <w:r w:rsidRPr="005A184F">
        <w:t xml:space="preserve">The model is populated with baseline vehicle stock data obtained from official statistical sources (e.g. vehicle registration database of the Ministry of Transport) or historical sales data. The input data is disaggregated by vehicle type, engine displacement, technology, gross vehicle weight, and age. </w:t>
      </w:r>
    </w:p>
    <w:p w:rsidR="002360C5" w:rsidRDefault="005A184F" w:rsidP="00197EC3">
      <w:pPr>
        <w:pStyle w:val="ListParagraph"/>
        <w:numPr>
          <w:ilvl w:val="0"/>
          <w:numId w:val="16"/>
        </w:numPr>
        <w:contextualSpacing w:val="0"/>
      </w:pPr>
      <w:r w:rsidRPr="005A184F">
        <w:t>Mortality rates are applied to the baseline vehicle fleet to estimate the number of retiring (scrapped) vehicles.</w:t>
      </w:r>
      <w:r w:rsidR="00374614">
        <w:t xml:space="preserve"> </w:t>
      </w:r>
      <w:r w:rsidRPr="005A184F">
        <w:t xml:space="preserve">Vehicle mortality is calculated using a Winfrey S3 survival curve as shown in </w:t>
      </w:r>
      <w:fldSimple w:instr=" REF _Ref324956894 \h  \* MERGEFORMAT ">
        <w:r w:rsidR="00BA2792" w:rsidRPr="00BA2792">
          <w:t xml:space="preserve">Figure </w:t>
        </w:r>
        <w:r w:rsidR="00BA2792" w:rsidRPr="00BA2792">
          <w:rPr>
            <w:noProof/>
          </w:rPr>
          <w:t>31</w:t>
        </w:r>
      </w:fldSimple>
      <w:r w:rsidR="002360C5">
        <w:t>.</w:t>
      </w:r>
    </w:p>
    <w:p w:rsidR="002360C5" w:rsidRPr="002360C5" w:rsidRDefault="002360C5" w:rsidP="00197EC3">
      <w:pPr>
        <w:pStyle w:val="ListParagraph"/>
        <w:numPr>
          <w:ilvl w:val="0"/>
          <w:numId w:val="16"/>
        </w:numPr>
        <w:contextualSpacing w:val="0"/>
      </w:pPr>
      <w:r w:rsidRPr="002360C5">
        <w:lastRenderedPageBreak/>
        <w:t>Total future vehicle sales by mode and type are derived by comparing surviving vehicle stock to the stock needed to fulfill transport demands. The annual sales volume is thus projected taking into account the number of vehicles in the active population that must be replaced annually and the expected growth of the active population.</w:t>
      </w:r>
    </w:p>
    <w:p w:rsidR="002360C5" w:rsidRPr="002360C5" w:rsidRDefault="002360C5" w:rsidP="00197EC3">
      <w:pPr>
        <w:pStyle w:val="ListParagraph"/>
        <w:numPr>
          <w:ilvl w:val="0"/>
          <w:numId w:val="16"/>
        </w:numPr>
        <w:contextualSpacing w:val="0"/>
      </w:pPr>
      <w:r w:rsidRPr="002360C5">
        <w:t xml:space="preserve">Future transport demand is determined separately for private and commercial vehicles and for passenger and freight vehicles within the commercial fleet group. While private vehicle ownership is assumed to be affected by forecasted changes in income per capita and population numbers (bottom-up approach), demand for commercial freight transport services is determined by GDP growth only (top-down approach). The volume of transported goods (freight-tons-kms transported) is projected to grow in line with the increase in economic activity measured by GDP growth rate. Urbanization rate is used as a proxy for increase in passenger services demand. The assumption is based on the empirical evidence suggesting that urban population growth puts pressure on the average distance travelled per person per year. The yearly increase in total on-road passenger-kilometers travelled is thus assumed to grow at the same rate as the urban population. GDP growth, urbanization, and population growth rates are exogenous parameters taken from government and other sources. </w:t>
      </w:r>
    </w:p>
    <w:p w:rsidR="002360C5" w:rsidRPr="002360C5" w:rsidRDefault="002360C5" w:rsidP="00197EC3">
      <w:pPr>
        <w:pStyle w:val="ListParagraph"/>
        <w:numPr>
          <w:ilvl w:val="0"/>
          <w:numId w:val="16"/>
        </w:numPr>
        <w:contextualSpacing w:val="0"/>
      </w:pPr>
      <w:r w:rsidRPr="002360C5">
        <w:t>Total future sales by mode are disaggregated by vehicle type and technology by applying the historic sales mix. Such disaggregation allows estimating fuel consumption and emissions taking into account expected improvements in technology.</w:t>
      </w:r>
    </w:p>
    <w:p w:rsidR="000357A0" w:rsidRDefault="000357A0" w:rsidP="000357A0">
      <w:pPr>
        <w:rPr>
          <w:lang w:bidi="ar-SA"/>
        </w:rPr>
      </w:pPr>
      <w:r>
        <w:rPr>
          <w:lang w:bidi="ar-SA"/>
        </w:rPr>
        <w:t xml:space="preserve">In order to separate private vehicles (passenger cars and two wheelers) from other on-road vehicles, additional calculations are performed prior to step one, i.e. while estimating the baseline vehicle population. As mentioned above, EFFECT employs two distinct sets of baseline vehicle stock data: (i) private ownership projections based on household survey results and (ii) exogenous active vehicle population data. The size of the commercial vehicle fleet is thus determined by subtracting the number of private vehicles derived from bottom-up household ownership calculations from exogenous baseline vehicle stock data, which covers both private and commercial vehicles. </w:t>
      </w:r>
    </w:p>
    <w:p w:rsidR="000357A0" w:rsidRDefault="000357A0" w:rsidP="000357A0">
      <w:r>
        <w:t>The definition of the yearly in-use vehicle population, the annual kilometers driven by each vehicle and the mix of private and business usage patterns allow the vehicle-kilometers-travelled (VKT) to be calculated for each vehicle type and sub-type.</w:t>
      </w:r>
    </w:p>
    <w:p w:rsidR="002360C5" w:rsidRDefault="002360C5" w:rsidP="002360C5">
      <w:r w:rsidRPr="002360C5">
        <w:t>Special consideration should be given to private vehicle ownership modeling methodology employed in EFFECT. The country-level demand for private transport is assumed to be a sum of individual household demands, i.e. it is estimated based on a bottom-up approach. In its turn, the individual household demand is a function of average household income, for which household ex</w:t>
      </w:r>
      <w:r w:rsidR="000357A0">
        <w:t>penditures are used as a proxy.</w:t>
      </w:r>
    </w:p>
    <w:p w:rsidR="000357A0" w:rsidRDefault="000357A0" w:rsidP="000357A0">
      <w:r>
        <w:t xml:space="preserve">The annual kilometers driven by each vehicle vary according to the vehicle type and sub-type, its style of usage (private or business), and the age of the vehicle. </w:t>
      </w:r>
    </w:p>
    <w:p w:rsidR="000357A0" w:rsidRDefault="000357A0" w:rsidP="000357A0">
      <w:r>
        <w:t xml:space="preserve">In the absence of country-specific data for Georgia, the annual age-sensitive vehicle use data by vehicle type, subtype and usage pattern were derived from expert estimates performed by Segment Y for ESMAP. </w:t>
      </w:r>
    </w:p>
    <w:p w:rsidR="000357A0" w:rsidRDefault="000357A0" w:rsidP="000357A0">
      <w:r>
        <w:t>For passenger cars and two-wheelers, the total number of passenger-kilometers per each modeled year (PKT) is calculated by assuming an average of 1.5 riders per moped, scooter, and motorcycle and 1.85 passengers per care (not counting professional drivers).</w:t>
      </w:r>
    </w:p>
    <w:p w:rsidR="000357A0" w:rsidRDefault="000357A0" w:rsidP="000357A0">
      <w:r>
        <w:lastRenderedPageBreak/>
        <w:t>For light-duty vans, multi-use vehicles, buses and coaches, the average number of passengers per vehicle is evaluated based on the GVW of these vehicles. For instance, the capacity of the light-duty AUV/MUV is considered as 9 passengers plus driver.</w:t>
      </w:r>
    </w:p>
    <w:p w:rsidR="000357A0" w:rsidRDefault="000357A0" w:rsidP="000357A0">
      <w:r>
        <w:t>Similarly, the average load per vehicle for freight transport is assessed based on the GVW of these vehicles to determine the baseline on-road freight-ton-kilometers transported per year (FTKT). The capacity of the light-duty minivan, mini truck and pickups is considered as 0.6 tons per vehicle. The load capacity of vans is taken as one ton per vehicle. As in previous sections an average loading of 50% of the vehicle capacity is considered.</w:t>
      </w:r>
    </w:p>
    <w:p w:rsidR="000357A0" w:rsidRDefault="000357A0" w:rsidP="000357A0">
      <w:r>
        <w:t>The assumptions on the annual distance traveled, number of passengers, and loading factor used in the railway and metro modules are based on the data from the Annual Report of the Ministry of Transport of Georgia.  T</w:t>
      </w:r>
      <w:r w:rsidRPr="002360C5">
        <w:t xml:space="preserve">he process of forecasting the on-road vehicle stock </w:t>
      </w:r>
      <w:r>
        <w:t>is shown</w:t>
      </w:r>
      <w:r w:rsidRPr="002360C5">
        <w:t xml:space="preserve"> in </w:t>
      </w:r>
      <w:fldSimple w:instr=" REF _Ref324957058 \h  \* MERGEFORMAT ">
        <w:r w:rsidRPr="00BA2792">
          <w:t xml:space="preserve">Figure </w:t>
        </w:r>
        <w:r w:rsidRPr="00BA2792">
          <w:rPr>
            <w:noProof/>
          </w:rPr>
          <w:t>32</w:t>
        </w:r>
      </w:fldSimple>
      <w:r>
        <w:t>.</w:t>
      </w:r>
    </w:p>
    <w:tbl>
      <w:tblPr>
        <w:tblStyle w:val="TableGrid"/>
        <w:tblW w:w="0" w:type="auto"/>
        <w:jc w:val="center"/>
        <w:tblLayout w:type="fixed"/>
        <w:tblCellMar>
          <w:left w:w="0" w:type="dxa"/>
          <w:right w:w="0" w:type="dxa"/>
        </w:tblCellMar>
        <w:tblLook w:val="04A0"/>
      </w:tblPr>
      <w:tblGrid>
        <w:gridCol w:w="9228"/>
      </w:tblGrid>
      <w:tr w:rsidR="00E32160" w:rsidTr="00E32160">
        <w:trPr>
          <w:trHeight w:val="183"/>
          <w:jc w:val="center"/>
        </w:trPr>
        <w:tc>
          <w:tcPr>
            <w:tcW w:w="9228" w:type="dxa"/>
            <w:tcBorders>
              <w:top w:val="nil"/>
              <w:left w:val="nil"/>
              <w:bottom w:val="single" w:sz="4" w:space="0" w:color="auto"/>
              <w:right w:val="nil"/>
            </w:tcBorders>
          </w:tcPr>
          <w:p w:rsidR="00E32160" w:rsidRPr="005631F9" w:rsidRDefault="00E32160" w:rsidP="00E32160">
            <w:pPr>
              <w:spacing w:after="0"/>
              <w:jc w:val="center"/>
              <w:rPr>
                <w:sz w:val="20"/>
                <w:szCs w:val="20"/>
              </w:rPr>
            </w:pPr>
            <w:bookmarkStart w:id="129" w:name="_Ref324957058"/>
            <w:bookmarkStart w:id="130" w:name="_Toc326892853"/>
            <w:r w:rsidRPr="00394B4B">
              <w:rPr>
                <w:b/>
                <w:sz w:val="20"/>
                <w:szCs w:val="20"/>
              </w:rPr>
              <w:t xml:space="preserve">Figure </w:t>
            </w:r>
            <w:r w:rsidR="001A7AF8" w:rsidRPr="00394B4B">
              <w:rPr>
                <w:b/>
                <w:sz w:val="20"/>
                <w:szCs w:val="20"/>
              </w:rPr>
              <w:fldChar w:fldCharType="begin"/>
            </w:r>
            <w:r w:rsidRPr="00394B4B">
              <w:rPr>
                <w:b/>
                <w:sz w:val="20"/>
                <w:szCs w:val="20"/>
              </w:rPr>
              <w:instrText xml:space="preserve"> SEQ Figure \* ARABIC </w:instrText>
            </w:r>
            <w:r w:rsidR="001A7AF8" w:rsidRPr="00394B4B">
              <w:rPr>
                <w:b/>
                <w:sz w:val="20"/>
                <w:szCs w:val="20"/>
              </w:rPr>
              <w:fldChar w:fldCharType="separate"/>
            </w:r>
            <w:r w:rsidR="00BA2792">
              <w:rPr>
                <w:b/>
                <w:noProof/>
                <w:sz w:val="20"/>
                <w:szCs w:val="20"/>
              </w:rPr>
              <w:t>32</w:t>
            </w:r>
            <w:r w:rsidR="001A7AF8" w:rsidRPr="00394B4B">
              <w:rPr>
                <w:b/>
                <w:sz w:val="20"/>
                <w:szCs w:val="20"/>
              </w:rPr>
              <w:fldChar w:fldCharType="end"/>
            </w:r>
            <w:bookmarkEnd w:id="129"/>
            <w:r w:rsidRPr="00394B4B">
              <w:rPr>
                <w:sz w:val="20"/>
                <w:szCs w:val="20"/>
              </w:rPr>
              <w:t>:</w:t>
            </w:r>
            <w:r>
              <w:rPr>
                <w:sz w:val="20"/>
                <w:szCs w:val="20"/>
              </w:rPr>
              <w:t xml:space="preserve"> Projection of on-road vehicle fleet</w:t>
            </w:r>
            <w:bookmarkEnd w:id="130"/>
          </w:p>
        </w:tc>
      </w:tr>
      <w:tr w:rsidR="00E32160" w:rsidTr="00E32160">
        <w:trPr>
          <w:jc w:val="center"/>
        </w:trPr>
        <w:tc>
          <w:tcPr>
            <w:tcW w:w="9228" w:type="dxa"/>
            <w:tcBorders>
              <w:bottom w:val="single" w:sz="4" w:space="0" w:color="auto"/>
            </w:tcBorders>
          </w:tcPr>
          <w:p w:rsidR="00E32160" w:rsidRDefault="00E32160" w:rsidP="00503F7F">
            <w:pPr>
              <w:spacing w:after="0"/>
              <w:jc w:val="center"/>
            </w:pPr>
            <w:r w:rsidRPr="00E32160">
              <w:rPr>
                <w:noProof/>
                <w:lang w:bidi="ar-SA"/>
              </w:rPr>
              <w:drawing>
                <wp:inline distT="0" distB="0" distL="0" distR="0">
                  <wp:extent cx="5839842" cy="4038600"/>
                  <wp:effectExtent l="19050" t="0" r="8508" b="0"/>
                  <wp:docPr id="1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stretch>
                            <a:fillRect/>
                          </a:stretch>
                        </pic:blipFill>
                        <pic:spPr>
                          <a:xfrm>
                            <a:off x="0" y="0"/>
                            <a:ext cx="5839842" cy="4038600"/>
                          </a:xfrm>
                          <a:prstGeom prst="rect">
                            <a:avLst/>
                          </a:prstGeom>
                        </pic:spPr>
                      </pic:pic>
                    </a:graphicData>
                  </a:graphic>
                </wp:inline>
              </w:drawing>
            </w:r>
          </w:p>
        </w:tc>
      </w:tr>
      <w:tr w:rsidR="00E32160" w:rsidTr="00E32160">
        <w:trPr>
          <w:jc w:val="center"/>
        </w:trPr>
        <w:tc>
          <w:tcPr>
            <w:tcW w:w="9228" w:type="dxa"/>
            <w:tcBorders>
              <w:left w:val="nil"/>
              <w:bottom w:val="nil"/>
              <w:right w:val="nil"/>
            </w:tcBorders>
          </w:tcPr>
          <w:p w:rsidR="00E32160" w:rsidRPr="00DB372F" w:rsidRDefault="00E32160" w:rsidP="00503F7F">
            <w:pPr>
              <w:spacing w:before="20" w:after="240"/>
              <w:jc w:val="center"/>
              <w:rPr>
                <w:noProof/>
                <w:lang w:eastAsia="ko-KR" w:bidi="ar-SA"/>
              </w:rPr>
            </w:pPr>
            <w:r w:rsidRPr="00961A10">
              <w:rPr>
                <w:i/>
                <w:sz w:val="18"/>
                <w:szCs w:val="18"/>
              </w:rPr>
              <w:t xml:space="preserve">Source: </w:t>
            </w:r>
            <w:r w:rsidRPr="00961A10">
              <w:rPr>
                <w:sz w:val="18"/>
                <w:szCs w:val="18"/>
              </w:rPr>
              <w:t xml:space="preserve"> </w:t>
            </w:r>
            <w:r>
              <w:rPr>
                <w:i/>
                <w:sz w:val="18"/>
                <w:szCs w:val="18"/>
              </w:rPr>
              <w:t>ESMAP</w:t>
            </w:r>
          </w:p>
        </w:tc>
      </w:tr>
    </w:tbl>
    <w:p w:rsidR="007D249F" w:rsidRDefault="007D249F" w:rsidP="00E32160">
      <w:r w:rsidRPr="007D249F">
        <w:rPr>
          <w:b/>
        </w:rPr>
        <w:t>Technological advancement</w:t>
      </w:r>
      <w:r>
        <w:t xml:space="preserve">.  </w:t>
      </w:r>
      <w:r w:rsidR="00E32160" w:rsidRPr="00E32160">
        <w:t>Given the long-range projections under the EFFECT framework (</w:t>
      </w:r>
      <w:r w:rsidR="00E32160">
        <w:t>15-</w:t>
      </w:r>
      <w:r w:rsidR="00E32160" w:rsidRPr="00E32160">
        <w:t xml:space="preserve">year period in all scenarios modeled for Georgia), it is assumed that certain technological advancements can be made in the forecasted period that will enable the manufacturers to improve the fuel economy of their vehicles. The technical measures evaluated in EFFECT to project improvements in fuel efficiency are based on the report “Review and analysis of the reduction potential and costs of technological and other </w:t>
      </w:r>
      <w:r w:rsidR="00E32160" w:rsidRPr="00E32160">
        <w:lastRenderedPageBreak/>
        <w:t>measures to reduce CO</w:t>
      </w:r>
      <w:r w:rsidR="00E32160" w:rsidRPr="00E32160">
        <w:rPr>
          <w:vertAlign w:val="subscript"/>
        </w:rPr>
        <w:t>2</w:t>
      </w:r>
      <w:r w:rsidR="00E32160" w:rsidRPr="00E32160">
        <w:t>-emissions from passenger cars” which has was carried out by TNO, IEEP and LAT on behalf of the European Commission</w:t>
      </w:r>
      <w:r w:rsidR="00E32160">
        <w:t>.</w:t>
      </w:r>
      <w:r w:rsidR="00E32160" w:rsidRPr="00E32160">
        <w:rPr>
          <w:vertAlign w:val="superscript"/>
        </w:rPr>
        <w:footnoteReference w:id="62"/>
      </w:r>
    </w:p>
    <w:p w:rsidR="00E32160" w:rsidRPr="001B5EB8" w:rsidRDefault="00E32160" w:rsidP="00525183">
      <w:pPr>
        <w:pStyle w:val="Caption"/>
        <w:spacing w:after="80" w:line="276" w:lineRule="auto"/>
        <w:rPr>
          <w:color w:val="auto"/>
          <w:sz w:val="20"/>
          <w:szCs w:val="20"/>
        </w:rPr>
      </w:pPr>
      <w:bookmarkStart w:id="131" w:name="_Toc326892905"/>
      <w:r w:rsidRPr="001B5EB8">
        <w:rPr>
          <w:color w:val="auto"/>
          <w:sz w:val="20"/>
          <w:szCs w:val="20"/>
        </w:rPr>
        <w:t xml:space="preserve">Table </w:t>
      </w:r>
      <w:r w:rsidR="001A7AF8" w:rsidRPr="001B5EB8">
        <w:rPr>
          <w:color w:val="auto"/>
          <w:sz w:val="20"/>
          <w:szCs w:val="20"/>
        </w:rPr>
        <w:fldChar w:fldCharType="begin"/>
      </w:r>
      <w:r w:rsidRPr="001B5EB8">
        <w:rPr>
          <w:color w:val="auto"/>
          <w:sz w:val="20"/>
          <w:szCs w:val="20"/>
        </w:rPr>
        <w:instrText xml:space="preserve"> SEQ Table \* ARABIC </w:instrText>
      </w:r>
      <w:r w:rsidR="001A7AF8" w:rsidRPr="001B5EB8">
        <w:rPr>
          <w:color w:val="auto"/>
          <w:sz w:val="20"/>
          <w:szCs w:val="20"/>
        </w:rPr>
        <w:fldChar w:fldCharType="separate"/>
      </w:r>
      <w:r w:rsidR="0072342D">
        <w:rPr>
          <w:noProof/>
          <w:color w:val="auto"/>
          <w:sz w:val="20"/>
          <w:szCs w:val="20"/>
        </w:rPr>
        <w:t>14</w:t>
      </w:r>
      <w:r w:rsidR="001A7AF8" w:rsidRPr="001B5EB8">
        <w:rPr>
          <w:color w:val="auto"/>
          <w:sz w:val="20"/>
          <w:szCs w:val="20"/>
        </w:rPr>
        <w:fldChar w:fldCharType="end"/>
      </w:r>
      <w:r w:rsidRPr="001B5EB8">
        <w:rPr>
          <w:color w:val="auto"/>
          <w:sz w:val="20"/>
          <w:szCs w:val="20"/>
        </w:rPr>
        <w:t xml:space="preserve">: </w:t>
      </w:r>
      <w:r w:rsidR="008644AD">
        <w:rPr>
          <w:color w:val="auto"/>
          <w:sz w:val="20"/>
          <w:szCs w:val="20"/>
        </w:rPr>
        <w:t>Technological advancements considered in EFFECT</w:t>
      </w:r>
      <w:bookmarkEnd w:id="131"/>
    </w:p>
    <w:tbl>
      <w:tblPr>
        <w:tblStyle w:val="TableGrid"/>
        <w:tblW w:w="4962" w:type="pct"/>
        <w:tblBorders>
          <w:top w:val="single" w:sz="12" w:space="0" w:color="auto"/>
          <w:left w:val="none" w:sz="0" w:space="0" w:color="auto"/>
          <w:bottom w:val="single" w:sz="12" w:space="0" w:color="auto"/>
          <w:right w:val="none" w:sz="0" w:space="0" w:color="auto"/>
        </w:tblBorders>
        <w:tblCellMar>
          <w:top w:w="14" w:type="dxa"/>
          <w:left w:w="72" w:type="dxa"/>
          <w:bottom w:w="14" w:type="dxa"/>
          <w:right w:w="72" w:type="dxa"/>
        </w:tblCellMar>
        <w:tblLook w:val="04A0"/>
      </w:tblPr>
      <w:tblGrid>
        <w:gridCol w:w="1332"/>
        <w:gridCol w:w="4050"/>
        <w:gridCol w:w="4050"/>
      </w:tblGrid>
      <w:tr w:rsidR="00E32160" w:rsidRPr="00F3773F" w:rsidTr="008644AD">
        <w:tc>
          <w:tcPr>
            <w:tcW w:w="706" w:type="pct"/>
            <w:tcBorders>
              <w:top w:val="single" w:sz="12" w:space="0" w:color="auto"/>
              <w:bottom w:val="single" w:sz="4" w:space="0" w:color="auto"/>
            </w:tcBorders>
          </w:tcPr>
          <w:p w:rsidR="00E32160" w:rsidRPr="008644AD" w:rsidRDefault="00E32160" w:rsidP="008644AD">
            <w:pPr>
              <w:spacing w:after="0"/>
              <w:jc w:val="left"/>
              <w:rPr>
                <w:b/>
                <w:sz w:val="20"/>
                <w:szCs w:val="20"/>
              </w:rPr>
            </w:pPr>
            <w:r w:rsidRPr="008644AD">
              <w:rPr>
                <w:b/>
                <w:sz w:val="20"/>
                <w:szCs w:val="20"/>
              </w:rPr>
              <w:t>Technology</w:t>
            </w:r>
          </w:p>
        </w:tc>
        <w:tc>
          <w:tcPr>
            <w:tcW w:w="2147" w:type="pct"/>
            <w:tcBorders>
              <w:top w:val="single" w:sz="12" w:space="0" w:color="auto"/>
              <w:bottom w:val="single" w:sz="4" w:space="0" w:color="auto"/>
            </w:tcBorders>
          </w:tcPr>
          <w:p w:rsidR="00E32160" w:rsidRPr="008644AD" w:rsidRDefault="00E32160" w:rsidP="00E32160">
            <w:pPr>
              <w:spacing w:after="0"/>
              <w:jc w:val="left"/>
              <w:rPr>
                <w:b/>
                <w:sz w:val="20"/>
                <w:szCs w:val="20"/>
              </w:rPr>
            </w:pPr>
            <w:r w:rsidRPr="008644AD">
              <w:rPr>
                <w:b/>
                <w:sz w:val="20"/>
                <w:szCs w:val="20"/>
              </w:rPr>
              <w:t>Gasoline cars</w:t>
            </w:r>
          </w:p>
        </w:tc>
        <w:tc>
          <w:tcPr>
            <w:tcW w:w="2147" w:type="pct"/>
            <w:tcBorders>
              <w:top w:val="single" w:sz="12" w:space="0" w:color="auto"/>
              <w:bottom w:val="single" w:sz="4" w:space="0" w:color="auto"/>
            </w:tcBorders>
            <w:hideMark/>
          </w:tcPr>
          <w:p w:rsidR="00E32160" w:rsidRPr="008644AD" w:rsidRDefault="00E32160" w:rsidP="00E32160">
            <w:pPr>
              <w:spacing w:after="0"/>
              <w:jc w:val="left"/>
              <w:rPr>
                <w:b/>
                <w:sz w:val="20"/>
                <w:szCs w:val="20"/>
              </w:rPr>
            </w:pPr>
            <w:r w:rsidRPr="008644AD">
              <w:rPr>
                <w:b/>
                <w:sz w:val="20"/>
                <w:szCs w:val="20"/>
              </w:rPr>
              <w:t>Diesel cars</w:t>
            </w:r>
          </w:p>
        </w:tc>
      </w:tr>
      <w:tr w:rsidR="00E32160" w:rsidRPr="00F3773F" w:rsidTr="008644AD">
        <w:tc>
          <w:tcPr>
            <w:tcW w:w="706" w:type="pct"/>
            <w:tcBorders>
              <w:top w:val="single" w:sz="4" w:space="0" w:color="auto"/>
              <w:bottom w:val="nil"/>
            </w:tcBorders>
          </w:tcPr>
          <w:p w:rsidR="00E32160" w:rsidRPr="008644AD" w:rsidRDefault="00E32160" w:rsidP="00E32160">
            <w:pPr>
              <w:spacing w:after="0"/>
              <w:jc w:val="left"/>
              <w:rPr>
                <w:sz w:val="20"/>
                <w:szCs w:val="20"/>
              </w:rPr>
            </w:pPr>
            <w:r w:rsidRPr="008644AD">
              <w:rPr>
                <w:sz w:val="20"/>
                <w:szCs w:val="20"/>
              </w:rPr>
              <w:t>Engine</w:t>
            </w:r>
          </w:p>
        </w:tc>
        <w:tc>
          <w:tcPr>
            <w:tcW w:w="2147" w:type="pct"/>
            <w:tcBorders>
              <w:top w:val="single" w:sz="4" w:space="0" w:color="auto"/>
              <w:bottom w:val="nil"/>
            </w:tcBorders>
            <w:vAlign w:val="center"/>
          </w:tcPr>
          <w:p w:rsidR="00E32160" w:rsidRPr="008644AD" w:rsidRDefault="00E32160" w:rsidP="00E32160">
            <w:pPr>
              <w:spacing w:after="0"/>
              <w:jc w:val="left"/>
              <w:rPr>
                <w:sz w:val="20"/>
                <w:szCs w:val="20"/>
              </w:rPr>
            </w:pPr>
            <w:r w:rsidRPr="008644AD">
              <w:rPr>
                <w:sz w:val="20"/>
                <w:szCs w:val="20"/>
              </w:rPr>
              <w:t xml:space="preserve">Reduced engine friction losses </w:t>
            </w:r>
          </w:p>
        </w:tc>
        <w:tc>
          <w:tcPr>
            <w:tcW w:w="2147" w:type="pct"/>
            <w:tcBorders>
              <w:top w:val="single" w:sz="4" w:space="0" w:color="auto"/>
              <w:bottom w:val="nil"/>
            </w:tcBorders>
            <w:vAlign w:val="center"/>
            <w:hideMark/>
          </w:tcPr>
          <w:p w:rsidR="00E32160" w:rsidRPr="008644AD" w:rsidRDefault="00E32160" w:rsidP="00E32160">
            <w:pPr>
              <w:spacing w:after="0"/>
              <w:jc w:val="left"/>
              <w:rPr>
                <w:sz w:val="20"/>
                <w:szCs w:val="20"/>
              </w:rPr>
            </w:pPr>
            <w:r w:rsidRPr="008644AD">
              <w:rPr>
                <w:sz w:val="20"/>
                <w:szCs w:val="20"/>
              </w:rPr>
              <w:t xml:space="preserve">Reduced engine friction losses </w:t>
            </w:r>
          </w:p>
        </w:tc>
      </w:tr>
      <w:tr w:rsidR="00E32160" w:rsidRPr="00F3773F" w:rsidTr="008644AD">
        <w:tc>
          <w:tcPr>
            <w:tcW w:w="706" w:type="pct"/>
            <w:tcBorders>
              <w:top w:val="nil"/>
              <w:bottom w:val="nil"/>
            </w:tcBorders>
          </w:tcPr>
          <w:p w:rsidR="00E32160" w:rsidRPr="008644AD" w:rsidRDefault="00E32160" w:rsidP="00E32160">
            <w:pPr>
              <w:spacing w:after="0"/>
              <w:jc w:val="left"/>
              <w:rPr>
                <w:sz w:val="20"/>
                <w:szCs w:val="20"/>
              </w:rPr>
            </w:pPr>
          </w:p>
        </w:tc>
        <w:tc>
          <w:tcPr>
            <w:tcW w:w="2147" w:type="pct"/>
            <w:tcBorders>
              <w:top w:val="nil"/>
              <w:bottom w:val="nil"/>
            </w:tcBorders>
            <w:vAlign w:val="center"/>
          </w:tcPr>
          <w:p w:rsidR="00E32160" w:rsidRPr="008644AD" w:rsidRDefault="00E32160" w:rsidP="00E32160">
            <w:pPr>
              <w:spacing w:after="0"/>
              <w:jc w:val="left"/>
              <w:rPr>
                <w:sz w:val="20"/>
                <w:szCs w:val="20"/>
              </w:rPr>
            </w:pPr>
            <w:r w:rsidRPr="008644AD">
              <w:rPr>
                <w:sz w:val="20"/>
                <w:szCs w:val="20"/>
              </w:rPr>
              <w:t xml:space="preserve">DI / homogeneous charge (stoichiometric) </w:t>
            </w:r>
          </w:p>
        </w:tc>
        <w:tc>
          <w:tcPr>
            <w:tcW w:w="2147" w:type="pct"/>
            <w:tcBorders>
              <w:top w:val="nil"/>
              <w:bottom w:val="nil"/>
            </w:tcBorders>
            <w:vAlign w:val="center"/>
            <w:hideMark/>
          </w:tcPr>
          <w:p w:rsidR="00E32160" w:rsidRPr="008644AD" w:rsidRDefault="00E32160" w:rsidP="00E32160">
            <w:pPr>
              <w:spacing w:after="0"/>
              <w:jc w:val="left"/>
              <w:rPr>
                <w:sz w:val="20"/>
                <w:szCs w:val="20"/>
              </w:rPr>
            </w:pPr>
          </w:p>
        </w:tc>
      </w:tr>
      <w:tr w:rsidR="00E32160" w:rsidRPr="00F3773F" w:rsidTr="008644AD">
        <w:tc>
          <w:tcPr>
            <w:tcW w:w="706" w:type="pct"/>
            <w:tcBorders>
              <w:top w:val="nil"/>
              <w:bottom w:val="nil"/>
            </w:tcBorders>
          </w:tcPr>
          <w:p w:rsidR="00E32160" w:rsidRPr="008644AD" w:rsidRDefault="00E32160" w:rsidP="00E32160">
            <w:pPr>
              <w:spacing w:after="0"/>
              <w:jc w:val="left"/>
              <w:rPr>
                <w:sz w:val="20"/>
                <w:szCs w:val="20"/>
              </w:rPr>
            </w:pPr>
          </w:p>
        </w:tc>
        <w:tc>
          <w:tcPr>
            <w:tcW w:w="2147" w:type="pct"/>
            <w:tcBorders>
              <w:top w:val="nil"/>
              <w:bottom w:val="nil"/>
            </w:tcBorders>
            <w:vAlign w:val="center"/>
          </w:tcPr>
          <w:p w:rsidR="00E32160" w:rsidRPr="008644AD" w:rsidRDefault="00E32160" w:rsidP="00E32160">
            <w:pPr>
              <w:spacing w:after="0"/>
              <w:jc w:val="left"/>
              <w:rPr>
                <w:sz w:val="20"/>
                <w:szCs w:val="20"/>
              </w:rPr>
            </w:pPr>
            <w:r w:rsidRPr="008644AD">
              <w:rPr>
                <w:sz w:val="20"/>
                <w:szCs w:val="20"/>
              </w:rPr>
              <w:t xml:space="preserve">DI / Stratified charge (lean burn / complex strategies) </w:t>
            </w:r>
          </w:p>
        </w:tc>
        <w:tc>
          <w:tcPr>
            <w:tcW w:w="2147" w:type="pct"/>
            <w:tcBorders>
              <w:top w:val="nil"/>
              <w:bottom w:val="nil"/>
            </w:tcBorders>
            <w:vAlign w:val="center"/>
            <w:hideMark/>
          </w:tcPr>
          <w:p w:rsidR="00E32160" w:rsidRPr="008644AD" w:rsidRDefault="00E32160" w:rsidP="00E32160">
            <w:pPr>
              <w:spacing w:after="0"/>
              <w:jc w:val="left"/>
              <w:rPr>
                <w:sz w:val="20"/>
                <w:szCs w:val="20"/>
              </w:rPr>
            </w:pPr>
          </w:p>
        </w:tc>
      </w:tr>
      <w:tr w:rsidR="00E32160" w:rsidRPr="00F3773F" w:rsidTr="008644AD">
        <w:tc>
          <w:tcPr>
            <w:tcW w:w="706" w:type="pct"/>
            <w:tcBorders>
              <w:top w:val="nil"/>
              <w:bottom w:val="nil"/>
            </w:tcBorders>
          </w:tcPr>
          <w:p w:rsidR="00E32160" w:rsidRPr="008644AD" w:rsidRDefault="00E32160" w:rsidP="00E32160">
            <w:pPr>
              <w:spacing w:after="0"/>
              <w:jc w:val="left"/>
              <w:rPr>
                <w:sz w:val="20"/>
                <w:szCs w:val="20"/>
              </w:rPr>
            </w:pPr>
          </w:p>
        </w:tc>
        <w:tc>
          <w:tcPr>
            <w:tcW w:w="2147" w:type="pct"/>
            <w:tcBorders>
              <w:top w:val="nil"/>
              <w:bottom w:val="nil"/>
            </w:tcBorders>
            <w:vAlign w:val="center"/>
          </w:tcPr>
          <w:p w:rsidR="00E32160" w:rsidRPr="008644AD" w:rsidRDefault="00E32160" w:rsidP="00E32160">
            <w:pPr>
              <w:spacing w:after="0"/>
              <w:jc w:val="left"/>
              <w:rPr>
                <w:sz w:val="20"/>
                <w:szCs w:val="20"/>
              </w:rPr>
            </w:pPr>
          </w:p>
        </w:tc>
        <w:tc>
          <w:tcPr>
            <w:tcW w:w="2147" w:type="pct"/>
            <w:tcBorders>
              <w:top w:val="nil"/>
              <w:bottom w:val="nil"/>
            </w:tcBorders>
            <w:vAlign w:val="center"/>
            <w:hideMark/>
          </w:tcPr>
          <w:p w:rsidR="00E32160" w:rsidRPr="008644AD" w:rsidRDefault="00E32160" w:rsidP="00E32160">
            <w:pPr>
              <w:spacing w:after="0"/>
              <w:jc w:val="left"/>
              <w:rPr>
                <w:sz w:val="20"/>
                <w:szCs w:val="20"/>
              </w:rPr>
            </w:pPr>
            <w:r w:rsidRPr="008644AD">
              <w:rPr>
                <w:sz w:val="20"/>
                <w:szCs w:val="20"/>
              </w:rPr>
              <w:t xml:space="preserve">Mild downsizing </w:t>
            </w:r>
          </w:p>
        </w:tc>
      </w:tr>
      <w:tr w:rsidR="00E32160" w:rsidRPr="00F3773F" w:rsidTr="008644AD">
        <w:tc>
          <w:tcPr>
            <w:tcW w:w="706" w:type="pct"/>
            <w:tcBorders>
              <w:top w:val="nil"/>
              <w:bottom w:val="nil"/>
            </w:tcBorders>
          </w:tcPr>
          <w:p w:rsidR="00E32160" w:rsidRPr="008644AD" w:rsidRDefault="00E32160" w:rsidP="00E32160">
            <w:pPr>
              <w:spacing w:after="0"/>
              <w:jc w:val="left"/>
              <w:rPr>
                <w:i/>
                <w:sz w:val="20"/>
                <w:szCs w:val="20"/>
              </w:rPr>
            </w:pPr>
          </w:p>
        </w:tc>
        <w:tc>
          <w:tcPr>
            <w:tcW w:w="2147" w:type="pct"/>
            <w:tcBorders>
              <w:top w:val="nil"/>
              <w:bottom w:val="nil"/>
            </w:tcBorders>
            <w:vAlign w:val="center"/>
          </w:tcPr>
          <w:p w:rsidR="00E32160" w:rsidRPr="008644AD" w:rsidRDefault="00E32160" w:rsidP="00E32160">
            <w:pPr>
              <w:spacing w:after="0"/>
              <w:jc w:val="left"/>
              <w:rPr>
                <w:sz w:val="20"/>
                <w:szCs w:val="20"/>
              </w:rPr>
            </w:pPr>
            <w:r w:rsidRPr="008644AD">
              <w:rPr>
                <w:sz w:val="20"/>
                <w:szCs w:val="20"/>
              </w:rPr>
              <w:t xml:space="preserve">Medium downsizing with turbocharging </w:t>
            </w:r>
          </w:p>
        </w:tc>
        <w:tc>
          <w:tcPr>
            <w:tcW w:w="2147" w:type="pct"/>
            <w:tcBorders>
              <w:top w:val="nil"/>
              <w:bottom w:val="nil"/>
            </w:tcBorders>
            <w:vAlign w:val="center"/>
            <w:hideMark/>
          </w:tcPr>
          <w:p w:rsidR="00E32160" w:rsidRPr="008644AD" w:rsidRDefault="00E32160" w:rsidP="00E32160">
            <w:pPr>
              <w:spacing w:after="0"/>
              <w:jc w:val="left"/>
              <w:rPr>
                <w:sz w:val="20"/>
                <w:szCs w:val="20"/>
              </w:rPr>
            </w:pPr>
            <w:r w:rsidRPr="008644AD">
              <w:rPr>
                <w:sz w:val="20"/>
                <w:szCs w:val="20"/>
              </w:rPr>
              <w:t xml:space="preserve">Medium downsizing </w:t>
            </w:r>
          </w:p>
        </w:tc>
      </w:tr>
      <w:tr w:rsidR="00E32160" w:rsidRPr="00F3773F" w:rsidTr="008644AD">
        <w:tc>
          <w:tcPr>
            <w:tcW w:w="706" w:type="pct"/>
            <w:tcBorders>
              <w:top w:val="nil"/>
              <w:bottom w:val="nil"/>
            </w:tcBorders>
          </w:tcPr>
          <w:p w:rsidR="00E32160" w:rsidRPr="008644AD" w:rsidRDefault="00E32160" w:rsidP="00E32160">
            <w:pPr>
              <w:spacing w:after="0"/>
              <w:jc w:val="left"/>
              <w:rPr>
                <w:sz w:val="20"/>
                <w:szCs w:val="20"/>
              </w:rPr>
            </w:pPr>
          </w:p>
        </w:tc>
        <w:tc>
          <w:tcPr>
            <w:tcW w:w="2147" w:type="pct"/>
            <w:tcBorders>
              <w:top w:val="nil"/>
              <w:bottom w:val="nil"/>
            </w:tcBorders>
            <w:vAlign w:val="center"/>
          </w:tcPr>
          <w:p w:rsidR="00E32160" w:rsidRPr="008644AD" w:rsidRDefault="00E32160" w:rsidP="00E32160">
            <w:pPr>
              <w:spacing w:after="0"/>
              <w:jc w:val="left"/>
              <w:rPr>
                <w:sz w:val="20"/>
                <w:szCs w:val="20"/>
              </w:rPr>
            </w:pPr>
            <w:r w:rsidRPr="008644AD">
              <w:rPr>
                <w:sz w:val="20"/>
                <w:szCs w:val="20"/>
              </w:rPr>
              <w:t xml:space="preserve">Strong downsizing with turbocharging </w:t>
            </w:r>
          </w:p>
        </w:tc>
        <w:tc>
          <w:tcPr>
            <w:tcW w:w="2147" w:type="pct"/>
            <w:tcBorders>
              <w:top w:val="nil"/>
              <w:bottom w:val="nil"/>
            </w:tcBorders>
            <w:vAlign w:val="center"/>
            <w:hideMark/>
          </w:tcPr>
          <w:p w:rsidR="00E32160" w:rsidRPr="008644AD" w:rsidRDefault="00E32160" w:rsidP="00E32160">
            <w:pPr>
              <w:spacing w:after="0"/>
              <w:jc w:val="left"/>
              <w:rPr>
                <w:sz w:val="20"/>
                <w:szCs w:val="20"/>
              </w:rPr>
            </w:pPr>
            <w:r w:rsidRPr="008644AD">
              <w:rPr>
                <w:sz w:val="20"/>
                <w:szCs w:val="20"/>
              </w:rPr>
              <w:t xml:space="preserve">Strong downsizing </w:t>
            </w:r>
          </w:p>
        </w:tc>
      </w:tr>
      <w:tr w:rsidR="00E32160" w:rsidRPr="00F3773F" w:rsidTr="008644AD">
        <w:tc>
          <w:tcPr>
            <w:tcW w:w="706" w:type="pct"/>
            <w:tcBorders>
              <w:top w:val="nil"/>
              <w:bottom w:val="nil"/>
            </w:tcBorders>
          </w:tcPr>
          <w:p w:rsidR="00E32160" w:rsidRPr="008644AD" w:rsidRDefault="00E32160" w:rsidP="00E32160">
            <w:pPr>
              <w:spacing w:after="0"/>
              <w:jc w:val="left"/>
              <w:rPr>
                <w:sz w:val="20"/>
                <w:szCs w:val="20"/>
              </w:rPr>
            </w:pPr>
          </w:p>
        </w:tc>
        <w:tc>
          <w:tcPr>
            <w:tcW w:w="2147" w:type="pct"/>
            <w:tcBorders>
              <w:top w:val="nil"/>
              <w:bottom w:val="nil"/>
            </w:tcBorders>
            <w:vAlign w:val="center"/>
          </w:tcPr>
          <w:p w:rsidR="00E32160" w:rsidRPr="008644AD" w:rsidRDefault="00E32160" w:rsidP="00E32160">
            <w:pPr>
              <w:spacing w:after="0"/>
              <w:jc w:val="left"/>
              <w:rPr>
                <w:sz w:val="20"/>
                <w:szCs w:val="20"/>
              </w:rPr>
            </w:pPr>
            <w:r w:rsidRPr="008644AD">
              <w:rPr>
                <w:sz w:val="20"/>
                <w:szCs w:val="20"/>
              </w:rPr>
              <w:t xml:space="preserve">Variable Valve Timing </w:t>
            </w:r>
          </w:p>
        </w:tc>
        <w:tc>
          <w:tcPr>
            <w:tcW w:w="2147" w:type="pct"/>
            <w:tcBorders>
              <w:top w:val="nil"/>
              <w:bottom w:val="nil"/>
            </w:tcBorders>
            <w:vAlign w:val="center"/>
            <w:hideMark/>
          </w:tcPr>
          <w:p w:rsidR="00E32160" w:rsidRPr="008644AD" w:rsidRDefault="00E32160" w:rsidP="00E32160">
            <w:pPr>
              <w:spacing w:after="0"/>
              <w:jc w:val="left"/>
              <w:rPr>
                <w:sz w:val="20"/>
                <w:szCs w:val="20"/>
              </w:rPr>
            </w:pPr>
          </w:p>
        </w:tc>
      </w:tr>
      <w:tr w:rsidR="00E32160" w:rsidRPr="00F3773F" w:rsidTr="008644AD">
        <w:tc>
          <w:tcPr>
            <w:tcW w:w="706" w:type="pct"/>
            <w:tcBorders>
              <w:top w:val="nil"/>
              <w:bottom w:val="nil"/>
            </w:tcBorders>
          </w:tcPr>
          <w:p w:rsidR="00E32160" w:rsidRPr="008644AD" w:rsidRDefault="00E32160" w:rsidP="00E32160">
            <w:pPr>
              <w:spacing w:after="0"/>
              <w:jc w:val="left"/>
              <w:rPr>
                <w:sz w:val="20"/>
                <w:szCs w:val="20"/>
              </w:rPr>
            </w:pPr>
          </w:p>
        </w:tc>
        <w:tc>
          <w:tcPr>
            <w:tcW w:w="2147" w:type="pct"/>
            <w:tcBorders>
              <w:top w:val="nil"/>
              <w:bottom w:val="nil"/>
            </w:tcBorders>
            <w:vAlign w:val="center"/>
          </w:tcPr>
          <w:p w:rsidR="00E32160" w:rsidRPr="008644AD" w:rsidRDefault="00E32160" w:rsidP="00E32160">
            <w:pPr>
              <w:spacing w:after="0"/>
              <w:jc w:val="left"/>
              <w:rPr>
                <w:sz w:val="20"/>
                <w:szCs w:val="20"/>
              </w:rPr>
            </w:pPr>
            <w:r w:rsidRPr="008644AD">
              <w:rPr>
                <w:sz w:val="20"/>
                <w:szCs w:val="20"/>
              </w:rPr>
              <w:t xml:space="preserve">Variable valve control </w:t>
            </w:r>
          </w:p>
        </w:tc>
        <w:tc>
          <w:tcPr>
            <w:tcW w:w="2147" w:type="pct"/>
            <w:tcBorders>
              <w:top w:val="nil"/>
              <w:bottom w:val="nil"/>
            </w:tcBorders>
            <w:vAlign w:val="center"/>
            <w:hideMark/>
          </w:tcPr>
          <w:p w:rsidR="00E32160" w:rsidRPr="008644AD" w:rsidRDefault="00E32160" w:rsidP="00E32160">
            <w:pPr>
              <w:spacing w:after="0"/>
              <w:jc w:val="left"/>
              <w:rPr>
                <w:sz w:val="20"/>
                <w:szCs w:val="20"/>
              </w:rPr>
            </w:pPr>
          </w:p>
        </w:tc>
      </w:tr>
      <w:tr w:rsidR="00E32160" w:rsidRPr="00F3773F" w:rsidTr="008644AD">
        <w:tc>
          <w:tcPr>
            <w:tcW w:w="706" w:type="pct"/>
            <w:tcBorders>
              <w:top w:val="nil"/>
              <w:bottom w:val="nil"/>
            </w:tcBorders>
          </w:tcPr>
          <w:p w:rsidR="00E32160" w:rsidRPr="008644AD" w:rsidRDefault="00E32160" w:rsidP="00E32160">
            <w:pPr>
              <w:spacing w:after="0"/>
              <w:jc w:val="left"/>
              <w:rPr>
                <w:sz w:val="20"/>
                <w:szCs w:val="20"/>
              </w:rPr>
            </w:pPr>
          </w:p>
        </w:tc>
        <w:tc>
          <w:tcPr>
            <w:tcW w:w="2147" w:type="pct"/>
            <w:tcBorders>
              <w:top w:val="nil"/>
              <w:bottom w:val="nil"/>
            </w:tcBorders>
            <w:vAlign w:val="center"/>
          </w:tcPr>
          <w:p w:rsidR="00E32160" w:rsidRPr="008644AD" w:rsidRDefault="00E32160" w:rsidP="00E32160">
            <w:pPr>
              <w:spacing w:after="0"/>
              <w:jc w:val="left"/>
              <w:rPr>
                <w:sz w:val="20"/>
                <w:szCs w:val="20"/>
              </w:rPr>
            </w:pPr>
            <w:r w:rsidRPr="008644AD">
              <w:rPr>
                <w:sz w:val="20"/>
                <w:szCs w:val="20"/>
              </w:rPr>
              <w:t xml:space="preserve">Optimized cooling circuit </w:t>
            </w:r>
          </w:p>
        </w:tc>
        <w:tc>
          <w:tcPr>
            <w:tcW w:w="2147" w:type="pct"/>
            <w:tcBorders>
              <w:top w:val="nil"/>
              <w:bottom w:val="nil"/>
            </w:tcBorders>
            <w:vAlign w:val="center"/>
            <w:hideMark/>
          </w:tcPr>
          <w:p w:rsidR="00E32160" w:rsidRPr="008644AD" w:rsidRDefault="00E32160" w:rsidP="00E32160">
            <w:pPr>
              <w:spacing w:after="0"/>
              <w:jc w:val="left"/>
              <w:rPr>
                <w:sz w:val="20"/>
                <w:szCs w:val="20"/>
              </w:rPr>
            </w:pPr>
            <w:r w:rsidRPr="008644AD">
              <w:rPr>
                <w:sz w:val="20"/>
                <w:szCs w:val="20"/>
              </w:rPr>
              <w:t xml:space="preserve">Optimized cooling circuit </w:t>
            </w:r>
          </w:p>
        </w:tc>
      </w:tr>
      <w:tr w:rsidR="00E32160" w:rsidRPr="00F3773F" w:rsidTr="008644AD">
        <w:tc>
          <w:tcPr>
            <w:tcW w:w="706" w:type="pct"/>
            <w:tcBorders>
              <w:top w:val="nil"/>
              <w:bottom w:val="nil"/>
            </w:tcBorders>
          </w:tcPr>
          <w:p w:rsidR="00E32160" w:rsidRPr="008644AD" w:rsidRDefault="00E32160" w:rsidP="00E32160">
            <w:pPr>
              <w:spacing w:after="0"/>
              <w:jc w:val="left"/>
              <w:rPr>
                <w:sz w:val="20"/>
                <w:szCs w:val="20"/>
              </w:rPr>
            </w:pPr>
          </w:p>
        </w:tc>
        <w:tc>
          <w:tcPr>
            <w:tcW w:w="2147" w:type="pct"/>
            <w:tcBorders>
              <w:top w:val="nil"/>
              <w:bottom w:val="nil"/>
            </w:tcBorders>
            <w:vAlign w:val="center"/>
          </w:tcPr>
          <w:p w:rsidR="00E32160" w:rsidRPr="008644AD" w:rsidRDefault="00E32160" w:rsidP="00E32160">
            <w:pPr>
              <w:spacing w:after="0"/>
              <w:jc w:val="left"/>
              <w:rPr>
                <w:sz w:val="20"/>
                <w:szCs w:val="20"/>
              </w:rPr>
            </w:pPr>
            <w:r w:rsidRPr="008644AD">
              <w:rPr>
                <w:sz w:val="20"/>
                <w:szCs w:val="20"/>
              </w:rPr>
              <w:t>Advanced cooling circuit+ electric water pump</w:t>
            </w:r>
          </w:p>
        </w:tc>
        <w:tc>
          <w:tcPr>
            <w:tcW w:w="2147" w:type="pct"/>
            <w:tcBorders>
              <w:top w:val="nil"/>
              <w:bottom w:val="nil"/>
            </w:tcBorders>
            <w:vAlign w:val="center"/>
            <w:hideMark/>
          </w:tcPr>
          <w:p w:rsidR="00E32160" w:rsidRPr="008644AD" w:rsidRDefault="00E32160" w:rsidP="00E32160">
            <w:pPr>
              <w:spacing w:after="0"/>
              <w:jc w:val="left"/>
              <w:rPr>
                <w:sz w:val="20"/>
                <w:szCs w:val="20"/>
              </w:rPr>
            </w:pPr>
            <w:r w:rsidRPr="008644AD">
              <w:rPr>
                <w:sz w:val="20"/>
                <w:szCs w:val="20"/>
              </w:rPr>
              <w:t>Advanced cooling circuit+ electric water pump</w:t>
            </w:r>
          </w:p>
        </w:tc>
      </w:tr>
      <w:tr w:rsidR="00E32160" w:rsidRPr="00F3773F" w:rsidTr="008644AD">
        <w:tc>
          <w:tcPr>
            <w:tcW w:w="706" w:type="pct"/>
            <w:tcBorders>
              <w:top w:val="nil"/>
              <w:bottom w:val="single" w:sz="4" w:space="0" w:color="auto"/>
            </w:tcBorders>
          </w:tcPr>
          <w:p w:rsidR="00E32160" w:rsidRPr="008644AD" w:rsidRDefault="00E32160" w:rsidP="00E32160">
            <w:pPr>
              <w:spacing w:after="0"/>
              <w:jc w:val="left"/>
              <w:rPr>
                <w:sz w:val="20"/>
                <w:szCs w:val="20"/>
              </w:rPr>
            </w:pPr>
          </w:p>
        </w:tc>
        <w:tc>
          <w:tcPr>
            <w:tcW w:w="2147" w:type="pct"/>
            <w:tcBorders>
              <w:top w:val="nil"/>
              <w:bottom w:val="single" w:sz="4" w:space="0" w:color="auto"/>
            </w:tcBorders>
            <w:vAlign w:val="center"/>
          </w:tcPr>
          <w:p w:rsidR="00E32160" w:rsidRPr="008644AD" w:rsidRDefault="00E32160" w:rsidP="00E32160">
            <w:pPr>
              <w:spacing w:after="0"/>
              <w:jc w:val="left"/>
              <w:rPr>
                <w:sz w:val="20"/>
                <w:szCs w:val="20"/>
              </w:rPr>
            </w:pPr>
          </w:p>
        </w:tc>
        <w:tc>
          <w:tcPr>
            <w:tcW w:w="2147" w:type="pct"/>
            <w:tcBorders>
              <w:top w:val="nil"/>
              <w:bottom w:val="single" w:sz="4" w:space="0" w:color="auto"/>
            </w:tcBorders>
            <w:vAlign w:val="center"/>
            <w:hideMark/>
          </w:tcPr>
          <w:p w:rsidR="00E32160" w:rsidRPr="008644AD" w:rsidRDefault="00E32160" w:rsidP="00E32160">
            <w:pPr>
              <w:spacing w:after="0"/>
              <w:jc w:val="left"/>
              <w:rPr>
                <w:sz w:val="20"/>
                <w:szCs w:val="20"/>
              </w:rPr>
            </w:pPr>
            <w:r w:rsidRPr="008644AD">
              <w:rPr>
                <w:sz w:val="20"/>
                <w:szCs w:val="20"/>
              </w:rPr>
              <w:t xml:space="preserve">Exhaust heat recovery </w:t>
            </w:r>
          </w:p>
        </w:tc>
      </w:tr>
      <w:tr w:rsidR="00E32160" w:rsidRPr="00F3773F" w:rsidTr="008644AD">
        <w:tc>
          <w:tcPr>
            <w:tcW w:w="706" w:type="pct"/>
            <w:tcBorders>
              <w:top w:val="single" w:sz="4" w:space="0" w:color="auto"/>
              <w:bottom w:val="nil"/>
            </w:tcBorders>
          </w:tcPr>
          <w:p w:rsidR="00E32160" w:rsidRPr="008644AD" w:rsidRDefault="00E32160" w:rsidP="00E32160">
            <w:pPr>
              <w:spacing w:after="0"/>
              <w:jc w:val="left"/>
              <w:rPr>
                <w:sz w:val="20"/>
                <w:szCs w:val="20"/>
              </w:rPr>
            </w:pPr>
            <w:r w:rsidRPr="008644AD">
              <w:rPr>
                <w:sz w:val="20"/>
                <w:szCs w:val="20"/>
              </w:rPr>
              <w:t>Transmission</w:t>
            </w:r>
          </w:p>
        </w:tc>
        <w:tc>
          <w:tcPr>
            <w:tcW w:w="2147" w:type="pct"/>
            <w:tcBorders>
              <w:top w:val="single" w:sz="4" w:space="0" w:color="auto"/>
              <w:bottom w:val="nil"/>
            </w:tcBorders>
            <w:vAlign w:val="center"/>
          </w:tcPr>
          <w:p w:rsidR="00E32160" w:rsidRPr="008644AD" w:rsidRDefault="00E32160" w:rsidP="00E32160">
            <w:pPr>
              <w:spacing w:after="0"/>
              <w:jc w:val="left"/>
              <w:rPr>
                <w:sz w:val="20"/>
                <w:szCs w:val="20"/>
              </w:rPr>
            </w:pPr>
            <w:r w:rsidRPr="008644AD">
              <w:rPr>
                <w:sz w:val="20"/>
                <w:szCs w:val="20"/>
              </w:rPr>
              <w:t xml:space="preserve">Optimized gearbox ratios </w:t>
            </w:r>
          </w:p>
        </w:tc>
        <w:tc>
          <w:tcPr>
            <w:tcW w:w="2147" w:type="pct"/>
            <w:tcBorders>
              <w:top w:val="single" w:sz="4" w:space="0" w:color="auto"/>
              <w:bottom w:val="nil"/>
            </w:tcBorders>
            <w:vAlign w:val="center"/>
            <w:hideMark/>
          </w:tcPr>
          <w:p w:rsidR="00E32160" w:rsidRPr="008644AD" w:rsidRDefault="00E32160" w:rsidP="00E32160">
            <w:pPr>
              <w:spacing w:after="0"/>
              <w:jc w:val="left"/>
              <w:rPr>
                <w:sz w:val="20"/>
                <w:szCs w:val="20"/>
              </w:rPr>
            </w:pPr>
          </w:p>
        </w:tc>
      </w:tr>
      <w:tr w:rsidR="00E32160" w:rsidRPr="00F3773F" w:rsidTr="008644AD">
        <w:tc>
          <w:tcPr>
            <w:tcW w:w="706" w:type="pct"/>
            <w:tcBorders>
              <w:top w:val="nil"/>
              <w:bottom w:val="nil"/>
            </w:tcBorders>
          </w:tcPr>
          <w:p w:rsidR="00E32160" w:rsidRPr="008644AD" w:rsidRDefault="00E32160" w:rsidP="00E32160">
            <w:pPr>
              <w:spacing w:after="0"/>
              <w:jc w:val="left"/>
              <w:rPr>
                <w:sz w:val="20"/>
                <w:szCs w:val="20"/>
              </w:rPr>
            </w:pPr>
          </w:p>
        </w:tc>
        <w:tc>
          <w:tcPr>
            <w:tcW w:w="2147" w:type="pct"/>
            <w:tcBorders>
              <w:top w:val="nil"/>
              <w:bottom w:val="nil"/>
            </w:tcBorders>
            <w:vAlign w:val="center"/>
          </w:tcPr>
          <w:p w:rsidR="00E32160" w:rsidRPr="008644AD" w:rsidRDefault="00E32160" w:rsidP="00E32160">
            <w:pPr>
              <w:spacing w:after="0"/>
              <w:jc w:val="left"/>
              <w:rPr>
                <w:sz w:val="20"/>
                <w:szCs w:val="20"/>
              </w:rPr>
            </w:pPr>
            <w:r w:rsidRPr="008644AD">
              <w:rPr>
                <w:sz w:val="20"/>
                <w:szCs w:val="20"/>
              </w:rPr>
              <w:t xml:space="preserve">Piloted gearbox </w:t>
            </w:r>
          </w:p>
        </w:tc>
        <w:tc>
          <w:tcPr>
            <w:tcW w:w="2147" w:type="pct"/>
            <w:tcBorders>
              <w:top w:val="nil"/>
              <w:bottom w:val="nil"/>
            </w:tcBorders>
            <w:vAlign w:val="center"/>
            <w:hideMark/>
          </w:tcPr>
          <w:p w:rsidR="00E32160" w:rsidRPr="008644AD" w:rsidRDefault="00E32160" w:rsidP="00E32160">
            <w:pPr>
              <w:spacing w:after="0"/>
              <w:jc w:val="left"/>
              <w:rPr>
                <w:sz w:val="20"/>
                <w:szCs w:val="20"/>
              </w:rPr>
            </w:pPr>
            <w:r w:rsidRPr="008644AD">
              <w:rPr>
                <w:sz w:val="20"/>
                <w:szCs w:val="20"/>
              </w:rPr>
              <w:t xml:space="preserve">Piloted gearbox </w:t>
            </w:r>
          </w:p>
        </w:tc>
      </w:tr>
      <w:tr w:rsidR="00E32160" w:rsidRPr="00F3773F" w:rsidTr="008644AD">
        <w:tc>
          <w:tcPr>
            <w:tcW w:w="706" w:type="pct"/>
            <w:tcBorders>
              <w:top w:val="nil"/>
              <w:bottom w:val="single" w:sz="4" w:space="0" w:color="auto"/>
            </w:tcBorders>
          </w:tcPr>
          <w:p w:rsidR="00E32160" w:rsidRPr="008644AD" w:rsidRDefault="00E32160" w:rsidP="00E32160">
            <w:pPr>
              <w:spacing w:after="0"/>
              <w:jc w:val="left"/>
              <w:rPr>
                <w:sz w:val="20"/>
                <w:szCs w:val="20"/>
              </w:rPr>
            </w:pPr>
          </w:p>
        </w:tc>
        <w:tc>
          <w:tcPr>
            <w:tcW w:w="2147" w:type="pct"/>
            <w:tcBorders>
              <w:top w:val="nil"/>
              <w:bottom w:val="single" w:sz="4" w:space="0" w:color="auto"/>
            </w:tcBorders>
            <w:vAlign w:val="center"/>
          </w:tcPr>
          <w:p w:rsidR="00E32160" w:rsidRPr="008644AD" w:rsidRDefault="00E32160" w:rsidP="00E32160">
            <w:pPr>
              <w:spacing w:after="0"/>
              <w:jc w:val="left"/>
              <w:rPr>
                <w:sz w:val="20"/>
                <w:szCs w:val="20"/>
              </w:rPr>
            </w:pPr>
            <w:r w:rsidRPr="008644AD">
              <w:rPr>
                <w:sz w:val="20"/>
                <w:szCs w:val="20"/>
              </w:rPr>
              <w:t xml:space="preserve">Dual-Clutch </w:t>
            </w:r>
          </w:p>
        </w:tc>
        <w:tc>
          <w:tcPr>
            <w:tcW w:w="2147" w:type="pct"/>
            <w:tcBorders>
              <w:top w:val="nil"/>
              <w:bottom w:val="single" w:sz="4" w:space="0" w:color="auto"/>
            </w:tcBorders>
            <w:vAlign w:val="center"/>
            <w:hideMark/>
          </w:tcPr>
          <w:p w:rsidR="00E32160" w:rsidRPr="008644AD" w:rsidRDefault="00E32160" w:rsidP="00E32160">
            <w:pPr>
              <w:spacing w:after="0"/>
              <w:jc w:val="left"/>
              <w:rPr>
                <w:sz w:val="20"/>
                <w:szCs w:val="20"/>
              </w:rPr>
            </w:pPr>
            <w:r w:rsidRPr="008644AD">
              <w:rPr>
                <w:sz w:val="20"/>
                <w:szCs w:val="20"/>
              </w:rPr>
              <w:t xml:space="preserve">Dual-Clutch </w:t>
            </w:r>
          </w:p>
        </w:tc>
      </w:tr>
      <w:tr w:rsidR="00E32160" w:rsidRPr="00F3773F" w:rsidTr="008644AD">
        <w:tc>
          <w:tcPr>
            <w:tcW w:w="706" w:type="pct"/>
            <w:tcBorders>
              <w:top w:val="single" w:sz="4" w:space="0" w:color="auto"/>
              <w:bottom w:val="nil"/>
            </w:tcBorders>
          </w:tcPr>
          <w:p w:rsidR="00E32160" w:rsidRPr="008644AD" w:rsidRDefault="00E32160" w:rsidP="00E32160">
            <w:pPr>
              <w:spacing w:after="0"/>
              <w:jc w:val="left"/>
              <w:rPr>
                <w:sz w:val="20"/>
                <w:szCs w:val="20"/>
              </w:rPr>
            </w:pPr>
            <w:r w:rsidRPr="008644AD">
              <w:rPr>
                <w:sz w:val="20"/>
                <w:szCs w:val="20"/>
              </w:rPr>
              <w:t>Hybrid</w:t>
            </w:r>
          </w:p>
        </w:tc>
        <w:tc>
          <w:tcPr>
            <w:tcW w:w="2147" w:type="pct"/>
            <w:tcBorders>
              <w:top w:val="single" w:sz="4" w:space="0" w:color="auto"/>
              <w:bottom w:val="nil"/>
            </w:tcBorders>
            <w:vAlign w:val="center"/>
          </w:tcPr>
          <w:p w:rsidR="00E32160" w:rsidRPr="008644AD" w:rsidRDefault="00E32160" w:rsidP="00E32160">
            <w:pPr>
              <w:spacing w:after="0"/>
              <w:jc w:val="left"/>
              <w:rPr>
                <w:sz w:val="20"/>
                <w:szCs w:val="20"/>
              </w:rPr>
            </w:pPr>
            <w:r w:rsidRPr="008644AD">
              <w:rPr>
                <w:sz w:val="20"/>
                <w:szCs w:val="20"/>
              </w:rPr>
              <w:t xml:space="preserve">Start-stop function </w:t>
            </w:r>
          </w:p>
        </w:tc>
        <w:tc>
          <w:tcPr>
            <w:tcW w:w="2147" w:type="pct"/>
            <w:tcBorders>
              <w:top w:val="single" w:sz="4" w:space="0" w:color="auto"/>
              <w:bottom w:val="nil"/>
            </w:tcBorders>
            <w:vAlign w:val="center"/>
            <w:hideMark/>
          </w:tcPr>
          <w:p w:rsidR="00E32160" w:rsidRPr="008644AD" w:rsidRDefault="00E32160" w:rsidP="00E32160">
            <w:pPr>
              <w:spacing w:after="0"/>
              <w:jc w:val="left"/>
              <w:rPr>
                <w:sz w:val="20"/>
                <w:szCs w:val="20"/>
              </w:rPr>
            </w:pPr>
            <w:r w:rsidRPr="008644AD">
              <w:rPr>
                <w:sz w:val="20"/>
                <w:szCs w:val="20"/>
              </w:rPr>
              <w:t xml:space="preserve">Start-stop function </w:t>
            </w:r>
          </w:p>
        </w:tc>
      </w:tr>
      <w:tr w:rsidR="00E32160" w:rsidRPr="00F3773F" w:rsidTr="008644AD">
        <w:tc>
          <w:tcPr>
            <w:tcW w:w="706" w:type="pct"/>
            <w:tcBorders>
              <w:top w:val="nil"/>
              <w:bottom w:val="nil"/>
            </w:tcBorders>
          </w:tcPr>
          <w:p w:rsidR="00E32160" w:rsidRPr="008644AD" w:rsidRDefault="00E32160" w:rsidP="00E32160">
            <w:pPr>
              <w:spacing w:after="0"/>
              <w:jc w:val="left"/>
              <w:rPr>
                <w:sz w:val="20"/>
                <w:szCs w:val="20"/>
              </w:rPr>
            </w:pPr>
          </w:p>
        </w:tc>
        <w:tc>
          <w:tcPr>
            <w:tcW w:w="2147" w:type="pct"/>
            <w:tcBorders>
              <w:top w:val="nil"/>
              <w:bottom w:val="nil"/>
            </w:tcBorders>
            <w:vAlign w:val="center"/>
          </w:tcPr>
          <w:p w:rsidR="00E32160" w:rsidRPr="008644AD" w:rsidRDefault="00E32160" w:rsidP="00E32160">
            <w:pPr>
              <w:spacing w:after="0"/>
              <w:jc w:val="left"/>
              <w:rPr>
                <w:sz w:val="20"/>
                <w:szCs w:val="20"/>
              </w:rPr>
            </w:pPr>
            <w:r w:rsidRPr="008644AD">
              <w:rPr>
                <w:sz w:val="20"/>
                <w:szCs w:val="20"/>
              </w:rPr>
              <w:t xml:space="preserve">Start-stop + regenerative braking </w:t>
            </w:r>
          </w:p>
        </w:tc>
        <w:tc>
          <w:tcPr>
            <w:tcW w:w="2147" w:type="pct"/>
            <w:tcBorders>
              <w:top w:val="nil"/>
              <w:bottom w:val="nil"/>
            </w:tcBorders>
            <w:vAlign w:val="center"/>
            <w:hideMark/>
          </w:tcPr>
          <w:p w:rsidR="00E32160" w:rsidRPr="008644AD" w:rsidRDefault="00E32160" w:rsidP="00E32160">
            <w:pPr>
              <w:spacing w:after="0"/>
              <w:jc w:val="left"/>
              <w:rPr>
                <w:sz w:val="20"/>
                <w:szCs w:val="20"/>
              </w:rPr>
            </w:pPr>
            <w:r w:rsidRPr="008644AD">
              <w:rPr>
                <w:sz w:val="20"/>
                <w:szCs w:val="20"/>
              </w:rPr>
              <w:t xml:space="preserve">Start-stop + regenerative braking </w:t>
            </w:r>
          </w:p>
        </w:tc>
      </w:tr>
      <w:tr w:rsidR="00E32160" w:rsidRPr="00F3773F" w:rsidTr="008644AD">
        <w:tc>
          <w:tcPr>
            <w:tcW w:w="706" w:type="pct"/>
            <w:tcBorders>
              <w:top w:val="nil"/>
              <w:bottom w:val="nil"/>
            </w:tcBorders>
          </w:tcPr>
          <w:p w:rsidR="00E32160" w:rsidRPr="008644AD" w:rsidRDefault="00E32160" w:rsidP="00E32160">
            <w:pPr>
              <w:spacing w:after="0"/>
              <w:jc w:val="left"/>
              <w:rPr>
                <w:sz w:val="20"/>
                <w:szCs w:val="20"/>
              </w:rPr>
            </w:pPr>
          </w:p>
        </w:tc>
        <w:tc>
          <w:tcPr>
            <w:tcW w:w="2147" w:type="pct"/>
            <w:tcBorders>
              <w:top w:val="nil"/>
              <w:bottom w:val="nil"/>
            </w:tcBorders>
            <w:vAlign w:val="center"/>
          </w:tcPr>
          <w:p w:rsidR="00E32160" w:rsidRPr="008644AD" w:rsidRDefault="00E32160" w:rsidP="00E32160">
            <w:pPr>
              <w:spacing w:after="0"/>
              <w:jc w:val="left"/>
              <w:rPr>
                <w:sz w:val="20"/>
                <w:szCs w:val="20"/>
              </w:rPr>
            </w:pPr>
            <w:r w:rsidRPr="008644AD">
              <w:rPr>
                <w:sz w:val="20"/>
                <w:szCs w:val="20"/>
              </w:rPr>
              <w:t xml:space="preserve">Mild hybrid (motor assist) </w:t>
            </w:r>
          </w:p>
        </w:tc>
        <w:tc>
          <w:tcPr>
            <w:tcW w:w="2147" w:type="pct"/>
            <w:tcBorders>
              <w:top w:val="nil"/>
              <w:bottom w:val="nil"/>
            </w:tcBorders>
            <w:vAlign w:val="center"/>
            <w:hideMark/>
          </w:tcPr>
          <w:p w:rsidR="00E32160" w:rsidRPr="008644AD" w:rsidRDefault="00E32160" w:rsidP="00E32160">
            <w:pPr>
              <w:spacing w:after="0"/>
              <w:jc w:val="left"/>
              <w:rPr>
                <w:sz w:val="20"/>
                <w:szCs w:val="20"/>
              </w:rPr>
            </w:pPr>
            <w:r w:rsidRPr="008644AD">
              <w:rPr>
                <w:sz w:val="20"/>
                <w:szCs w:val="20"/>
              </w:rPr>
              <w:t xml:space="preserve">Mild hybrid (motor assist) </w:t>
            </w:r>
          </w:p>
        </w:tc>
      </w:tr>
      <w:tr w:rsidR="00E32160" w:rsidRPr="00F3773F" w:rsidTr="008644AD">
        <w:tc>
          <w:tcPr>
            <w:tcW w:w="706" w:type="pct"/>
            <w:tcBorders>
              <w:top w:val="nil"/>
              <w:bottom w:val="single" w:sz="4" w:space="0" w:color="auto"/>
            </w:tcBorders>
          </w:tcPr>
          <w:p w:rsidR="00E32160" w:rsidRPr="008644AD" w:rsidRDefault="00E32160" w:rsidP="00E32160">
            <w:pPr>
              <w:spacing w:after="0"/>
              <w:jc w:val="left"/>
              <w:rPr>
                <w:sz w:val="20"/>
                <w:szCs w:val="20"/>
              </w:rPr>
            </w:pPr>
          </w:p>
        </w:tc>
        <w:tc>
          <w:tcPr>
            <w:tcW w:w="2147" w:type="pct"/>
            <w:tcBorders>
              <w:top w:val="nil"/>
              <w:bottom w:val="single" w:sz="4" w:space="0" w:color="auto"/>
            </w:tcBorders>
            <w:vAlign w:val="center"/>
          </w:tcPr>
          <w:p w:rsidR="00E32160" w:rsidRPr="008644AD" w:rsidRDefault="00E32160" w:rsidP="00E32160">
            <w:pPr>
              <w:spacing w:after="0"/>
              <w:jc w:val="left"/>
              <w:rPr>
                <w:sz w:val="20"/>
                <w:szCs w:val="20"/>
              </w:rPr>
            </w:pPr>
            <w:r w:rsidRPr="008644AD">
              <w:rPr>
                <w:sz w:val="20"/>
                <w:szCs w:val="20"/>
              </w:rPr>
              <w:t xml:space="preserve">Full hybrid (electric drive capability) </w:t>
            </w:r>
          </w:p>
        </w:tc>
        <w:tc>
          <w:tcPr>
            <w:tcW w:w="2147" w:type="pct"/>
            <w:tcBorders>
              <w:top w:val="nil"/>
              <w:bottom w:val="single" w:sz="4" w:space="0" w:color="auto"/>
            </w:tcBorders>
            <w:vAlign w:val="center"/>
            <w:hideMark/>
          </w:tcPr>
          <w:p w:rsidR="00E32160" w:rsidRPr="008644AD" w:rsidRDefault="00E32160" w:rsidP="00E32160">
            <w:pPr>
              <w:spacing w:after="0"/>
              <w:jc w:val="left"/>
              <w:rPr>
                <w:sz w:val="20"/>
                <w:szCs w:val="20"/>
              </w:rPr>
            </w:pPr>
            <w:r w:rsidRPr="008644AD">
              <w:rPr>
                <w:sz w:val="20"/>
                <w:szCs w:val="20"/>
              </w:rPr>
              <w:t xml:space="preserve">Full hybrid (electric drive capability) </w:t>
            </w:r>
          </w:p>
        </w:tc>
      </w:tr>
      <w:tr w:rsidR="00E32160" w:rsidRPr="00F3773F" w:rsidTr="008644AD">
        <w:tc>
          <w:tcPr>
            <w:tcW w:w="706" w:type="pct"/>
            <w:tcBorders>
              <w:top w:val="single" w:sz="4" w:space="0" w:color="auto"/>
              <w:bottom w:val="nil"/>
            </w:tcBorders>
          </w:tcPr>
          <w:p w:rsidR="00E32160" w:rsidRPr="008644AD" w:rsidRDefault="00E32160" w:rsidP="00E32160">
            <w:pPr>
              <w:spacing w:after="0"/>
              <w:jc w:val="left"/>
              <w:rPr>
                <w:sz w:val="20"/>
                <w:szCs w:val="20"/>
              </w:rPr>
            </w:pPr>
            <w:r w:rsidRPr="008644AD">
              <w:rPr>
                <w:sz w:val="20"/>
                <w:szCs w:val="20"/>
              </w:rPr>
              <w:t>Body</w:t>
            </w:r>
          </w:p>
        </w:tc>
        <w:tc>
          <w:tcPr>
            <w:tcW w:w="2147" w:type="pct"/>
            <w:tcBorders>
              <w:top w:val="single" w:sz="4" w:space="0" w:color="auto"/>
              <w:bottom w:val="nil"/>
            </w:tcBorders>
            <w:vAlign w:val="center"/>
          </w:tcPr>
          <w:p w:rsidR="00E32160" w:rsidRPr="008644AD" w:rsidRDefault="00E32160" w:rsidP="00E32160">
            <w:pPr>
              <w:spacing w:after="0"/>
              <w:jc w:val="left"/>
              <w:rPr>
                <w:sz w:val="20"/>
                <w:szCs w:val="20"/>
              </w:rPr>
            </w:pPr>
            <w:r w:rsidRPr="008644AD">
              <w:rPr>
                <w:sz w:val="20"/>
                <w:szCs w:val="20"/>
              </w:rPr>
              <w:t xml:space="preserve">Improved aerodynamic efficiency </w:t>
            </w:r>
          </w:p>
        </w:tc>
        <w:tc>
          <w:tcPr>
            <w:tcW w:w="2147" w:type="pct"/>
            <w:tcBorders>
              <w:top w:val="single" w:sz="4" w:space="0" w:color="auto"/>
              <w:bottom w:val="nil"/>
            </w:tcBorders>
            <w:vAlign w:val="center"/>
            <w:hideMark/>
          </w:tcPr>
          <w:p w:rsidR="00E32160" w:rsidRPr="008644AD" w:rsidRDefault="00E32160" w:rsidP="00E32160">
            <w:pPr>
              <w:spacing w:after="0"/>
              <w:jc w:val="left"/>
              <w:rPr>
                <w:sz w:val="20"/>
                <w:szCs w:val="20"/>
              </w:rPr>
            </w:pPr>
            <w:r w:rsidRPr="008644AD">
              <w:rPr>
                <w:sz w:val="20"/>
                <w:szCs w:val="20"/>
              </w:rPr>
              <w:t xml:space="preserve">Improved aerodynamic efficiency </w:t>
            </w:r>
          </w:p>
        </w:tc>
      </w:tr>
      <w:tr w:rsidR="00E32160" w:rsidRPr="00F3773F" w:rsidTr="008644AD">
        <w:tc>
          <w:tcPr>
            <w:tcW w:w="706" w:type="pct"/>
            <w:tcBorders>
              <w:top w:val="nil"/>
              <w:bottom w:val="nil"/>
            </w:tcBorders>
          </w:tcPr>
          <w:p w:rsidR="00E32160" w:rsidRPr="008644AD" w:rsidRDefault="00E32160" w:rsidP="00E32160">
            <w:pPr>
              <w:spacing w:after="0"/>
              <w:jc w:val="left"/>
              <w:rPr>
                <w:sz w:val="20"/>
                <w:szCs w:val="20"/>
              </w:rPr>
            </w:pPr>
          </w:p>
        </w:tc>
        <w:tc>
          <w:tcPr>
            <w:tcW w:w="2147" w:type="pct"/>
            <w:tcBorders>
              <w:top w:val="nil"/>
              <w:bottom w:val="nil"/>
            </w:tcBorders>
            <w:vAlign w:val="center"/>
          </w:tcPr>
          <w:p w:rsidR="00E32160" w:rsidRPr="008644AD" w:rsidRDefault="00E32160" w:rsidP="00E32160">
            <w:pPr>
              <w:spacing w:after="0"/>
              <w:jc w:val="left"/>
              <w:rPr>
                <w:sz w:val="20"/>
                <w:szCs w:val="20"/>
              </w:rPr>
            </w:pPr>
            <w:r w:rsidRPr="008644AD">
              <w:rPr>
                <w:sz w:val="20"/>
                <w:szCs w:val="20"/>
              </w:rPr>
              <w:t xml:space="preserve">Mild weight reduction (5% BIW = 1.5% veh. weight) </w:t>
            </w:r>
          </w:p>
        </w:tc>
        <w:tc>
          <w:tcPr>
            <w:tcW w:w="2147" w:type="pct"/>
            <w:tcBorders>
              <w:top w:val="nil"/>
              <w:bottom w:val="nil"/>
            </w:tcBorders>
            <w:vAlign w:val="center"/>
            <w:hideMark/>
          </w:tcPr>
          <w:p w:rsidR="00E32160" w:rsidRPr="008644AD" w:rsidRDefault="00E32160" w:rsidP="00E32160">
            <w:pPr>
              <w:spacing w:after="0"/>
              <w:jc w:val="left"/>
              <w:rPr>
                <w:sz w:val="20"/>
                <w:szCs w:val="20"/>
              </w:rPr>
            </w:pPr>
            <w:r w:rsidRPr="008644AD">
              <w:rPr>
                <w:sz w:val="20"/>
                <w:szCs w:val="20"/>
              </w:rPr>
              <w:t xml:space="preserve">Mild weight reduction (5% BIW = 1.5% veh. weight) </w:t>
            </w:r>
          </w:p>
        </w:tc>
      </w:tr>
      <w:tr w:rsidR="00E32160" w:rsidRPr="00F3773F" w:rsidTr="008644AD">
        <w:tc>
          <w:tcPr>
            <w:tcW w:w="706" w:type="pct"/>
            <w:tcBorders>
              <w:top w:val="nil"/>
              <w:bottom w:val="nil"/>
            </w:tcBorders>
          </w:tcPr>
          <w:p w:rsidR="00E32160" w:rsidRPr="008644AD" w:rsidRDefault="00E32160" w:rsidP="00E32160">
            <w:pPr>
              <w:spacing w:after="0"/>
              <w:jc w:val="left"/>
              <w:rPr>
                <w:sz w:val="20"/>
                <w:szCs w:val="20"/>
              </w:rPr>
            </w:pPr>
          </w:p>
        </w:tc>
        <w:tc>
          <w:tcPr>
            <w:tcW w:w="2147" w:type="pct"/>
            <w:tcBorders>
              <w:top w:val="nil"/>
              <w:bottom w:val="nil"/>
            </w:tcBorders>
            <w:vAlign w:val="center"/>
          </w:tcPr>
          <w:p w:rsidR="00E32160" w:rsidRPr="008644AD" w:rsidRDefault="00E32160" w:rsidP="00E32160">
            <w:pPr>
              <w:spacing w:after="0"/>
              <w:jc w:val="left"/>
              <w:rPr>
                <w:sz w:val="20"/>
                <w:szCs w:val="20"/>
              </w:rPr>
            </w:pPr>
            <w:r w:rsidRPr="008644AD">
              <w:rPr>
                <w:sz w:val="20"/>
                <w:szCs w:val="20"/>
              </w:rPr>
              <w:t xml:space="preserve">Medium weight reduction (12% BIW = 3.6% veh. weight) </w:t>
            </w:r>
          </w:p>
        </w:tc>
        <w:tc>
          <w:tcPr>
            <w:tcW w:w="2147" w:type="pct"/>
            <w:tcBorders>
              <w:top w:val="nil"/>
              <w:bottom w:val="nil"/>
            </w:tcBorders>
            <w:vAlign w:val="center"/>
            <w:hideMark/>
          </w:tcPr>
          <w:p w:rsidR="00E32160" w:rsidRPr="008644AD" w:rsidRDefault="00E32160" w:rsidP="00E32160">
            <w:pPr>
              <w:spacing w:after="0"/>
              <w:jc w:val="left"/>
              <w:rPr>
                <w:sz w:val="20"/>
                <w:szCs w:val="20"/>
              </w:rPr>
            </w:pPr>
            <w:r w:rsidRPr="008644AD">
              <w:rPr>
                <w:sz w:val="20"/>
                <w:szCs w:val="20"/>
              </w:rPr>
              <w:t xml:space="preserve">Medium weight reduction (12% BIW = 3.6% veh. weight) </w:t>
            </w:r>
          </w:p>
        </w:tc>
      </w:tr>
      <w:tr w:rsidR="00E32160" w:rsidRPr="00F3773F" w:rsidTr="008644AD">
        <w:tc>
          <w:tcPr>
            <w:tcW w:w="706" w:type="pct"/>
            <w:tcBorders>
              <w:top w:val="nil"/>
              <w:bottom w:val="single" w:sz="4" w:space="0" w:color="auto"/>
            </w:tcBorders>
          </w:tcPr>
          <w:p w:rsidR="00E32160" w:rsidRPr="008644AD" w:rsidRDefault="00E32160" w:rsidP="00E32160">
            <w:pPr>
              <w:spacing w:after="0"/>
              <w:jc w:val="left"/>
              <w:rPr>
                <w:sz w:val="20"/>
                <w:szCs w:val="20"/>
              </w:rPr>
            </w:pPr>
          </w:p>
        </w:tc>
        <w:tc>
          <w:tcPr>
            <w:tcW w:w="2147" w:type="pct"/>
            <w:tcBorders>
              <w:top w:val="nil"/>
              <w:bottom w:val="single" w:sz="4" w:space="0" w:color="auto"/>
            </w:tcBorders>
            <w:vAlign w:val="center"/>
          </w:tcPr>
          <w:p w:rsidR="00E32160" w:rsidRPr="008644AD" w:rsidRDefault="00E32160" w:rsidP="00E32160">
            <w:pPr>
              <w:spacing w:after="0"/>
              <w:jc w:val="left"/>
              <w:rPr>
                <w:sz w:val="20"/>
                <w:szCs w:val="20"/>
              </w:rPr>
            </w:pPr>
            <w:r w:rsidRPr="008644AD">
              <w:rPr>
                <w:sz w:val="20"/>
                <w:szCs w:val="20"/>
              </w:rPr>
              <w:t xml:space="preserve">Strong weight reduction (30% BIW = 9.0% veh. weight) </w:t>
            </w:r>
          </w:p>
        </w:tc>
        <w:tc>
          <w:tcPr>
            <w:tcW w:w="2147" w:type="pct"/>
            <w:tcBorders>
              <w:top w:val="nil"/>
              <w:bottom w:val="single" w:sz="4" w:space="0" w:color="auto"/>
            </w:tcBorders>
            <w:vAlign w:val="center"/>
            <w:hideMark/>
          </w:tcPr>
          <w:p w:rsidR="00E32160" w:rsidRPr="008644AD" w:rsidRDefault="00E32160" w:rsidP="00E32160">
            <w:pPr>
              <w:spacing w:after="0"/>
              <w:jc w:val="left"/>
              <w:rPr>
                <w:sz w:val="20"/>
                <w:szCs w:val="20"/>
              </w:rPr>
            </w:pPr>
            <w:r w:rsidRPr="008644AD">
              <w:rPr>
                <w:sz w:val="20"/>
                <w:szCs w:val="20"/>
              </w:rPr>
              <w:t xml:space="preserve">Strong weight reduction (30% BIW = 9.0% veh. weight) </w:t>
            </w:r>
          </w:p>
        </w:tc>
      </w:tr>
      <w:tr w:rsidR="00E32160" w:rsidRPr="00F3773F" w:rsidTr="008644AD">
        <w:tc>
          <w:tcPr>
            <w:tcW w:w="706" w:type="pct"/>
            <w:tcBorders>
              <w:top w:val="single" w:sz="4" w:space="0" w:color="auto"/>
              <w:bottom w:val="nil"/>
            </w:tcBorders>
          </w:tcPr>
          <w:p w:rsidR="00E32160" w:rsidRPr="008644AD" w:rsidRDefault="00E32160" w:rsidP="00E32160">
            <w:pPr>
              <w:spacing w:after="0"/>
              <w:jc w:val="left"/>
              <w:rPr>
                <w:sz w:val="20"/>
                <w:szCs w:val="20"/>
              </w:rPr>
            </w:pPr>
            <w:r w:rsidRPr="008644AD">
              <w:rPr>
                <w:sz w:val="20"/>
                <w:szCs w:val="20"/>
              </w:rPr>
              <w:t>Other</w:t>
            </w:r>
          </w:p>
        </w:tc>
        <w:tc>
          <w:tcPr>
            <w:tcW w:w="2147" w:type="pct"/>
            <w:tcBorders>
              <w:top w:val="single" w:sz="4" w:space="0" w:color="auto"/>
              <w:bottom w:val="nil"/>
            </w:tcBorders>
            <w:vAlign w:val="center"/>
          </w:tcPr>
          <w:p w:rsidR="00E32160" w:rsidRPr="008644AD" w:rsidRDefault="00E32160" w:rsidP="00E32160">
            <w:pPr>
              <w:spacing w:after="0"/>
              <w:jc w:val="left"/>
              <w:rPr>
                <w:sz w:val="20"/>
                <w:szCs w:val="20"/>
              </w:rPr>
            </w:pPr>
            <w:r w:rsidRPr="008644AD">
              <w:rPr>
                <w:sz w:val="20"/>
                <w:szCs w:val="20"/>
              </w:rPr>
              <w:t xml:space="preserve">Low rolling resistance tires </w:t>
            </w:r>
          </w:p>
        </w:tc>
        <w:tc>
          <w:tcPr>
            <w:tcW w:w="2147" w:type="pct"/>
            <w:tcBorders>
              <w:top w:val="single" w:sz="4" w:space="0" w:color="auto"/>
              <w:bottom w:val="nil"/>
            </w:tcBorders>
            <w:vAlign w:val="center"/>
            <w:hideMark/>
          </w:tcPr>
          <w:p w:rsidR="00E32160" w:rsidRPr="008644AD" w:rsidRDefault="00E32160" w:rsidP="00E32160">
            <w:pPr>
              <w:spacing w:after="0"/>
              <w:jc w:val="left"/>
              <w:rPr>
                <w:sz w:val="20"/>
                <w:szCs w:val="20"/>
              </w:rPr>
            </w:pPr>
            <w:r w:rsidRPr="008644AD">
              <w:rPr>
                <w:sz w:val="20"/>
                <w:szCs w:val="20"/>
              </w:rPr>
              <w:t xml:space="preserve">Low rolling resistance tires </w:t>
            </w:r>
          </w:p>
        </w:tc>
      </w:tr>
      <w:tr w:rsidR="00E32160" w:rsidRPr="00F3773F" w:rsidTr="008644AD">
        <w:tc>
          <w:tcPr>
            <w:tcW w:w="706" w:type="pct"/>
            <w:tcBorders>
              <w:top w:val="nil"/>
              <w:bottom w:val="nil"/>
            </w:tcBorders>
          </w:tcPr>
          <w:p w:rsidR="00E32160" w:rsidRPr="008644AD" w:rsidRDefault="00E32160" w:rsidP="00E32160">
            <w:pPr>
              <w:spacing w:after="0"/>
              <w:jc w:val="left"/>
              <w:rPr>
                <w:sz w:val="20"/>
                <w:szCs w:val="20"/>
              </w:rPr>
            </w:pPr>
          </w:p>
        </w:tc>
        <w:tc>
          <w:tcPr>
            <w:tcW w:w="2147" w:type="pct"/>
            <w:tcBorders>
              <w:top w:val="nil"/>
              <w:bottom w:val="nil"/>
            </w:tcBorders>
            <w:vAlign w:val="center"/>
          </w:tcPr>
          <w:p w:rsidR="00E32160" w:rsidRPr="008644AD" w:rsidRDefault="00E32160" w:rsidP="00E32160">
            <w:pPr>
              <w:spacing w:after="0"/>
              <w:jc w:val="left"/>
              <w:rPr>
                <w:sz w:val="20"/>
                <w:szCs w:val="20"/>
              </w:rPr>
            </w:pPr>
            <w:r w:rsidRPr="008644AD">
              <w:rPr>
                <w:sz w:val="20"/>
                <w:szCs w:val="20"/>
              </w:rPr>
              <w:t>Electrically assisted steering (EPS, EPHS)</w:t>
            </w:r>
          </w:p>
        </w:tc>
        <w:tc>
          <w:tcPr>
            <w:tcW w:w="2147" w:type="pct"/>
            <w:tcBorders>
              <w:top w:val="nil"/>
              <w:bottom w:val="nil"/>
            </w:tcBorders>
            <w:vAlign w:val="center"/>
            <w:hideMark/>
          </w:tcPr>
          <w:p w:rsidR="00E32160" w:rsidRPr="008644AD" w:rsidRDefault="00E32160" w:rsidP="00E32160">
            <w:pPr>
              <w:spacing w:after="0"/>
              <w:jc w:val="left"/>
              <w:rPr>
                <w:sz w:val="20"/>
                <w:szCs w:val="20"/>
              </w:rPr>
            </w:pPr>
            <w:r w:rsidRPr="008644AD">
              <w:rPr>
                <w:sz w:val="20"/>
                <w:szCs w:val="20"/>
              </w:rPr>
              <w:t xml:space="preserve">Electrically assisted steering (EPS, EPHS) </w:t>
            </w:r>
          </w:p>
        </w:tc>
      </w:tr>
      <w:tr w:rsidR="00E32160" w:rsidRPr="00F3773F" w:rsidTr="008644AD">
        <w:tc>
          <w:tcPr>
            <w:tcW w:w="706" w:type="pct"/>
            <w:tcBorders>
              <w:top w:val="nil"/>
              <w:bottom w:val="nil"/>
            </w:tcBorders>
          </w:tcPr>
          <w:p w:rsidR="00E32160" w:rsidRPr="008644AD" w:rsidRDefault="00E32160" w:rsidP="00E32160">
            <w:pPr>
              <w:spacing w:after="0"/>
              <w:jc w:val="left"/>
              <w:rPr>
                <w:sz w:val="20"/>
                <w:szCs w:val="20"/>
              </w:rPr>
            </w:pPr>
          </w:p>
        </w:tc>
        <w:tc>
          <w:tcPr>
            <w:tcW w:w="2147" w:type="pct"/>
            <w:tcBorders>
              <w:top w:val="nil"/>
              <w:bottom w:val="nil"/>
            </w:tcBorders>
            <w:vAlign w:val="center"/>
          </w:tcPr>
          <w:p w:rsidR="00E32160" w:rsidRPr="008644AD" w:rsidRDefault="00E32160" w:rsidP="00E32160">
            <w:pPr>
              <w:spacing w:after="0"/>
              <w:jc w:val="left"/>
              <w:rPr>
                <w:sz w:val="20"/>
                <w:szCs w:val="20"/>
              </w:rPr>
            </w:pPr>
            <w:r w:rsidRPr="008644AD">
              <w:rPr>
                <w:sz w:val="20"/>
                <w:szCs w:val="20"/>
              </w:rPr>
              <w:t xml:space="preserve">Advanced after-treatment </w:t>
            </w:r>
          </w:p>
        </w:tc>
        <w:tc>
          <w:tcPr>
            <w:tcW w:w="2147" w:type="pct"/>
            <w:tcBorders>
              <w:top w:val="nil"/>
              <w:bottom w:val="nil"/>
            </w:tcBorders>
            <w:vAlign w:val="center"/>
            <w:hideMark/>
          </w:tcPr>
          <w:p w:rsidR="00E32160" w:rsidRPr="008644AD" w:rsidRDefault="00E32160" w:rsidP="00E32160">
            <w:pPr>
              <w:spacing w:after="0"/>
              <w:jc w:val="left"/>
              <w:rPr>
                <w:sz w:val="20"/>
                <w:szCs w:val="20"/>
              </w:rPr>
            </w:pPr>
            <w:r w:rsidRPr="008644AD">
              <w:rPr>
                <w:sz w:val="20"/>
                <w:szCs w:val="20"/>
              </w:rPr>
              <w:t xml:space="preserve">DeNOx catalyst </w:t>
            </w:r>
          </w:p>
        </w:tc>
      </w:tr>
      <w:tr w:rsidR="00E32160" w:rsidRPr="00F3773F" w:rsidTr="008644AD">
        <w:tc>
          <w:tcPr>
            <w:tcW w:w="706" w:type="pct"/>
            <w:tcBorders>
              <w:top w:val="nil"/>
              <w:bottom w:val="nil"/>
            </w:tcBorders>
          </w:tcPr>
          <w:p w:rsidR="00E32160" w:rsidRPr="008644AD" w:rsidRDefault="00E32160" w:rsidP="00E32160">
            <w:pPr>
              <w:spacing w:after="0"/>
              <w:jc w:val="left"/>
              <w:rPr>
                <w:sz w:val="20"/>
                <w:szCs w:val="20"/>
              </w:rPr>
            </w:pPr>
          </w:p>
        </w:tc>
        <w:tc>
          <w:tcPr>
            <w:tcW w:w="2147" w:type="pct"/>
            <w:tcBorders>
              <w:top w:val="nil"/>
              <w:bottom w:val="nil"/>
            </w:tcBorders>
            <w:vAlign w:val="center"/>
          </w:tcPr>
          <w:p w:rsidR="00E32160" w:rsidRPr="008644AD" w:rsidRDefault="00E32160" w:rsidP="00E32160">
            <w:pPr>
              <w:spacing w:after="0"/>
              <w:jc w:val="left"/>
              <w:rPr>
                <w:sz w:val="20"/>
                <w:szCs w:val="20"/>
              </w:rPr>
            </w:pPr>
            <w:r w:rsidRPr="008644AD">
              <w:rPr>
                <w:sz w:val="20"/>
                <w:szCs w:val="20"/>
              </w:rPr>
              <w:t> </w:t>
            </w:r>
          </w:p>
        </w:tc>
        <w:tc>
          <w:tcPr>
            <w:tcW w:w="2147" w:type="pct"/>
            <w:tcBorders>
              <w:top w:val="nil"/>
              <w:bottom w:val="nil"/>
            </w:tcBorders>
            <w:vAlign w:val="center"/>
            <w:hideMark/>
          </w:tcPr>
          <w:p w:rsidR="00E32160" w:rsidRPr="008644AD" w:rsidRDefault="00E32160" w:rsidP="00E32160">
            <w:pPr>
              <w:spacing w:after="0"/>
              <w:jc w:val="left"/>
              <w:rPr>
                <w:sz w:val="20"/>
                <w:szCs w:val="20"/>
              </w:rPr>
            </w:pPr>
            <w:r w:rsidRPr="008644AD">
              <w:rPr>
                <w:sz w:val="20"/>
                <w:szCs w:val="20"/>
              </w:rPr>
              <w:t xml:space="preserve">Particulate trap / filter </w:t>
            </w:r>
          </w:p>
        </w:tc>
      </w:tr>
      <w:tr w:rsidR="00E32160" w:rsidRPr="00F3773F" w:rsidTr="008644AD">
        <w:tc>
          <w:tcPr>
            <w:tcW w:w="706" w:type="pct"/>
            <w:tcBorders>
              <w:top w:val="nil"/>
              <w:bottom w:val="single" w:sz="12" w:space="0" w:color="auto"/>
            </w:tcBorders>
          </w:tcPr>
          <w:p w:rsidR="00E32160" w:rsidRPr="008644AD" w:rsidRDefault="00E32160" w:rsidP="00E32160">
            <w:pPr>
              <w:spacing w:after="0"/>
              <w:jc w:val="left"/>
              <w:rPr>
                <w:sz w:val="20"/>
                <w:szCs w:val="20"/>
              </w:rPr>
            </w:pPr>
          </w:p>
        </w:tc>
        <w:tc>
          <w:tcPr>
            <w:tcW w:w="2147" w:type="pct"/>
            <w:tcBorders>
              <w:top w:val="nil"/>
              <w:bottom w:val="single" w:sz="12" w:space="0" w:color="auto"/>
            </w:tcBorders>
            <w:vAlign w:val="center"/>
          </w:tcPr>
          <w:p w:rsidR="00E32160" w:rsidRPr="008644AD" w:rsidRDefault="00E32160" w:rsidP="00E32160">
            <w:pPr>
              <w:spacing w:after="0"/>
              <w:jc w:val="left"/>
              <w:rPr>
                <w:sz w:val="20"/>
                <w:szCs w:val="20"/>
              </w:rPr>
            </w:pPr>
            <w:r w:rsidRPr="008644AD">
              <w:rPr>
                <w:sz w:val="20"/>
                <w:szCs w:val="20"/>
              </w:rPr>
              <w:t>Gear shift indicator</w:t>
            </w:r>
          </w:p>
        </w:tc>
        <w:tc>
          <w:tcPr>
            <w:tcW w:w="2147" w:type="pct"/>
            <w:tcBorders>
              <w:top w:val="nil"/>
              <w:bottom w:val="single" w:sz="12" w:space="0" w:color="auto"/>
            </w:tcBorders>
            <w:vAlign w:val="center"/>
            <w:hideMark/>
          </w:tcPr>
          <w:p w:rsidR="00E32160" w:rsidRPr="008644AD" w:rsidRDefault="00E32160" w:rsidP="00E32160">
            <w:pPr>
              <w:keepNext/>
              <w:spacing w:after="0"/>
              <w:jc w:val="left"/>
              <w:rPr>
                <w:sz w:val="20"/>
                <w:szCs w:val="20"/>
              </w:rPr>
            </w:pPr>
            <w:r w:rsidRPr="008644AD">
              <w:rPr>
                <w:sz w:val="20"/>
                <w:szCs w:val="20"/>
              </w:rPr>
              <w:t>Gear shift indicator</w:t>
            </w:r>
          </w:p>
        </w:tc>
      </w:tr>
    </w:tbl>
    <w:p w:rsidR="00E32160" w:rsidRPr="00FC59E2" w:rsidRDefault="00E32160" w:rsidP="00E32160">
      <w:pPr>
        <w:spacing w:after="240" w:line="240" w:lineRule="auto"/>
        <w:rPr>
          <w:b/>
        </w:rPr>
      </w:pPr>
      <w:r>
        <w:rPr>
          <w:i/>
          <w:sz w:val="18"/>
          <w:szCs w:val="18"/>
        </w:rPr>
        <w:t xml:space="preserve">Note: </w:t>
      </w:r>
      <w:r w:rsidR="008644AD" w:rsidRPr="008644AD">
        <w:rPr>
          <w:i/>
          <w:sz w:val="18"/>
          <w:szCs w:val="18"/>
        </w:rPr>
        <w:t>Mild weight reduction: ≈ 5% reduction of weight on Body-In-White; Medium weight reduction: ≈ 15% reduction of weight on Body-In-White; Strong weight reduction: ≈ 30% reduction of weight on Body-In-White; Advanced after</w:t>
      </w:r>
      <w:r w:rsidR="008644AD">
        <w:rPr>
          <w:i/>
          <w:sz w:val="18"/>
          <w:szCs w:val="18"/>
        </w:rPr>
        <w:t xml:space="preserve"> </w:t>
      </w:r>
      <w:r w:rsidR="008644AD" w:rsidRPr="008644AD">
        <w:rPr>
          <w:i/>
          <w:sz w:val="18"/>
          <w:szCs w:val="18"/>
        </w:rPr>
        <w:t>treatment: e.g. NOx-storage catalyst for DI petrol engines; Reduced engine friction losses: includes low friction engine and gearbox lubricants; Mild downsizing with turbocharging: ≈ 10% cylinder content reduction; Medium downsizing with turbocharging: ≈ 20% cylinder content reduction; Strong downsizing with turbocharging: ≈ 30% cylinder content reduction</w:t>
      </w:r>
    </w:p>
    <w:p w:rsidR="008644AD" w:rsidRPr="008644AD" w:rsidRDefault="008644AD" w:rsidP="008644AD">
      <w:r w:rsidRPr="008644AD">
        <w:t>Based on the technological measures outlined in the table above, marginal abatement curves were constructed to assess the additional costs incurred by manufacturers and consumers (retail price) against the potential emissions reductions for 6 vehicle type combinations (petrol / diesel, and small / medium / large).</w:t>
      </w:r>
    </w:p>
    <w:p w:rsidR="008644AD" w:rsidRPr="008644AD" w:rsidRDefault="008644AD" w:rsidP="008644AD">
      <w:r w:rsidRPr="008644AD">
        <w:lastRenderedPageBreak/>
        <w:t>The baseline of these cost curves are the EU 2002 Type Approval limits as further adjusted by ESMAP experts. The scenarios developed for Georgia assume a fuel consumption improvement for light duty commercial vehicles of approximately half that of cars reaching 175 g/km in 2022/3, and 160 g/km in 2028/9, ten and thirteen years later than the EU, respectively.</w:t>
      </w:r>
    </w:p>
    <w:p w:rsidR="008644AD" w:rsidRDefault="008644AD" w:rsidP="008644AD">
      <w:r w:rsidRPr="008644AD">
        <w:rPr>
          <w:b/>
        </w:rPr>
        <w:t>Calibration of fuel consumption and emission</w:t>
      </w:r>
      <w:r>
        <w:t xml:space="preserve">.  </w:t>
      </w:r>
      <w:r w:rsidRPr="008644AD">
        <w:t>The baseline vehicle emission factors used to estimate total transport sector emissions are obtained by applying COPERT 4 methodology. COPERT 4 is a software program developed under the aegis of European Environment Agency. The tool is used to calculate major air pollutants and GHG emissions from different vehicle categories. It is widely used by the EU countries to report their annual mobile source emissions in accordance with the requirements of international conventions and protocols and EU legislation. The speed-sensitive emissions factors calculated by COPERT 4 are derived from empirical data derived from numerous tests performed on real-world vehicles.</w:t>
      </w:r>
      <w:r>
        <w:t xml:space="preserve"> </w:t>
      </w:r>
      <w:r w:rsidRPr="008644AD">
        <w:t>In order to suit the requirements of EFFECT, a number of adjustments were made to COPERT 4:</w:t>
      </w:r>
    </w:p>
    <w:p w:rsidR="008644AD" w:rsidRDefault="008644AD" w:rsidP="00197EC3">
      <w:pPr>
        <w:pStyle w:val="ListParagraph"/>
        <w:numPr>
          <w:ilvl w:val="0"/>
          <w:numId w:val="3"/>
        </w:numPr>
      </w:pPr>
      <w:r w:rsidRPr="008644AD">
        <w:t>the methodology was replicated in a separate Excel module within EFFECT and linked to the transport module using Visual Basic;</w:t>
      </w:r>
    </w:p>
    <w:p w:rsidR="008644AD" w:rsidRDefault="008644AD" w:rsidP="00197EC3">
      <w:pPr>
        <w:pStyle w:val="ListParagraph"/>
        <w:numPr>
          <w:ilvl w:val="0"/>
          <w:numId w:val="3"/>
        </w:numPr>
      </w:pPr>
      <w:r w:rsidRPr="008644AD">
        <w:t>the scope was extended to include data on emissions from electric vehicles obtained from a survey of plug-in cars;</w:t>
      </w:r>
    </w:p>
    <w:p w:rsidR="008644AD" w:rsidRDefault="008644AD" w:rsidP="00197EC3">
      <w:pPr>
        <w:pStyle w:val="ListParagraph"/>
        <w:numPr>
          <w:ilvl w:val="0"/>
          <w:numId w:val="3"/>
        </w:numPr>
      </w:pPr>
      <w:r w:rsidRPr="008644AD">
        <w:t>the calculation of emissions from three-wheelers was enhanced by updating emission factors on the basis</w:t>
      </w:r>
      <w:r w:rsidR="000357A0">
        <w:t xml:space="preserve"> of a survey conducted in India;</w:t>
      </w:r>
    </w:p>
    <w:p w:rsidR="008644AD" w:rsidRPr="008644AD" w:rsidRDefault="000357A0" w:rsidP="00197EC3">
      <w:pPr>
        <w:pStyle w:val="ListParagraph"/>
        <w:numPr>
          <w:ilvl w:val="0"/>
          <w:numId w:val="3"/>
        </w:numPr>
      </w:pPr>
      <w:r>
        <w:t>t</w:t>
      </w:r>
      <w:r w:rsidR="008644AD" w:rsidRPr="008644AD">
        <w:t>he COPERT 4 methodology generates emissions factors that are representative for average vehicles operating in the EU and these require adjustment to best represent average vehicles operating in India.</w:t>
      </w:r>
    </w:p>
    <w:p w:rsidR="008644AD" w:rsidRPr="008644AD" w:rsidRDefault="008644AD" w:rsidP="008644AD">
      <w:r w:rsidRPr="008644AD">
        <w:t xml:space="preserve">The enhanced emission calculation module based on COPERT 4 methodology generates some 3,500 emission factors for 253 specific vehicle types and technologies. The preliminary calculations are based on average emission factors obtained from studies conducted in European Union and India. Therefore, the initial fuel consumption and emission estimates need to be adjusted to better represent local vehicle fleet characteristics and operating conditions of each analyzed country. For instance, it can be expected that the speed sensitive fuel economy will change due to different country-specific road conditions thus affecting road transport fuel consumption. </w:t>
      </w:r>
    </w:p>
    <w:p w:rsidR="008644AD" w:rsidRPr="008644AD" w:rsidRDefault="008644AD" w:rsidP="008644AD">
      <w:r w:rsidRPr="008644AD">
        <w:t>To account for these differences, EFFFECT uses country-specific input data on vehicle fleet composition and operating conditions. Whenever this information is not available, assumptions generated by previous studies are used to populate the model.</w:t>
      </w:r>
    </w:p>
    <w:p w:rsidR="007D2154" w:rsidRDefault="008644AD" w:rsidP="008644AD">
      <w:r w:rsidRPr="008644AD">
        <w:t xml:space="preserve">Further adjustment is performed by calibrating the endogenous preliminary fuel consumption estimates to match the actual fuel consumption data obtained from official sources. </w:t>
      </w:r>
      <w:r w:rsidR="007D2154" w:rsidRPr="007D2154">
        <w:t>Such data can be procured from independent road tests performed by vehicle owners, companies and magazines under local driving conditions. Alternatively, the results can be calibrated against total gasoline sales or fuel consumption furnished by a national statistical office or other official database. The calibration is performed by amending the annual age-sensitive vehicle usage data, which triggers changes in fuel consumption estimates in the reference scenario.</w:t>
      </w:r>
    </w:p>
    <w:p w:rsidR="009A72B2" w:rsidRDefault="008644AD" w:rsidP="008644AD">
      <w:r w:rsidRPr="008644AD">
        <w:t xml:space="preserve">For purposes of this analysis, the fuel consumption results generated for Georgia were calibrated to match the transport sector fuel consumption data from World Development Indicators database maintained by </w:t>
      </w:r>
      <w:r w:rsidRPr="008644AD">
        <w:lastRenderedPageBreak/>
        <w:t>the World Bank and the fuel import data supplied by the Ministry of Energy of Georgia.  The resulting 5% deviation fits within the acceptable margin of error.</w:t>
      </w:r>
    </w:p>
    <w:p w:rsidR="004C30B9" w:rsidRPr="00A24018" w:rsidRDefault="004C30B9" w:rsidP="00BA2792">
      <w:pPr>
        <w:pStyle w:val="Heading2"/>
      </w:pPr>
      <w:bookmarkStart w:id="132" w:name="_Toc326892945"/>
      <w:r>
        <w:t>Assumptions used in the analysis</w:t>
      </w:r>
      <w:bookmarkEnd w:id="132"/>
    </w:p>
    <w:p w:rsidR="008644AD" w:rsidRPr="008644AD" w:rsidRDefault="009A72B2" w:rsidP="008644AD">
      <w:r w:rsidRPr="009A72B2">
        <w:rPr>
          <w:b/>
        </w:rPr>
        <w:t>Relationship between Income growth and vehicle ownership</w:t>
      </w:r>
      <w:r>
        <w:t xml:space="preserve">.  </w:t>
      </w:r>
      <w:r w:rsidR="008644AD" w:rsidRPr="008644AD">
        <w:t>Empirical evidence suggests that private vehicle ownership, like ownership of any appliances, is a function of income and vehicle price elasticity</w:t>
      </w:r>
      <w:r w:rsidR="008644AD">
        <w:t>. T</w:t>
      </w:r>
      <w:r w:rsidR="008644AD" w:rsidRPr="008644AD">
        <w:t xml:space="preserve">he household car and motorcycle ownership can thus be derived from the average household income data, for which per capita expenditures can be used as a proxy.  </w:t>
      </w:r>
    </w:p>
    <w:p w:rsidR="007D2154" w:rsidRDefault="007D2154" w:rsidP="007D2154">
      <w:r>
        <w:t xml:space="preserve">Car and motorcycle ownership patterns and the distribution of household expenditures are derived from Georgia household survey data 2007. The data on average monthly per capita expenditure (MPCE) obtained from the household survey is used to range the population by average per capita income and group the resulting array  into </w:t>
      </w:r>
      <w:r w:rsidR="00CE6EB1">
        <w:t>per</w:t>
      </w:r>
      <w:r>
        <w:t xml:space="preserve">centiles with equal number of individuals in each. </w:t>
      </w:r>
    </w:p>
    <w:p w:rsidR="007D2154" w:rsidRDefault="007D2154" w:rsidP="007D2154">
      <w:r>
        <w:t xml:space="preserve">In order to determine the number of households, the average household size is projected using the United Nations methodology. In line with this methodology, the household size is estimated by multiplying the total population by the historic ratio of the number of households to population between 15–64 years of age. Previous research performed by ESMAP reveals evidence of significant variation in household size across expenditure groups. To capture the distribution of household sizes across income groups in Georgia, a linear regression is applied. The dependent variable is the logarithm of the household size, and explanatory variables are the logarithm of MPCE and a dummy that is 1 for the first </w:t>
      </w:r>
      <w:r w:rsidR="00CE6EB1">
        <w:t>per</w:t>
      </w:r>
      <w:r>
        <w:t>centile and 0 otherwise.</w:t>
      </w:r>
    </w:p>
    <w:p w:rsidR="007D2154" w:rsidRDefault="007D2154" w:rsidP="007D2154">
      <w:r>
        <w:t xml:space="preserve">The number of individuals in each income </w:t>
      </w:r>
      <w:r w:rsidR="00CE6EB1">
        <w:t>per</w:t>
      </w:r>
      <w:r>
        <w:t>centile is divided by the estimated average household size to calcula</w:t>
      </w:r>
      <w:r w:rsidR="00CE6EB1">
        <w:t>te the number of household per</w:t>
      </w:r>
      <w:r>
        <w:t>centile by location (urban and rural).</w:t>
      </w:r>
    </w:p>
    <w:p w:rsidR="007D2154" w:rsidRDefault="007D2154" w:rsidP="007D2154">
      <w:r>
        <w:t>Eventually, a Gompertz function using monthly household expenditure (MMHE) as the independent variable is employed to estimate private vehicle ownership. The function contains three parameters (saturation level of vehicle penetration, rate of penetration and the level above which the rate of penetration increases faster) that can be either derived from historic household survey data, provided that the latter contain information on vehicle ownership, or estimated based on the results of surveys conducted in other countries with similar parameters (e.g. income per capita).</w:t>
      </w:r>
    </w:p>
    <w:p w:rsidR="007D2154" w:rsidRDefault="007D2154" w:rsidP="007D2154">
      <w:r>
        <w:t>The following factors are taken into account when projecting future private vehicle ownership:</w:t>
      </w:r>
    </w:p>
    <w:p w:rsidR="007D2154" w:rsidRDefault="007D2154" w:rsidP="007D2154">
      <w:pPr>
        <w:pStyle w:val="ListParagraph"/>
        <w:numPr>
          <w:ilvl w:val="0"/>
          <w:numId w:val="34"/>
        </w:numPr>
      </w:pPr>
      <w:r>
        <w:t>Population is expected to grow at exogenously estimated rates;</w:t>
      </w:r>
    </w:p>
    <w:p w:rsidR="007D2154" w:rsidRDefault="007D2154" w:rsidP="007D2154">
      <w:pPr>
        <w:pStyle w:val="ListParagraph"/>
        <w:numPr>
          <w:ilvl w:val="0"/>
          <w:numId w:val="34"/>
        </w:numPr>
      </w:pPr>
      <w:r>
        <w:t>Household expenditures are assumed to grow at the same rate as GDP. However, because of increasing urbanization, per capita expenditure grows more slowly than GDP;</w:t>
      </w:r>
    </w:p>
    <w:p w:rsidR="007D2154" w:rsidRDefault="007D2154" w:rsidP="007D2154">
      <w:pPr>
        <w:pStyle w:val="ListParagraph"/>
        <w:numPr>
          <w:ilvl w:val="0"/>
          <w:numId w:val="34"/>
        </w:numPr>
      </w:pPr>
      <w:r>
        <w:t xml:space="preserve">The average household size grows as the ratio of the number of households to population between 15–64 years of age increases every year by 0.0011 (average annual rate of increase in the previous periods); </w:t>
      </w:r>
    </w:p>
    <w:p w:rsidR="007D2154" w:rsidRDefault="007D2154" w:rsidP="007D2154">
      <w:pPr>
        <w:pStyle w:val="ListParagraph"/>
        <w:numPr>
          <w:ilvl w:val="0"/>
          <w:numId w:val="34"/>
        </w:numPr>
      </w:pPr>
      <w:r>
        <w:t>The fraction of households in urban areas grows by the same rate as urbanization.</w:t>
      </w:r>
    </w:p>
    <w:p w:rsidR="008644AD" w:rsidRPr="008644AD" w:rsidRDefault="008644AD" w:rsidP="008644AD">
      <w:r w:rsidRPr="008644AD">
        <w:rPr>
          <w:b/>
        </w:rPr>
        <w:t>Consumer choices on vehicles</w:t>
      </w:r>
      <w:r>
        <w:t xml:space="preserve">.  </w:t>
      </w:r>
      <w:r w:rsidRPr="008644AD">
        <w:t>The wide variety of factors underlying the decision to purchase large, durable goods such as automobiles makes estimating consumer choices of a specific vehicle type or technology a particularly complex task. Understanding these factors, however, is critical in designing successful policy measures aimed at promoting cleaner vehicles.</w:t>
      </w:r>
    </w:p>
    <w:p w:rsidR="008644AD" w:rsidRPr="008644AD" w:rsidRDefault="008644AD" w:rsidP="008644AD">
      <w:r w:rsidRPr="008644AD">
        <w:lastRenderedPageBreak/>
        <w:t xml:space="preserve">One of the tools which can be used to encourage fleet renewal in Georgia is introduction of a vehicle </w:t>
      </w:r>
      <w:r>
        <w:t>scrapping</w:t>
      </w:r>
      <w:r w:rsidRPr="008644AD">
        <w:t xml:space="preserve"> program. </w:t>
      </w:r>
      <w:r>
        <w:t xml:space="preserve"> </w:t>
      </w:r>
      <w:r w:rsidRPr="008644AD">
        <w:t>Such programs offer a financial incentive (</w:t>
      </w:r>
      <w:r>
        <w:t>tax breaks and/or subsidies</w:t>
      </w:r>
      <w:r w:rsidRPr="008644AD">
        <w:t>) for an owner of an old vehicle to retire (scrap) the old and thus heavily polluting car. Under an alternative but similar intervention, the incentive takes the form of contribution towards purchase of a new, greener vehicle to replace the scrapped one (replacement program).</w:t>
      </w:r>
    </w:p>
    <w:p w:rsidR="008644AD" w:rsidRPr="008644AD" w:rsidRDefault="008644AD" w:rsidP="008644AD">
      <w:r w:rsidRPr="008644AD">
        <w:t xml:space="preserve">Choosing a particular vehicle group for a </w:t>
      </w:r>
      <w:r>
        <w:t>scrapping</w:t>
      </w:r>
      <w:r w:rsidRPr="008644AD">
        <w:t xml:space="preserve"> program is a critical design parameter, since it affects the program size, its economic performance and the resulting environmental benefits. Programs targeted at older vehicles typically will retire fewer cars, cost less and reduce fewer emissions than will programs that cover more vehicles.</w:t>
      </w:r>
    </w:p>
    <w:p w:rsidR="008644AD" w:rsidRDefault="008644AD" w:rsidP="008644AD">
      <w:r w:rsidRPr="008644AD">
        <w:t>In case of Georgia, due to the large fraction of old vehicles in use (65% of vehicles are 20 years and older), the environmental benefits could be quite substantial. Empirical data shows that the share of cars retired under a vehicle fleet renewal program largely depends on the amount of incentive offered. Alberini et al</w:t>
      </w:r>
      <w:r>
        <w:t>.</w:t>
      </w:r>
      <w:r w:rsidRPr="008644AD">
        <w:t xml:space="preserve"> finds that a </w:t>
      </w:r>
      <w:r>
        <w:t xml:space="preserve">scrapping </w:t>
      </w:r>
      <w:r w:rsidRPr="008644AD">
        <w:t>payment of US$1,500 would lead to 50% participation in the program; while a US$3,000 incentive would encourage 90% of old car owners scrap their vehicles.</w:t>
      </w:r>
      <w:r>
        <w:t xml:space="preserve"> </w:t>
      </w:r>
      <w:r w:rsidRPr="008644AD">
        <w:t>When applied to Georgia, these assumptions would translate into the retirement of 125,000 and 225,000 vehicles of the targeted group of 20+ old vehicles</w:t>
      </w:r>
      <w:r w:rsidR="00503F7F">
        <w:t xml:space="preserve">.  </w:t>
      </w:r>
      <w:r w:rsidR="00503F7F" w:rsidRPr="00503F7F">
        <w:t>Another important assumption concerns the choice of a replacement vehicle. The purchase of new and cleaner vehicle yields significant gains. According to Figliozzi et al, in case a new vehicle is used as replacement, emission reductions and benefits nearly double and cost-effectiveness impr</w:t>
      </w:r>
      <w:r w:rsidR="00503F7F">
        <w:t>oves by roughly a factor of two.</w:t>
      </w:r>
    </w:p>
    <w:p w:rsidR="00503F7F" w:rsidRPr="008644AD" w:rsidRDefault="00503F7F" w:rsidP="00503F7F">
      <w:r w:rsidRPr="00503F7F">
        <w:t xml:space="preserve">To estimate consumer choices induced by a </w:t>
      </w:r>
      <w:r>
        <w:t>scrapping</w:t>
      </w:r>
      <w:r w:rsidRPr="00503F7F">
        <w:t xml:space="preserve"> program, the methodology suggested by BenDor and Ford is applied to EFFECT calculations</w:t>
      </w:r>
      <w:r w:rsidRPr="00503F7F">
        <w:rPr>
          <w:vertAlign w:val="superscript"/>
        </w:rPr>
        <w:footnoteReference w:id="63"/>
      </w:r>
      <w:r w:rsidRPr="00503F7F">
        <w:t xml:space="preserve">. The new car sales mix over three years of </w:t>
      </w:r>
      <w:r>
        <w:t>scrapping</w:t>
      </w:r>
      <w:r w:rsidRPr="00503F7F">
        <w:t xml:space="preserve"> program implementation (2013-2015) is assumed to reflect the same shift in consumer preferences of cleaner vehicle technologies as revealed by a study conducted by BenDor and Ford. In estimating consumer choices the following factors are taken into account: vehicle purchase price, fuel cost, fuel availability, horse power, and range</w:t>
      </w:r>
    </w:p>
    <w:p w:rsidR="00330888" w:rsidRDefault="00330888" w:rsidP="00B12CE3">
      <w:pPr>
        <w:spacing w:after="200"/>
      </w:pPr>
      <w:r>
        <w:br w:type="page"/>
      </w:r>
    </w:p>
    <w:p w:rsidR="00330888" w:rsidRPr="00477DD6" w:rsidRDefault="00330888" w:rsidP="00BA2792">
      <w:pPr>
        <w:pStyle w:val="Heading1"/>
        <w:numPr>
          <w:ilvl w:val="0"/>
          <w:numId w:val="0"/>
        </w:numPr>
        <w:rPr>
          <w:sz w:val="26"/>
          <w:szCs w:val="26"/>
        </w:rPr>
      </w:pPr>
      <w:bookmarkStart w:id="133" w:name="_Toc326892946"/>
      <w:r>
        <w:rPr>
          <w:sz w:val="26"/>
          <w:szCs w:val="26"/>
        </w:rPr>
        <w:t>ANNEX 2: London’s Electric Vehicle Deployment Program</w:t>
      </w:r>
      <w:bookmarkEnd w:id="133"/>
    </w:p>
    <w:p w:rsidR="00330888" w:rsidRPr="00A24018" w:rsidRDefault="00B12CE3" w:rsidP="00BA2792">
      <w:pPr>
        <w:pStyle w:val="Heading2"/>
        <w:numPr>
          <w:ilvl w:val="1"/>
          <w:numId w:val="26"/>
        </w:numPr>
        <w:ind w:left="0"/>
      </w:pPr>
      <w:bookmarkStart w:id="134" w:name="_Toc326892947"/>
      <w:r>
        <w:t>Policy Drivers</w:t>
      </w:r>
      <w:bookmarkEnd w:id="134"/>
    </w:p>
    <w:p w:rsidR="005856A1" w:rsidRDefault="005856A1" w:rsidP="005856A1">
      <w:r>
        <w:t>The main driver of the Electric Vehicle (EV) Program in London is the set of air quality standards imposed by the EU, which require the UK to reduce emissions to 80 percent below 1990 levels. Failure to meet these standards could result in the UK facing up to £200 million in fines. EVs would also reduce CO</w:t>
      </w:r>
      <w:r w:rsidRPr="000D0ECD">
        <w:rPr>
          <w:vertAlign w:val="subscript"/>
        </w:rPr>
        <w:t>2</w:t>
      </w:r>
      <w:r>
        <w:t xml:space="preserve"> emissions in London. The program enjoys such tremendous political support from the mayor, government, and environmental and motoring lobbies that it was not cut during the current austerity budget. </w:t>
      </w:r>
    </w:p>
    <w:p w:rsidR="005856A1" w:rsidRDefault="005856A1" w:rsidP="005856A1">
      <w:r>
        <w:t>Lifecycle analysis indicates that EVs reduce emissions by 30 to 40 percent in the context of current sources of energy in the UK when compared with regular combustion engines. This percentage is projected to increase as the UK continues to green its energy mix, as planned.</w:t>
      </w:r>
    </w:p>
    <w:p w:rsidR="005856A1" w:rsidRDefault="005856A1" w:rsidP="005856A1">
      <w:r>
        <w:t>The second main driver of the EV program is a desire to develop a local electric vehicle industry. The low-carbon economy has potential to contribute to estimated 10,000-15,000 jobs, and an annual £600million to the London economy. Nissan is building a battery factory in Sunderland, which will produce batteries for the Leaf by 2013. However, it is generally accepted that the UK can lead only in parts or module manufacturing for electric cars, given the strength of German and French automobile manufacturers</w:t>
      </w:r>
      <w:r>
        <w:sym w:font="Symbol" w:char="F0BE"/>
      </w:r>
      <w:r>
        <w:t xml:space="preserve">Daimler-Benz, Peugot/Citroen and Renault/Nissan have electric vehicles entering the market in 2012. </w:t>
      </w:r>
    </w:p>
    <w:p w:rsidR="00BB4C56" w:rsidRPr="00A24018" w:rsidRDefault="00BB4C56" w:rsidP="00BA2792">
      <w:pPr>
        <w:pStyle w:val="Heading2"/>
      </w:pPr>
      <w:bookmarkStart w:id="135" w:name="_Toc326892948"/>
      <w:r>
        <w:t>Charging Infrastructure</w:t>
      </w:r>
      <w:bookmarkEnd w:id="135"/>
    </w:p>
    <w:p w:rsidR="005856A1" w:rsidRDefault="005856A1" w:rsidP="005856A1">
      <w:r>
        <w:t>Primarily, Transport for London (TfL) is creating an environment in which EVs can be quickly adopted and thrive. Hence, the organization is supporting development of private and public charging points. TfL expects most EV drivers to recharge their cars at home, thus TfL has partnered with private sector companies to assist Londoners in installing household charging points. The partnership includes electricity suppliers (e.g., British Gas), vehicle manufactures (e.g., Nissan/Renault) and charging infrastructure providers (e.g., Charge Master). When a Londoner purchases an electric vehicle, the vehicle manufacturer coordinates with British Gas and Charge Master, thus, users get a charging point installed without running back and forth among the suppliers. Also, TfL has done most of the background work that government agencies would need to do to install a charging point. Procurement guidelines for goods valued at £150,000 or more take over nine months to complete but TfL established a framework in which procurement is completed in less than three months.</w:t>
      </w:r>
    </w:p>
    <w:p w:rsidR="005856A1" w:rsidRDefault="005856A1" w:rsidP="005856A1">
      <w:r>
        <w:t xml:space="preserve">TfL is also partnering with the private sector to develop public charging points. Private sector companies such as such as Sainsburys, Tesco, ASDA, IKEA, Nissan, Siemens, BAA, Hertz, among many others, are installing charging points at their facilities. So far, NCP, a car-parking company, has installed about 120 charging points and there are plans to legislate that 25 percent of new parking spots should be fitted with electric charging points. The private company installing charging points contributes 50 percent of the cost of constructing a charge point, and the UK government provides the remaining 50 percent through a £9.3million grant. Siemens is underwriting the cost of background IT infrastructure and call center support. </w:t>
      </w:r>
    </w:p>
    <w:p w:rsidR="005856A1" w:rsidRDefault="005856A1" w:rsidP="005856A1">
      <w:r>
        <w:t xml:space="preserve">Drivers pay £100 per year for access to any charging point in London; the cost of electricity at public charging stations is covered by the private sector partner. </w:t>
      </w:r>
    </w:p>
    <w:p w:rsidR="00BB4C56" w:rsidRPr="00A24018" w:rsidRDefault="00BB4C56" w:rsidP="00BA2792">
      <w:pPr>
        <w:pStyle w:val="Heading2"/>
      </w:pPr>
      <w:bookmarkStart w:id="136" w:name="_Toc326892949"/>
      <w:r>
        <w:t>Vehicle Technology</w:t>
      </w:r>
      <w:bookmarkEnd w:id="136"/>
    </w:p>
    <w:p w:rsidR="005856A1" w:rsidRDefault="005856A1" w:rsidP="005856A1">
      <w:r>
        <w:t xml:space="preserve">Some 90 percent of trips made in London are about five miles in length. In the city, electric vehicles have a real-world range of 90 to 100 miles, thus are very suitable for city driving. Several EV models on the market include the Renault Influence Z.E. (midsize); Renault’s Zoey (compact); Peugeot iOn (compact), Citroen C-Zero (compact), Mercedes-Benz E-Cell (van); Smith’s Newton (van) Renault </w:t>
      </w:r>
      <w:r w:rsidRPr="005856A1">
        <w:t>Kangoo</w:t>
      </w:r>
      <w:r>
        <w:t xml:space="preserve"> Express (small van); Renault’s Twizy (2-person);  Mahindra’s REVA (2-person); Tata’s Indicar (2-person); and many others. Many other models are expected to enter the market during 2012.</w:t>
      </w:r>
    </w:p>
    <w:p w:rsidR="005856A1" w:rsidRDefault="005856A1" w:rsidP="005856A1">
      <w:pPr>
        <w:tabs>
          <w:tab w:val="left" w:pos="1843"/>
        </w:tabs>
      </w:pPr>
      <w:r>
        <w:t>There are fewer mini-buses on the market. Smith converts Ford Transit mini-buses into 18-20 seater minivans with an 80-mile range. There are no electric buses in London because the technology is not mature. However, there are 8,500 hybrid buses throughout London. Bus fares are the same for hybrid and regular buses since fares are regulated.</w:t>
      </w:r>
    </w:p>
    <w:p w:rsidR="005856A1" w:rsidRDefault="005856A1" w:rsidP="005856A1">
      <w:r>
        <w:t xml:space="preserve">Electric vehicles are expensive. The cheapest European midsize EV costs £20,000. Thus manufactures are devising innovative purchase plans for customers to acquire EVs. For instance, Renault customers pay the equivalent of a regular gasoline engine and then a monthly fee to cover the cost of the battery. Nissan customers can rent the battery package and Nissan handles battery maintenance and battery risk. </w:t>
      </w:r>
    </w:p>
    <w:p w:rsidR="00BB4C56" w:rsidRPr="00A24018" w:rsidRDefault="00BB4C56" w:rsidP="00BA2792">
      <w:pPr>
        <w:pStyle w:val="Heading2"/>
      </w:pPr>
      <w:bookmarkStart w:id="137" w:name="_Toc326892950"/>
      <w:r>
        <w:t>Implementation</w:t>
      </w:r>
      <w:bookmarkEnd w:id="137"/>
    </w:p>
    <w:p w:rsidR="005856A1" w:rsidRPr="005856A1" w:rsidRDefault="005856A1" w:rsidP="005856A1">
      <w:r w:rsidRPr="005856A1">
        <w:t xml:space="preserve">The EV program was launched in May in 2009 with the goal of increasing the number of electric vehicles in London to 100,000 or 3.5 percent of the total London fleet. As of May 2011, there were 2,200 pure electric vehicles in London (0.07 percent of the entire fleet), and 16,000 hybrids and Plug-in Hybrid Electric Vehicles, or 0.56 percent of the total fleet. </w:t>
      </w:r>
    </w:p>
    <w:p w:rsidR="005856A1" w:rsidRPr="005856A1" w:rsidRDefault="005856A1" w:rsidP="005856A1">
      <w:r w:rsidRPr="005856A1">
        <w:t>As of May 2011, there were 400 public charging points in the 33 boroughs of London. The goal is to have 1300 public charging points by 2013 - which exceeds the number of petrol stations in London.</w:t>
      </w:r>
    </w:p>
    <w:p w:rsidR="005856A1" w:rsidRPr="005856A1" w:rsidRDefault="005856A1" w:rsidP="005856A1">
      <w:r w:rsidRPr="005856A1">
        <w:rPr>
          <w:b/>
        </w:rPr>
        <w:t>Costs</w:t>
      </w:r>
      <w:r w:rsidRPr="005856A1">
        <w:t>. Floor-mounted charging points cost £4,000 plus installation, which averages an additional £3,000 in London since the street must be excavated, the charging stations equipped with RFID, and charging points must be networked. Three companies</w:t>
      </w:r>
      <w:r w:rsidRPr="005856A1" w:rsidDel="00237B38">
        <w:t xml:space="preserve"> </w:t>
      </w:r>
      <w:r w:rsidRPr="005856A1">
        <w:t>provide floor-mounted charging points: Electromotive, Charge Master, and Podpoint. Wall-mounted charging points cost £2,500 plus installation, which costs £1,000. These chargers require six to eight hours to fully charge a car; faster chargers take only 30 minutes but are more expensive. Battery-switching stations are even more expensive.</w:t>
      </w:r>
    </w:p>
    <w:p w:rsidR="005856A1" w:rsidRPr="005856A1" w:rsidRDefault="005856A1" w:rsidP="005856A1">
      <w:r w:rsidRPr="005856A1">
        <w:rPr>
          <w:b/>
        </w:rPr>
        <w:t>The implementing organization</w:t>
      </w:r>
      <w:r w:rsidRPr="005856A1">
        <w:t xml:space="preserve">. The electric vehicle program has seven full-time staff, and another 25 people provide regular support. Other TfL departments provide support as needed, e.g., the legal department. The program manager estimates that 50 people would be needed if the EV program were to function as a separate organization. </w:t>
      </w:r>
    </w:p>
    <w:p w:rsidR="005856A1" w:rsidRPr="005856A1" w:rsidRDefault="005856A1" w:rsidP="005856A1">
      <w:r w:rsidRPr="005856A1">
        <w:t>Of seven full-time staff, two are dedicated to signing up program partners, which takes three to six months on average per partner. From first contact to having a charge point takes about nine months. The TfL plans to spin off the organization once EV adoption can support a commercial entity.</w:t>
      </w:r>
    </w:p>
    <w:p w:rsidR="005856A1" w:rsidRPr="005856A1" w:rsidRDefault="005856A1" w:rsidP="005856A1">
      <w:r w:rsidRPr="005856A1">
        <w:rPr>
          <w:b/>
        </w:rPr>
        <w:t>Financing</w:t>
      </w:r>
      <w:r w:rsidRPr="005856A1">
        <w:t xml:space="preserve">. TfL has allocated £20 million for accelerated adoption of EVs, and the UK government has provided £9.3million in grants through the Plugged in Places program. The private sector is providing significant resources through the partnerships mentioned above. Other organizations such as the Clinton Foundation and </w:t>
      </w:r>
      <w:r w:rsidR="00FD6F21" w:rsidRPr="00FD6F21">
        <w:t xml:space="preserve">Centre of Excellence for Low Carbon </w:t>
      </w:r>
      <w:r w:rsidR="00FD6F21">
        <w:t>and</w:t>
      </w:r>
      <w:r w:rsidR="00FD6F21" w:rsidRPr="00FD6F21">
        <w:t xml:space="preserve"> Fuel Cell Technologies </w:t>
      </w:r>
      <w:r w:rsidR="00FD6F21">
        <w:t>(</w:t>
      </w:r>
      <w:r w:rsidRPr="005856A1">
        <w:t>CENEX</w:t>
      </w:r>
      <w:r w:rsidR="00FD6F21">
        <w:t>)</w:t>
      </w:r>
      <w:r w:rsidRPr="005856A1">
        <w:t xml:space="preserve"> are involved. Additionally, TfL plans to review the congestion charge incentive as the number of electric vehicles increases. </w:t>
      </w:r>
    </w:p>
    <w:p w:rsidR="005856A1" w:rsidRPr="005856A1" w:rsidRDefault="005856A1" w:rsidP="005856A1">
      <w:r w:rsidRPr="005856A1">
        <w:rPr>
          <w:b/>
        </w:rPr>
        <w:t>Other facts</w:t>
      </w:r>
    </w:p>
    <w:p w:rsidR="005856A1" w:rsidRPr="005856A1" w:rsidRDefault="005856A1" w:rsidP="005856A1">
      <w:pPr>
        <w:numPr>
          <w:ilvl w:val="0"/>
          <w:numId w:val="8"/>
        </w:numPr>
        <w:spacing w:after="60"/>
      </w:pPr>
      <w:r w:rsidRPr="005856A1">
        <w:t>There are no plans to develop a program for full-length electric buses or electric taxis. Full-length electric bus technology is in the early stages of development. London black taxis are highly regulated; a single company supplies the entire fleet of 22,000 taxis, 2,000 of which are purchased each year. Thus the market is too small for other vehicle manufacturers to participate.</w:t>
      </w:r>
    </w:p>
    <w:p w:rsidR="005856A1" w:rsidRPr="005856A1" w:rsidRDefault="005856A1" w:rsidP="005856A1">
      <w:pPr>
        <w:numPr>
          <w:ilvl w:val="0"/>
          <w:numId w:val="8"/>
        </w:numPr>
        <w:spacing w:after="60"/>
      </w:pPr>
      <w:r w:rsidRPr="005856A1">
        <w:t>There is no modal shift from public transportation to electric vehicles. The EV incentives can be as high as £7,500 depending on location within London. Incentives are insufficient to persuade public transport passengers to purchase electric vehicles, but data indicate that people who must commute by car are shifting from combustion engine vehicles to electric or plug-in hybrid vehicles.</w:t>
      </w:r>
    </w:p>
    <w:p w:rsidR="005856A1" w:rsidRPr="005856A1" w:rsidRDefault="005856A1" w:rsidP="005856A1">
      <w:pPr>
        <w:numPr>
          <w:ilvl w:val="0"/>
          <w:numId w:val="8"/>
        </w:numPr>
        <w:spacing w:after="60"/>
      </w:pPr>
      <w:r w:rsidRPr="005856A1">
        <w:t>The adequacy of charging infrastructure depends on the borough; workplaces are expected to contribute 22,500 charging points. The initial goal of 2,500 public charging points was reduced to 1,300 due to financial constraints.</w:t>
      </w:r>
    </w:p>
    <w:p w:rsidR="005856A1" w:rsidRPr="005856A1" w:rsidRDefault="005856A1" w:rsidP="005856A1">
      <w:pPr>
        <w:numPr>
          <w:ilvl w:val="0"/>
          <w:numId w:val="8"/>
        </w:numPr>
        <w:spacing w:after="60"/>
      </w:pPr>
      <w:r w:rsidRPr="005856A1">
        <w:t>Creating partnerships is the most difficult part of the program since all participation is voluntary. With 33 boroughs, the politics to implement the same standards across the boroughs is challenging. Moreover, private sector participants receive a bulky legal agreement to participate in the program and that is intimidating to many.</w:t>
      </w:r>
    </w:p>
    <w:p w:rsidR="005856A1" w:rsidRPr="005856A1" w:rsidRDefault="005856A1" w:rsidP="005856A1">
      <w:pPr>
        <w:numPr>
          <w:ilvl w:val="0"/>
          <w:numId w:val="8"/>
        </w:numPr>
        <w:spacing w:after="200"/>
      </w:pPr>
      <w:r w:rsidRPr="005856A1">
        <w:t>Public information and communications are critical for the program to succeed since misconceptions abound regarding electric vehicles.</w:t>
      </w:r>
    </w:p>
    <w:p w:rsidR="00F106CD" w:rsidRDefault="00F106CD" w:rsidP="00B12CE3">
      <w:pPr>
        <w:spacing w:after="200"/>
      </w:pPr>
      <w:r>
        <w:br w:type="page"/>
      </w:r>
    </w:p>
    <w:p w:rsidR="00B12CE3" w:rsidRPr="00477DD6" w:rsidRDefault="00B12CE3" w:rsidP="00BA2792">
      <w:pPr>
        <w:pStyle w:val="Heading1"/>
        <w:numPr>
          <w:ilvl w:val="0"/>
          <w:numId w:val="0"/>
        </w:numPr>
        <w:rPr>
          <w:sz w:val="26"/>
          <w:szCs w:val="26"/>
        </w:rPr>
      </w:pPr>
      <w:bookmarkStart w:id="138" w:name="_Toc326892951"/>
      <w:r>
        <w:rPr>
          <w:sz w:val="26"/>
          <w:szCs w:val="26"/>
        </w:rPr>
        <w:t>ANNEX 3: Review of Vehicle Replacement and Retrofit Programs</w:t>
      </w:r>
      <w:r w:rsidR="002733AF">
        <w:rPr>
          <w:rStyle w:val="FootnoteReference"/>
          <w:sz w:val="26"/>
          <w:szCs w:val="26"/>
        </w:rPr>
        <w:footnoteReference w:id="64"/>
      </w:r>
      <w:bookmarkEnd w:id="138"/>
    </w:p>
    <w:p w:rsidR="005856A1" w:rsidRDefault="005856A1" w:rsidP="005856A1">
      <w:r>
        <w:t>Although new vehicle emission standards can help cap the growth in vehicle emissions and inspection/maintenance programs can reduce emissions from in-use vehicles, air pollution levels are likely to remain unacceptably high in many cities in the developing world because many uncontrolled vehicles are in operation. Vehicle retrofit and replacement programs may be warranted if air quality problems are severe. Such measures are likely to be most cost-effective when applied to intensively used vehicles such as taxis, minibuses, buses, and trucks, which have high emission levels in proportion to their numbers in the vehicle fleet. Retrofitting existing vehicles with new engines or emission control systems or replacing them with new, low-emitting vehicles can often reduce emissions from these vehicles by 70 percent or more. Even if vehicle retrofit and replacement programs are not warranted, care should be taken to ensure that the vehicle tax structure does not encourage owners to retain old vehicles, and that the tax structure encourages the purchase of new, emission-controlled vehicles.</w:t>
      </w:r>
    </w:p>
    <w:p w:rsidR="00B12CE3" w:rsidRPr="00A24018" w:rsidRDefault="00B12CE3" w:rsidP="00BA2792">
      <w:pPr>
        <w:pStyle w:val="Heading2"/>
        <w:numPr>
          <w:ilvl w:val="1"/>
          <w:numId w:val="27"/>
        </w:numPr>
        <w:ind w:left="0"/>
      </w:pPr>
      <w:bookmarkStart w:id="139" w:name="_Toc326892952"/>
      <w:r>
        <w:t>Scrapping and Relocation Programs</w:t>
      </w:r>
      <w:bookmarkEnd w:id="139"/>
    </w:p>
    <w:p w:rsidR="005856A1" w:rsidRDefault="005856A1" w:rsidP="005856A1">
      <w:r>
        <w:t>Vehicle fleets in many developing countries are characterized by many old, poorly maintained, and high-emitting vehicles. Although these vehicles may not be high-value, low labor costs for repairs make it feasible to keep older vehicles in operation. The value of such marginal vehicles can be affected by tax policies, sometimes in unexpected ways. For example, many developing countries impose high luxury taxes on new vehicle purchases, which increases the value of vehicles already in the fleet. Similarly, high taxes on new vehicle ownership that decline as the vehicle ages also raises the value of older vehicles and reduces their scrappage rate. From an emissions perspective, flat or even rising taxes on vehicle ownership as a function of age would be preferable, and even better would be a tax based on vehicle emissions levels.</w:t>
      </w:r>
    </w:p>
    <w:p w:rsidR="005856A1" w:rsidRDefault="005856A1" w:rsidP="005856A1">
      <w:r>
        <w:t>Other policies can affect vehicle scrappage rates. Perhaps the most effective incentive to induce scrappage of older vehicles is to institute a strict inspection and maintenance program, possibly covering both emissions and safety requirements. Flat limits on the age of vehicles permitted to circulate are possible but inadvisable as this also discriminates against older vehicles that are properly maintained (Beaton and others 1995). A possible exception might be if new vehicles have significantly stricter emission standards than older vehicles in the fleet. In this case, it may be permissible to allow older vehicles to continue to circulate provided they are retrofitted to meet the same emissions standards as new vehicles.</w:t>
      </w:r>
    </w:p>
    <w:p w:rsidR="005856A1" w:rsidRDefault="005856A1" w:rsidP="005856A1">
      <w:r>
        <w:t>The Union Oil Company of California (UNOCAL) created a successful program in Southern California to retire 1970 and earlier vintage automobiles by buying them from their owners for US$700 each and scrapping them. Nearly 8400 old automobiles were removed from the vehicle fleet in 1990 (U.S. Congress/OTA 1992).</w:t>
      </w:r>
    </w:p>
    <w:p w:rsidR="005856A1" w:rsidRDefault="005856A1" w:rsidP="005856A1">
      <w:r>
        <w:t>UNOCAL’s latest program (SCRAP IV) initiated in January 1995, specifically targets pre-1975 model year vehicles, which can emit 50–100 times more pollutants per mile than new vehicles and account for a disproportionately high volume of all mobile emission sources in the Los Angeles Basin. Vehicles acquired through the program are scrapped and made available for self-service parts dismantling. Vehicles with special collector value are sold to the public. To qualify for the program, vehicles must be fully functional, not partially dismantled, and driven under their own power. They must have been registered in the local area for at least two years.</w:t>
      </w:r>
    </w:p>
    <w:p w:rsidR="005856A1" w:rsidRDefault="005856A1" w:rsidP="005856A1">
      <w:r>
        <w:t xml:space="preserve">UNOCAL will use most of the emission credits earned from scrapping older vehicles under SCRAP IV to offset some emissions from its Los Angeles marine terminal (Oil and Gas Journal 1995). Removing all high emitting cars through this approach offers a cost-effective approach to reducing emissions as a substitute for controls on stationary sources or increasingly stringent emissions standards for new cars. </w:t>
      </w:r>
    </w:p>
    <w:p w:rsidR="005856A1" w:rsidRDefault="005856A1" w:rsidP="005856A1">
      <w:r>
        <w:t>If the existing vehicle fleet retains significant economic value, relocating vehicles to smaller towns and villages outside major urban areas may be a useful approach that retains the vehicle economic value to society while removing it from cities, where air pollution is worst. Total emissions remain the same, but lower vehicle ownership and use in the countryside results in lower pollutant concentrations, and the lower population density means that fewer people are exposed to pollutants. Measures to encourage such a shift include differential vehicle taxes between urban and rural areas, age limits on vehicle registration in urban areas, and the application of differential taxes based on vehicle emissions in urban areas.</w:t>
      </w:r>
    </w:p>
    <w:p w:rsidR="00B12CE3" w:rsidRPr="00A24018" w:rsidRDefault="00B12CE3" w:rsidP="00BA2792">
      <w:pPr>
        <w:pStyle w:val="Heading2"/>
      </w:pPr>
      <w:bookmarkStart w:id="140" w:name="_Toc326892953"/>
      <w:r>
        <w:t>Vehicle Replacement</w:t>
      </w:r>
      <w:bookmarkEnd w:id="140"/>
    </w:p>
    <w:p w:rsidR="005856A1" w:rsidRDefault="005856A1" w:rsidP="005856A1">
      <w:r>
        <w:t xml:space="preserve">Vehicle replacement is generally the most practical solution where the existing vehicle fleet is old, in poor condition, or difficult to retrofit. Such replacements not only reduce emissions but also improve traffic safety. Replacing buses and minibuses can improve the quality and comfort of public transport, which may encourage a mode shift from private cars. A key concern in evaluating the cost-effectiveness of a vehicle replacement program is the disposition of the vehicles replaced. If the old vehicle is allowed to continue operating as before (with a different owner), emissions will not decrease. Instead, it must be a requirement that the old vehicle be scrapped to capture the full potential for emission reductions, although this may greatly increase program costs, depending on the value of the old vehicle. A less costly alternative is to require that the old vehicle be sold and re-registered outside the urban area, thus increasing the supply of transport in rural areas and ensuring that vehicle emissions do not add to urban pollution. In the case of taxis, it may be sufficient to allow the old vehicles to be used as private cars, which are used much less intensively than taxis. </w:t>
      </w:r>
    </w:p>
    <w:p w:rsidR="005856A1" w:rsidRDefault="005856A1" w:rsidP="005856A1">
      <w:r>
        <w:t>An example of an emissions-related vehicle replacement program is the Taxi Modernization Program undertaken in Mexico City. Based on an agreement signed in March 1991 between the Mexican authorities, the taxi associations, and the automotive manufacturers, this program is providing some US$700 million, through commercial banks, as a line of credit to fund the taxi program. Automobile manufacturers have agreed to make available specified numbers of vehicles per month, at agreed prices. The aim is to replace all pre-1985 taxis with new vehicles meeting Mexican 1991 or 1993 emission standards. Up to 63,000 taxis (93 percent of the fleet) could be replaced under the program. This program includes a combination of regulatory measures (taxicab licenses are denied for pre-1985 vehicles) and economic incentives (special prices have been negotiated with manufacturers and financing will be provided on favorable terms but at a positive real rate of interest).</w:t>
      </w:r>
    </w:p>
    <w:p w:rsidR="005856A1" w:rsidRDefault="005856A1" w:rsidP="005856A1">
      <w:r>
        <w:t>Hungary has taken a step toward eliminating the two-stroke engines often found in the heavily polluting Trabant and Wartburg automobiles, East German vehicles common to many countries in the former Soviet bloc. In 1994, businesses that owned two-stroke engine vehicles were required to scrap them. Individual owners were encouraged to replace two-stroke vehicles with four-stroke engines or to install catalytic converters for the two-stroke engines.</w:t>
      </w:r>
    </w:p>
    <w:p w:rsidR="00B12CE3" w:rsidRPr="00A24018" w:rsidRDefault="00B12CE3" w:rsidP="00BA2792">
      <w:pPr>
        <w:pStyle w:val="Heading2"/>
      </w:pPr>
      <w:bookmarkStart w:id="141" w:name="_Toc326892954"/>
      <w:r>
        <w:t>Retrofit Programs</w:t>
      </w:r>
      <w:bookmarkEnd w:id="141"/>
    </w:p>
    <w:p w:rsidR="005856A1" w:rsidRDefault="005856A1" w:rsidP="005856A1">
      <w:r>
        <w:t>If a vehicle was originally manufactured without emission controls but remains in reasonable condition, retrofitting emission controls may be a cost-effective option to reduce emissions. The retrofit may be accomplished by installing components such as air pumps or catalytic converters; replacing the engine with an engine designed for low emissions; or retrofitting a separate system, such as a liquefied petroleum gas or natural gas conversion kit. Retrofitting is most practical if the control measure in question can be implemented without changing the basic engine design, as in the case of a catalytic converter. A catalytic converter retrofit program that existed for several years in Germany, driven by tax incentives for vehicle modification, was considered a modest success. A similar program has been implemented in Sweden, and programs are being considered in Chile and Taiwan (China). In Hungary, Government has initiated a five-year program to persuade owners of older cars to install catalytic converters by offering financial assistance for up to 60 percent of the cost of retrofitting with catalytic converters (Walsh 1995). However, during the 1960s in California, an engine control retrofit program intended to reduce nitrogen oxide emissions suffered implementation difficulties and was abandoned after a few years.</w:t>
      </w:r>
    </w:p>
    <w:p w:rsidR="005856A1" w:rsidRDefault="005856A1" w:rsidP="005856A1">
      <w:r>
        <w:t>Retrofit strategies are especially appropriate for heavy-duty vehicles such as trucks, buses, and minibuses because these vehicles have high levels of emissions, long lives, and high usage levels and thus produce large amounts of pollution, particularly visible smoke and particulate matter, per vehicle. Retrofitting these vehicles can be reasonably cost-effective. Also, heavy-duty vehicles are normally designed so that extra space is available and major components such as engines are interchangeable, thus simplifying the retrofit process. In contrast, passenger cars tend to be designed as an integrated system, making retrofitting more difficult.</w:t>
      </w:r>
    </w:p>
    <w:p w:rsidR="005856A1" w:rsidRDefault="005856A1" w:rsidP="005856A1">
      <w:r>
        <w:t>Since strict emissions standards for new heavy-duty engines have been adopted only recently (and not at all in most countries), most engines in service are effectively uncontrolled. To improve air quality in the short term, it may be desirable in some cases to retrofit these engines for lower nitrogen oxide emissions. By retarding diesel fuel injection timing, a simple procedure with most engine designs, nitrogen oxide emissions can be reduced significantly. While retarding injection timing does increase fuel consumption and particulate matter emissions, it is often possible to achieve reductions of 20 to 30 percent in NOx emissions without marked effects on particulate emissions and fuel consumption. In many cases, further reductions can be achieved in nitrogen oxide and particulate emissions by upgrading engine technology at the time of major overhauls, either by rebuilding the engine with more advanced components or by replacing it with an engine designed for low emissions.</w:t>
      </w:r>
    </w:p>
    <w:p w:rsidR="005856A1" w:rsidRDefault="005856A1" w:rsidP="005856A1">
      <w:r>
        <w:t>Since an engine overhaul will be required at some point in the life of the vehicle, the incremental cost of upgrading technology is relatively small and emission reductions can be significant. For medium- and heavy-duty gasoline vehicles, one practical and effective means of reducing emissions is to convert them to burn liquefied petroleum gas (LPG) or compressed natural gas (CNG). This can realize substantial emissions reductions (especially if high-technology LPG or CNG systems incorporating feedback control and three-way catalysts are used). These fuels also offer substantial cost savings. Domestic sources of LPG and CNG are usually less costly than gasoline; natural gas is usually cheaper than LPG and has superior characteristics as an engine fuel. Although natural gas vehicle conversions are more expensive than those for LPG, costs can normally be recovered through lower fuel and maintenance costs.</w:t>
      </w:r>
    </w:p>
    <w:p w:rsidR="005856A1" w:rsidRDefault="005856A1" w:rsidP="005856A1">
      <w:r>
        <w:t>A successful retrofit requires considerable care and engineering development work. Proper design, prototype testing (including emissions testing), and manufacturing are required. Because of the expense involved in development, retrofitting will generally be most cost-effective if a large number of vehicles of similar type and design are available for retrofit. Examples include transit bus fleets, garbage collection fleets, and urban delivery fleets. The highest priority for retrofit programs should be transit buses and other vehicles operating in congested urban areas, particularly those with high-emission, stop-and-go driving cycles. Such programs could be undertaken, at least initially, on a voluntary or quasi-voluntary basis. Government-owned vehicle fleets are especially suitable for such programs.</w:t>
      </w:r>
    </w:p>
    <w:p w:rsidR="005856A1" w:rsidRDefault="005856A1" w:rsidP="005856A1">
      <w:r>
        <w:t>A large-scale emissions retrofit program is planned in Mexico City. The Environmental Commission for the Mexico City Region has developed a plan to retrofit more than 100,000 gasoline-fueled minibuses and gasoline trucks with LPG and CNG systems. Vehicles to be retrofitted are those built between 1977 (1982 in the case of minibuses) and 1991 (when catalyst-forcing emissions standards for gasoline vehicles came into effect). Older vehicles will be forcibly retired; younger vehicles are already equipped with catalytic converters, and have much lower emissions. A highly successful program to retrofit taxis with LPG and CNG systems has been implemented in Buenos Aires. Retrofit programs are popular in Asian countries and have been used to convert motorized three-wheelers with two-stroke engines to run on LPG (variously referred to as helicopters, rickshaws, tempos, and tuk-tuks, in Bangladesh, Indonesia, Nepal, and the Philippines respectively).</w:t>
      </w:r>
    </w:p>
    <w:p w:rsidR="008C56FF" w:rsidRDefault="008C56FF" w:rsidP="00F106CD">
      <w:r>
        <w:br w:type="page"/>
      </w:r>
    </w:p>
    <w:p w:rsidR="008C56FF" w:rsidRPr="00477DD6" w:rsidRDefault="008C56FF" w:rsidP="00BA2792">
      <w:pPr>
        <w:pStyle w:val="Heading1"/>
        <w:numPr>
          <w:ilvl w:val="0"/>
          <w:numId w:val="0"/>
        </w:numPr>
        <w:rPr>
          <w:sz w:val="26"/>
          <w:szCs w:val="26"/>
        </w:rPr>
      </w:pPr>
      <w:bookmarkStart w:id="142" w:name="_Toc326892955"/>
      <w:r>
        <w:rPr>
          <w:sz w:val="26"/>
          <w:szCs w:val="26"/>
        </w:rPr>
        <w:t>References</w:t>
      </w:r>
      <w:bookmarkEnd w:id="142"/>
    </w:p>
    <w:p w:rsidR="001360A2" w:rsidRPr="00A06BC0" w:rsidRDefault="001360A2" w:rsidP="00A06BC0">
      <w:r w:rsidRPr="00A06BC0">
        <w:t xml:space="preserve">ACEA (2009), </w:t>
      </w:r>
      <w:r w:rsidRPr="00A06BC0">
        <w:rPr>
          <w:i/>
        </w:rPr>
        <w:t xml:space="preserve">Fleet Renewal Schemes in the European Union 2009, </w:t>
      </w:r>
      <w:r w:rsidRPr="00A06BC0">
        <w:t>EU.</w:t>
      </w:r>
    </w:p>
    <w:p w:rsidR="001360A2" w:rsidRPr="00A06BC0" w:rsidRDefault="001360A2" w:rsidP="00A06BC0">
      <w:r w:rsidRPr="00A06BC0">
        <w:t xml:space="preserve">Alberini, Anna; Harrington, Winston; McConnell, Virginia (1998), </w:t>
      </w:r>
      <w:r w:rsidRPr="00A06BC0">
        <w:rPr>
          <w:i/>
        </w:rPr>
        <w:t xml:space="preserve">Fleet Turnover and Old Car Scrap Policies, </w:t>
      </w:r>
      <w:r>
        <w:t>Washington, D.C</w:t>
      </w:r>
      <w:r w:rsidRPr="00A06BC0">
        <w:t>.</w:t>
      </w:r>
    </w:p>
    <w:p w:rsidR="001360A2" w:rsidRDefault="001360A2" w:rsidP="007B42CF">
      <w:r w:rsidRPr="003A7B57">
        <w:t>Amtrak (201</w:t>
      </w:r>
      <w:r>
        <w:t>1</w:t>
      </w:r>
      <w:r w:rsidRPr="003A7B57">
        <w:t xml:space="preserve">), </w:t>
      </w:r>
      <w:r w:rsidRPr="003A7B57">
        <w:rPr>
          <w:i/>
        </w:rPr>
        <w:t>Revitalizing America’s Train Stations</w:t>
      </w:r>
      <w:r w:rsidRPr="003A7B57">
        <w:t xml:space="preserve"> </w:t>
      </w:r>
      <w:r>
        <w:t>(</w:t>
      </w:r>
      <w:r w:rsidRPr="003A7B57">
        <w:t>www.greatam</w:t>
      </w:r>
      <w:r>
        <w:t>ericanstations.com/Stations/BOS/)</w:t>
      </w:r>
    </w:p>
    <w:p w:rsidR="001360A2" w:rsidRDefault="001360A2" w:rsidP="00F448E6">
      <w:r w:rsidRPr="00F448E6">
        <w:t>Argonne National Laboratory</w:t>
      </w:r>
      <w:r>
        <w:t xml:space="preserve"> (2006), </w:t>
      </w:r>
      <w:r w:rsidRPr="00F448E6">
        <w:rPr>
          <w:i/>
        </w:rPr>
        <w:t>Projection of Chinese Motor Vehicle Growth, Oil Demand, and CO2 Emissions through 2050</w:t>
      </w:r>
      <w:r>
        <w:t>, ANL/ESD/06-6</w:t>
      </w:r>
    </w:p>
    <w:p w:rsidR="001360A2" w:rsidRDefault="001360A2" w:rsidP="006B4A09">
      <w:r>
        <w:t xml:space="preserve">Asian Development Bank (2011), </w:t>
      </w:r>
      <w:r w:rsidRPr="00B12DF0">
        <w:rPr>
          <w:i/>
        </w:rPr>
        <w:t>Road Map: Georgian Sustainable Urban Transport Project</w:t>
      </w:r>
      <w:r>
        <w:t>, Tbilisi.</w:t>
      </w:r>
    </w:p>
    <w:p w:rsidR="001360A2" w:rsidRPr="00A06BC0" w:rsidRDefault="001360A2" w:rsidP="00A06BC0">
      <w:r w:rsidRPr="00A06BC0">
        <w:t xml:space="preserve">Banarjee, Ipsita; Walker, Joan L.; Deakin, Elizabeth A., Kanafani, Adib (2010), </w:t>
      </w:r>
      <w:r w:rsidRPr="00A06BC0">
        <w:rPr>
          <w:i/>
        </w:rPr>
        <w:t xml:space="preserve">New Vehicle Choice in India: Household Choice among Motorized Vehicle Statements, </w:t>
      </w:r>
      <w:r>
        <w:t>Conference Proceedings of the 12</w:t>
      </w:r>
      <w:r w:rsidRPr="00A06BC0">
        <w:rPr>
          <w:vertAlign w:val="superscript"/>
        </w:rPr>
        <w:t>th</w:t>
      </w:r>
      <w:r>
        <w:t xml:space="preserve"> WCTR, Lisbon</w:t>
      </w:r>
    </w:p>
    <w:p w:rsidR="001360A2" w:rsidRPr="00A06BC0" w:rsidRDefault="001360A2" w:rsidP="00A06BC0">
      <w:r w:rsidRPr="00A06BC0">
        <w:t xml:space="preserve">BenDor, Todd; Ford, Andrew (2004), </w:t>
      </w:r>
      <w:r>
        <w:t>“</w:t>
      </w:r>
      <w:r w:rsidRPr="00A06BC0">
        <w:t>Simulating a Combination of Feebates and Scrappage Incentives to Reduce Automobile Emissions</w:t>
      </w:r>
      <w:r>
        <w:t>”</w:t>
      </w:r>
      <w:r w:rsidRPr="00A06BC0">
        <w:t xml:space="preserve">, </w:t>
      </w:r>
      <w:r w:rsidRPr="00A06BC0">
        <w:rPr>
          <w:i/>
        </w:rPr>
        <w:t>Energy</w:t>
      </w:r>
      <w:r>
        <w:t>,</w:t>
      </w:r>
      <w:r w:rsidRPr="00A06BC0">
        <w:t xml:space="preserve"> </w:t>
      </w:r>
      <w:r>
        <w:t>V.</w:t>
      </w:r>
      <w:r w:rsidRPr="00A06BC0">
        <w:t>31</w:t>
      </w:r>
      <w:r>
        <w:t xml:space="preserve">, pp. </w:t>
      </w:r>
      <w:r w:rsidRPr="00A06BC0">
        <w:t>1197–1214</w:t>
      </w:r>
    </w:p>
    <w:p w:rsidR="001360A2" w:rsidRDefault="001360A2" w:rsidP="005E7173">
      <w:r>
        <w:t xml:space="preserve">Centre for European Economic Research (2006), </w:t>
      </w:r>
      <w:r w:rsidRPr="001360A2">
        <w:rPr>
          <w:i/>
        </w:rPr>
        <w:t>Service contract to carry out economic analysis and business impact assessment of CO2 emissions reduction measures in the automotive sector</w:t>
      </w:r>
      <w:r>
        <w:t xml:space="preserve">, Germany. </w:t>
      </w:r>
    </w:p>
    <w:p w:rsidR="001360A2" w:rsidRDefault="001360A2" w:rsidP="005E7173">
      <w:r>
        <w:t xml:space="preserve">Centre for European Economic Research, (2006b), </w:t>
      </w:r>
      <w:r w:rsidRPr="001360A2">
        <w:rPr>
          <w:i/>
        </w:rPr>
        <w:t>Service Contract in Support of the Impact Assessment of various Policy Scenarios to Reduce CO2 Emissions from Passenger Cars</w:t>
      </w:r>
      <w:r>
        <w:t xml:space="preserve">, Germany. </w:t>
      </w:r>
    </w:p>
    <w:p w:rsidR="001360A2" w:rsidRPr="00A06BC0" w:rsidRDefault="001360A2" w:rsidP="00A06BC0">
      <w:r w:rsidRPr="00A06BC0">
        <w:t xml:space="preserve">Choo, Sangho; Mokhtarian, Patricia L. (2004), </w:t>
      </w:r>
      <w:r>
        <w:t>“</w:t>
      </w:r>
      <w:r w:rsidRPr="00A06BC0">
        <w:t>What Type of Vehicle Do People Drive? The Role of Attitude and Lifestyle in Influencing Vehicle Type Choices</w:t>
      </w:r>
      <w:r>
        <w:t>”</w:t>
      </w:r>
      <w:r w:rsidRPr="00A06BC0">
        <w:t xml:space="preserve">, </w:t>
      </w:r>
      <w:r w:rsidRPr="00A06BC0">
        <w:rPr>
          <w:i/>
        </w:rPr>
        <w:t>Transportation Research Part A</w:t>
      </w:r>
      <w:r>
        <w:t>, 38(3), pp. 201-222</w:t>
      </w:r>
      <w:r w:rsidRPr="00A06BC0">
        <w:t>.</w:t>
      </w:r>
    </w:p>
    <w:p w:rsidR="001360A2" w:rsidRDefault="001360A2" w:rsidP="004F149D">
      <w:r w:rsidRPr="0013368E">
        <w:t xml:space="preserve">Danielis, R., L. Rotaris, L. Buzzulini, E. Biktimirova (2010), </w:t>
      </w:r>
      <w:r w:rsidRPr="0013368E">
        <w:rPr>
          <w:i/>
        </w:rPr>
        <w:t>The choice between road transport and rolling motorway: a case study</w:t>
      </w:r>
      <w:r w:rsidRPr="0013368E">
        <w:t>, Working Papers for SIET (Società Italiana di Economia dei Trasporti e della Logistica)</w:t>
      </w:r>
      <w:r>
        <w:t>,</w:t>
      </w:r>
      <w:r w:rsidRPr="0013368E">
        <w:t xml:space="preserve"> No. 1003</w:t>
      </w:r>
    </w:p>
    <w:p w:rsidR="001360A2" w:rsidRDefault="001360A2" w:rsidP="00E5164A">
      <w:pPr>
        <w:rPr>
          <w:i/>
          <w:iCs/>
        </w:rPr>
      </w:pPr>
      <w:r w:rsidRPr="00225A14">
        <w:t xml:space="preserve">Dargay, J., </w:t>
      </w:r>
      <w:r>
        <w:t>Gately, D., &amp; Sommer, M. (2007),</w:t>
      </w:r>
      <w:r w:rsidRPr="00225A14">
        <w:t xml:space="preserve"> </w:t>
      </w:r>
      <w:r>
        <w:t>“</w:t>
      </w:r>
      <w:r w:rsidRPr="00225A14">
        <w:t xml:space="preserve">Vehicle ownership and income growth, </w:t>
      </w:r>
      <w:r>
        <w:t>W</w:t>
      </w:r>
      <w:r w:rsidRPr="00225A14">
        <w:t>ord</w:t>
      </w:r>
      <w:r>
        <w:t>-</w:t>
      </w:r>
      <w:r w:rsidRPr="00225A14">
        <w:t xml:space="preserve">wide 1960 </w:t>
      </w:r>
      <w:r>
        <w:t>–</w:t>
      </w:r>
      <w:r w:rsidRPr="00225A14">
        <w:t xml:space="preserve"> 2030</w:t>
      </w:r>
      <w:r>
        <w:t>”,</w:t>
      </w:r>
      <w:r w:rsidRPr="00225A14">
        <w:t xml:space="preserve"> </w:t>
      </w:r>
      <w:r w:rsidRPr="00225A14">
        <w:rPr>
          <w:i/>
          <w:iCs/>
        </w:rPr>
        <w:t>Energy Journal, 28</w:t>
      </w:r>
    </w:p>
    <w:p w:rsidR="001360A2" w:rsidRPr="00A06BC0" w:rsidRDefault="001360A2" w:rsidP="00A06BC0">
      <w:r w:rsidRPr="00A06BC0">
        <w:t xml:space="preserve">Dixon, Lloyyd;Garber, Steven (2001), </w:t>
      </w:r>
      <w:r w:rsidRPr="00A06BC0">
        <w:rPr>
          <w:i/>
        </w:rPr>
        <w:t>Fighting Air Pollution in Southern Carolina by Scrapping Old Vehicles</w:t>
      </w:r>
      <w:r w:rsidRPr="00A06BC0">
        <w:t xml:space="preserve">, </w:t>
      </w:r>
      <w:r>
        <w:t>Rand Institute for Civil Justice, Santa Monica, USA</w:t>
      </w:r>
      <w:r w:rsidRPr="00A06BC0">
        <w:t>.</w:t>
      </w:r>
    </w:p>
    <w:p w:rsidR="001360A2" w:rsidRPr="006B4A09" w:rsidRDefault="001360A2" w:rsidP="006B4A09">
      <w:r w:rsidRPr="006B4A09">
        <w:t xml:space="preserve">Edmonds, J., Clarke, L., Wise, M., &amp; Lurz, J. (2007). </w:t>
      </w:r>
      <w:r w:rsidRPr="006B4A09">
        <w:rPr>
          <w:i/>
          <w:iCs/>
        </w:rPr>
        <w:t>Stabilizing CO2 concentrations with incomplete international cooperation. Pacific Northwest National Laboratory Report 16932.</w:t>
      </w:r>
      <w:r w:rsidRPr="006B4A09">
        <w:t xml:space="preserve"> Oak Ridge.</w:t>
      </w:r>
    </w:p>
    <w:p w:rsidR="001360A2" w:rsidRDefault="001360A2" w:rsidP="006B4A09">
      <w:r w:rsidRPr="00752530">
        <w:t>ENVSEC</w:t>
      </w:r>
      <w:r>
        <w:t xml:space="preserve"> (2011)</w:t>
      </w:r>
      <w:r w:rsidRPr="00752530">
        <w:t xml:space="preserve">, </w:t>
      </w:r>
      <w:r w:rsidRPr="00752530">
        <w:rPr>
          <w:i/>
        </w:rPr>
        <w:t>Geo-cities Tbilisi: an integrated environment assessment of state and trends for Georgia’s capital city</w:t>
      </w:r>
      <w:r>
        <w:t>,</w:t>
      </w:r>
      <w:r w:rsidRPr="00752530">
        <w:t xml:space="preserve"> Tbilisi</w:t>
      </w:r>
      <w:r>
        <w:t>, Georgia</w:t>
      </w:r>
    </w:p>
    <w:p w:rsidR="001360A2" w:rsidRDefault="001360A2" w:rsidP="00E0786C">
      <w:r>
        <w:t xml:space="preserve">ESMAP (2010), </w:t>
      </w:r>
      <w:r w:rsidRPr="00E0786C">
        <w:rPr>
          <w:i/>
        </w:rPr>
        <w:t>Good Practices in City Energy Efficiency: Cairo, Arab Republic of Egypt - Taxi Scrapping and Recycling Project</w:t>
      </w:r>
      <w:r>
        <w:t>, Energy Efficient Cities Initiative, Washington, D.C.</w:t>
      </w:r>
    </w:p>
    <w:p w:rsidR="001360A2" w:rsidRDefault="001360A2" w:rsidP="006B4A09">
      <w:r>
        <w:t xml:space="preserve">European Commission Directorate-General Environment (2003), </w:t>
      </w:r>
      <w:r w:rsidRPr="00FA1F34">
        <w:rPr>
          <w:i/>
        </w:rPr>
        <w:t>Integration of Environment into Transport Policy – from Strategies to Good Practice</w:t>
      </w:r>
      <w:r>
        <w:t>, Luxemburg.</w:t>
      </w:r>
    </w:p>
    <w:p w:rsidR="001360A2" w:rsidRDefault="001360A2" w:rsidP="006B4A09">
      <w:r w:rsidRPr="00AB440A">
        <w:t>E</w:t>
      </w:r>
      <w:r>
        <w:t xml:space="preserve">uropean </w:t>
      </w:r>
      <w:r w:rsidRPr="00AB440A">
        <w:t>C</w:t>
      </w:r>
      <w:r>
        <w:t xml:space="preserve">onference of </w:t>
      </w:r>
      <w:r w:rsidRPr="00AB440A">
        <w:t>M</w:t>
      </w:r>
      <w:r>
        <w:t xml:space="preserve">inisters of </w:t>
      </w:r>
      <w:r w:rsidRPr="00AB440A">
        <w:t>T</w:t>
      </w:r>
      <w:r>
        <w:t>ransport</w:t>
      </w:r>
      <w:r w:rsidRPr="00AB440A">
        <w:t xml:space="preserve"> (2004), </w:t>
      </w:r>
      <w:r w:rsidRPr="00AB440A">
        <w:rPr>
          <w:i/>
        </w:rPr>
        <w:t>Charges for the Use of Infrastructure</w:t>
      </w:r>
      <w:r>
        <w:t xml:space="preserve">, </w:t>
      </w:r>
      <w:r w:rsidRPr="00AB440A">
        <w:t>Report CEMT/CM(2004)19 to ECMT Council of Ministers</w:t>
      </w:r>
    </w:p>
    <w:p w:rsidR="001360A2" w:rsidRPr="00AB440A" w:rsidRDefault="001360A2" w:rsidP="002733AF">
      <w:r>
        <w:t xml:space="preserve">Faiz, A., C. S. Weaver, and M. P. Walsh (1996), </w:t>
      </w:r>
      <w:r w:rsidRPr="002733AF">
        <w:rPr>
          <w:i/>
        </w:rPr>
        <w:t>Air Pollution from Motor Vehicles: Standards and Technologies for Controlling Emissions</w:t>
      </w:r>
      <w:r>
        <w:t>, World Bank, Washington, D.C.</w:t>
      </w:r>
    </w:p>
    <w:p w:rsidR="001360A2" w:rsidRPr="00A06BC0" w:rsidRDefault="001360A2" w:rsidP="00A06BC0">
      <w:r w:rsidRPr="00A06BC0">
        <w:t>Figliozzi, M</w:t>
      </w:r>
      <w:r>
        <w:t>igu</w:t>
      </w:r>
      <w:r w:rsidRPr="00A06BC0">
        <w:t xml:space="preserve">el A.; Boudart, Jesse A.; Feng, Wei (2011), </w:t>
      </w:r>
      <w:r w:rsidRPr="00A06BC0">
        <w:rPr>
          <w:i/>
        </w:rPr>
        <w:t>Economic and Environmental Optimization of Vehicle Fleets: A Case Study of Policy, Market, Utilization, and Technological Factors</w:t>
      </w:r>
      <w:r w:rsidRPr="00A06BC0">
        <w:t>, Proceedings of the 90th Annual Meeting of the Transportation Research Board, Washington, D.C.</w:t>
      </w:r>
    </w:p>
    <w:p w:rsidR="001360A2" w:rsidRDefault="001360A2" w:rsidP="00E97A3C">
      <w:r>
        <w:t xml:space="preserve">Georgian Ministry of Economy and Sustainable Development (2011), </w:t>
      </w:r>
      <w:r w:rsidRPr="00BE398D">
        <w:rPr>
          <w:i/>
        </w:rPr>
        <w:t>Georgian Transport Annual Report 2004-2010</w:t>
      </w:r>
      <w:r>
        <w:t>, Transport Policy Department, Tbilisi.</w:t>
      </w:r>
    </w:p>
    <w:p w:rsidR="001360A2" w:rsidRDefault="001360A2" w:rsidP="00E97A3C">
      <w:r>
        <w:t xml:space="preserve">Georgian Ministry of Environment Protection (2010), </w:t>
      </w:r>
      <w:r w:rsidRPr="000B46E2">
        <w:rPr>
          <w:i/>
        </w:rPr>
        <w:t>National Report on the State of the Environment of Georgia</w:t>
      </w:r>
      <w:r>
        <w:rPr>
          <w:i/>
        </w:rPr>
        <w:t xml:space="preserve"> </w:t>
      </w:r>
      <w:r w:rsidRPr="000B46E2">
        <w:rPr>
          <w:i/>
        </w:rPr>
        <w:t xml:space="preserve"> 2007-2009</w:t>
      </w:r>
      <w:r>
        <w:t>, Tbilisi.</w:t>
      </w:r>
    </w:p>
    <w:p w:rsidR="001360A2" w:rsidRDefault="001360A2" w:rsidP="00E97A3C">
      <w:r>
        <w:t xml:space="preserve">Georgian National Tourism Agency (2011), </w:t>
      </w:r>
      <w:r w:rsidRPr="000B46E2">
        <w:rPr>
          <w:i/>
        </w:rPr>
        <w:t>Tourism Statistics Overview</w:t>
      </w:r>
      <w:r>
        <w:t>, Tbilisi.</w:t>
      </w:r>
    </w:p>
    <w:p w:rsidR="001360A2" w:rsidRDefault="001360A2" w:rsidP="00E97A3C">
      <w:r w:rsidRPr="008D1D8A">
        <w:t>GIZ (Gesellschaft für Internationale Zusammenarbeit)</w:t>
      </w:r>
      <w:r>
        <w:t xml:space="preserve"> (2001), </w:t>
      </w:r>
      <w:r w:rsidRPr="008D1D8A">
        <w:rPr>
          <w:i/>
        </w:rPr>
        <w:t>International Fuel Prices 2010/11</w:t>
      </w:r>
      <w:r>
        <w:t xml:space="preserve">, retrieved from </w:t>
      </w:r>
      <w:r w:rsidRPr="008D1D8A">
        <w:t>http://www.gtz.de/de/dokumente/giz2011-international-fuel-prices-2010-2011-data-preview.pdf</w:t>
      </w:r>
    </w:p>
    <w:p w:rsidR="001360A2" w:rsidRPr="009D6E9D" w:rsidRDefault="001360A2" w:rsidP="009D6E9D">
      <w:r w:rsidRPr="009D6E9D">
        <w:t>Glaeser, E. L. (2008)</w:t>
      </w:r>
      <w:r>
        <w:t>,</w:t>
      </w:r>
      <w:r w:rsidRPr="009D6E9D">
        <w:t xml:space="preserve"> </w:t>
      </w:r>
      <w:r w:rsidRPr="009D6E9D">
        <w:rPr>
          <w:i/>
          <w:iCs/>
        </w:rPr>
        <w:t>Cities, Agglomeration, and Spatial Equilibrium.</w:t>
      </w:r>
      <w:r w:rsidRPr="009D6E9D">
        <w:t xml:space="preserve"> New York.</w:t>
      </w:r>
    </w:p>
    <w:p w:rsidR="001360A2" w:rsidRDefault="001360A2" w:rsidP="006B4A09">
      <w:r>
        <w:t xml:space="preserve">Global Fuel Economy Initiative (2010), </w:t>
      </w:r>
      <w:r w:rsidRPr="001F2AAD">
        <w:rPr>
          <w:i/>
        </w:rPr>
        <w:t>Cleaner, More Efficient Vehicles: Reducing Emissions in Central and Eastern Europe</w:t>
      </w:r>
      <w:r>
        <w:t>, Working Paper 3/10</w:t>
      </w:r>
    </w:p>
    <w:p w:rsidR="001360A2" w:rsidRDefault="001360A2" w:rsidP="00FF0F66">
      <w:r>
        <w:t xml:space="preserve">Gwilliam, K. (2005), </w:t>
      </w:r>
      <w:r w:rsidRPr="00DB36A2">
        <w:rPr>
          <w:i/>
        </w:rPr>
        <w:t>Regulation of Taxi Markets in Developing Countries: Issues and Options</w:t>
      </w:r>
      <w:r>
        <w:t>, World Bank Transport Notes Series: TRN-3, Washington, D.C.</w:t>
      </w:r>
    </w:p>
    <w:p w:rsidR="001360A2" w:rsidRPr="00F032D1" w:rsidRDefault="001360A2" w:rsidP="00A06BC0">
      <w:r w:rsidRPr="00A06BC0">
        <w:t xml:space="preserve">IHS Global Insight (2010), </w:t>
      </w:r>
      <w:r w:rsidRPr="00A06BC0">
        <w:rPr>
          <w:i/>
        </w:rPr>
        <w:t>Assessment of the Effectiveness of Scrapping Schemes for Vehicles. Country Profile Annex</w:t>
      </w:r>
      <w:r w:rsidRPr="00F032D1">
        <w:t>, European Commission DG Enterprise and Industry and Automotive Industry</w:t>
      </w:r>
    </w:p>
    <w:p w:rsidR="001360A2" w:rsidRDefault="001360A2" w:rsidP="006B4A09">
      <w:r>
        <w:t xml:space="preserve">Institute for Transportation and Development Policy (2011), </w:t>
      </w:r>
      <w:r w:rsidRPr="00D463A2">
        <w:rPr>
          <w:i/>
        </w:rPr>
        <w:t>Europe’s Parking U-Turn:</w:t>
      </w:r>
      <w:r>
        <w:rPr>
          <w:i/>
        </w:rPr>
        <w:t xml:space="preserve"> </w:t>
      </w:r>
      <w:r w:rsidRPr="00D463A2">
        <w:rPr>
          <w:i/>
        </w:rPr>
        <w:t>From Accommodation to Regulation</w:t>
      </w:r>
      <w:r>
        <w:t>, by Michael Kodransky and Gabrielle Hermann.</w:t>
      </w:r>
    </w:p>
    <w:p w:rsidR="001360A2" w:rsidRDefault="001360A2" w:rsidP="00675050">
      <w:r w:rsidRPr="006B4A09">
        <w:t xml:space="preserve">International Energy Agency (2009). </w:t>
      </w:r>
      <w:r w:rsidRPr="006B4A09">
        <w:rPr>
          <w:i/>
          <w:iCs/>
        </w:rPr>
        <w:t>World Energy Outlook.</w:t>
      </w:r>
      <w:r w:rsidRPr="006B4A09">
        <w:t xml:space="preserve"> Paris.</w:t>
      </w:r>
    </w:p>
    <w:p w:rsidR="001360A2" w:rsidRPr="009D6E9D" w:rsidRDefault="001360A2" w:rsidP="009D6E9D">
      <w:r w:rsidRPr="009D6E9D">
        <w:t>International Energy Agency (2011)</w:t>
      </w:r>
      <w:r>
        <w:t>,</w:t>
      </w:r>
      <w:r w:rsidRPr="009D6E9D">
        <w:t xml:space="preserve"> </w:t>
      </w:r>
      <w:r w:rsidRPr="009D6E9D">
        <w:rPr>
          <w:i/>
          <w:iCs/>
        </w:rPr>
        <w:t>Technology Roadmap. Electric and Plug-in Hybrid Electric Vehicles.</w:t>
      </w:r>
      <w:r w:rsidRPr="009D6E9D">
        <w:t xml:space="preserve"> Paris.</w:t>
      </w:r>
    </w:p>
    <w:p w:rsidR="001360A2" w:rsidRDefault="001360A2" w:rsidP="00336C60">
      <w:r>
        <w:t xml:space="preserve">Koupal, J. W. (1999), </w:t>
      </w:r>
      <w:r w:rsidRPr="00336C60">
        <w:rPr>
          <w:i/>
        </w:rPr>
        <w:t>Development of light-duty emission inventory estimates in the notice of proposed rulemaking for tier 2 and sulfur standards</w:t>
      </w:r>
      <w:r>
        <w:t>, U.S. Environmental Protection Agency, Washington, D.C.</w:t>
      </w:r>
    </w:p>
    <w:p w:rsidR="001360A2" w:rsidRPr="009D6E9D" w:rsidRDefault="001360A2" w:rsidP="009D6E9D">
      <w:r w:rsidRPr="009D6E9D">
        <w:t xml:space="preserve">Maibach, M., Schreyer, C., Sutter, D., van Essen, H., Boon, B., Smokers, R., et al. (2008). </w:t>
      </w:r>
      <w:r w:rsidRPr="009D6E9D">
        <w:rPr>
          <w:i/>
          <w:iCs/>
        </w:rPr>
        <w:t>Handbook on Estimation of External Costs in the Transport Sector. Internalisation Measures and Policies for All External Cost of Transport (IMPACT).</w:t>
      </w:r>
      <w:r w:rsidRPr="009D6E9D">
        <w:t xml:space="preserve"> Delft.</w:t>
      </w:r>
    </w:p>
    <w:p w:rsidR="001360A2" w:rsidRDefault="001360A2" w:rsidP="007B42CF">
      <w:r>
        <w:t xml:space="preserve">Manufacturers of Emission Controls Association (1999), </w:t>
      </w:r>
      <w:r w:rsidRPr="007B42CF">
        <w:rPr>
          <w:i/>
        </w:rPr>
        <w:t>Demonstration of Advanced Emission Control Technologies Enabling Diesel Powered Heavy-Duty Engines to Achieve Low Emission Levels</w:t>
      </w:r>
      <w:r>
        <w:t>, Washington, D.C.</w:t>
      </w:r>
    </w:p>
    <w:p w:rsidR="001360A2" w:rsidRPr="00AB440A" w:rsidRDefault="001360A2" w:rsidP="006B4A09">
      <w:r w:rsidRPr="00AB440A">
        <w:t xml:space="preserve">Monsalve, C. (2011), </w:t>
      </w:r>
      <w:r w:rsidRPr="00AB440A">
        <w:rPr>
          <w:i/>
        </w:rPr>
        <w:t>(Working Draft) Controlling Greenhouse Gas Emissions Generated by the Transport Sector in ECA: Policy Options</w:t>
      </w:r>
      <w:r>
        <w:t>, Washington, D.C.</w:t>
      </w:r>
    </w:p>
    <w:p w:rsidR="001360A2" w:rsidRPr="009D6E9D" w:rsidRDefault="001360A2" w:rsidP="009D6E9D">
      <w:r w:rsidRPr="009D6E9D">
        <w:t>Nemry, F., &amp; Brons, M. (2010)</w:t>
      </w:r>
      <w:r>
        <w:t>,</w:t>
      </w:r>
      <w:r w:rsidRPr="009D6E9D">
        <w:t xml:space="preserve"> </w:t>
      </w:r>
      <w:r w:rsidRPr="009D6E9D">
        <w:rPr>
          <w:i/>
          <w:iCs/>
        </w:rPr>
        <w:t>Plug-in Hybrid and Battery Electric Vehicles. Market penetration scenarios of electric drive vehicles.</w:t>
      </w:r>
      <w:r w:rsidRPr="009D6E9D">
        <w:t xml:space="preserve"> Sevilla: EC Joint Research Centre/Institute for Prospective Technologies Technical Notes.</w:t>
      </w:r>
    </w:p>
    <w:p w:rsidR="001360A2" w:rsidRDefault="001360A2" w:rsidP="006B4A09">
      <w:r w:rsidRPr="000A6C39">
        <w:t>Newman, P. and J. Kenworthy (1999)</w:t>
      </w:r>
      <w:r>
        <w:t>,</w:t>
      </w:r>
      <w:r w:rsidRPr="000A6C39">
        <w:t xml:space="preserve"> </w:t>
      </w:r>
      <w:r w:rsidRPr="000B70B9">
        <w:rPr>
          <w:i/>
        </w:rPr>
        <w:t>Sustainability and Cities: Overcoming Automobile Dependence</w:t>
      </w:r>
      <w:r w:rsidRPr="000A6C39">
        <w:t>, New York: Island Press</w:t>
      </w:r>
    </w:p>
    <w:p w:rsidR="001360A2" w:rsidRPr="009D6E9D" w:rsidRDefault="001360A2" w:rsidP="009D6E9D">
      <w:bookmarkStart w:id="143" w:name="_GoBack"/>
      <w:r w:rsidRPr="009D6E9D">
        <w:t>Nordhaus, W. (2011)</w:t>
      </w:r>
      <w:r>
        <w:t>,</w:t>
      </w:r>
      <w:r w:rsidRPr="009D6E9D">
        <w:t xml:space="preserve"> </w:t>
      </w:r>
      <w:r w:rsidRPr="009D6E9D">
        <w:rPr>
          <w:i/>
          <w:iCs/>
        </w:rPr>
        <w:t>Estimates of the social cost of carbon: background and results from the RICE 2011 model.</w:t>
      </w:r>
      <w:r w:rsidRPr="009D6E9D">
        <w:t xml:space="preserve"> Cambridge, Mass.: NBER Working Paper 17540.</w:t>
      </w:r>
    </w:p>
    <w:p w:rsidR="001360A2" w:rsidRDefault="001360A2" w:rsidP="007B42CF">
      <w:r w:rsidRPr="003A7B57">
        <w:t xml:space="preserve">O’Toole, R. </w:t>
      </w:r>
      <w:r>
        <w:t>(</w:t>
      </w:r>
      <w:r w:rsidRPr="003A7B57">
        <w:t>2011</w:t>
      </w:r>
      <w:r>
        <w:t>)</w:t>
      </w:r>
      <w:r w:rsidRPr="003A7B57">
        <w:t xml:space="preserve">. </w:t>
      </w:r>
      <w:r w:rsidRPr="003A7B57">
        <w:rPr>
          <w:i/>
        </w:rPr>
        <w:t>Intercity Buses: The Forgotten Mode</w:t>
      </w:r>
      <w:r w:rsidRPr="003A7B57">
        <w:t>. Policy A</w:t>
      </w:r>
      <w:r>
        <w:t>nalysis, No.680, Cato Institute,</w:t>
      </w:r>
      <w:r w:rsidRPr="003A7B57">
        <w:t xml:space="preserve"> Washington</w:t>
      </w:r>
      <w:r>
        <w:t>,</w:t>
      </w:r>
      <w:r w:rsidRPr="003A7B57">
        <w:t xml:space="preserve"> D</w:t>
      </w:r>
      <w:r>
        <w:t>.</w:t>
      </w:r>
      <w:r w:rsidRPr="003A7B57">
        <w:t>C</w:t>
      </w:r>
      <w:r>
        <w:t>.</w:t>
      </w:r>
    </w:p>
    <w:p w:rsidR="001360A2" w:rsidRDefault="001360A2" w:rsidP="00E5164A">
      <w:r w:rsidRPr="00317B82">
        <w:t xml:space="preserve">OECD (2007), </w:t>
      </w:r>
      <w:r w:rsidRPr="00317B82">
        <w:rPr>
          <w:i/>
        </w:rPr>
        <w:t>Taxi Services: Competition and Regulation</w:t>
      </w:r>
      <w:r w:rsidRPr="00317B82">
        <w:t>, Directorate for Financial and Enterprise Affairs Competition Committee, DAF/COMP(2007)42</w:t>
      </w:r>
    </w:p>
    <w:p w:rsidR="001360A2" w:rsidRDefault="001360A2" w:rsidP="00FF0F66">
      <w:r>
        <w:t xml:space="preserve">Oh, J., Vukanovic S., and Bennett C. (2009), </w:t>
      </w:r>
      <w:r w:rsidRPr="00FF0F66">
        <w:rPr>
          <w:i/>
        </w:rPr>
        <w:t>Road Use Charging: Options and Guidelines</w:t>
      </w:r>
      <w:r>
        <w:t>, World Bank Transport Notes Series: TRN-38, Washington, D.C.</w:t>
      </w:r>
    </w:p>
    <w:p w:rsidR="001360A2" w:rsidRDefault="001360A2" w:rsidP="00EF4656">
      <w:r>
        <w:t xml:space="preserve">Reffet F., M. Potier, P. Le Bourhis, R. de Solère, and S. Olivier (2008), </w:t>
      </w:r>
      <w:r w:rsidRPr="00EF4656">
        <w:rPr>
          <w:i/>
        </w:rPr>
        <w:t>Motorways of the Sea and Rolling Highways: From the Users’ Point of View</w:t>
      </w:r>
      <w:r>
        <w:t>, Ministry of Ecology, Energy, Sustainable Development and Town and Country Planning, France.</w:t>
      </w:r>
    </w:p>
    <w:p w:rsidR="001360A2" w:rsidRDefault="001360A2" w:rsidP="009D6E9D">
      <w:r w:rsidRPr="009D6E9D">
        <w:t xml:space="preserve">Stern, N. (2007). </w:t>
      </w:r>
      <w:r w:rsidRPr="009D6E9D">
        <w:rPr>
          <w:i/>
          <w:iCs/>
        </w:rPr>
        <w:t>The Economics of Climate Change. The Stern Review.</w:t>
      </w:r>
      <w:r w:rsidRPr="009D6E9D">
        <w:t xml:space="preserve"> Cambridge</w:t>
      </w:r>
    </w:p>
    <w:p w:rsidR="001360A2" w:rsidRDefault="001360A2" w:rsidP="00E5164A">
      <w:r>
        <w:t xml:space="preserve">Swiss Federal Office for Spatial Development (2012), </w:t>
      </w:r>
      <w:r w:rsidRPr="00225A14">
        <w:rPr>
          <w:i/>
        </w:rPr>
        <w:t>Fair and efficient: The Distance-related Heavy Vehicle Fee (HVF) in Switzerland</w:t>
      </w:r>
      <w:r>
        <w:t>, Department of the Environment, Transport, Energy and Communications, Berne, Switzerland</w:t>
      </w:r>
    </w:p>
    <w:p w:rsidR="001360A2" w:rsidRDefault="001360A2" w:rsidP="00253CD3">
      <w:r w:rsidRPr="00253CD3">
        <w:t>The Regional Environmental Cent</w:t>
      </w:r>
      <w:r>
        <w:t>er</w:t>
      </w:r>
      <w:r w:rsidRPr="00253CD3">
        <w:t xml:space="preserve"> </w:t>
      </w:r>
      <w:r>
        <w:t>f</w:t>
      </w:r>
      <w:r w:rsidRPr="00253CD3">
        <w:t xml:space="preserve">or </w:t>
      </w:r>
      <w:r>
        <w:t>t</w:t>
      </w:r>
      <w:r w:rsidRPr="00253CD3">
        <w:t>he Caucasus</w:t>
      </w:r>
      <w:r>
        <w:t xml:space="preserve"> (2008), </w:t>
      </w:r>
      <w:r w:rsidRPr="00253CD3">
        <w:rPr>
          <w:i/>
        </w:rPr>
        <w:t>Fuel Quality and Vehicle Emission Standards Overview</w:t>
      </w:r>
      <w:r>
        <w:t xml:space="preserve">, </w:t>
      </w:r>
      <w:r w:rsidRPr="00253CD3">
        <w:t xml:space="preserve">The Partnership </w:t>
      </w:r>
      <w:r>
        <w:t>f</w:t>
      </w:r>
      <w:r w:rsidRPr="00253CD3">
        <w:t xml:space="preserve">or Clean Fuels </w:t>
      </w:r>
      <w:r>
        <w:t>a</w:t>
      </w:r>
      <w:r w:rsidRPr="00253CD3">
        <w:t>nd Vehicles</w:t>
      </w:r>
    </w:p>
    <w:p w:rsidR="001360A2" w:rsidRDefault="001360A2" w:rsidP="005E7173">
      <w:r>
        <w:t xml:space="preserve">TNO. Smokers, Richard, Robin Vermeulen, Robert van Mieghem &amp; Raymond Gense,(2006), </w:t>
      </w:r>
      <w:r w:rsidRPr="001360A2">
        <w:rPr>
          <w:i/>
        </w:rPr>
        <w:t>Review and analysis of the reduction potential and costs of technological and other measures to reduce CO2-emissions from passenger cars</w:t>
      </w:r>
      <w:r>
        <w:t>, the Netherlands.</w:t>
      </w:r>
    </w:p>
    <w:p w:rsidR="001360A2" w:rsidRDefault="001360A2" w:rsidP="00E01793">
      <w:r w:rsidRPr="00E01793">
        <w:t xml:space="preserve">U.S. Agency for International Development </w:t>
      </w:r>
      <w:r>
        <w:t xml:space="preserve">(2004), </w:t>
      </w:r>
      <w:r w:rsidRPr="00E01793">
        <w:rPr>
          <w:i/>
        </w:rPr>
        <w:t>Vehicle Inspection and Maintenance Programs: International Experience and Best Practices</w:t>
      </w:r>
      <w:r>
        <w:t>, A report for the Office of Energy and Information Technology, Washington, D.C.</w:t>
      </w:r>
    </w:p>
    <w:p w:rsidR="001360A2" w:rsidRDefault="001360A2" w:rsidP="006B4A09">
      <w:r w:rsidRPr="00E01793">
        <w:t xml:space="preserve">U.S. </w:t>
      </w:r>
      <w:r>
        <w:t xml:space="preserve">Environmental Protection Agency (2011), </w:t>
      </w:r>
      <w:r w:rsidRPr="00225A14">
        <w:rPr>
          <w:i/>
        </w:rPr>
        <w:t>Alternative and Advanced Vehicles</w:t>
      </w:r>
      <w:r>
        <w:t xml:space="preserve">, retrieved from </w:t>
      </w:r>
      <w:hyperlink r:id="rId67" w:history="1">
        <w:r w:rsidRPr="006443C9">
          <w:rPr>
            <w:rStyle w:val="Hyperlink"/>
          </w:rPr>
          <w:t>http://www.afdc.energy.gov/afdc/vehicles/natural_gas_emissions.html</w:t>
        </w:r>
      </w:hyperlink>
    </w:p>
    <w:p w:rsidR="001360A2" w:rsidRDefault="001360A2" w:rsidP="007B42CF">
      <w:r>
        <w:t>Van d</w:t>
      </w:r>
      <w:r w:rsidRPr="005C37AE">
        <w:t>e Velde</w:t>
      </w:r>
      <w:r>
        <w:t>, D. (2010),</w:t>
      </w:r>
      <w:r w:rsidRPr="005C37AE">
        <w:t xml:space="preserve"> </w:t>
      </w:r>
      <w:r w:rsidRPr="005C37AE">
        <w:rPr>
          <w:i/>
        </w:rPr>
        <w:t>Long-distance bus services in Europe: Concessions or free market</w:t>
      </w:r>
      <w:r>
        <w:rPr>
          <w:i/>
        </w:rPr>
        <w:t>,</w:t>
      </w:r>
      <w:r w:rsidRPr="005C37AE">
        <w:rPr>
          <w:i/>
        </w:rPr>
        <w:t xml:space="preserve"> </w:t>
      </w:r>
      <w:r w:rsidRPr="005C37AE">
        <w:t>The Future of Interurban Passenger Transport</w:t>
      </w:r>
      <w:r>
        <w:t>,</w:t>
      </w:r>
      <w:r w:rsidRPr="005C37AE">
        <w:t xml:space="preserve"> OECD/ITF, 2010</w:t>
      </w:r>
    </w:p>
    <w:bookmarkEnd w:id="143"/>
    <w:p w:rsidR="001360A2" w:rsidRDefault="001360A2" w:rsidP="00E97A3C">
      <w:r>
        <w:t xml:space="preserve">Victoria Transport Policy Institute (2011), </w:t>
      </w:r>
      <w:r w:rsidRPr="00225A14">
        <w:rPr>
          <w:i/>
        </w:rPr>
        <w:t>TDM Encyclopedia: Increasing Fuel Taxes and Fees</w:t>
      </w:r>
      <w:r>
        <w:t xml:space="preserve">, retrieved at </w:t>
      </w:r>
      <w:hyperlink r:id="rId68" w:history="1">
        <w:r w:rsidRPr="00421877">
          <w:rPr>
            <w:rStyle w:val="Hyperlink"/>
          </w:rPr>
          <w:t>http://www.vtpi.org/tdm/tdm17.htm</w:t>
        </w:r>
      </w:hyperlink>
      <w:r>
        <w:t>.</w:t>
      </w:r>
    </w:p>
    <w:p w:rsidR="001360A2" w:rsidRDefault="001360A2" w:rsidP="00A06BC0">
      <w:r w:rsidRPr="00A06BC0">
        <w:t xml:space="preserve">Vigneault, Jason (2009), </w:t>
      </w:r>
      <w:r w:rsidRPr="00A06BC0">
        <w:rPr>
          <w:i/>
        </w:rPr>
        <w:t>The 2009 Car Allowance Rebate System: an Analysis of the Change in Gasoline Consumption</w:t>
      </w:r>
      <w:r w:rsidRPr="00F032D1">
        <w:t xml:space="preserve">, </w:t>
      </w:r>
      <w:r>
        <w:t xml:space="preserve">Thesis – </w:t>
      </w:r>
      <w:r w:rsidRPr="00F032D1">
        <w:t>Duquesne</w:t>
      </w:r>
      <w:r>
        <w:t xml:space="preserve"> </w:t>
      </w:r>
      <w:r w:rsidRPr="00F032D1">
        <w:t>University</w:t>
      </w:r>
      <w:r>
        <w:t>, Pittsburgh, USA</w:t>
      </w:r>
      <w:r w:rsidRPr="00A06BC0">
        <w:t>.</w:t>
      </w:r>
    </w:p>
    <w:p w:rsidR="001360A2" w:rsidRDefault="001360A2" w:rsidP="007B42CF">
      <w:r>
        <w:t xml:space="preserve">Wåhlin, P., et al. (2001), “Pronounced decrease of ambient particle number emissions from diesel traffic in Denmark after reduction of the sulfur content in diesel fuel”,  </w:t>
      </w:r>
      <w:r w:rsidRPr="007B42CF">
        <w:rPr>
          <w:i/>
        </w:rPr>
        <w:t>Atmospheric Environment</w:t>
      </w:r>
      <w:r>
        <w:t xml:space="preserve"> 35:3549–3552</w:t>
      </w:r>
    </w:p>
    <w:p w:rsidR="001360A2" w:rsidRDefault="001360A2" w:rsidP="004F149D">
      <w:r>
        <w:t xml:space="preserve">Wall Street Journal (2012), </w:t>
      </w:r>
      <w:r w:rsidRPr="004F149D">
        <w:rPr>
          <w:i/>
        </w:rPr>
        <w:t>APM Terminals to Invest $100M in Expansion of Georgian Port</w:t>
      </w:r>
      <w:r>
        <w:t xml:space="preserve">, by </w:t>
      </w:r>
      <w:r w:rsidRPr="004F149D">
        <w:t>Flemming Emil Hansen</w:t>
      </w:r>
      <w:r>
        <w:t>, May 11, 2012</w:t>
      </w:r>
    </w:p>
    <w:p w:rsidR="001360A2" w:rsidRPr="00A06BC0" w:rsidRDefault="001360A2" w:rsidP="00A06BC0">
      <w:r w:rsidRPr="00A06BC0">
        <w:t xml:space="preserve">World Bank (2009), </w:t>
      </w:r>
      <w:r w:rsidRPr="00A06BC0">
        <w:rPr>
          <w:i/>
        </w:rPr>
        <w:t>Background Paper</w:t>
      </w:r>
      <w:r>
        <w:rPr>
          <w:i/>
        </w:rPr>
        <w:t>:</w:t>
      </w:r>
      <w:r w:rsidRPr="00A06BC0">
        <w:rPr>
          <w:i/>
        </w:rPr>
        <w:t xml:space="preserve"> India</w:t>
      </w:r>
      <w:r>
        <w:rPr>
          <w:i/>
        </w:rPr>
        <w:t xml:space="preserve"> –</w:t>
      </w:r>
      <w:r w:rsidRPr="00A06BC0">
        <w:rPr>
          <w:i/>
        </w:rPr>
        <w:t xml:space="preserve"> Strategies</w:t>
      </w:r>
      <w:r>
        <w:rPr>
          <w:i/>
        </w:rPr>
        <w:t xml:space="preserve"> </w:t>
      </w:r>
      <w:r w:rsidRPr="00A06BC0">
        <w:rPr>
          <w:i/>
        </w:rPr>
        <w:t xml:space="preserve">for Low Carbon Growth, </w:t>
      </w:r>
      <w:r>
        <w:t>Washington, D.C</w:t>
      </w:r>
      <w:r w:rsidRPr="00A06BC0">
        <w:t>.</w:t>
      </w:r>
    </w:p>
    <w:p w:rsidR="001360A2" w:rsidRDefault="001360A2" w:rsidP="00DC4AAC">
      <w:r>
        <w:t xml:space="preserve">World Bank (2009), </w:t>
      </w:r>
      <w:r w:rsidRPr="009E716A">
        <w:rPr>
          <w:i/>
        </w:rPr>
        <w:t>Project Appraisal Document: Third East-West Highway Improvement Project</w:t>
      </w:r>
      <w:r>
        <w:t>, Washington, D.C.</w:t>
      </w:r>
    </w:p>
    <w:p w:rsidR="001360A2" w:rsidRDefault="001360A2" w:rsidP="00525183">
      <w:r>
        <w:t xml:space="preserve">World Bank (2009), </w:t>
      </w:r>
      <w:r w:rsidRPr="00586244">
        <w:rPr>
          <w:i/>
        </w:rPr>
        <w:t>World Development Report</w:t>
      </w:r>
      <w:r>
        <w:t>, Washington, D.C.</w:t>
      </w:r>
    </w:p>
    <w:p w:rsidR="001360A2" w:rsidRDefault="001360A2" w:rsidP="00F448E6">
      <w:r w:rsidRPr="00752530">
        <w:t xml:space="preserve">World Bank (2011), </w:t>
      </w:r>
      <w:r w:rsidRPr="00752530">
        <w:rPr>
          <w:i/>
        </w:rPr>
        <w:t>ECA Sustainable Cities: Improving Energy Efficiency in Tbilisi, Georgia – TRACE Study</w:t>
      </w:r>
      <w:r w:rsidRPr="00752530">
        <w:t>, Washington D.C</w:t>
      </w:r>
      <w:r>
        <w:t>.</w:t>
      </w:r>
    </w:p>
    <w:p w:rsidR="001360A2" w:rsidRDefault="001360A2" w:rsidP="006B4A09">
      <w:r w:rsidRPr="00AF0195">
        <w:t xml:space="preserve">World Bank (2012), </w:t>
      </w:r>
      <w:r w:rsidRPr="00225A14">
        <w:rPr>
          <w:i/>
        </w:rPr>
        <w:t>Fighting Corruption in Public Services: Chronicling Georgia’s Reforms</w:t>
      </w:r>
      <w:r w:rsidRPr="00AF0195">
        <w:t>, Washington, D.C.</w:t>
      </w:r>
    </w:p>
    <w:p w:rsidR="001360A2" w:rsidRDefault="001360A2" w:rsidP="007545A1">
      <w:r>
        <w:t>Woxenius,</w:t>
      </w:r>
      <w:r w:rsidRPr="007545A1">
        <w:t xml:space="preserve"> </w:t>
      </w:r>
      <w:r>
        <w:t xml:space="preserve">J. (2007), “Alternative transport network designs and their implications for intermodal transhipment technologies”, </w:t>
      </w:r>
      <w:r w:rsidRPr="007545A1">
        <w:rPr>
          <w:i/>
        </w:rPr>
        <w:t>European Transport</w:t>
      </w:r>
      <w:r>
        <w:t>, n. 35 pp. 27-45</w:t>
      </w:r>
    </w:p>
    <w:p w:rsidR="001360A2" w:rsidRDefault="001360A2" w:rsidP="00525183">
      <w:r w:rsidRPr="00525183">
        <w:t>Wright</w:t>
      </w:r>
      <w:r>
        <w:t xml:space="preserve">, </w:t>
      </w:r>
      <w:r w:rsidRPr="00525183">
        <w:t xml:space="preserve">L. and W. Hook </w:t>
      </w:r>
      <w:r>
        <w:t>(</w:t>
      </w:r>
      <w:r w:rsidRPr="00525183">
        <w:t>2007</w:t>
      </w:r>
      <w:r>
        <w:t>),</w:t>
      </w:r>
      <w:r w:rsidRPr="00525183">
        <w:t xml:space="preserve"> </w:t>
      </w:r>
      <w:r w:rsidRPr="00525183">
        <w:rPr>
          <w:i/>
        </w:rPr>
        <w:t>Bus Rapid Transit Planning Guide</w:t>
      </w:r>
      <w:r w:rsidRPr="00525183">
        <w:t>, Institute for Transportation and Development Policy</w:t>
      </w:r>
      <w:r>
        <w:t>, New York</w:t>
      </w:r>
    </w:p>
    <w:sectPr w:rsidR="001360A2" w:rsidSect="00F83E99">
      <w:type w:val="oddPage"/>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3F8F" w:rsidRDefault="00033F8F" w:rsidP="001C6668">
      <w:r>
        <w:separator/>
      </w:r>
    </w:p>
  </w:endnote>
  <w:endnote w:type="continuationSeparator" w:id="0">
    <w:p w:rsidR="00033F8F" w:rsidRDefault="00033F8F" w:rsidP="001C666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dvPS6F00">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7173" w:rsidRDefault="005E7173">
    <w:pPr>
      <w:pStyle w:val="Footer"/>
      <w:jc w:val="right"/>
    </w:pPr>
  </w:p>
  <w:p w:rsidR="005E7173" w:rsidRDefault="005E7173" w:rsidP="001C666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35748"/>
      <w:docPartObj>
        <w:docPartGallery w:val="Page Numbers (Bottom of Page)"/>
        <w:docPartUnique/>
      </w:docPartObj>
    </w:sdtPr>
    <w:sdtContent>
      <w:p w:rsidR="005E7173" w:rsidRDefault="001A7AF8">
        <w:pPr>
          <w:pStyle w:val="Footer"/>
          <w:jc w:val="right"/>
        </w:pPr>
        <w:fldSimple w:instr=" PAGE   \* MERGEFORMAT ">
          <w:r w:rsidR="00FE24BF">
            <w:rPr>
              <w:noProof/>
            </w:rPr>
            <w:t>67</w:t>
          </w:r>
        </w:fldSimple>
      </w:p>
    </w:sdtContent>
  </w:sdt>
  <w:p w:rsidR="005E7173" w:rsidRDefault="005E7173" w:rsidP="001C666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3F8F" w:rsidRDefault="00033F8F" w:rsidP="001C6668">
      <w:r>
        <w:separator/>
      </w:r>
    </w:p>
  </w:footnote>
  <w:footnote w:type="continuationSeparator" w:id="0">
    <w:p w:rsidR="00033F8F" w:rsidRDefault="00033F8F" w:rsidP="001C6668">
      <w:r>
        <w:continuationSeparator/>
      </w:r>
    </w:p>
  </w:footnote>
  <w:footnote w:id="1">
    <w:p w:rsidR="005E7173" w:rsidRDefault="005E7173" w:rsidP="000C6027">
      <w:pPr>
        <w:pStyle w:val="FootnoteText"/>
      </w:pPr>
      <w:r>
        <w:rPr>
          <w:rStyle w:val="FootnoteReference"/>
        </w:rPr>
        <w:footnoteRef/>
      </w:r>
      <w:r>
        <w:t xml:space="preserve"> WDI (2011)</w:t>
      </w:r>
    </w:p>
  </w:footnote>
  <w:footnote w:id="2">
    <w:p w:rsidR="005E7173" w:rsidRDefault="005E7173" w:rsidP="00934F06">
      <w:pPr>
        <w:pStyle w:val="FootnoteText"/>
      </w:pPr>
      <w:r>
        <w:rPr>
          <w:rStyle w:val="FootnoteReference"/>
        </w:rPr>
        <w:footnoteRef/>
      </w:r>
      <w:r>
        <w:t xml:space="preserve"> ENVSEC (2011)</w:t>
      </w:r>
    </w:p>
  </w:footnote>
  <w:footnote w:id="3">
    <w:p w:rsidR="005E7173" w:rsidRDefault="005E7173" w:rsidP="00934F06">
      <w:pPr>
        <w:pStyle w:val="FootnoteText"/>
      </w:pPr>
      <w:r>
        <w:rPr>
          <w:rStyle w:val="FootnoteReference"/>
        </w:rPr>
        <w:footnoteRef/>
      </w:r>
      <w:r>
        <w:t xml:space="preserve"> Cropper et al. (2002)</w:t>
      </w:r>
    </w:p>
  </w:footnote>
  <w:footnote w:id="4">
    <w:p w:rsidR="005E7173" w:rsidRDefault="005E7173" w:rsidP="000D5E48">
      <w:pPr>
        <w:pStyle w:val="FootnoteText"/>
        <w:rPr>
          <w:lang w:eastAsia="ko-KR"/>
        </w:rPr>
      </w:pPr>
      <w:r>
        <w:rPr>
          <w:rStyle w:val="FootnoteReference"/>
        </w:rPr>
        <w:footnoteRef/>
      </w:r>
      <w:r>
        <w:t xml:space="preserve"> </w:t>
      </w:r>
      <w:r>
        <w:rPr>
          <w:rFonts w:hint="eastAsia"/>
          <w:lang w:eastAsia="ko-KR"/>
        </w:rPr>
        <w:t xml:space="preserve"> </w:t>
      </w:r>
      <w:r>
        <w:t>Edmonds, Clarke, Wise and Lurz</w:t>
      </w:r>
      <w:r>
        <w:rPr>
          <w:rFonts w:hint="eastAsia"/>
          <w:lang w:eastAsia="ko-KR"/>
        </w:rPr>
        <w:t xml:space="preserve"> (2007)</w:t>
      </w:r>
    </w:p>
  </w:footnote>
  <w:footnote w:id="5">
    <w:p w:rsidR="005E7173" w:rsidRDefault="005E7173" w:rsidP="000D5E48">
      <w:pPr>
        <w:pStyle w:val="FootnoteText"/>
        <w:rPr>
          <w:lang w:eastAsia="ko-KR"/>
        </w:rPr>
      </w:pPr>
      <w:r>
        <w:rPr>
          <w:rStyle w:val="FootnoteReference"/>
        </w:rPr>
        <w:footnoteRef/>
      </w:r>
      <w:r>
        <w:t xml:space="preserve"> </w:t>
      </w:r>
      <w:r>
        <w:rPr>
          <w:rFonts w:hint="eastAsia"/>
          <w:lang w:eastAsia="ko-KR"/>
        </w:rPr>
        <w:t xml:space="preserve"> </w:t>
      </w:r>
      <w:r>
        <w:t xml:space="preserve">IEA </w:t>
      </w:r>
      <w:r>
        <w:rPr>
          <w:rFonts w:hint="eastAsia"/>
          <w:lang w:eastAsia="ko-KR"/>
        </w:rPr>
        <w:t>(2009)</w:t>
      </w:r>
    </w:p>
  </w:footnote>
  <w:footnote w:id="6">
    <w:p w:rsidR="005E7173" w:rsidRDefault="005E7173" w:rsidP="005A76C7">
      <w:pPr>
        <w:pStyle w:val="FootnoteText"/>
      </w:pPr>
      <w:r>
        <w:rPr>
          <w:rStyle w:val="FootnoteReference"/>
        </w:rPr>
        <w:footnoteRef/>
      </w:r>
      <w:r>
        <w:t xml:space="preserve">  World Bank (2009); Ciccone and Hall (1996); Glaeser and Mare (2001)</w:t>
      </w:r>
    </w:p>
  </w:footnote>
  <w:footnote w:id="7">
    <w:p w:rsidR="005E7173" w:rsidRDefault="005E7173">
      <w:pPr>
        <w:pStyle w:val="FootnoteText"/>
      </w:pPr>
      <w:r>
        <w:rPr>
          <w:rStyle w:val="FootnoteReference"/>
        </w:rPr>
        <w:footnoteRef/>
      </w:r>
      <w:r>
        <w:t xml:space="preserve"> It should be noted that not only ownership but also use of vehicles shapes the energy/carbon intensity of transport sector.  Many cities implement policies that aim to discourage the use, not ownership, of private cars.  Nevertheless, there is long-term correlation between vehicle ownership and energy/carbon intensity.</w:t>
      </w:r>
    </w:p>
  </w:footnote>
  <w:footnote w:id="8">
    <w:p w:rsidR="005E7173" w:rsidRDefault="005E7173">
      <w:pPr>
        <w:pStyle w:val="FootnoteText"/>
      </w:pPr>
      <w:r>
        <w:rPr>
          <w:rStyle w:val="FootnoteReference"/>
        </w:rPr>
        <w:footnoteRef/>
      </w:r>
      <w:r>
        <w:t xml:space="preserve"> Estimation was done using the EFFECT framework based on data provided by Georgian entities.  Detailed results are in Chapter IV; assumptions and methodology are described in Annex 1.</w:t>
      </w:r>
    </w:p>
  </w:footnote>
  <w:footnote w:id="9">
    <w:p w:rsidR="005E7173" w:rsidRDefault="005E7173" w:rsidP="005A76C7">
      <w:pPr>
        <w:pStyle w:val="FootnoteText"/>
      </w:pPr>
      <w:r>
        <w:rPr>
          <w:rStyle w:val="FootnoteReference"/>
        </w:rPr>
        <w:footnoteRef/>
      </w:r>
      <w:r>
        <w:t xml:space="preserve"> During 2000-2005, vehicle ownership increased from 80 per 1000 inhabitants to 100 per 1000 inhabitants. (Department of the Patrol Police) Increase vehicle ownership per capita has outstripped road capacity increases.</w:t>
      </w:r>
    </w:p>
  </w:footnote>
  <w:footnote w:id="10">
    <w:p w:rsidR="005E7173" w:rsidRDefault="005E7173" w:rsidP="001C6636">
      <w:pPr>
        <w:pStyle w:val="FootnoteText"/>
      </w:pPr>
      <w:r>
        <w:rPr>
          <w:rStyle w:val="FootnoteReference"/>
        </w:rPr>
        <w:footnoteRef/>
      </w:r>
      <w:r>
        <w:t xml:space="preserve">  Monsalve (2012)</w:t>
      </w:r>
    </w:p>
  </w:footnote>
  <w:footnote w:id="11">
    <w:p w:rsidR="005E7173" w:rsidRDefault="005E7173" w:rsidP="00042829">
      <w:pPr>
        <w:pStyle w:val="FootnoteText"/>
      </w:pPr>
      <w:r>
        <w:rPr>
          <w:rStyle w:val="FootnoteReference"/>
        </w:rPr>
        <w:footnoteRef/>
      </w:r>
      <w:r>
        <w:t xml:space="preserve">  EC (2011)</w:t>
      </w:r>
    </w:p>
  </w:footnote>
  <w:footnote w:id="12">
    <w:p w:rsidR="005E7173" w:rsidRDefault="005E7173" w:rsidP="001064A4">
      <w:pPr>
        <w:pStyle w:val="FootnoteText"/>
      </w:pPr>
      <w:r>
        <w:rPr>
          <w:rStyle w:val="FootnoteReference"/>
        </w:rPr>
        <w:footnoteRef/>
      </w:r>
      <w:r>
        <w:t xml:space="preserve">  Global Fuel Economy Initiative (2010)</w:t>
      </w:r>
    </w:p>
  </w:footnote>
  <w:footnote w:id="13">
    <w:p w:rsidR="005E7173" w:rsidRDefault="005E7173">
      <w:pPr>
        <w:pStyle w:val="FootnoteText"/>
      </w:pPr>
      <w:r>
        <w:rPr>
          <w:rStyle w:val="FootnoteReference"/>
        </w:rPr>
        <w:footnoteRef/>
      </w:r>
      <w:r>
        <w:t xml:space="preserve">  </w:t>
      </w:r>
      <w:r w:rsidRPr="00FD32B9">
        <w:t>The most important trading partners of Georgia are mostly its neighboring countries</w:t>
      </w:r>
      <w:r>
        <w:t xml:space="preserve">, </w:t>
      </w:r>
      <w:r w:rsidRPr="00FD32B9">
        <w:t>Turkey, Azerbaijan, Ukraine, Russia, and Kazakhstan</w:t>
      </w:r>
      <w:r>
        <w:t xml:space="preserve">, </w:t>
      </w:r>
      <w:r w:rsidRPr="00FD32B9">
        <w:t>followed by Western European, East Asian and the United States.</w:t>
      </w:r>
    </w:p>
  </w:footnote>
  <w:footnote w:id="14">
    <w:p w:rsidR="005E7173" w:rsidRDefault="005E7173" w:rsidP="00036C75">
      <w:pPr>
        <w:pStyle w:val="FootnoteText"/>
      </w:pPr>
      <w:r>
        <w:rPr>
          <w:rStyle w:val="FootnoteReference"/>
        </w:rPr>
        <w:footnoteRef/>
      </w:r>
      <w:r>
        <w:t xml:space="preserve">  World Bank (2009)</w:t>
      </w:r>
    </w:p>
  </w:footnote>
  <w:footnote w:id="15">
    <w:p w:rsidR="005E7173" w:rsidRDefault="005E7173">
      <w:pPr>
        <w:pStyle w:val="FootnoteText"/>
      </w:pPr>
      <w:r>
        <w:rPr>
          <w:rStyle w:val="FootnoteReference"/>
        </w:rPr>
        <w:footnoteRef/>
      </w:r>
      <w:r>
        <w:t xml:space="preserve"> World Bank (2012); discussions with Georgia Union of Oil Products Enterprises Importers and Customers</w:t>
      </w:r>
    </w:p>
  </w:footnote>
  <w:footnote w:id="16">
    <w:p w:rsidR="005E7173" w:rsidRDefault="005E7173">
      <w:pPr>
        <w:pStyle w:val="FootnoteText"/>
      </w:pPr>
      <w:r>
        <w:rPr>
          <w:rStyle w:val="FootnoteReference"/>
        </w:rPr>
        <w:footnoteRef/>
      </w:r>
      <w:r>
        <w:t xml:space="preserve"> World Bank (2011)</w:t>
      </w:r>
    </w:p>
  </w:footnote>
  <w:footnote w:id="17">
    <w:p w:rsidR="005E7173" w:rsidRDefault="005E7173">
      <w:pPr>
        <w:pStyle w:val="FootnoteText"/>
      </w:pPr>
      <w:r>
        <w:rPr>
          <w:rStyle w:val="FootnoteReference"/>
        </w:rPr>
        <w:footnoteRef/>
      </w:r>
      <w:r>
        <w:t xml:space="preserve"> The Decree covered three main areas: (i) improving vehicle technical standards to align with European standards and establishing certification entities and inspection arrangements, (ii) vehicle retrofitting and improving fuel quality to comply with international standards, and (iii) utilizing transport waste.</w:t>
      </w:r>
    </w:p>
  </w:footnote>
  <w:footnote w:id="18">
    <w:p w:rsidR="005E7173" w:rsidRDefault="005E7173" w:rsidP="00740DB0">
      <w:pPr>
        <w:pStyle w:val="FootnoteText"/>
      </w:pPr>
      <w:r>
        <w:rPr>
          <w:rStyle w:val="FootnoteReference"/>
        </w:rPr>
        <w:footnoteRef/>
      </w:r>
      <w:r>
        <w:t xml:space="preserve"> European Commission, Directorate-General Environment (2003)</w:t>
      </w:r>
    </w:p>
  </w:footnote>
  <w:footnote w:id="19">
    <w:p w:rsidR="005E7173" w:rsidRDefault="005E7173" w:rsidP="00740DB0">
      <w:pPr>
        <w:pStyle w:val="FootnoteText"/>
      </w:pPr>
      <w:r>
        <w:rPr>
          <w:rStyle w:val="FootnoteReference"/>
        </w:rPr>
        <w:footnoteRef/>
      </w:r>
      <w:r>
        <w:t xml:space="preserve"> On the contrary, in the power sector, Government can reduce harmful environmental effects by improving a few point sources such as major power generators because end users do not differentiate among energy sources, such as coal or solar, unless they have different price tags.</w:t>
      </w:r>
    </w:p>
  </w:footnote>
  <w:footnote w:id="20">
    <w:p w:rsidR="005E7173" w:rsidRDefault="005E7173">
      <w:pPr>
        <w:pStyle w:val="FootnoteText"/>
      </w:pPr>
      <w:r>
        <w:rPr>
          <w:rStyle w:val="FootnoteReference"/>
        </w:rPr>
        <w:footnoteRef/>
      </w:r>
      <w:r>
        <w:t xml:space="preserve"> </w:t>
      </w:r>
      <w:r w:rsidRPr="00253CD3">
        <w:t>The Regional Environmental Center for the Caucasus (2008)</w:t>
      </w:r>
      <w:r>
        <w:t xml:space="preserve">: Beginning in January, 2010, the allowable </w:t>
      </w:r>
      <w:r w:rsidRPr="00253CD3">
        <w:t xml:space="preserve">lead content of </w:t>
      </w:r>
      <w:r>
        <w:t>gasoline</w:t>
      </w:r>
      <w:r w:rsidRPr="00253CD3">
        <w:t xml:space="preserve"> </w:t>
      </w:r>
      <w:r>
        <w:t xml:space="preserve">was adjusted </w:t>
      </w:r>
      <w:r w:rsidRPr="00253CD3">
        <w:t>from 0.013 to 0.005 g/L, and sulfur content of diesel from 350 to 50 ppm</w:t>
      </w:r>
      <w:r>
        <w:t>.</w:t>
      </w:r>
    </w:p>
  </w:footnote>
  <w:footnote w:id="21">
    <w:p w:rsidR="005E7173" w:rsidRDefault="005E7173">
      <w:pPr>
        <w:pStyle w:val="FootnoteText"/>
      </w:pPr>
      <w:r>
        <w:rPr>
          <w:rStyle w:val="FootnoteReference"/>
        </w:rPr>
        <w:footnoteRef/>
      </w:r>
      <w:r>
        <w:t xml:space="preserve"> Koupal</w:t>
      </w:r>
      <w:r w:rsidRPr="00336C60">
        <w:t xml:space="preserve"> (1999</w:t>
      </w:r>
      <w:r>
        <w:t>)</w:t>
      </w:r>
    </w:p>
  </w:footnote>
  <w:footnote w:id="22">
    <w:p w:rsidR="005E7173" w:rsidRDefault="005E7173">
      <w:pPr>
        <w:pStyle w:val="FootnoteText"/>
      </w:pPr>
      <w:r>
        <w:rPr>
          <w:rStyle w:val="FootnoteReference"/>
        </w:rPr>
        <w:footnoteRef/>
      </w:r>
      <w:r>
        <w:t xml:space="preserve"> </w:t>
      </w:r>
      <w:r w:rsidRPr="007B42CF">
        <w:t>Manufacturers of Emission Controls Association (1999)</w:t>
      </w:r>
    </w:p>
  </w:footnote>
  <w:footnote w:id="23">
    <w:p w:rsidR="005E7173" w:rsidRDefault="005E7173" w:rsidP="00740DB0">
      <w:pPr>
        <w:pStyle w:val="FootnoteText"/>
      </w:pPr>
      <w:r>
        <w:rPr>
          <w:rStyle w:val="FootnoteReference"/>
        </w:rPr>
        <w:footnoteRef/>
      </w:r>
      <w:r>
        <w:t xml:space="preserve"> Government entities include the Transport Policy Department under the Ministry of Economy and Sustainable Development and the Ministry of Regional Development and Infrastructure.</w:t>
      </w:r>
    </w:p>
  </w:footnote>
  <w:footnote w:id="24">
    <w:p w:rsidR="005E7173" w:rsidRDefault="005E7173">
      <w:pPr>
        <w:pStyle w:val="FootnoteText"/>
      </w:pPr>
      <w:r>
        <w:rPr>
          <w:rStyle w:val="FootnoteReference"/>
        </w:rPr>
        <w:footnoteRef/>
      </w:r>
      <w:r>
        <w:t xml:space="preserve">  According to discussion with members of the Association of Oil Product Importers and Distributors in Georgia, </w:t>
      </w:r>
      <w:r w:rsidRPr="00A930B0">
        <w:t>mandatory inspections of fuel quality is said to have spawned rent-seeking activity by some officials</w:t>
      </w:r>
      <w:r>
        <w:t xml:space="preserve"> and was abolished during the governance reform.</w:t>
      </w:r>
    </w:p>
  </w:footnote>
  <w:footnote w:id="25">
    <w:p w:rsidR="005E7173" w:rsidRDefault="005E7173" w:rsidP="000474F7">
      <w:pPr>
        <w:pStyle w:val="FootnoteText"/>
      </w:pPr>
      <w:r>
        <w:rPr>
          <w:rStyle w:val="FootnoteReference"/>
        </w:rPr>
        <w:footnoteRef/>
      </w:r>
      <w:r>
        <w:t xml:space="preserve">  Literature reveals a broad range of vehicle travel elasticity with respect to fuel price: as low as -0.1 in the short-term (i.e., 10 percent increase in fuel price resulting in 1.0 percent decrease in vehicle travel), and as high as -0.5 in the long-term (i.e., 10 percent</w:t>
      </w:r>
      <w:r w:rsidDel="00B34C17">
        <w:t xml:space="preserve"> </w:t>
      </w:r>
      <w:r>
        <w:t>increase in fuel price resulting in 5.0 percent</w:t>
      </w:r>
      <w:r w:rsidDel="00B34C17">
        <w:t xml:space="preserve"> </w:t>
      </w:r>
      <w:r>
        <w:t>decrease in vehicle travel) (Victoria Transport Policy Institute, 2011). Both short- and long-term elasticity depend on factors that affect transport choices. For example, availability of alternative transport modes, such as public transportation, enables transport users to shift away from private car use, resulting in higher elasticity.</w:t>
      </w:r>
    </w:p>
  </w:footnote>
  <w:footnote w:id="26">
    <w:p w:rsidR="005E7173" w:rsidRDefault="005E7173">
      <w:pPr>
        <w:pStyle w:val="FootnoteText"/>
      </w:pPr>
      <w:r>
        <w:rPr>
          <w:rStyle w:val="FootnoteReference"/>
        </w:rPr>
        <w:footnoteRef/>
      </w:r>
      <w:r>
        <w:t xml:space="preserve"> Data from the Ministry of Internal Affairs</w:t>
      </w:r>
    </w:p>
  </w:footnote>
  <w:footnote w:id="27">
    <w:p w:rsidR="005E7173" w:rsidRDefault="005E7173" w:rsidP="00740DB0">
      <w:pPr>
        <w:pStyle w:val="FootnoteText"/>
      </w:pPr>
      <w:r>
        <w:rPr>
          <w:rStyle w:val="FootnoteReference"/>
        </w:rPr>
        <w:footnoteRef/>
      </w:r>
      <w:r>
        <w:t xml:space="preserve"> According to the </w:t>
      </w:r>
      <w:r w:rsidRPr="00B01B6E">
        <w:t xml:space="preserve">Ministry of </w:t>
      </w:r>
      <w:r>
        <w:t xml:space="preserve">Internal Affairs, </w:t>
      </w:r>
      <w:r w:rsidRPr="00B01B6E">
        <w:t>Patrol Police</w:t>
      </w:r>
      <w:r>
        <w:t xml:space="preserve">, Custom clearing fees are </w:t>
      </w:r>
      <w:r w:rsidRPr="00B01B6E">
        <w:t xml:space="preserve">three times higher </w:t>
      </w:r>
      <w:r>
        <w:t xml:space="preserve">for </w:t>
      </w:r>
      <w:r w:rsidRPr="00B01B6E">
        <w:t>1-2 year</w:t>
      </w:r>
      <w:r>
        <w:t>-</w:t>
      </w:r>
      <w:r w:rsidRPr="00B01B6E">
        <w:t xml:space="preserve">old vehicles than </w:t>
      </w:r>
      <w:r>
        <w:t xml:space="preserve">for </w:t>
      </w:r>
      <w:r w:rsidRPr="00B01B6E">
        <w:t>7-12 year</w:t>
      </w:r>
      <w:r>
        <w:t>-old</w:t>
      </w:r>
      <w:r w:rsidRPr="00B01B6E">
        <w:t xml:space="preserve"> vehicles</w:t>
      </w:r>
      <w:r>
        <w:t>.</w:t>
      </w:r>
    </w:p>
  </w:footnote>
  <w:footnote w:id="28">
    <w:p w:rsidR="005E7173" w:rsidRDefault="005E7173">
      <w:pPr>
        <w:pStyle w:val="FootnoteText"/>
      </w:pPr>
      <w:r>
        <w:rPr>
          <w:rStyle w:val="FootnoteReference"/>
        </w:rPr>
        <w:footnoteRef/>
      </w:r>
      <w:r>
        <w:t xml:space="preserve"> World Bank (2011)</w:t>
      </w:r>
    </w:p>
  </w:footnote>
  <w:footnote w:id="29">
    <w:p w:rsidR="005E7173" w:rsidRDefault="005E7173">
      <w:pPr>
        <w:pStyle w:val="FootnoteText"/>
      </w:pPr>
      <w:r>
        <w:rPr>
          <w:rStyle w:val="FootnoteReference"/>
        </w:rPr>
        <w:footnoteRef/>
      </w:r>
      <w:r>
        <w:t xml:space="preserve"> This is done by the Land Transport Agency that checks stationary vehicles at depot and the petrol police that checks mobile vehicles at border crossing points and along motorways.</w:t>
      </w:r>
    </w:p>
  </w:footnote>
  <w:footnote w:id="30">
    <w:p w:rsidR="005E7173" w:rsidRDefault="005E7173">
      <w:pPr>
        <w:pStyle w:val="FootnoteText"/>
      </w:pPr>
      <w:r>
        <w:rPr>
          <w:rStyle w:val="FootnoteReference"/>
        </w:rPr>
        <w:footnoteRef/>
      </w:r>
      <w:r>
        <w:t xml:space="preserve"> </w:t>
      </w:r>
      <w:r w:rsidRPr="00361CED">
        <w:t>For instance, the German program has been heavily criticized by environmentalists that its true objective was to support motor industry rather than to reduce emissions.  Since the requirements for older vehicles that could be turned in for recycle were fairly loose (merely 9 years or older), emission reductions from vehicle replacement were marginal.</w:t>
      </w:r>
    </w:p>
  </w:footnote>
  <w:footnote w:id="31">
    <w:p w:rsidR="005E7173" w:rsidRDefault="005E7173" w:rsidP="0094512D">
      <w:pPr>
        <w:pStyle w:val="FootnoteText"/>
      </w:pPr>
      <w:r>
        <w:rPr>
          <w:rStyle w:val="FootnoteReference"/>
        </w:rPr>
        <w:footnoteRef/>
      </w:r>
      <w:r>
        <w:t xml:space="preserve"> </w:t>
      </w:r>
      <w:r w:rsidRPr="00F22066">
        <w:t>International experience suggests that handing over technical inspection</w:t>
      </w:r>
      <w:r>
        <w:t>s</w:t>
      </w:r>
      <w:r w:rsidRPr="00F22066">
        <w:t xml:space="preserve"> to the private sector under a contract with a governmental entity is likely more effective and prevents corruption (</w:t>
      </w:r>
      <w:r w:rsidRPr="00F22066">
        <w:rPr>
          <w:bCs/>
        </w:rPr>
        <w:t>U.S. Agency for International Development, 2004)</w:t>
      </w:r>
      <w:r>
        <w:rPr>
          <w:bCs/>
        </w:rPr>
        <w:t>.</w:t>
      </w:r>
    </w:p>
  </w:footnote>
  <w:footnote w:id="32">
    <w:p w:rsidR="005E7173" w:rsidRDefault="005E7173">
      <w:pPr>
        <w:pStyle w:val="FootnoteText"/>
      </w:pPr>
      <w:r>
        <w:rPr>
          <w:rStyle w:val="FootnoteReference"/>
        </w:rPr>
        <w:footnoteRef/>
      </w:r>
      <w:r>
        <w:t xml:space="preserve">  These are actually fiscally responsible programs, as the state governments generate large revenues from various fees.  In both states, revenues from licensing and registration fees are about 10-20 times greater than the cost of technical inspection and administration.</w:t>
      </w:r>
    </w:p>
  </w:footnote>
  <w:footnote w:id="33">
    <w:p w:rsidR="005E7173" w:rsidRDefault="005E7173" w:rsidP="007362BA">
      <w:pPr>
        <w:pStyle w:val="FootnoteText"/>
      </w:pPr>
      <w:r>
        <w:rPr>
          <w:rStyle w:val="FootnoteReference"/>
        </w:rPr>
        <w:footnoteRef/>
      </w:r>
      <w:r>
        <w:t xml:space="preserve">  </w:t>
      </w:r>
      <w:r w:rsidRPr="00BF321F">
        <w:t>On some road sections along the East-West Highway that are yet to be rehabilitated, trucks drive at low speeds, causing frequent over-passing, which is one of the main reasons for road traffic casualties</w:t>
      </w:r>
      <w:r>
        <w:t>. Overtaking accounted for about 18 percent of traffic violations in 2010 according to Transportation Policy Department of the Ministry of Economy and Sustainable Development.</w:t>
      </w:r>
    </w:p>
  </w:footnote>
  <w:footnote w:id="34">
    <w:p w:rsidR="005E7173" w:rsidRDefault="005E7173">
      <w:pPr>
        <w:pStyle w:val="FootnoteText"/>
      </w:pPr>
      <w:r>
        <w:rPr>
          <w:rStyle w:val="FootnoteReference"/>
        </w:rPr>
        <w:footnoteRef/>
      </w:r>
      <w:r>
        <w:t xml:space="preserve">  EFFECT model calibration by WB staff</w:t>
      </w:r>
    </w:p>
  </w:footnote>
  <w:footnote w:id="35">
    <w:p w:rsidR="005E7173" w:rsidRDefault="005E7173">
      <w:pPr>
        <w:pStyle w:val="FootnoteText"/>
      </w:pPr>
      <w:r>
        <w:rPr>
          <w:rStyle w:val="FootnoteReference"/>
        </w:rPr>
        <w:footnoteRef/>
      </w:r>
      <w:r>
        <w:t xml:space="preserve">  Interview with the Georgian Railway</w:t>
      </w:r>
    </w:p>
  </w:footnote>
  <w:footnote w:id="36">
    <w:p w:rsidR="005E7173" w:rsidRDefault="005E7173">
      <w:pPr>
        <w:pStyle w:val="FootnoteText"/>
      </w:pPr>
      <w:r>
        <w:rPr>
          <w:rStyle w:val="FootnoteReference"/>
        </w:rPr>
        <w:footnoteRef/>
      </w:r>
      <w:r>
        <w:t xml:space="preserve">  Wall Street Journal (2012)</w:t>
      </w:r>
    </w:p>
  </w:footnote>
  <w:footnote w:id="37">
    <w:p w:rsidR="005E7173" w:rsidRDefault="005E7173" w:rsidP="006F1A2C">
      <w:pPr>
        <w:pStyle w:val="FootnoteText"/>
      </w:pPr>
      <w:r>
        <w:rPr>
          <w:rStyle w:val="FootnoteReference"/>
        </w:rPr>
        <w:footnoteRef/>
      </w:r>
      <w:r>
        <w:t xml:space="preserve">  S Perkins (2008), ECMT Committee on Road Charges</w:t>
      </w:r>
    </w:p>
  </w:footnote>
  <w:footnote w:id="38">
    <w:p w:rsidR="005E7173" w:rsidRDefault="005E7173" w:rsidP="00DE044E">
      <w:pPr>
        <w:pStyle w:val="FootnoteText"/>
      </w:pPr>
      <w:r>
        <w:rPr>
          <w:rStyle w:val="FootnoteReference"/>
        </w:rPr>
        <w:footnoteRef/>
      </w:r>
      <w:r>
        <w:t xml:space="preserve"> From the discussion with the Land Transport Agency in July, 2011</w:t>
      </w:r>
    </w:p>
  </w:footnote>
  <w:footnote w:id="39">
    <w:p w:rsidR="005E7173" w:rsidRDefault="005E7173">
      <w:pPr>
        <w:pStyle w:val="FootnoteText"/>
      </w:pPr>
      <w:r>
        <w:rPr>
          <w:rStyle w:val="FootnoteReference"/>
        </w:rPr>
        <w:footnoteRef/>
      </w:r>
      <w:r>
        <w:t xml:space="preserve"> Average CO2 emissions of short-haul air transport is </w:t>
      </w:r>
      <w:r w:rsidRPr="00B023C6">
        <w:t>0.24 kg</w:t>
      </w:r>
      <w:r>
        <w:t xml:space="preserve"> per passenger mile, while intercity bus trips </w:t>
      </w:r>
      <w:r w:rsidRPr="00B023C6">
        <w:t>(20 mi</w:t>
      </w:r>
      <w:r>
        <w:t>les or longer</w:t>
      </w:r>
      <w:r w:rsidRPr="00B023C6">
        <w:t xml:space="preserve">) emit </w:t>
      </w:r>
      <w:r>
        <w:t>0</w:t>
      </w:r>
      <w:r w:rsidRPr="00B023C6">
        <w:t>.08 kg per passenger mile</w:t>
      </w:r>
      <w:r>
        <w:t xml:space="preserve"> (World Resource Institute, 2002).</w:t>
      </w:r>
    </w:p>
  </w:footnote>
  <w:footnote w:id="40">
    <w:p w:rsidR="005E7173" w:rsidRDefault="005E7173" w:rsidP="000B08E8">
      <w:pPr>
        <w:pStyle w:val="FootnoteText"/>
      </w:pPr>
      <w:r>
        <w:rPr>
          <w:rStyle w:val="FootnoteReference"/>
        </w:rPr>
        <w:footnoteRef/>
      </w:r>
      <w:r>
        <w:t xml:space="preserve"> </w:t>
      </w:r>
      <w:r>
        <w:rPr>
          <w:rFonts w:hint="eastAsia"/>
          <w:lang w:eastAsia="ko-KR"/>
        </w:rPr>
        <w:t xml:space="preserve"> </w:t>
      </w:r>
      <w:r>
        <w:t>Asian Development Bank (2011)</w:t>
      </w:r>
    </w:p>
  </w:footnote>
  <w:footnote w:id="41">
    <w:p w:rsidR="005E7173" w:rsidRDefault="005E7173" w:rsidP="001F118B">
      <w:pPr>
        <w:pStyle w:val="FootnoteText"/>
        <w:rPr>
          <w:lang w:eastAsia="ko-KR"/>
        </w:rPr>
      </w:pPr>
      <w:r>
        <w:rPr>
          <w:rStyle w:val="FootnoteReference"/>
        </w:rPr>
        <w:footnoteRef/>
      </w:r>
      <w:r>
        <w:t xml:space="preserve"> </w:t>
      </w:r>
      <w:r>
        <w:rPr>
          <w:rFonts w:hint="eastAsia"/>
          <w:lang w:eastAsia="ko-KR"/>
        </w:rPr>
        <w:t xml:space="preserve"> </w:t>
      </w:r>
      <w:r w:rsidRPr="00DC3789">
        <w:rPr>
          <w:lang w:eastAsia="ko-KR"/>
        </w:rPr>
        <w:t>M</w:t>
      </w:r>
      <w:r w:rsidRPr="00DC3789">
        <w:rPr>
          <w:rFonts w:hint="eastAsia"/>
          <w:lang w:eastAsia="ko-KR"/>
        </w:rPr>
        <w:t>inibuses and high-capacity</w:t>
      </w:r>
      <w:r>
        <w:rPr>
          <w:lang w:eastAsia="ko-KR"/>
        </w:rPr>
        <w:t>/</w:t>
      </w:r>
      <w:r w:rsidRPr="00DC3789">
        <w:rPr>
          <w:rFonts w:hint="eastAsia"/>
          <w:lang w:eastAsia="ko-KR"/>
        </w:rPr>
        <w:t>high-speed public transport modes, such as LRT, are complement</w:t>
      </w:r>
      <w:r>
        <w:rPr>
          <w:lang w:eastAsia="ko-KR"/>
        </w:rPr>
        <w:t xml:space="preserve">ary not </w:t>
      </w:r>
      <w:r w:rsidRPr="00DC3789">
        <w:rPr>
          <w:rFonts w:hint="eastAsia"/>
          <w:lang w:eastAsia="ko-KR"/>
        </w:rPr>
        <w:t xml:space="preserve">substitutes; hence, shift to private cars </w:t>
      </w:r>
      <w:r>
        <w:rPr>
          <w:rFonts w:hint="eastAsia"/>
          <w:lang w:eastAsia="ko-KR"/>
        </w:rPr>
        <w:t xml:space="preserve">from minibuses </w:t>
      </w:r>
      <w:r w:rsidRPr="00DC3789">
        <w:rPr>
          <w:rFonts w:hint="eastAsia"/>
          <w:lang w:eastAsia="ko-KR"/>
        </w:rPr>
        <w:t xml:space="preserve">is much more likely than </w:t>
      </w:r>
      <w:r>
        <w:rPr>
          <w:lang w:eastAsia="ko-KR"/>
        </w:rPr>
        <w:t xml:space="preserve">shifting </w:t>
      </w:r>
      <w:r w:rsidRPr="00DC3789">
        <w:rPr>
          <w:rFonts w:hint="eastAsia"/>
          <w:lang w:eastAsia="ko-KR"/>
        </w:rPr>
        <w:t>to other public transport modes</w:t>
      </w:r>
      <w:r w:rsidRPr="00DC3789">
        <w:rPr>
          <w:lang w:eastAsia="ko-KR"/>
        </w:rPr>
        <w:t>.</w:t>
      </w:r>
    </w:p>
  </w:footnote>
  <w:footnote w:id="42">
    <w:p w:rsidR="005E7173" w:rsidRDefault="005E7173" w:rsidP="001F118B">
      <w:pPr>
        <w:pStyle w:val="FootnoteText"/>
        <w:rPr>
          <w:lang w:eastAsia="ko-KR"/>
        </w:rPr>
      </w:pPr>
      <w:r>
        <w:rPr>
          <w:rStyle w:val="FootnoteReference"/>
        </w:rPr>
        <w:footnoteRef/>
      </w:r>
      <w:r>
        <w:t xml:space="preserve"> </w:t>
      </w:r>
      <w:r>
        <w:rPr>
          <w:rFonts w:hint="eastAsia"/>
          <w:lang w:eastAsia="ko-KR"/>
        </w:rPr>
        <w:t xml:space="preserve"> Two-tier systems are commonly found in form</w:t>
      </w:r>
      <w:r>
        <w:rPr>
          <w:lang w:eastAsia="ko-KR"/>
        </w:rPr>
        <w:t xml:space="preserve">er </w:t>
      </w:r>
      <w:r>
        <w:rPr>
          <w:rFonts w:hint="eastAsia"/>
          <w:lang w:eastAsia="ko-KR"/>
        </w:rPr>
        <w:t>Soviet Union countries, which experienced a sudden vacuum in public services due to rapid deterioration of public secto</w:t>
      </w:r>
      <w:r>
        <w:rPr>
          <w:lang w:eastAsia="ko-KR"/>
        </w:rPr>
        <w:t>r</w:t>
      </w:r>
      <w:r>
        <w:rPr>
          <w:rFonts w:hint="eastAsia"/>
          <w:lang w:eastAsia="ko-KR"/>
        </w:rPr>
        <w:t xml:space="preserve"> planning and fiscal capacity after the break</w:t>
      </w:r>
      <w:r>
        <w:rPr>
          <w:lang w:eastAsia="ko-KR"/>
        </w:rPr>
        <w:t>up</w:t>
      </w:r>
      <w:r>
        <w:rPr>
          <w:rFonts w:hint="eastAsia"/>
          <w:lang w:eastAsia="ko-KR"/>
        </w:rPr>
        <w:t xml:space="preserve"> of the union. The vacuum </w:t>
      </w:r>
      <w:r>
        <w:rPr>
          <w:lang w:eastAsia="ko-KR"/>
        </w:rPr>
        <w:t>was</w:t>
      </w:r>
      <w:r>
        <w:rPr>
          <w:rFonts w:hint="eastAsia"/>
          <w:lang w:eastAsia="ko-KR"/>
        </w:rPr>
        <w:t xml:space="preserve"> filled by largely unregulated private operators.</w:t>
      </w:r>
    </w:p>
  </w:footnote>
  <w:footnote w:id="43">
    <w:p w:rsidR="005E7173" w:rsidRDefault="005E7173" w:rsidP="005A5C4D">
      <w:pPr>
        <w:pStyle w:val="FootnoteText"/>
      </w:pPr>
      <w:r>
        <w:rPr>
          <w:rStyle w:val="FootnoteReference"/>
        </w:rPr>
        <w:footnoteRef/>
      </w:r>
      <w:r>
        <w:t xml:space="preserve">  OECD (2007)</w:t>
      </w:r>
    </w:p>
  </w:footnote>
  <w:footnote w:id="44">
    <w:p w:rsidR="005E7173" w:rsidRDefault="005E7173" w:rsidP="00D53B67">
      <w:pPr>
        <w:pStyle w:val="FootnoteText"/>
      </w:pPr>
      <w:r>
        <w:rPr>
          <w:rStyle w:val="FootnoteReference"/>
        </w:rPr>
        <w:footnoteRef/>
      </w:r>
      <w:r>
        <w:t xml:space="preserve">  Based on the discussion with Tbilisi City Hall, Municipal Transport Department in July, 2011</w:t>
      </w:r>
    </w:p>
  </w:footnote>
  <w:footnote w:id="45">
    <w:p w:rsidR="005E7173" w:rsidRDefault="005E7173" w:rsidP="00B04982">
      <w:pPr>
        <w:pStyle w:val="FootnoteText"/>
      </w:pPr>
      <w:r>
        <w:rPr>
          <w:rStyle w:val="FootnoteReference"/>
        </w:rPr>
        <w:footnoteRef/>
      </w:r>
      <w:r>
        <w:t xml:space="preserve">  Gwilliam (2005)</w:t>
      </w:r>
    </w:p>
  </w:footnote>
  <w:footnote w:id="46">
    <w:p w:rsidR="005E7173" w:rsidRDefault="005E7173" w:rsidP="00FD5744">
      <w:pPr>
        <w:pStyle w:val="FootnoteText"/>
      </w:pPr>
      <w:r>
        <w:rPr>
          <w:rStyle w:val="FootnoteReference"/>
        </w:rPr>
        <w:footnoteRef/>
      </w:r>
      <w:r>
        <w:t xml:space="preserve">  It </w:t>
      </w:r>
      <w:r w:rsidRPr="003A2F90">
        <w:t>is used in many</w:t>
      </w:r>
      <w:r>
        <w:t xml:space="preserve"> larger Western European cities such as</w:t>
      </w:r>
      <w:r w:rsidRPr="003A2F90">
        <w:t xml:space="preserve"> London</w:t>
      </w:r>
      <w:r>
        <w:t xml:space="preserve"> and many </w:t>
      </w:r>
      <w:r w:rsidRPr="003A2F90">
        <w:t>smaller Scandinavia</w:t>
      </w:r>
      <w:r>
        <w:t>n</w:t>
      </w:r>
      <w:r w:rsidRPr="003A2F90" w:rsidDel="00F17099">
        <w:t xml:space="preserve"> </w:t>
      </w:r>
      <w:r w:rsidRPr="003A2F90">
        <w:t>cities.</w:t>
      </w:r>
    </w:p>
  </w:footnote>
  <w:footnote w:id="47">
    <w:p w:rsidR="005E7173" w:rsidRDefault="005E7173" w:rsidP="00D53B67">
      <w:pPr>
        <w:pStyle w:val="FootnoteText"/>
      </w:pPr>
      <w:r>
        <w:rPr>
          <w:rStyle w:val="FootnoteReference"/>
        </w:rPr>
        <w:footnoteRef/>
      </w:r>
      <w:r>
        <w:t xml:space="preserve">  The</w:t>
      </w:r>
      <w:r w:rsidRPr="003A2F90">
        <w:t xml:space="preserve"> EU </w:t>
      </w:r>
      <w:r>
        <w:t xml:space="preserve">advocates this </w:t>
      </w:r>
      <w:r w:rsidRPr="003A2F90">
        <w:t>general arrangement</w:t>
      </w:r>
      <w:r>
        <w:t xml:space="preserve">. </w:t>
      </w:r>
      <w:r w:rsidRPr="003A2F90">
        <w:t>Costs per vehicle kilometer fell by between 20 and 40 percent when these systems were introduced in Western Europe.</w:t>
      </w:r>
    </w:p>
  </w:footnote>
  <w:footnote w:id="48">
    <w:p w:rsidR="005E7173" w:rsidRDefault="005E7173" w:rsidP="0049620D">
      <w:pPr>
        <w:pStyle w:val="FootnoteText"/>
      </w:pPr>
      <w:r>
        <w:rPr>
          <w:rStyle w:val="FootnoteReference"/>
        </w:rPr>
        <w:footnoteRef/>
      </w:r>
      <w:r>
        <w:t xml:space="preserve"> Gwilliam (2005): </w:t>
      </w:r>
      <w:r w:rsidRPr="000C25E9">
        <w:t>Over-supply of taxis might reduce passenger waiting time, but would subsequently increase congestion and negative environmental impacts.</w:t>
      </w:r>
    </w:p>
  </w:footnote>
  <w:footnote w:id="49">
    <w:p w:rsidR="005E7173" w:rsidRDefault="005E7173">
      <w:pPr>
        <w:pStyle w:val="FootnoteText"/>
      </w:pPr>
      <w:r>
        <w:rPr>
          <w:rStyle w:val="FootnoteReference"/>
        </w:rPr>
        <w:footnoteRef/>
      </w:r>
      <w:r>
        <w:t xml:space="preserve"> </w:t>
      </w:r>
      <w:r>
        <w:rPr>
          <w:lang w:eastAsia="ko-KR"/>
        </w:rPr>
        <w:t>Many large cities that initially regulated the taxi market entry and controlled the total number of taxi licenses have gradually moved to deregulation or less regulation on the market entry, which in most cases has been a politically painful process due to the resistance of the incumbent operators (OECD, 2007).</w:t>
      </w:r>
    </w:p>
  </w:footnote>
  <w:footnote w:id="50">
    <w:p w:rsidR="005E7173" w:rsidRDefault="005E7173">
      <w:pPr>
        <w:pStyle w:val="FootnoteText"/>
      </w:pPr>
      <w:r>
        <w:rPr>
          <w:rStyle w:val="FootnoteReference"/>
        </w:rPr>
        <w:footnoteRef/>
      </w:r>
      <w:r>
        <w:t xml:space="preserve"> Gwilliam (2005)</w:t>
      </w:r>
    </w:p>
  </w:footnote>
  <w:footnote w:id="51">
    <w:p w:rsidR="005E7173" w:rsidRDefault="005E7173">
      <w:pPr>
        <w:pStyle w:val="FootnoteText"/>
      </w:pPr>
      <w:r>
        <w:rPr>
          <w:rStyle w:val="FootnoteReference"/>
        </w:rPr>
        <w:footnoteRef/>
      </w:r>
      <w:r>
        <w:t xml:space="preserve"> OECD (2007)</w:t>
      </w:r>
    </w:p>
  </w:footnote>
  <w:footnote w:id="52">
    <w:p w:rsidR="005E7173" w:rsidRDefault="005E7173">
      <w:pPr>
        <w:pStyle w:val="FootnoteText"/>
      </w:pPr>
      <w:r>
        <w:rPr>
          <w:rStyle w:val="FootnoteReference"/>
        </w:rPr>
        <w:footnoteRef/>
      </w:r>
      <w:r>
        <w:t xml:space="preserve"> Gwilliam (2005)</w:t>
      </w:r>
    </w:p>
  </w:footnote>
  <w:footnote w:id="53">
    <w:p w:rsidR="005E7173" w:rsidRDefault="005E7173" w:rsidP="00D53B67">
      <w:pPr>
        <w:pStyle w:val="FootnoteText"/>
      </w:pPr>
      <w:r>
        <w:rPr>
          <w:rStyle w:val="FootnoteReference"/>
        </w:rPr>
        <w:footnoteRef/>
      </w:r>
      <w:r>
        <w:t xml:space="preserve">  Asian Development Bank (2011)</w:t>
      </w:r>
    </w:p>
  </w:footnote>
  <w:footnote w:id="54">
    <w:p w:rsidR="005E7173" w:rsidRDefault="005E7173" w:rsidP="00D53B67">
      <w:pPr>
        <w:pStyle w:val="FootnoteText"/>
      </w:pPr>
      <w:r>
        <w:rPr>
          <w:rStyle w:val="FootnoteReference"/>
        </w:rPr>
        <w:footnoteRef/>
      </w:r>
      <w:r>
        <w:t xml:space="preserve">  I</w:t>
      </w:r>
      <w:r w:rsidRPr="0090755D">
        <w:t xml:space="preserve">ncome growth and </w:t>
      </w:r>
      <w:r>
        <w:t xml:space="preserve">increasing </w:t>
      </w:r>
      <w:r w:rsidRPr="0090755D">
        <w:t xml:space="preserve">private car use </w:t>
      </w:r>
      <w:r>
        <w:t xml:space="preserve">generally encourage </w:t>
      </w:r>
      <w:r w:rsidRPr="0090755D">
        <w:t xml:space="preserve">households to </w:t>
      </w:r>
      <w:r>
        <w:t>move</w:t>
      </w:r>
      <w:r w:rsidRPr="0090755D">
        <w:t xml:space="preserve"> </w:t>
      </w:r>
      <w:r>
        <w:t xml:space="preserve">from </w:t>
      </w:r>
      <w:r w:rsidRPr="0090755D">
        <w:t xml:space="preserve">inner-city quarters to </w:t>
      </w:r>
      <w:r>
        <w:t>suburban settlements</w:t>
      </w:r>
      <w:r w:rsidRPr="0090755D">
        <w:t xml:space="preserve">. This </w:t>
      </w:r>
      <w:r>
        <w:t xml:space="preserve">expands the geographic size of </w:t>
      </w:r>
      <w:r w:rsidRPr="0090755D">
        <w:t>urban areas</w:t>
      </w:r>
      <w:r>
        <w:t>,</w:t>
      </w:r>
      <w:r w:rsidRPr="0090755D">
        <w:t xml:space="preserve"> which dampen</w:t>
      </w:r>
      <w:r>
        <w:t xml:space="preserve">s </w:t>
      </w:r>
      <w:r w:rsidRPr="0090755D">
        <w:t xml:space="preserve">the land </w:t>
      </w:r>
      <w:r>
        <w:t>market and rents</w:t>
      </w:r>
      <w:r w:rsidRPr="0090755D">
        <w:t xml:space="preserve"> in inner cities</w:t>
      </w:r>
      <w:r>
        <w:t xml:space="preserve"> but creates the expense of </w:t>
      </w:r>
      <w:r w:rsidRPr="0090755D">
        <w:t>longer</w:t>
      </w:r>
      <w:r>
        <w:t xml:space="preserve"> commutes and other</w:t>
      </w:r>
      <w:r w:rsidRPr="0090755D">
        <w:t xml:space="preserve"> trips</w:t>
      </w:r>
      <w:r>
        <w:t>. In Tbilisi, t</w:t>
      </w:r>
      <w:r w:rsidRPr="0090755D">
        <w:t xml:space="preserve">he increase of urban land areas </w:t>
      </w:r>
      <w:r>
        <w:t xml:space="preserve">would </w:t>
      </w:r>
      <w:r w:rsidRPr="0090755D">
        <w:t xml:space="preserve">increase passenger travel demand and make it increasingly difficult to serve </w:t>
      </w:r>
      <w:r>
        <w:t xml:space="preserve">the demand </w:t>
      </w:r>
      <w:r w:rsidRPr="0090755D">
        <w:t>by “yellow buses” and rail systems</w:t>
      </w:r>
      <w:r>
        <w:t xml:space="preserve"> (including the metro and LRT system under consideration).</w:t>
      </w:r>
      <w:r w:rsidRPr="0090755D">
        <w:t xml:space="preserve"> Accommodating </w:t>
      </w:r>
      <w:r>
        <w:t>suburban expansion</w:t>
      </w:r>
      <w:r w:rsidRPr="0090755D">
        <w:t xml:space="preserve"> would </w:t>
      </w:r>
      <w:r>
        <w:t xml:space="preserve">incur </w:t>
      </w:r>
      <w:r w:rsidRPr="0090755D">
        <w:t xml:space="preserve">high costs for road construction </w:t>
      </w:r>
      <w:r>
        <w:t xml:space="preserve">and </w:t>
      </w:r>
      <w:r w:rsidRPr="0090755D">
        <w:t>high</w:t>
      </w:r>
      <w:r>
        <w:t>-</w:t>
      </w:r>
      <w:r w:rsidRPr="0090755D">
        <w:t xml:space="preserve">value </w:t>
      </w:r>
      <w:r>
        <w:t>locations</w:t>
      </w:r>
      <w:r w:rsidRPr="0090755D">
        <w:t xml:space="preserve"> for businesses and residential </w:t>
      </w:r>
      <w:r>
        <w:t>housing would be lost to roads</w:t>
      </w:r>
      <w:r w:rsidRPr="0090755D">
        <w:t xml:space="preserve">. </w:t>
      </w:r>
      <w:r>
        <w:t>Under a</w:t>
      </w:r>
      <w:r w:rsidRPr="0090755D">
        <w:t xml:space="preserve"> private car</w:t>
      </w:r>
      <w:r>
        <w:t>-</w:t>
      </w:r>
      <w:r w:rsidRPr="0090755D">
        <w:t>dominated urban transport</w:t>
      </w:r>
      <w:r>
        <w:t>,</w:t>
      </w:r>
      <w:r w:rsidRPr="0090755D">
        <w:t xml:space="preserve"> the rent decreasing effect </w:t>
      </w:r>
      <w:r>
        <w:t xml:space="preserve">would be offset </w:t>
      </w:r>
      <w:r w:rsidRPr="0090755D">
        <w:t>by high demand for urban land for roads and parking areas</w:t>
      </w:r>
      <w:r>
        <w:t>.</w:t>
      </w:r>
    </w:p>
  </w:footnote>
  <w:footnote w:id="55">
    <w:p w:rsidR="005E7173" w:rsidRDefault="005E7173" w:rsidP="00516AA2">
      <w:pPr>
        <w:pStyle w:val="FootnoteText"/>
      </w:pPr>
      <w:r>
        <w:rPr>
          <w:rStyle w:val="FootnoteReference"/>
        </w:rPr>
        <w:footnoteRef/>
      </w:r>
      <w:r>
        <w:t xml:space="preserve"> Glaeser </w:t>
      </w:r>
      <w:sdt>
        <w:sdtPr>
          <w:id w:val="-239105321"/>
          <w:citation/>
        </w:sdtPr>
        <w:sdtContent>
          <w:fldSimple w:instr="CITATION Gla08 \n  \t  \l 1033 ">
            <w:r>
              <w:rPr>
                <w:noProof/>
              </w:rPr>
              <w:t>(2008)</w:t>
            </w:r>
          </w:fldSimple>
        </w:sdtContent>
      </w:sdt>
    </w:p>
  </w:footnote>
  <w:footnote w:id="56">
    <w:p w:rsidR="005E7173" w:rsidRDefault="005E7173">
      <w:pPr>
        <w:pStyle w:val="FootnoteText"/>
      </w:pPr>
      <w:r>
        <w:rPr>
          <w:rStyle w:val="FootnoteReference"/>
        </w:rPr>
        <w:footnoteRef/>
      </w:r>
      <w:r>
        <w:t xml:space="preserve">  C</w:t>
      </w:r>
      <w:r w:rsidRPr="001064A4">
        <w:t xml:space="preserve">apacity of a BRT system may vary </w:t>
      </w:r>
      <w:r>
        <w:t xml:space="preserve">greatly, </w:t>
      </w:r>
      <w:r w:rsidRPr="001064A4">
        <w:t xml:space="preserve">from fewer than 10,000 to </w:t>
      </w:r>
      <w:r>
        <w:t>5</w:t>
      </w:r>
      <w:r w:rsidRPr="001064A4">
        <w:t>0,000 passengers</w:t>
      </w:r>
      <w:r>
        <w:t xml:space="preserve"> </w:t>
      </w:r>
      <w:r w:rsidRPr="001064A4">
        <w:t>per hour, depending on the degree of physical separation from general traffic.</w:t>
      </w:r>
    </w:p>
  </w:footnote>
  <w:footnote w:id="57">
    <w:p w:rsidR="005E7173" w:rsidRDefault="005E7173" w:rsidP="004A3C8F">
      <w:pPr>
        <w:pStyle w:val="FootnoteText"/>
      </w:pPr>
      <w:r>
        <w:rPr>
          <w:rStyle w:val="FootnoteReference"/>
        </w:rPr>
        <w:footnoteRef/>
      </w:r>
      <w:r>
        <w:t xml:space="preserve">  During Soviet era, there were 5 ropeway systems operating in Tbilisi and 12 systems in nine cities—Signakhi, Tsnori, Gurjaani, Tkibuli, Chiatura, Sachkhere, Kutaisi, Bakuriani, and Mitarbi.  All systems were used primarily for regular urban transport, except the systems in the ski resorts (Bakuriani, and Mitarbi).</w:t>
      </w:r>
    </w:p>
  </w:footnote>
  <w:footnote w:id="58">
    <w:p w:rsidR="005E7173" w:rsidRDefault="005E7173" w:rsidP="00D452A5">
      <w:pPr>
        <w:pStyle w:val="FootnoteText"/>
      </w:pPr>
      <w:r>
        <w:rPr>
          <w:rStyle w:val="FootnoteReference"/>
        </w:rPr>
        <w:footnoteRef/>
      </w:r>
      <w:r>
        <w:t xml:space="preserve"> </w:t>
      </w:r>
      <w:r w:rsidRPr="005A1CD0">
        <w:t>For instance, it is desirable that all public transport operators adhere to same communication standards for their vehicle locating systems so they are compatible with one another</w:t>
      </w:r>
      <w:r>
        <w:t>.  As another example,</w:t>
      </w:r>
      <w:r w:rsidRPr="005A1CD0">
        <w:t xml:space="preserve"> same communication network</w:t>
      </w:r>
      <w:r>
        <w:t>,</w:t>
      </w:r>
      <w:r w:rsidRPr="005A1CD0">
        <w:t xml:space="preserve"> once established</w:t>
      </w:r>
      <w:r>
        <w:t xml:space="preserve"> for ITS application</w:t>
      </w:r>
      <w:r w:rsidRPr="005A1CD0">
        <w:t xml:space="preserve">, may be shared </w:t>
      </w:r>
      <w:r>
        <w:t xml:space="preserve">among multiple services run by various entities </w:t>
      </w:r>
      <w:r w:rsidRPr="005A1CD0">
        <w:t>(e.g., congestion monitoring by city’s traffic management unit, and traffic rules enforcement by the police).</w:t>
      </w:r>
      <w:r>
        <w:t xml:space="preserve">  Therefore a coordinated approach is critical in order to prevent wasteful or redundant investments, while maximizing the utilization of facilities and equipment.</w:t>
      </w:r>
    </w:p>
  </w:footnote>
  <w:footnote w:id="59">
    <w:p w:rsidR="005E7173" w:rsidRPr="004F26CE" w:rsidRDefault="005E7173" w:rsidP="00DB372F">
      <w:pPr>
        <w:autoSpaceDE w:val="0"/>
        <w:autoSpaceDN w:val="0"/>
        <w:adjustRightInd w:val="0"/>
        <w:spacing w:after="0" w:line="240" w:lineRule="auto"/>
        <w:rPr>
          <w:sz w:val="18"/>
          <w:szCs w:val="18"/>
        </w:rPr>
      </w:pPr>
      <w:r w:rsidRPr="004F26CE">
        <w:rPr>
          <w:rStyle w:val="FootnoteReference"/>
          <w:sz w:val="18"/>
          <w:szCs w:val="18"/>
        </w:rPr>
        <w:footnoteRef/>
      </w:r>
      <w:r w:rsidRPr="004F26CE">
        <w:rPr>
          <w:sz w:val="18"/>
          <w:szCs w:val="18"/>
        </w:rPr>
        <w:t xml:space="preserve"> EFFECT was developed by</w:t>
      </w:r>
      <w:r w:rsidRPr="005A184F">
        <w:rPr>
          <w:sz w:val="18"/>
          <w:szCs w:val="18"/>
        </w:rPr>
        <w:t xml:space="preserve"> </w:t>
      </w:r>
      <w:r w:rsidRPr="005A184F">
        <w:rPr>
          <w:sz w:val="18"/>
          <w:szCs w:val="18"/>
          <w:lang w:bidi="ar-SA"/>
        </w:rPr>
        <w:t>the Energy Sector Management Assistance Program (ESMAP) administered by the World Bank</w:t>
      </w:r>
      <w:r>
        <w:rPr>
          <w:sz w:val="18"/>
          <w:szCs w:val="18"/>
          <w:lang w:bidi="ar-SA"/>
        </w:rPr>
        <w:t xml:space="preserve">. </w:t>
      </w:r>
      <w:r w:rsidRPr="004F26CE">
        <w:rPr>
          <w:sz w:val="18"/>
          <w:szCs w:val="18"/>
        </w:rPr>
        <w:t>ESMAP is a global knowledge and technical assistance program that assists low- and middle-income countries to increase institutional capacity to achieve environmentally sustainable energy solutions for poverty reduction and economic growth.</w:t>
      </w:r>
    </w:p>
  </w:footnote>
  <w:footnote w:id="60">
    <w:p w:rsidR="005E7173" w:rsidRDefault="005E7173" w:rsidP="00503F7F">
      <w:pPr>
        <w:pStyle w:val="FootnoteText"/>
      </w:pPr>
      <w:r>
        <w:rPr>
          <w:rStyle w:val="FootnoteReference"/>
        </w:rPr>
        <w:footnoteRef/>
      </w:r>
      <w:r>
        <w:t xml:space="preserve"> Approximately 30% of all original entries were incomplete, i.e. either missing information on engine size or fuel technology used. The gaps were filled in by making assumptions on lacking vehicle characteristics based on the vehicle make, model and year of manufacturing.</w:t>
      </w:r>
    </w:p>
  </w:footnote>
  <w:footnote w:id="61">
    <w:p w:rsidR="005E7173" w:rsidRDefault="005E7173">
      <w:pPr>
        <w:pStyle w:val="FootnoteText"/>
      </w:pPr>
      <w:r>
        <w:rPr>
          <w:rStyle w:val="FootnoteReference"/>
        </w:rPr>
        <w:footnoteRef/>
      </w:r>
      <w:r>
        <w:t xml:space="preserve"> N/A marks vehicle types and/or subtypes which could not be identified for Georgia due to scarcity of available data. For instance, an overlap of engine size range of small cars and lower medium cars (1,400-2,000 cc) made it impossible to distinguish the two types based on the only criterion available (engine displacement). </w:t>
      </w:r>
    </w:p>
  </w:footnote>
  <w:footnote w:id="62">
    <w:p w:rsidR="005E7173" w:rsidRPr="00584F56" w:rsidRDefault="005E7173" w:rsidP="00E32160">
      <w:pPr>
        <w:autoSpaceDE w:val="0"/>
        <w:autoSpaceDN w:val="0"/>
        <w:adjustRightInd w:val="0"/>
        <w:rPr>
          <w:sz w:val="20"/>
          <w:szCs w:val="20"/>
        </w:rPr>
      </w:pPr>
      <w:r>
        <w:rPr>
          <w:rStyle w:val="FootnoteReference"/>
        </w:rPr>
        <w:footnoteRef/>
      </w:r>
      <w:r>
        <w:t xml:space="preserve"> </w:t>
      </w:r>
      <w:r>
        <w:rPr>
          <w:sz w:val="20"/>
          <w:szCs w:val="20"/>
        </w:rPr>
        <w:t xml:space="preserve">TNO (2006), </w:t>
      </w:r>
      <w:r w:rsidRPr="00E32160">
        <w:rPr>
          <w:iCs/>
          <w:sz w:val="20"/>
          <w:szCs w:val="20"/>
        </w:rPr>
        <w:t xml:space="preserve">CEER </w:t>
      </w:r>
      <w:r>
        <w:rPr>
          <w:iCs/>
          <w:sz w:val="20"/>
          <w:szCs w:val="20"/>
        </w:rPr>
        <w:t>(</w:t>
      </w:r>
      <w:r w:rsidRPr="00E32160">
        <w:rPr>
          <w:iCs/>
          <w:sz w:val="20"/>
          <w:szCs w:val="20"/>
        </w:rPr>
        <w:t>2006</w:t>
      </w:r>
      <w:r>
        <w:rPr>
          <w:iCs/>
          <w:sz w:val="20"/>
          <w:szCs w:val="20"/>
        </w:rPr>
        <w:t xml:space="preserve">), </w:t>
      </w:r>
      <w:r w:rsidRPr="00E32160">
        <w:rPr>
          <w:iCs/>
          <w:sz w:val="20"/>
          <w:szCs w:val="20"/>
        </w:rPr>
        <w:t xml:space="preserve">CEER </w:t>
      </w:r>
      <w:r>
        <w:rPr>
          <w:iCs/>
          <w:sz w:val="20"/>
          <w:szCs w:val="20"/>
        </w:rPr>
        <w:t>(</w:t>
      </w:r>
      <w:r w:rsidRPr="00E32160">
        <w:rPr>
          <w:iCs/>
          <w:sz w:val="20"/>
          <w:szCs w:val="20"/>
        </w:rPr>
        <w:t>2006</w:t>
      </w:r>
      <w:r w:rsidR="001360A2">
        <w:rPr>
          <w:iCs/>
          <w:sz w:val="20"/>
          <w:szCs w:val="20"/>
        </w:rPr>
        <w:t>b)</w:t>
      </w:r>
    </w:p>
  </w:footnote>
  <w:footnote w:id="63">
    <w:p w:rsidR="005E7173" w:rsidRDefault="005E7173" w:rsidP="00503F7F">
      <w:pPr>
        <w:autoSpaceDE w:val="0"/>
        <w:autoSpaceDN w:val="0"/>
        <w:adjustRightInd w:val="0"/>
        <w:spacing w:after="0" w:line="240" w:lineRule="auto"/>
      </w:pPr>
      <w:r>
        <w:rPr>
          <w:rStyle w:val="FootnoteReference"/>
        </w:rPr>
        <w:footnoteRef/>
      </w:r>
      <w:r>
        <w:t xml:space="preserve"> </w:t>
      </w:r>
      <w:r>
        <w:rPr>
          <w:rFonts w:ascii="AdvPS6F00" w:hAnsi="AdvPS6F00" w:cs="AdvPS6F00"/>
          <w:sz w:val="20"/>
          <w:szCs w:val="20"/>
        </w:rPr>
        <w:t>BenDor and Ford estimate market shares for new car sales under a feebate (a combination of fees and rebates) program to promote the sale of cleaner new vehicles. The simulation of user choices is based on a discrete-choice model estimated from a stated preference survey in California. The analysis assumes that buyers of new cars may choose between vehicles fueled by gasoline, alcohol, electricity, and compressed natural gas. In the reference scenario, a US$3,000 fee on the most polluting vehicle technology (conventional vehicle fueled by gasoline or diesel) and a US$7,000 rebate on the most environmentally friendly one (electric vehicle) result in a 15% reduction of the market share of conventional vehicles and an 11% increase in the share of electric vehicles in the new sales mix.</w:t>
      </w:r>
    </w:p>
  </w:footnote>
  <w:footnote w:id="64">
    <w:p w:rsidR="005E7173" w:rsidRDefault="005E7173" w:rsidP="002733AF">
      <w:pPr>
        <w:pStyle w:val="FootnoteText"/>
      </w:pPr>
      <w:r>
        <w:rPr>
          <w:rStyle w:val="FootnoteReference"/>
        </w:rPr>
        <w:footnoteRef/>
      </w:r>
      <w:r>
        <w:t xml:space="preserve"> This entire annex is from Faiz, Weaver, and Walsh (1996).</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03110"/>
    <w:multiLevelType w:val="hybridMultilevel"/>
    <w:tmpl w:val="FDE260D8"/>
    <w:lvl w:ilvl="0" w:tplc="C652F142">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846ADC"/>
    <w:multiLevelType w:val="hybridMultilevel"/>
    <w:tmpl w:val="01D499FE"/>
    <w:lvl w:ilvl="0" w:tplc="EA1CBB40">
      <w:start w:val="1"/>
      <w:numFmt w:val="upperLetter"/>
      <w:lvlText w:val="%1."/>
      <w:lvlJc w:val="left"/>
      <w:pPr>
        <w:ind w:left="720" w:hanging="360"/>
      </w:pPr>
      <w:rPr>
        <w:rFonts w:hint="default"/>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4403DD"/>
    <w:multiLevelType w:val="hybridMultilevel"/>
    <w:tmpl w:val="2708AF9C"/>
    <w:lvl w:ilvl="0" w:tplc="5F8024B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C84A77"/>
    <w:multiLevelType w:val="hybridMultilevel"/>
    <w:tmpl w:val="9B2C52F0"/>
    <w:lvl w:ilvl="0" w:tplc="C652F142">
      <w:start w:val="1"/>
      <w:numFmt w:val="decimal"/>
      <w:lvlText w:val="3.%1)"/>
      <w:lvlJc w:val="left"/>
      <w:pPr>
        <w:ind w:left="720" w:hanging="360"/>
      </w:pPr>
      <w:rPr>
        <w:rFonts w:hint="default"/>
      </w:rPr>
    </w:lvl>
    <w:lvl w:ilvl="1" w:tplc="282EF75E">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D44C9D"/>
    <w:multiLevelType w:val="hybridMultilevel"/>
    <w:tmpl w:val="BC48C6C2"/>
    <w:lvl w:ilvl="0" w:tplc="B0BCB6B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782223"/>
    <w:multiLevelType w:val="hybridMultilevel"/>
    <w:tmpl w:val="4E5A23C2"/>
    <w:lvl w:ilvl="0" w:tplc="49301620">
      <w:start w:val="1"/>
      <w:numFmt w:val="decimal"/>
      <w:pStyle w:val="NormalNumbered"/>
      <w:lvlText w:val="%1."/>
      <w:lvlJc w:val="left"/>
      <w:pPr>
        <w:tabs>
          <w:tab w:val="num" w:pos="1080"/>
        </w:tabs>
        <w:ind w:left="0" w:firstLine="0"/>
      </w:pPr>
      <w:rPr>
        <w:rFonts w:hint="default"/>
      </w:rPr>
    </w:lvl>
    <w:lvl w:ilvl="1" w:tplc="04090001">
      <w:start w:val="1"/>
      <w:numFmt w:val="bullet"/>
      <w:lvlText w:val=""/>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2BC4BE9"/>
    <w:multiLevelType w:val="hybridMultilevel"/>
    <w:tmpl w:val="FA2AC1CC"/>
    <w:lvl w:ilvl="0" w:tplc="8D36F4AC">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403CAB"/>
    <w:multiLevelType w:val="hybridMultilevel"/>
    <w:tmpl w:val="AEDA63E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F506FC"/>
    <w:multiLevelType w:val="hybridMultilevel"/>
    <w:tmpl w:val="A4141278"/>
    <w:lvl w:ilvl="0" w:tplc="09A65FE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7154FBA"/>
    <w:multiLevelType w:val="hybridMultilevel"/>
    <w:tmpl w:val="FDE260D8"/>
    <w:lvl w:ilvl="0" w:tplc="C652F142">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97E6707"/>
    <w:multiLevelType w:val="hybridMultilevel"/>
    <w:tmpl w:val="84705F4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BBC4FF1"/>
    <w:multiLevelType w:val="hybridMultilevel"/>
    <w:tmpl w:val="E474F278"/>
    <w:lvl w:ilvl="0" w:tplc="B47EEA52">
      <w:numFmt w:val="bullet"/>
      <w:lvlText w:val="-"/>
      <w:lvlJc w:val="left"/>
      <w:pPr>
        <w:ind w:left="720" w:hanging="360"/>
      </w:pPr>
      <w:rPr>
        <w:rFonts w:ascii="Times New Roman" w:eastAsiaTheme="minorEastAsia"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DA23852"/>
    <w:multiLevelType w:val="hybridMultilevel"/>
    <w:tmpl w:val="FA2AC1CC"/>
    <w:lvl w:ilvl="0" w:tplc="8D36F4AC">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FD223A3"/>
    <w:multiLevelType w:val="hybridMultilevel"/>
    <w:tmpl w:val="36C6AC92"/>
    <w:lvl w:ilvl="0" w:tplc="04090001">
      <w:start w:val="1"/>
      <w:numFmt w:val="bullet"/>
      <w:lvlText w:val=""/>
      <w:lvlJc w:val="left"/>
      <w:pPr>
        <w:ind w:left="720" w:hanging="360"/>
      </w:pPr>
      <w:rPr>
        <w:rFonts w:ascii="Symbol" w:hAnsi="Symbol" w:hint="default"/>
      </w:rPr>
    </w:lvl>
    <w:lvl w:ilvl="1" w:tplc="E5DCED26">
      <w:numFmt w:val="bullet"/>
      <w:lvlText w:val="•"/>
      <w:lvlJc w:val="left"/>
      <w:pPr>
        <w:ind w:left="1830" w:hanging="750"/>
      </w:pPr>
      <w:rPr>
        <w:rFonts w:ascii="Times New Roman" w:eastAsiaTheme="minorEastAsia"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1A809CF"/>
    <w:multiLevelType w:val="hybridMultilevel"/>
    <w:tmpl w:val="79C8637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9980A35"/>
    <w:multiLevelType w:val="hybridMultilevel"/>
    <w:tmpl w:val="FA2AC1CC"/>
    <w:lvl w:ilvl="0" w:tplc="8D36F4AC">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D9C0C00"/>
    <w:multiLevelType w:val="hybridMultilevel"/>
    <w:tmpl w:val="09184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F693AB4"/>
    <w:multiLevelType w:val="hybridMultilevel"/>
    <w:tmpl w:val="8494BD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7687C8B"/>
    <w:multiLevelType w:val="hybridMultilevel"/>
    <w:tmpl w:val="B720E284"/>
    <w:lvl w:ilvl="0" w:tplc="3C840CF6">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1677403"/>
    <w:multiLevelType w:val="hybridMultilevel"/>
    <w:tmpl w:val="8AD6DB98"/>
    <w:lvl w:ilvl="0" w:tplc="0310D62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CE71E09"/>
    <w:multiLevelType w:val="hybridMultilevel"/>
    <w:tmpl w:val="B720E284"/>
    <w:lvl w:ilvl="0" w:tplc="3C840CF6">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DB62CE5"/>
    <w:multiLevelType w:val="hybridMultilevel"/>
    <w:tmpl w:val="B720E284"/>
    <w:lvl w:ilvl="0" w:tplc="3C840CF6">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16501F2"/>
    <w:multiLevelType w:val="multilevel"/>
    <w:tmpl w:val="264CABD0"/>
    <w:lvl w:ilvl="0">
      <w:start w:val="1"/>
      <w:numFmt w:val="upperRoman"/>
      <w:pStyle w:val="Heading1"/>
      <w:lvlText w:val="%1."/>
      <w:lvlJc w:val="left"/>
      <w:pPr>
        <w:ind w:left="0" w:firstLine="0"/>
      </w:pPr>
      <w:rPr>
        <w:rFonts w:hint="default"/>
      </w:rPr>
    </w:lvl>
    <w:lvl w:ilvl="1">
      <w:start w:val="1"/>
      <w:numFmt w:val="upperLetter"/>
      <w:pStyle w:val="Heading2"/>
      <w:lvlText w:val="%2."/>
      <w:lvlJc w:val="left"/>
      <w:pPr>
        <w:ind w:left="720" w:firstLine="0"/>
      </w:pPr>
      <w:rPr>
        <w:rFonts w:hint="default"/>
      </w:rPr>
    </w:lvl>
    <w:lvl w:ilvl="2">
      <w:start w:val="1"/>
      <w:numFmt w:val="decimal"/>
      <w:pStyle w:val="Heading3"/>
      <w:lvlText w:val="%3."/>
      <w:lvlJc w:val="left"/>
      <w:pPr>
        <w:ind w:left="1440" w:firstLine="0"/>
      </w:pPr>
      <w:rPr>
        <w:rFonts w:hint="default"/>
      </w:rPr>
    </w:lvl>
    <w:lvl w:ilvl="3">
      <w:start w:val="1"/>
      <w:numFmt w:val="lowerLetter"/>
      <w:pStyle w:val="Heading4"/>
      <w:lvlText w:val="%4)"/>
      <w:lvlJc w:val="left"/>
      <w:pPr>
        <w:ind w:left="216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23">
    <w:nsid w:val="7B913701"/>
    <w:multiLevelType w:val="hybridMultilevel"/>
    <w:tmpl w:val="83FE427E"/>
    <w:lvl w:ilvl="0" w:tplc="3634CE78">
      <w:start w:val="1"/>
      <w:numFmt w:val="upp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16"/>
  </w:num>
  <w:num w:numId="3">
    <w:abstractNumId w:val="4"/>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2"/>
  </w:num>
  <w:num w:numId="9">
    <w:abstractNumId w:val="19"/>
  </w:num>
  <w:num w:numId="10">
    <w:abstractNumId w:val="15"/>
  </w:num>
  <w:num w:numId="11">
    <w:abstractNumId w:val="20"/>
  </w:num>
  <w:num w:numId="12">
    <w:abstractNumId w:val="0"/>
  </w:num>
  <w:num w:numId="13">
    <w:abstractNumId w:val="1"/>
  </w:num>
  <w:num w:numId="14">
    <w:abstractNumId w:val="7"/>
  </w:num>
  <w:num w:numId="15">
    <w:abstractNumId w:val="5"/>
  </w:num>
  <w:num w:numId="16">
    <w:abstractNumId w:val="10"/>
  </w:num>
  <w:num w:numId="17">
    <w:abstractNumId w:val="23"/>
  </w:num>
  <w:num w:numId="18">
    <w:abstractNumId w:val="12"/>
  </w:num>
  <w:num w:numId="19">
    <w:abstractNumId w:val="18"/>
  </w:num>
  <w:num w:numId="20">
    <w:abstractNumId w:val="9"/>
  </w:num>
  <w:num w:numId="21">
    <w:abstractNumId w:val="22"/>
  </w:num>
  <w:num w:numId="22">
    <w:abstractNumId w:val="2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 w:numId="29">
    <w:abstractNumId w:val="8"/>
  </w:num>
  <w:num w:numId="30">
    <w:abstractNumId w:val="6"/>
  </w:num>
  <w:num w:numId="31">
    <w:abstractNumId w:val="21"/>
  </w:num>
  <w:num w:numId="32">
    <w:abstractNumId w:val="3"/>
  </w:num>
  <w:num w:numId="33">
    <w:abstractNumId w:val="14"/>
  </w:num>
  <w:num w:numId="34">
    <w:abstractNumId w:val="17"/>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Formatting/>
  <w:defaultTabStop w:val="720"/>
  <w:drawingGridHorizontalSpacing w:val="110"/>
  <w:displayHorizontalDrawingGridEvery w:val="2"/>
  <w:characterSpacingControl w:val="doNotCompress"/>
  <w:footnotePr>
    <w:footnote w:id="-1"/>
    <w:footnote w:id="0"/>
  </w:footnotePr>
  <w:endnotePr>
    <w:endnote w:id="-1"/>
    <w:endnote w:id="0"/>
  </w:endnotePr>
  <w:compat>
    <w:useFELayout/>
  </w:compat>
  <w:rsids>
    <w:rsidRoot w:val="00220995"/>
    <w:rsid w:val="000000B7"/>
    <w:rsid w:val="000000BB"/>
    <w:rsid w:val="00000E2C"/>
    <w:rsid w:val="000022EA"/>
    <w:rsid w:val="000029FF"/>
    <w:rsid w:val="000031D7"/>
    <w:rsid w:val="000034E0"/>
    <w:rsid w:val="00004D4F"/>
    <w:rsid w:val="00007749"/>
    <w:rsid w:val="0001018D"/>
    <w:rsid w:val="00011522"/>
    <w:rsid w:val="00013B0B"/>
    <w:rsid w:val="000143CC"/>
    <w:rsid w:val="000152C1"/>
    <w:rsid w:val="000162B6"/>
    <w:rsid w:val="00021BC2"/>
    <w:rsid w:val="00021E28"/>
    <w:rsid w:val="00022557"/>
    <w:rsid w:val="000226E9"/>
    <w:rsid w:val="00024961"/>
    <w:rsid w:val="00025C82"/>
    <w:rsid w:val="00026350"/>
    <w:rsid w:val="00027C9A"/>
    <w:rsid w:val="00030996"/>
    <w:rsid w:val="00030E7E"/>
    <w:rsid w:val="000317D4"/>
    <w:rsid w:val="00033F8F"/>
    <w:rsid w:val="000357A0"/>
    <w:rsid w:val="0003679E"/>
    <w:rsid w:val="00036C75"/>
    <w:rsid w:val="000376F4"/>
    <w:rsid w:val="00041CAB"/>
    <w:rsid w:val="00042829"/>
    <w:rsid w:val="00044400"/>
    <w:rsid w:val="000474F7"/>
    <w:rsid w:val="00047D68"/>
    <w:rsid w:val="000500CA"/>
    <w:rsid w:val="00054E32"/>
    <w:rsid w:val="0005560A"/>
    <w:rsid w:val="000559CB"/>
    <w:rsid w:val="00056311"/>
    <w:rsid w:val="00056B93"/>
    <w:rsid w:val="00061B58"/>
    <w:rsid w:val="0006360C"/>
    <w:rsid w:val="00063758"/>
    <w:rsid w:val="00064D23"/>
    <w:rsid w:val="000654D7"/>
    <w:rsid w:val="00065598"/>
    <w:rsid w:val="0006568D"/>
    <w:rsid w:val="00066094"/>
    <w:rsid w:val="000702D9"/>
    <w:rsid w:val="00071B36"/>
    <w:rsid w:val="00075E61"/>
    <w:rsid w:val="00075F9C"/>
    <w:rsid w:val="00077B8B"/>
    <w:rsid w:val="00077F65"/>
    <w:rsid w:val="0008138A"/>
    <w:rsid w:val="000818CA"/>
    <w:rsid w:val="00081E4F"/>
    <w:rsid w:val="0008374F"/>
    <w:rsid w:val="00084179"/>
    <w:rsid w:val="00084E40"/>
    <w:rsid w:val="00085075"/>
    <w:rsid w:val="00086E68"/>
    <w:rsid w:val="0008759D"/>
    <w:rsid w:val="00087CE2"/>
    <w:rsid w:val="00090EBD"/>
    <w:rsid w:val="00091D38"/>
    <w:rsid w:val="000924AC"/>
    <w:rsid w:val="0009251C"/>
    <w:rsid w:val="0009278A"/>
    <w:rsid w:val="00093252"/>
    <w:rsid w:val="000939A3"/>
    <w:rsid w:val="00095E6D"/>
    <w:rsid w:val="0009658F"/>
    <w:rsid w:val="00096FD0"/>
    <w:rsid w:val="00097C63"/>
    <w:rsid w:val="000A117E"/>
    <w:rsid w:val="000A151C"/>
    <w:rsid w:val="000A27C0"/>
    <w:rsid w:val="000A31B2"/>
    <w:rsid w:val="000A4FA7"/>
    <w:rsid w:val="000A69E7"/>
    <w:rsid w:val="000A6C39"/>
    <w:rsid w:val="000A79B7"/>
    <w:rsid w:val="000B08E8"/>
    <w:rsid w:val="000B0FA5"/>
    <w:rsid w:val="000B15A3"/>
    <w:rsid w:val="000B41A0"/>
    <w:rsid w:val="000B46E2"/>
    <w:rsid w:val="000B70B9"/>
    <w:rsid w:val="000B7EA1"/>
    <w:rsid w:val="000C0F37"/>
    <w:rsid w:val="000C1245"/>
    <w:rsid w:val="000C25E9"/>
    <w:rsid w:val="000C2721"/>
    <w:rsid w:val="000C4B51"/>
    <w:rsid w:val="000C5F22"/>
    <w:rsid w:val="000C6027"/>
    <w:rsid w:val="000C7377"/>
    <w:rsid w:val="000D34B3"/>
    <w:rsid w:val="000D3721"/>
    <w:rsid w:val="000D461D"/>
    <w:rsid w:val="000D4869"/>
    <w:rsid w:val="000D5E48"/>
    <w:rsid w:val="000E1F6C"/>
    <w:rsid w:val="000E2F76"/>
    <w:rsid w:val="000E32A9"/>
    <w:rsid w:val="000E3565"/>
    <w:rsid w:val="000E548D"/>
    <w:rsid w:val="000F125B"/>
    <w:rsid w:val="000F1ECB"/>
    <w:rsid w:val="000F50A0"/>
    <w:rsid w:val="000F69BD"/>
    <w:rsid w:val="000F7E3A"/>
    <w:rsid w:val="0010127D"/>
    <w:rsid w:val="001018E9"/>
    <w:rsid w:val="001046A2"/>
    <w:rsid w:val="0010601C"/>
    <w:rsid w:val="001064A4"/>
    <w:rsid w:val="00106E4B"/>
    <w:rsid w:val="0010766D"/>
    <w:rsid w:val="00110A64"/>
    <w:rsid w:val="00112F0C"/>
    <w:rsid w:val="001134D5"/>
    <w:rsid w:val="001178CE"/>
    <w:rsid w:val="0012336C"/>
    <w:rsid w:val="00125686"/>
    <w:rsid w:val="00125901"/>
    <w:rsid w:val="00125DC5"/>
    <w:rsid w:val="00127390"/>
    <w:rsid w:val="00127E38"/>
    <w:rsid w:val="00127F11"/>
    <w:rsid w:val="001326D4"/>
    <w:rsid w:val="0013368E"/>
    <w:rsid w:val="0013388C"/>
    <w:rsid w:val="00135505"/>
    <w:rsid w:val="00135F65"/>
    <w:rsid w:val="001360A2"/>
    <w:rsid w:val="00136CFC"/>
    <w:rsid w:val="00137B12"/>
    <w:rsid w:val="001407BD"/>
    <w:rsid w:val="00143200"/>
    <w:rsid w:val="00144CEF"/>
    <w:rsid w:val="00146B4D"/>
    <w:rsid w:val="00147C22"/>
    <w:rsid w:val="00150E1E"/>
    <w:rsid w:val="0015269A"/>
    <w:rsid w:val="00153007"/>
    <w:rsid w:val="00154EC2"/>
    <w:rsid w:val="0015627F"/>
    <w:rsid w:val="00156A35"/>
    <w:rsid w:val="0016053A"/>
    <w:rsid w:val="0016097A"/>
    <w:rsid w:val="00160998"/>
    <w:rsid w:val="00161067"/>
    <w:rsid w:val="0016397F"/>
    <w:rsid w:val="00164211"/>
    <w:rsid w:val="00166908"/>
    <w:rsid w:val="00166FB1"/>
    <w:rsid w:val="001701CF"/>
    <w:rsid w:val="0017284E"/>
    <w:rsid w:val="00172B70"/>
    <w:rsid w:val="0017301A"/>
    <w:rsid w:val="00173766"/>
    <w:rsid w:val="00173DF7"/>
    <w:rsid w:val="001759B9"/>
    <w:rsid w:val="00177638"/>
    <w:rsid w:val="00182091"/>
    <w:rsid w:val="00184802"/>
    <w:rsid w:val="00185BE3"/>
    <w:rsid w:val="00185DA2"/>
    <w:rsid w:val="001947EE"/>
    <w:rsid w:val="00196FDA"/>
    <w:rsid w:val="00197EC3"/>
    <w:rsid w:val="001A1033"/>
    <w:rsid w:val="001A251A"/>
    <w:rsid w:val="001A3710"/>
    <w:rsid w:val="001A3BD0"/>
    <w:rsid w:val="001A5AAC"/>
    <w:rsid w:val="001A6962"/>
    <w:rsid w:val="001A6CB6"/>
    <w:rsid w:val="001A7AF8"/>
    <w:rsid w:val="001B2C33"/>
    <w:rsid w:val="001B2E5E"/>
    <w:rsid w:val="001B4F16"/>
    <w:rsid w:val="001B5EB8"/>
    <w:rsid w:val="001B6200"/>
    <w:rsid w:val="001B6F7A"/>
    <w:rsid w:val="001B77F3"/>
    <w:rsid w:val="001C0147"/>
    <w:rsid w:val="001C0218"/>
    <w:rsid w:val="001C0F40"/>
    <w:rsid w:val="001C3C71"/>
    <w:rsid w:val="001C3CAE"/>
    <w:rsid w:val="001C458C"/>
    <w:rsid w:val="001C6636"/>
    <w:rsid w:val="001C6668"/>
    <w:rsid w:val="001C6EC6"/>
    <w:rsid w:val="001C7608"/>
    <w:rsid w:val="001C763C"/>
    <w:rsid w:val="001C7F60"/>
    <w:rsid w:val="001D088D"/>
    <w:rsid w:val="001D08FB"/>
    <w:rsid w:val="001D0EAA"/>
    <w:rsid w:val="001D6BA6"/>
    <w:rsid w:val="001D7118"/>
    <w:rsid w:val="001D74C8"/>
    <w:rsid w:val="001E3917"/>
    <w:rsid w:val="001E3B26"/>
    <w:rsid w:val="001E4408"/>
    <w:rsid w:val="001E4847"/>
    <w:rsid w:val="001E4BFB"/>
    <w:rsid w:val="001E5C49"/>
    <w:rsid w:val="001E7360"/>
    <w:rsid w:val="001E7EF5"/>
    <w:rsid w:val="001F01B9"/>
    <w:rsid w:val="001F118B"/>
    <w:rsid w:val="001F1EDC"/>
    <w:rsid w:val="001F2AAD"/>
    <w:rsid w:val="001F3071"/>
    <w:rsid w:val="00200EB2"/>
    <w:rsid w:val="002019E6"/>
    <w:rsid w:val="0020525E"/>
    <w:rsid w:val="00210F06"/>
    <w:rsid w:val="002125CD"/>
    <w:rsid w:val="002125F7"/>
    <w:rsid w:val="00214009"/>
    <w:rsid w:val="00214331"/>
    <w:rsid w:val="00214381"/>
    <w:rsid w:val="0021592F"/>
    <w:rsid w:val="00216733"/>
    <w:rsid w:val="00220995"/>
    <w:rsid w:val="0022173E"/>
    <w:rsid w:val="00225A14"/>
    <w:rsid w:val="00225F5F"/>
    <w:rsid w:val="00225FDD"/>
    <w:rsid w:val="00227C71"/>
    <w:rsid w:val="0023152B"/>
    <w:rsid w:val="00232131"/>
    <w:rsid w:val="0023319A"/>
    <w:rsid w:val="00234139"/>
    <w:rsid w:val="002360C5"/>
    <w:rsid w:val="002375A5"/>
    <w:rsid w:val="00240684"/>
    <w:rsid w:val="00240E1B"/>
    <w:rsid w:val="0024114D"/>
    <w:rsid w:val="0024174B"/>
    <w:rsid w:val="002417C3"/>
    <w:rsid w:val="00241CC0"/>
    <w:rsid w:val="00243E2A"/>
    <w:rsid w:val="00245204"/>
    <w:rsid w:val="002457FD"/>
    <w:rsid w:val="00245E24"/>
    <w:rsid w:val="002471E2"/>
    <w:rsid w:val="0025028E"/>
    <w:rsid w:val="00250C34"/>
    <w:rsid w:val="00250F7A"/>
    <w:rsid w:val="002513E7"/>
    <w:rsid w:val="00251EF8"/>
    <w:rsid w:val="00252C48"/>
    <w:rsid w:val="00252E7C"/>
    <w:rsid w:val="00253CD3"/>
    <w:rsid w:val="00253D80"/>
    <w:rsid w:val="00253EEC"/>
    <w:rsid w:val="00254B4B"/>
    <w:rsid w:val="00255F2F"/>
    <w:rsid w:val="00260267"/>
    <w:rsid w:val="002615EE"/>
    <w:rsid w:val="00261E5D"/>
    <w:rsid w:val="00263D5C"/>
    <w:rsid w:val="002650DB"/>
    <w:rsid w:val="00266630"/>
    <w:rsid w:val="002679D2"/>
    <w:rsid w:val="0027213A"/>
    <w:rsid w:val="002733AF"/>
    <w:rsid w:val="0027346F"/>
    <w:rsid w:val="00273DF3"/>
    <w:rsid w:val="00274CA1"/>
    <w:rsid w:val="00274D6E"/>
    <w:rsid w:val="00274F3E"/>
    <w:rsid w:val="0027658E"/>
    <w:rsid w:val="0027677C"/>
    <w:rsid w:val="00277AA5"/>
    <w:rsid w:val="00281C25"/>
    <w:rsid w:val="00282960"/>
    <w:rsid w:val="00283ABB"/>
    <w:rsid w:val="00287263"/>
    <w:rsid w:val="00287317"/>
    <w:rsid w:val="00291E4D"/>
    <w:rsid w:val="0029201B"/>
    <w:rsid w:val="00292213"/>
    <w:rsid w:val="00294561"/>
    <w:rsid w:val="00295361"/>
    <w:rsid w:val="00296008"/>
    <w:rsid w:val="00296680"/>
    <w:rsid w:val="00297725"/>
    <w:rsid w:val="00297790"/>
    <w:rsid w:val="002A0AE8"/>
    <w:rsid w:val="002A0EAE"/>
    <w:rsid w:val="002A1C40"/>
    <w:rsid w:val="002A5644"/>
    <w:rsid w:val="002A5FE1"/>
    <w:rsid w:val="002B3D10"/>
    <w:rsid w:val="002B5B91"/>
    <w:rsid w:val="002B5DBD"/>
    <w:rsid w:val="002B66AC"/>
    <w:rsid w:val="002C25B6"/>
    <w:rsid w:val="002C3BE9"/>
    <w:rsid w:val="002D0AD0"/>
    <w:rsid w:val="002D1750"/>
    <w:rsid w:val="002D6435"/>
    <w:rsid w:val="002D72AF"/>
    <w:rsid w:val="002D7F9B"/>
    <w:rsid w:val="002E531D"/>
    <w:rsid w:val="002E6AA6"/>
    <w:rsid w:val="002E6C45"/>
    <w:rsid w:val="002F0776"/>
    <w:rsid w:val="002F26D7"/>
    <w:rsid w:val="002F2E44"/>
    <w:rsid w:val="002F7103"/>
    <w:rsid w:val="003002E2"/>
    <w:rsid w:val="00300B7B"/>
    <w:rsid w:val="0030440C"/>
    <w:rsid w:val="00304866"/>
    <w:rsid w:val="003053B2"/>
    <w:rsid w:val="00305936"/>
    <w:rsid w:val="00306954"/>
    <w:rsid w:val="00306CB7"/>
    <w:rsid w:val="003075A5"/>
    <w:rsid w:val="00310960"/>
    <w:rsid w:val="003130CB"/>
    <w:rsid w:val="00314771"/>
    <w:rsid w:val="00315E1E"/>
    <w:rsid w:val="0031677E"/>
    <w:rsid w:val="00317B82"/>
    <w:rsid w:val="003233A7"/>
    <w:rsid w:val="00324BD6"/>
    <w:rsid w:val="003253AC"/>
    <w:rsid w:val="00330169"/>
    <w:rsid w:val="00330888"/>
    <w:rsid w:val="00332594"/>
    <w:rsid w:val="00332962"/>
    <w:rsid w:val="003345E1"/>
    <w:rsid w:val="00336C60"/>
    <w:rsid w:val="00340001"/>
    <w:rsid w:val="00342680"/>
    <w:rsid w:val="003437C0"/>
    <w:rsid w:val="00347B21"/>
    <w:rsid w:val="00350334"/>
    <w:rsid w:val="00350643"/>
    <w:rsid w:val="00350FEA"/>
    <w:rsid w:val="00351D0A"/>
    <w:rsid w:val="00351E46"/>
    <w:rsid w:val="00352665"/>
    <w:rsid w:val="00352843"/>
    <w:rsid w:val="00353E27"/>
    <w:rsid w:val="0035660E"/>
    <w:rsid w:val="003575BC"/>
    <w:rsid w:val="00360F1A"/>
    <w:rsid w:val="003611CE"/>
    <w:rsid w:val="00361CED"/>
    <w:rsid w:val="00364162"/>
    <w:rsid w:val="0036441E"/>
    <w:rsid w:val="00365EA9"/>
    <w:rsid w:val="00366EA9"/>
    <w:rsid w:val="003671C9"/>
    <w:rsid w:val="003702BA"/>
    <w:rsid w:val="00372C9A"/>
    <w:rsid w:val="00373070"/>
    <w:rsid w:val="00373C89"/>
    <w:rsid w:val="00373D7B"/>
    <w:rsid w:val="003745EC"/>
    <w:rsid w:val="00374614"/>
    <w:rsid w:val="0037480F"/>
    <w:rsid w:val="0037530E"/>
    <w:rsid w:val="00380838"/>
    <w:rsid w:val="00381CF4"/>
    <w:rsid w:val="00382898"/>
    <w:rsid w:val="003840BC"/>
    <w:rsid w:val="00384887"/>
    <w:rsid w:val="0038713D"/>
    <w:rsid w:val="00387673"/>
    <w:rsid w:val="00391365"/>
    <w:rsid w:val="00391DC1"/>
    <w:rsid w:val="00394B4B"/>
    <w:rsid w:val="00395888"/>
    <w:rsid w:val="003964DB"/>
    <w:rsid w:val="003A10F6"/>
    <w:rsid w:val="003A1385"/>
    <w:rsid w:val="003A237B"/>
    <w:rsid w:val="003A2E5A"/>
    <w:rsid w:val="003A2F90"/>
    <w:rsid w:val="003A30C0"/>
    <w:rsid w:val="003A378D"/>
    <w:rsid w:val="003A4075"/>
    <w:rsid w:val="003A7B57"/>
    <w:rsid w:val="003B1160"/>
    <w:rsid w:val="003B124E"/>
    <w:rsid w:val="003B29A3"/>
    <w:rsid w:val="003B3AA2"/>
    <w:rsid w:val="003B3B17"/>
    <w:rsid w:val="003B50E9"/>
    <w:rsid w:val="003B5E37"/>
    <w:rsid w:val="003B5EDC"/>
    <w:rsid w:val="003B6552"/>
    <w:rsid w:val="003B6ED9"/>
    <w:rsid w:val="003C08B5"/>
    <w:rsid w:val="003C5B26"/>
    <w:rsid w:val="003C7107"/>
    <w:rsid w:val="003C7163"/>
    <w:rsid w:val="003C77A0"/>
    <w:rsid w:val="003C78E4"/>
    <w:rsid w:val="003C7F66"/>
    <w:rsid w:val="003D0BCE"/>
    <w:rsid w:val="003D138C"/>
    <w:rsid w:val="003D1E27"/>
    <w:rsid w:val="003D36AC"/>
    <w:rsid w:val="003D4967"/>
    <w:rsid w:val="003D5180"/>
    <w:rsid w:val="003D52D2"/>
    <w:rsid w:val="003D6114"/>
    <w:rsid w:val="003D6A02"/>
    <w:rsid w:val="003E048C"/>
    <w:rsid w:val="003E1471"/>
    <w:rsid w:val="003E1F02"/>
    <w:rsid w:val="003E444C"/>
    <w:rsid w:val="003E4AD1"/>
    <w:rsid w:val="003E51BF"/>
    <w:rsid w:val="003E5740"/>
    <w:rsid w:val="003E69DB"/>
    <w:rsid w:val="003E738B"/>
    <w:rsid w:val="003F3093"/>
    <w:rsid w:val="003F35EB"/>
    <w:rsid w:val="003F49C9"/>
    <w:rsid w:val="003F58B3"/>
    <w:rsid w:val="003F5A62"/>
    <w:rsid w:val="003F6A64"/>
    <w:rsid w:val="003F6B26"/>
    <w:rsid w:val="003F73D9"/>
    <w:rsid w:val="003F7BAE"/>
    <w:rsid w:val="0040043B"/>
    <w:rsid w:val="004004FB"/>
    <w:rsid w:val="0040173E"/>
    <w:rsid w:val="00402CF1"/>
    <w:rsid w:val="00403287"/>
    <w:rsid w:val="004034F1"/>
    <w:rsid w:val="004035C9"/>
    <w:rsid w:val="004063AB"/>
    <w:rsid w:val="004067DF"/>
    <w:rsid w:val="00407E3D"/>
    <w:rsid w:val="00412119"/>
    <w:rsid w:val="0041375E"/>
    <w:rsid w:val="00415085"/>
    <w:rsid w:val="00415AD2"/>
    <w:rsid w:val="00420278"/>
    <w:rsid w:val="00422A4E"/>
    <w:rsid w:val="00430CE3"/>
    <w:rsid w:val="00432219"/>
    <w:rsid w:val="0043500B"/>
    <w:rsid w:val="004353B0"/>
    <w:rsid w:val="00435AB8"/>
    <w:rsid w:val="004368E2"/>
    <w:rsid w:val="00441185"/>
    <w:rsid w:val="0044204F"/>
    <w:rsid w:val="0044209F"/>
    <w:rsid w:val="0044225E"/>
    <w:rsid w:val="00446FAE"/>
    <w:rsid w:val="00447EA4"/>
    <w:rsid w:val="00450807"/>
    <w:rsid w:val="00450FDF"/>
    <w:rsid w:val="00451EF5"/>
    <w:rsid w:val="0045260B"/>
    <w:rsid w:val="00452C28"/>
    <w:rsid w:val="0045415B"/>
    <w:rsid w:val="004546A7"/>
    <w:rsid w:val="004547E4"/>
    <w:rsid w:val="00454E8A"/>
    <w:rsid w:val="004605FC"/>
    <w:rsid w:val="00461B97"/>
    <w:rsid w:val="00461E59"/>
    <w:rsid w:val="00462C38"/>
    <w:rsid w:val="004640D4"/>
    <w:rsid w:val="004651D2"/>
    <w:rsid w:val="004670A3"/>
    <w:rsid w:val="004670DA"/>
    <w:rsid w:val="0047077D"/>
    <w:rsid w:val="00470FA6"/>
    <w:rsid w:val="004723FE"/>
    <w:rsid w:val="0047254B"/>
    <w:rsid w:val="004726A2"/>
    <w:rsid w:val="00472E78"/>
    <w:rsid w:val="004733B2"/>
    <w:rsid w:val="00473726"/>
    <w:rsid w:val="004743BE"/>
    <w:rsid w:val="00474B58"/>
    <w:rsid w:val="00474D1C"/>
    <w:rsid w:val="004754B2"/>
    <w:rsid w:val="0047700C"/>
    <w:rsid w:val="00477DD6"/>
    <w:rsid w:val="00481485"/>
    <w:rsid w:val="0048358E"/>
    <w:rsid w:val="00483F3D"/>
    <w:rsid w:val="004863C9"/>
    <w:rsid w:val="00486A25"/>
    <w:rsid w:val="00487D2E"/>
    <w:rsid w:val="00491A62"/>
    <w:rsid w:val="004941E4"/>
    <w:rsid w:val="004947D8"/>
    <w:rsid w:val="00494B0E"/>
    <w:rsid w:val="0049620D"/>
    <w:rsid w:val="00497365"/>
    <w:rsid w:val="004A06F1"/>
    <w:rsid w:val="004A0F26"/>
    <w:rsid w:val="004A3C8F"/>
    <w:rsid w:val="004A4A37"/>
    <w:rsid w:val="004A738A"/>
    <w:rsid w:val="004B2267"/>
    <w:rsid w:val="004B2646"/>
    <w:rsid w:val="004B268C"/>
    <w:rsid w:val="004B31A4"/>
    <w:rsid w:val="004B3CF8"/>
    <w:rsid w:val="004B5ED2"/>
    <w:rsid w:val="004B6152"/>
    <w:rsid w:val="004B65BD"/>
    <w:rsid w:val="004C01FB"/>
    <w:rsid w:val="004C0F70"/>
    <w:rsid w:val="004C22BC"/>
    <w:rsid w:val="004C24A6"/>
    <w:rsid w:val="004C263C"/>
    <w:rsid w:val="004C2C2F"/>
    <w:rsid w:val="004C30B9"/>
    <w:rsid w:val="004C4226"/>
    <w:rsid w:val="004C5EA5"/>
    <w:rsid w:val="004C63A1"/>
    <w:rsid w:val="004D3E53"/>
    <w:rsid w:val="004D4B28"/>
    <w:rsid w:val="004D6DC4"/>
    <w:rsid w:val="004E1444"/>
    <w:rsid w:val="004E2AE3"/>
    <w:rsid w:val="004E5924"/>
    <w:rsid w:val="004E6889"/>
    <w:rsid w:val="004F0A63"/>
    <w:rsid w:val="004F149D"/>
    <w:rsid w:val="004F2B44"/>
    <w:rsid w:val="004F3C2A"/>
    <w:rsid w:val="004F406B"/>
    <w:rsid w:val="004F41D4"/>
    <w:rsid w:val="004F4843"/>
    <w:rsid w:val="004F4F26"/>
    <w:rsid w:val="004F5D3B"/>
    <w:rsid w:val="004F5FDF"/>
    <w:rsid w:val="00500A6D"/>
    <w:rsid w:val="005017BC"/>
    <w:rsid w:val="00501FB1"/>
    <w:rsid w:val="005027E1"/>
    <w:rsid w:val="00502A24"/>
    <w:rsid w:val="005036E1"/>
    <w:rsid w:val="0050398C"/>
    <w:rsid w:val="00503F7F"/>
    <w:rsid w:val="00504573"/>
    <w:rsid w:val="005078C2"/>
    <w:rsid w:val="00507C9C"/>
    <w:rsid w:val="00512C82"/>
    <w:rsid w:val="005134D3"/>
    <w:rsid w:val="00513717"/>
    <w:rsid w:val="00514399"/>
    <w:rsid w:val="00516AA2"/>
    <w:rsid w:val="00521331"/>
    <w:rsid w:val="0052212A"/>
    <w:rsid w:val="00523A29"/>
    <w:rsid w:val="00525183"/>
    <w:rsid w:val="005252FD"/>
    <w:rsid w:val="0052585B"/>
    <w:rsid w:val="00525CF1"/>
    <w:rsid w:val="00526DEA"/>
    <w:rsid w:val="005270CB"/>
    <w:rsid w:val="00531431"/>
    <w:rsid w:val="00532DCE"/>
    <w:rsid w:val="005331DB"/>
    <w:rsid w:val="0053397A"/>
    <w:rsid w:val="00534AD2"/>
    <w:rsid w:val="00536F22"/>
    <w:rsid w:val="0054148A"/>
    <w:rsid w:val="00541CC4"/>
    <w:rsid w:val="005421AA"/>
    <w:rsid w:val="00542D0F"/>
    <w:rsid w:val="00543016"/>
    <w:rsid w:val="00543824"/>
    <w:rsid w:val="00543D5E"/>
    <w:rsid w:val="00544DFE"/>
    <w:rsid w:val="00544EB2"/>
    <w:rsid w:val="00547F6C"/>
    <w:rsid w:val="005514BE"/>
    <w:rsid w:val="00551C22"/>
    <w:rsid w:val="005528F8"/>
    <w:rsid w:val="005543E8"/>
    <w:rsid w:val="005552EB"/>
    <w:rsid w:val="00557BCC"/>
    <w:rsid w:val="00560783"/>
    <w:rsid w:val="00560C54"/>
    <w:rsid w:val="0056147D"/>
    <w:rsid w:val="00561696"/>
    <w:rsid w:val="00562592"/>
    <w:rsid w:val="00562A5E"/>
    <w:rsid w:val="005631F9"/>
    <w:rsid w:val="005642DD"/>
    <w:rsid w:val="00566274"/>
    <w:rsid w:val="00570C38"/>
    <w:rsid w:val="00571905"/>
    <w:rsid w:val="00572E8C"/>
    <w:rsid w:val="005739A2"/>
    <w:rsid w:val="00573C55"/>
    <w:rsid w:val="005754B1"/>
    <w:rsid w:val="00575F1A"/>
    <w:rsid w:val="005760BC"/>
    <w:rsid w:val="005763AB"/>
    <w:rsid w:val="005764B5"/>
    <w:rsid w:val="00580B5E"/>
    <w:rsid w:val="005818A2"/>
    <w:rsid w:val="00581DAA"/>
    <w:rsid w:val="00582D37"/>
    <w:rsid w:val="00583778"/>
    <w:rsid w:val="00584B38"/>
    <w:rsid w:val="00584E39"/>
    <w:rsid w:val="005856A1"/>
    <w:rsid w:val="00585D99"/>
    <w:rsid w:val="00586244"/>
    <w:rsid w:val="005870D8"/>
    <w:rsid w:val="005877D7"/>
    <w:rsid w:val="0059088C"/>
    <w:rsid w:val="00591475"/>
    <w:rsid w:val="00593EB2"/>
    <w:rsid w:val="00595120"/>
    <w:rsid w:val="005952B4"/>
    <w:rsid w:val="00596A4F"/>
    <w:rsid w:val="005A0C95"/>
    <w:rsid w:val="005A184F"/>
    <w:rsid w:val="005A1C7C"/>
    <w:rsid w:val="005A1CD0"/>
    <w:rsid w:val="005A2444"/>
    <w:rsid w:val="005A49D3"/>
    <w:rsid w:val="005A5561"/>
    <w:rsid w:val="005A5C4D"/>
    <w:rsid w:val="005A76C7"/>
    <w:rsid w:val="005B093D"/>
    <w:rsid w:val="005B33B1"/>
    <w:rsid w:val="005B349E"/>
    <w:rsid w:val="005B3867"/>
    <w:rsid w:val="005B3EC1"/>
    <w:rsid w:val="005B4A3B"/>
    <w:rsid w:val="005B5085"/>
    <w:rsid w:val="005B5132"/>
    <w:rsid w:val="005C0552"/>
    <w:rsid w:val="005C1C15"/>
    <w:rsid w:val="005C2237"/>
    <w:rsid w:val="005C37AE"/>
    <w:rsid w:val="005C5AE4"/>
    <w:rsid w:val="005C6283"/>
    <w:rsid w:val="005C76EE"/>
    <w:rsid w:val="005D0E91"/>
    <w:rsid w:val="005D4F54"/>
    <w:rsid w:val="005D5909"/>
    <w:rsid w:val="005D59E2"/>
    <w:rsid w:val="005E0B89"/>
    <w:rsid w:val="005E23AF"/>
    <w:rsid w:val="005E42C6"/>
    <w:rsid w:val="005E4866"/>
    <w:rsid w:val="005E5D20"/>
    <w:rsid w:val="005E6778"/>
    <w:rsid w:val="005E7056"/>
    <w:rsid w:val="005E709F"/>
    <w:rsid w:val="005E7140"/>
    <w:rsid w:val="005E7173"/>
    <w:rsid w:val="005E7FCE"/>
    <w:rsid w:val="005F0B4C"/>
    <w:rsid w:val="005F0BF9"/>
    <w:rsid w:val="005F528D"/>
    <w:rsid w:val="005F54BF"/>
    <w:rsid w:val="005F6278"/>
    <w:rsid w:val="005F6722"/>
    <w:rsid w:val="005F7950"/>
    <w:rsid w:val="006011A8"/>
    <w:rsid w:val="006017DC"/>
    <w:rsid w:val="00602BBD"/>
    <w:rsid w:val="0060330C"/>
    <w:rsid w:val="00603B8D"/>
    <w:rsid w:val="00604963"/>
    <w:rsid w:val="006049B9"/>
    <w:rsid w:val="006100D8"/>
    <w:rsid w:val="00610C28"/>
    <w:rsid w:val="0061391D"/>
    <w:rsid w:val="006140BC"/>
    <w:rsid w:val="0061569C"/>
    <w:rsid w:val="00615C9E"/>
    <w:rsid w:val="006207BA"/>
    <w:rsid w:val="00624B2C"/>
    <w:rsid w:val="00626340"/>
    <w:rsid w:val="00630B5E"/>
    <w:rsid w:val="00631FE6"/>
    <w:rsid w:val="00633C36"/>
    <w:rsid w:val="0063496F"/>
    <w:rsid w:val="006369F0"/>
    <w:rsid w:val="0063732E"/>
    <w:rsid w:val="00643ADB"/>
    <w:rsid w:val="00643C10"/>
    <w:rsid w:val="00643D10"/>
    <w:rsid w:val="00645874"/>
    <w:rsid w:val="00650030"/>
    <w:rsid w:val="00651E79"/>
    <w:rsid w:val="006526FF"/>
    <w:rsid w:val="006532E4"/>
    <w:rsid w:val="00653684"/>
    <w:rsid w:val="006559E5"/>
    <w:rsid w:val="00655E90"/>
    <w:rsid w:val="00656022"/>
    <w:rsid w:val="00657060"/>
    <w:rsid w:val="00660189"/>
    <w:rsid w:val="006629C7"/>
    <w:rsid w:val="006632ED"/>
    <w:rsid w:val="00665250"/>
    <w:rsid w:val="006700CB"/>
    <w:rsid w:val="006708A4"/>
    <w:rsid w:val="0067145C"/>
    <w:rsid w:val="00671F71"/>
    <w:rsid w:val="00675050"/>
    <w:rsid w:val="006764F9"/>
    <w:rsid w:val="00682827"/>
    <w:rsid w:val="00685667"/>
    <w:rsid w:val="00685A7D"/>
    <w:rsid w:val="00685C51"/>
    <w:rsid w:val="0069180E"/>
    <w:rsid w:val="00692CFD"/>
    <w:rsid w:val="00692F27"/>
    <w:rsid w:val="00693B15"/>
    <w:rsid w:val="00695615"/>
    <w:rsid w:val="00695B81"/>
    <w:rsid w:val="00697319"/>
    <w:rsid w:val="006A0B4E"/>
    <w:rsid w:val="006A5EA9"/>
    <w:rsid w:val="006B03F8"/>
    <w:rsid w:val="006B18E6"/>
    <w:rsid w:val="006B2E2B"/>
    <w:rsid w:val="006B43C4"/>
    <w:rsid w:val="006B4418"/>
    <w:rsid w:val="006B4A09"/>
    <w:rsid w:val="006B4F6B"/>
    <w:rsid w:val="006B62B4"/>
    <w:rsid w:val="006B6473"/>
    <w:rsid w:val="006B6595"/>
    <w:rsid w:val="006B6CFF"/>
    <w:rsid w:val="006C0470"/>
    <w:rsid w:val="006C099E"/>
    <w:rsid w:val="006C3267"/>
    <w:rsid w:val="006C42D5"/>
    <w:rsid w:val="006C4541"/>
    <w:rsid w:val="006C5F9A"/>
    <w:rsid w:val="006C6392"/>
    <w:rsid w:val="006C6BE7"/>
    <w:rsid w:val="006D19A1"/>
    <w:rsid w:val="006D29A4"/>
    <w:rsid w:val="006D3927"/>
    <w:rsid w:val="006D3D04"/>
    <w:rsid w:val="006D4923"/>
    <w:rsid w:val="006D55CD"/>
    <w:rsid w:val="006D76C0"/>
    <w:rsid w:val="006D79F7"/>
    <w:rsid w:val="006E114F"/>
    <w:rsid w:val="006E1845"/>
    <w:rsid w:val="006E1D84"/>
    <w:rsid w:val="006E27BC"/>
    <w:rsid w:val="006E3216"/>
    <w:rsid w:val="006E60DF"/>
    <w:rsid w:val="006E684B"/>
    <w:rsid w:val="006F1790"/>
    <w:rsid w:val="006F1A2C"/>
    <w:rsid w:val="006F3DB9"/>
    <w:rsid w:val="006F4C22"/>
    <w:rsid w:val="006F669D"/>
    <w:rsid w:val="006F6FB4"/>
    <w:rsid w:val="00701E06"/>
    <w:rsid w:val="00701EB1"/>
    <w:rsid w:val="007029A9"/>
    <w:rsid w:val="00705301"/>
    <w:rsid w:val="00706607"/>
    <w:rsid w:val="00706C95"/>
    <w:rsid w:val="00712C17"/>
    <w:rsid w:val="00712EA9"/>
    <w:rsid w:val="007148C5"/>
    <w:rsid w:val="007153C4"/>
    <w:rsid w:val="00715AD2"/>
    <w:rsid w:val="007174E7"/>
    <w:rsid w:val="00720D43"/>
    <w:rsid w:val="00722E4E"/>
    <w:rsid w:val="0072342D"/>
    <w:rsid w:val="007257C5"/>
    <w:rsid w:val="00730050"/>
    <w:rsid w:val="00730724"/>
    <w:rsid w:val="00731303"/>
    <w:rsid w:val="00731A35"/>
    <w:rsid w:val="007326AB"/>
    <w:rsid w:val="00735B9E"/>
    <w:rsid w:val="00735CCB"/>
    <w:rsid w:val="007362BA"/>
    <w:rsid w:val="00737154"/>
    <w:rsid w:val="00740DB0"/>
    <w:rsid w:val="00741B1D"/>
    <w:rsid w:val="00752530"/>
    <w:rsid w:val="00753214"/>
    <w:rsid w:val="007545A1"/>
    <w:rsid w:val="007546D4"/>
    <w:rsid w:val="00756E1B"/>
    <w:rsid w:val="00760DC8"/>
    <w:rsid w:val="00761436"/>
    <w:rsid w:val="00762BB4"/>
    <w:rsid w:val="007644B2"/>
    <w:rsid w:val="00767FB7"/>
    <w:rsid w:val="00770337"/>
    <w:rsid w:val="0077082B"/>
    <w:rsid w:val="007729EC"/>
    <w:rsid w:val="00772C26"/>
    <w:rsid w:val="00774B88"/>
    <w:rsid w:val="007750D4"/>
    <w:rsid w:val="00775BC5"/>
    <w:rsid w:val="00776DE6"/>
    <w:rsid w:val="00782D55"/>
    <w:rsid w:val="00782DA8"/>
    <w:rsid w:val="0078344A"/>
    <w:rsid w:val="0078670A"/>
    <w:rsid w:val="00786F55"/>
    <w:rsid w:val="00790647"/>
    <w:rsid w:val="00791045"/>
    <w:rsid w:val="00791811"/>
    <w:rsid w:val="0079504E"/>
    <w:rsid w:val="00796675"/>
    <w:rsid w:val="00796943"/>
    <w:rsid w:val="007969C4"/>
    <w:rsid w:val="0079758C"/>
    <w:rsid w:val="007A03E2"/>
    <w:rsid w:val="007A0D43"/>
    <w:rsid w:val="007A199F"/>
    <w:rsid w:val="007A38E6"/>
    <w:rsid w:val="007A447B"/>
    <w:rsid w:val="007A4B20"/>
    <w:rsid w:val="007A4CE8"/>
    <w:rsid w:val="007A7906"/>
    <w:rsid w:val="007A7ED2"/>
    <w:rsid w:val="007B0537"/>
    <w:rsid w:val="007B22D6"/>
    <w:rsid w:val="007B42CF"/>
    <w:rsid w:val="007B4D81"/>
    <w:rsid w:val="007B533F"/>
    <w:rsid w:val="007B5CA7"/>
    <w:rsid w:val="007B7177"/>
    <w:rsid w:val="007B7E16"/>
    <w:rsid w:val="007B7F89"/>
    <w:rsid w:val="007C0948"/>
    <w:rsid w:val="007C3A67"/>
    <w:rsid w:val="007C3BCC"/>
    <w:rsid w:val="007C6B4D"/>
    <w:rsid w:val="007C6E99"/>
    <w:rsid w:val="007C753E"/>
    <w:rsid w:val="007D0756"/>
    <w:rsid w:val="007D1182"/>
    <w:rsid w:val="007D2154"/>
    <w:rsid w:val="007D249F"/>
    <w:rsid w:val="007D679B"/>
    <w:rsid w:val="007D7F3C"/>
    <w:rsid w:val="007E022C"/>
    <w:rsid w:val="007E057E"/>
    <w:rsid w:val="007E2E5B"/>
    <w:rsid w:val="007E3D3C"/>
    <w:rsid w:val="007E3DF8"/>
    <w:rsid w:val="007E538D"/>
    <w:rsid w:val="007E57C0"/>
    <w:rsid w:val="007E6CAE"/>
    <w:rsid w:val="007E7970"/>
    <w:rsid w:val="007F02F6"/>
    <w:rsid w:val="007F22D3"/>
    <w:rsid w:val="007F2695"/>
    <w:rsid w:val="007F2C2B"/>
    <w:rsid w:val="007F2DFD"/>
    <w:rsid w:val="007F45BC"/>
    <w:rsid w:val="007F48D0"/>
    <w:rsid w:val="007F69E8"/>
    <w:rsid w:val="007F7740"/>
    <w:rsid w:val="00801285"/>
    <w:rsid w:val="00801DF6"/>
    <w:rsid w:val="00802855"/>
    <w:rsid w:val="00804014"/>
    <w:rsid w:val="00804364"/>
    <w:rsid w:val="00804401"/>
    <w:rsid w:val="00805584"/>
    <w:rsid w:val="008061CC"/>
    <w:rsid w:val="00806C23"/>
    <w:rsid w:val="008073D9"/>
    <w:rsid w:val="00810495"/>
    <w:rsid w:val="00810757"/>
    <w:rsid w:val="00811485"/>
    <w:rsid w:val="00811D6A"/>
    <w:rsid w:val="00814A6F"/>
    <w:rsid w:val="00814C13"/>
    <w:rsid w:val="00815176"/>
    <w:rsid w:val="00815F48"/>
    <w:rsid w:val="00816617"/>
    <w:rsid w:val="008174BA"/>
    <w:rsid w:val="008219F1"/>
    <w:rsid w:val="0082211F"/>
    <w:rsid w:val="00823F6D"/>
    <w:rsid w:val="00825AC1"/>
    <w:rsid w:val="008276CC"/>
    <w:rsid w:val="00827F7A"/>
    <w:rsid w:val="0083145E"/>
    <w:rsid w:val="008324F2"/>
    <w:rsid w:val="00833814"/>
    <w:rsid w:val="0083585F"/>
    <w:rsid w:val="00835C56"/>
    <w:rsid w:val="00836205"/>
    <w:rsid w:val="00836FC0"/>
    <w:rsid w:val="00840C6F"/>
    <w:rsid w:val="0084107E"/>
    <w:rsid w:val="00842072"/>
    <w:rsid w:val="008430BD"/>
    <w:rsid w:val="00847234"/>
    <w:rsid w:val="00850116"/>
    <w:rsid w:val="00851E2B"/>
    <w:rsid w:val="008531CF"/>
    <w:rsid w:val="00853E4D"/>
    <w:rsid w:val="0085596A"/>
    <w:rsid w:val="00855C40"/>
    <w:rsid w:val="008561A0"/>
    <w:rsid w:val="00856C24"/>
    <w:rsid w:val="00861916"/>
    <w:rsid w:val="00861F38"/>
    <w:rsid w:val="00863E53"/>
    <w:rsid w:val="008644AD"/>
    <w:rsid w:val="008728CB"/>
    <w:rsid w:val="00873281"/>
    <w:rsid w:val="0087414B"/>
    <w:rsid w:val="00874382"/>
    <w:rsid w:val="008764B2"/>
    <w:rsid w:val="00876C3E"/>
    <w:rsid w:val="00881D09"/>
    <w:rsid w:val="00882423"/>
    <w:rsid w:val="00883416"/>
    <w:rsid w:val="008909F2"/>
    <w:rsid w:val="00891A83"/>
    <w:rsid w:val="00892290"/>
    <w:rsid w:val="0089383D"/>
    <w:rsid w:val="00893859"/>
    <w:rsid w:val="00893DB5"/>
    <w:rsid w:val="00894D54"/>
    <w:rsid w:val="00895B0A"/>
    <w:rsid w:val="00897BEA"/>
    <w:rsid w:val="00897F98"/>
    <w:rsid w:val="008A0257"/>
    <w:rsid w:val="008A2029"/>
    <w:rsid w:val="008A2EAE"/>
    <w:rsid w:val="008A56EF"/>
    <w:rsid w:val="008A7115"/>
    <w:rsid w:val="008B04FE"/>
    <w:rsid w:val="008B0AB3"/>
    <w:rsid w:val="008B2445"/>
    <w:rsid w:val="008B2591"/>
    <w:rsid w:val="008C2724"/>
    <w:rsid w:val="008C2739"/>
    <w:rsid w:val="008C56FF"/>
    <w:rsid w:val="008C5914"/>
    <w:rsid w:val="008C74F2"/>
    <w:rsid w:val="008D0A3E"/>
    <w:rsid w:val="008D1D8A"/>
    <w:rsid w:val="008D2F15"/>
    <w:rsid w:val="008D31F8"/>
    <w:rsid w:val="008D3279"/>
    <w:rsid w:val="008D3738"/>
    <w:rsid w:val="008D45DF"/>
    <w:rsid w:val="008D51E5"/>
    <w:rsid w:val="008D557F"/>
    <w:rsid w:val="008D642B"/>
    <w:rsid w:val="008D64E0"/>
    <w:rsid w:val="008D696F"/>
    <w:rsid w:val="008E076F"/>
    <w:rsid w:val="008E1805"/>
    <w:rsid w:val="008E2CA4"/>
    <w:rsid w:val="008E6F10"/>
    <w:rsid w:val="008F24A6"/>
    <w:rsid w:val="008F2A26"/>
    <w:rsid w:val="008F2C72"/>
    <w:rsid w:val="008F5394"/>
    <w:rsid w:val="008F6A97"/>
    <w:rsid w:val="00900F4A"/>
    <w:rsid w:val="0090280E"/>
    <w:rsid w:val="009047EB"/>
    <w:rsid w:val="0090755D"/>
    <w:rsid w:val="00910FA9"/>
    <w:rsid w:val="00911A5E"/>
    <w:rsid w:val="00911CF2"/>
    <w:rsid w:val="00911F87"/>
    <w:rsid w:val="0091277A"/>
    <w:rsid w:val="00914006"/>
    <w:rsid w:val="00920D46"/>
    <w:rsid w:val="00922A17"/>
    <w:rsid w:val="00923935"/>
    <w:rsid w:val="00924C79"/>
    <w:rsid w:val="00926860"/>
    <w:rsid w:val="00926BE3"/>
    <w:rsid w:val="009302EA"/>
    <w:rsid w:val="00931003"/>
    <w:rsid w:val="009311C5"/>
    <w:rsid w:val="009316E1"/>
    <w:rsid w:val="0093243A"/>
    <w:rsid w:val="00932B7D"/>
    <w:rsid w:val="00933710"/>
    <w:rsid w:val="00933A61"/>
    <w:rsid w:val="009342CC"/>
    <w:rsid w:val="00934F06"/>
    <w:rsid w:val="00936B38"/>
    <w:rsid w:val="0093715B"/>
    <w:rsid w:val="009372FE"/>
    <w:rsid w:val="00937DAC"/>
    <w:rsid w:val="009425BD"/>
    <w:rsid w:val="00944B73"/>
    <w:rsid w:val="0094512D"/>
    <w:rsid w:val="009455B3"/>
    <w:rsid w:val="00946C94"/>
    <w:rsid w:val="009475B2"/>
    <w:rsid w:val="0095101C"/>
    <w:rsid w:val="00952D83"/>
    <w:rsid w:val="00952DF6"/>
    <w:rsid w:val="009543AF"/>
    <w:rsid w:val="00954D06"/>
    <w:rsid w:val="00954DBD"/>
    <w:rsid w:val="00961A10"/>
    <w:rsid w:val="00961B26"/>
    <w:rsid w:val="0096319E"/>
    <w:rsid w:val="00963616"/>
    <w:rsid w:val="00964020"/>
    <w:rsid w:val="00970851"/>
    <w:rsid w:val="00974855"/>
    <w:rsid w:val="0098326A"/>
    <w:rsid w:val="00983E7C"/>
    <w:rsid w:val="00984DF0"/>
    <w:rsid w:val="00984F77"/>
    <w:rsid w:val="009864E3"/>
    <w:rsid w:val="009909BE"/>
    <w:rsid w:val="00992135"/>
    <w:rsid w:val="0099266B"/>
    <w:rsid w:val="00993415"/>
    <w:rsid w:val="00995A9F"/>
    <w:rsid w:val="00996E7A"/>
    <w:rsid w:val="00997039"/>
    <w:rsid w:val="009A091E"/>
    <w:rsid w:val="009A0997"/>
    <w:rsid w:val="009A0B9A"/>
    <w:rsid w:val="009A37E3"/>
    <w:rsid w:val="009A5605"/>
    <w:rsid w:val="009A5EF2"/>
    <w:rsid w:val="009A6CFD"/>
    <w:rsid w:val="009A7271"/>
    <w:rsid w:val="009A72B2"/>
    <w:rsid w:val="009B0670"/>
    <w:rsid w:val="009B0C59"/>
    <w:rsid w:val="009B10AB"/>
    <w:rsid w:val="009B285D"/>
    <w:rsid w:val="009B333F"/>
    <w:rsid w:val="009B5DF1"/>
    <w:rsid w:val="009B7104"/>
    <w:rsid w:val="009B762D"/>
    <w:rsid w:val="009C0286"/>
    <w:rsid w:val="009C0498"/>
    <w:rsid w:val="009C1388"/>
    <w:rsid w:val="009C1AEF"/>
    <w:rsid w:val="009C500E"/>
    <w:rsid w:val="009C51F4"/>
    <w:rsid w:val="009C56D1"/>
    <w:rsid w:val="009C5F64"/>
    <w:rsid w:val="009C6EC2"/>
    <w:rsid w:val="009C7328"/>
    <w:rsid w:val="009C7F8A"/>
    <w:rsid w:val="009D01CD"/>
    <w:rsid w:val="009D0CBB"/>
    <w:rsid w:val="009D10E2"/>
    <w:rsid w:val="009D1528"/>
    <w:rsid w:val="009D1BEC"/>
    <w:rsid w:val="009D3C51"/>
    <w:rsid w:val="009D4668"/>
    <w:rsid w:val="009D5D3E"/>
    <w:rsid w:val="009D69F9"/>
    <w:rsid w:val="009D6E9D"/>
    <w:rsid w:val="009D7115"/>
    <w:rsid w:val="009D7576"/>
    <w:rsid w:val="009D7E3A"/>
    <w:rsid w:val="009E06AA"/>
    <w:rsid w:val="009E2B7A"/>
    <w:rsid w:val="009E4C87"/>
    <w:rsid w:val="009E4FF9"/>
    <w:rsid w:val="009E716A"/>
    <w:rsid w:val="009F0513"/>
    <w:rsid w:val="009F052B"/>
    <w:rsid w:val="009F218A"/>
    <w:rsid w:val="009F2C95"/>
    <w:rsid w:val="009F49A5"/>
    <w:rsid w:val="009F59EF"/>
    <w:rsid w:val="009F6324"/>
    <w:rsid w:val="009F63F5"/>
    <w:rsid w:val="009F691E"/>
    <w:rsid w:val="009F78F9"/>
    <w:rsid w:val="00A00828"/>
    <w:rsid w:val="00A0150C"/>
    <w:rsid w:val="00A01D95"/>
    <w:rsid w:val="00A03329"/>
    <w:rsid w:val="00A05F2C"/>
    <w:rsid w:val="00A06BC0"/>
    <w:rsid w:val="00A074B4"/>
    <w:rsid w:val="00A074F1"/>
    <w:rsid w:val="00A10038"/>
    <w:rsid w:val="00A10CF4"/>
    <w:rsid w:val="00A12C0D"/>
    <w:rsid w:val="00A12DA3"/>
    <w:rsid w:val="00A14BB4"/>
    <w:rsid w:val="00A152C7"/>
    <w:rsid w:val="00A20E47"/>
    <w:rsid w:val="00A2135B"/>
    <w:rsid w:val="00A219BD"/>
    <w:rsid w:val="00A23D76"/>
    <w:rsid w:val="00A24018"/>
    <w:rsid w:val="00A24B28"/>
    <w:rsid w:val="00A2552B"/>
    <w:rsid w:val="00A3061F"/>
    <w:rsid w:val="00A32F99"/>
    <w:rsid w:val="00A332F6"/>
    <w:rsid w:val="00A34C43"/>
    <w:rsid w:val="00A36127"/>
    <w:rsid w:val="00A36902"/>
    <w:rsid w:val="00A370D2"/>
    <w:rsid w:val="00A373A4"/>
    <w:rsid w:val="00A40B03"/>
    <w:rsid w:val="00A40E47"/>
    <w:rsid w:val="00A41F30"/>
    <w:rsid w:val="00A4257F"/>
    <w:rsid w:val="00A466CA"/>
    <w:rsid w:val="00A478CE"/>
    <w:rsid w:val="00A505B8"/>
    <w:rsid w:val="00A514A8"/>
    <w:rsid w:val="00A5237B"/>
    <w:rsid w:val="00A523FC"/>
    <w:rsid w:val="00A53400"/>
    <w:rsid w:val="00A53809"/>
    <w:rsid w:val="00A5419F"/>
    <w:rsid w:val="00A558C5"/>
    <w:rsid w:val="00A55DE5"/>
    <w:rsid w:val="00A569BF"/>
    <w:rsid w:val="00A57097"/>
    <w:rsid w:val="00A616B1"/>
    <w:rsid w:val="00A61F72"/>
    <w:rsid w:val="00A6365C"/>
    <w:rsid w:val="00A70BBC"/>
    <w:rsid w:val="00A74642"/>
    <w:rsid w:val="00A7792A"/>
    <w:rsid w:val="00A80756"/>
    <w:rsid w:val="00A818E5"/>
    <w:rsid w:val="00A82974"/>
    <w:rsid w:val="00A83DC8"/>
    <w:rsid w:val="00A844BC"/>
    <w:rsid w:val="00A84E2F"/>
    <w:rsid w:val="00A85854"/>
    <w:rsid w:val="00A85E9D"/>
    <w:rsid w:val="00A90274"/>
    <w:rsid w:val="00A91862"/>
    <w:rsid w:val="00A930B0"/>
    <w:rsid w:val="00A940F4"/>
    <w:rsid w:val="00A948C0"/>
    <w:rsid w:val="00A956DA"/>
    <w:rsid w:val="00A95987"/>
    <w:rsid w:val="00A95E9F"/>
    <w:rsid w:val="00A968A8"/>
    <w:rsid w:val="00A97457"/>
    <w:rsid w:val="00A97F9A"/>
    <w:rsid w:val="00A97FFA"/>
    <w:rsid w:val="00AA098E"/>
    <w:rsid w:val="00AA0F9A"/>
    <w:rsid w:val="00AA1837"/>
    <w:rsid w:val="00AA3F1A"/>
    <w:rsid w:val="00AA5298"/>
    <w:rsid w:val="00AA5D80"/>
    <w:rsid w:val="00AA6355"/>
    <w:rsid w:val="00AA66B1"/>
    <w:rsid w:val="00AA714D"/>
    <w:rsid w:val="00AB07AB"/>
    <w:rsid w:val="00AB0AB3"/>
    <w:rsid w:val="00AB1574"/>
    <w:rsid w:val="00AB30D0"/>
    <w:rsid w:val="00AB330E"/>
    <w:rsid w:val="00AB428F"/>
    <w:rsid w:val="00AB437F"/>
    <w:rsid w:val="00AB440A"/>
    <w:rsid w:val="00AB7EE0"/>
    <w:rsid w:val="00AC0E12"/>
    <w:rsid w:val="00AC3FFC"/>
    <w:rsid w:val="00AC4DF6"/>
    <w:rsid w:val="00AC5064"/>
    <w:rsid w:val="00AC5239"/>
    <w:rsid w:val="00AC6AC9"/>
    <w:rsid w:val="00AD150D"/>
    <w:rsid w:val="00AD1FA8"/>
    <w:rsid w:val="00AD362A"/>
    <w:rsid w:val="00AD3C88"/>
    <w:rsid w:val="00AD5B58"/>
    <w:rsid w:val="00AD6484"/>
    <w:rsid w:val="00AD73F3"/>
    <w:rsid w:val="00AE05A8"/>
    <w:rsid w:val="00AE0F8F"/>
    <w:rsid w:val="00AE124B"/>
    <w:rsid w:val="00AE52CB"/>
    <w:rsid w:val="00AE58E1"/>
    <w:rsid w:val="00AE67B5"/>
    <w:rsid w:val="00AE7757"/>
    <w:rsid w:val="00AF0195"/>
    <w:rsid w:val="00AF5182"/>
    <w:rsid w:val="00AF6C68"/>
    <w:rsid w:val="00B00438"/>
    <w:rsid w:val="00B0138F"/>
    <w:rsid w:val="00B01B6E"/>
    <w:rsid w:val="00B023C6"/>
    <w:rsid w:val="00B04982"/>
    <w:rsid w:val="00B05E65"/>
    <w:rsid w:val="00B05F1E"/>
    <w:rsid w:val="00B1029B"/>
    <w:rsid w:val="00B11544"/>
    <w:rsid w:val="00B122A7"/>
    <w:rsid w:val="00B1242C"/>
    <w:rsid w:val="00B12CE3"/>
    <w:rsid w:val="00B12DF0"/>
    <w:rsid w:val="00B14328"/>
    <w:rsid w:val="00B14E4E"/>
    <w:rsid w:val="00B15156"/>
    <w:rsid w:val="00B15FCF"/>
    <w:rsid w:val="00B172A3"/>
    <w:rsid w:val="00B1731E"/>
    <w:rsid w:val="00B22322"/>
    <w:rsid w:val="00B23B1B"/>
    <w:rsid w:val="00B2432F"/>
    <w:rsid w:val="00B246BB"/>
    <w:rsid w:val="00B24794"/>
    <w:rsid w:val="00B26CDE"/>
    <w:rsid w:val="00B26EE0"/>
    <w:rsid w:val="00B27275"/>
    <w:rsid w:val="00B36079"/>
    <w:rsid w:val="00B36984"/>
    <w:rsid w:val="00B36FE2"/>
    <w:rsid w:val="00B40AB8"/>
    <w:rsid w:val="00B4398D"/>
    <w:rsid w:val="00B44492"/>
    <w:rsid w:val="00B45121"/>
    <w:rsid w:val="00B45BEA"/>
    <w:rsid w:val="00B503BD"/>
    <w:rsid w:val="00B528D9"/>
    <w:rsid w:val="00B531F7"/>
    <w:rsid w:val="00B533AD"/>
    <w:rsid w:val="00B540E1"/>
    <w:rsid w:val="00B54C6A"/>
    <w:rsid w:val="00B556B0"/>
    <w:rsid w:val="00B565F7"/>
    <w:rsid w:val="00B57C16"/>
    <w:rsid w:val="00B57D16"/>
    <w:rsid w:val="00B60630"/>
    <w:rsid w:val="00B61439"/>
    <w:rsid w:val="00B618BC"/>
    <w:rsid w:val="00B61B9C"/>
    <w:rsid w:val="00B62B15"/>
    <w:rsid w:val="00B6323A"/>
    <w:rsid w:val="00B634D6"/>
    <w:rsid w:val="00B64E0E"/>
    <w:rsid w:val="00B65412"/>
    <w:rsid w:val="00B66D27"/>
    <w:rsid w:val="00B706D8"/>
    <w:rsid w:val="00B7174F"/>
    <w:rsid w:val="00B71A19"/>
    <w:rsid w:val="00B75973"/>
    <w:rsid w:val="00B802E7"/>
    <w:rsid w:val="00B80CDA"/>
    <w:rsid w:val="00B817B8"/>
    <w:rsid w:val="00B8348B"/>
    <w:rsid w:val="00B8424C"/>
    <w:rsid w:val="00B855BC"/>
    <w:rsid w:val="00B858E9"/>
    <w:rsid w:val="00B859DB"/>
    <w:rsid w:val="00B86406"/>
    <w:rsid w:val="00B87AB3"/>
    <w:rsid w:val="00B87E34"/>
    <w:rsid w:val="00B908B1"/>
    <w:rsid w:val="00B93FAD"/>
    <w:rsid w:val="00B94249"/>
    <w:rsid w:val="00B955E2"/>
    <w:rsid w:val="00B95F33"/>
    <w:rsid w:val="00B96C0B"/>
    <w:rsid w:val="00BA1498"/>
    <w:rsid w:val="00BA259E"/>
    <w:rsid w:val="00BA2792"/>
    <w:rsid w:val="00BA2D76"/>
    <w:rsid w:val="00BB0342"/>
    <w:rsid w:val="00BB3736"/>
    <w:rsid w:val="00BB4C56"/>
    <w:rsid w:val="00BB526B"/>
    <w:rsid w:val="00BB5E98"/>
    <w:rsid w:val="00BB71BA"/>
    <w:rsid w:val="00BC09D6"/>
    <w:rsid w:val="00BC0E67"/>
    <w:rsid w:val="00BC10E8"/>
    <w:rsid w:val="00BC1823"/>
    <w:rsid w:val="00BC4BA4"/>
    <w:rsid w:val="00BC572C"/>
    <w:rsid w:val="00BC66C5"/>
    <w:rsid w:val="00BC6AB2"/>
    <w:rsid w:val="00BC704A"/>
    <w:rsid w:val="00BC7D3C"/>
    <w:rsid w:val="00BD0999"/>
    <w:rsid w:val="00BD3957"/>
    <w:rsid w:val="00BD3CD4"/>
    <w:rsid w:val="00BD43CA"/>
    <w:rsid w:val="00BD4FD9"/>
    <w:rsid w:val="00BD6867"/>
    <w:rsid w:val="00BD69DA"/>
    <w:rsid w:val="00BD6BA8"/>
    <w:rsid w:val="00BD7A81"/>
    <w:rsid w:val="00BD7C3A"/>
    <w:rsid w:val="00BE0E22"/>
    <w:rsid w:val="00BE1B1D"/>
    <w:rsid w:val="00BE2C2B"/>
    <w:rsid w:val="00BE2FCB"/>
    <w:rsid w:val="00BE38AB"/>
    <w:rsid w:val="00BE398D"/>
    <w:rsid w:val="00BE46AD"/>
    <w:rsid w:val="00BE77FE"/>
    <w:rsid w:val="00BE7CC9"/>
    <w:rsid w:val="00BF0242"/>
    <w:rsid w:val="00BF1272"/>
    <w:rsid w:val="00BF299F"/>
    <w:rsid w:val="00BF321F"/>
    <w:rsid w:val="00BF33DC"/>
    <w:rsid w:val="00BF3BAB"/>
    <w:rsid w:val="00BF5818"/>
    <w:rsid w:val="00BF7C3B"/>
    <w:rsid w:val="00C044F7"/>
    <w:rsid w:val="00C05311"/>
    <w:rsid w:val="00C06860"/>
    <w:rsid w:val="00C1051D"/>
    <w:rsid w:val="00C13203"/>
    <w:rsid w:val="00C13431"/>
    <w:rsid w:val="00C139C5"/>
    <w:rsid w:val="00C13E8E"/>
    <w:rsid w:val="00C14602"/>
    <w:rsid w:val="00C14AB8"/>
    <w:rsid w:val="00C15FBB"/>
    <w:rsid w:val="00C20493"/>
    <w:rsid w:val="00C215CA"/>
    <w:rsid w:val="00C21C25"/>
    <w:rsid w:val="00C22D6C"/>
    <w:rsid w:val="00C235B3"/>
    <w:rsid w:val="00C2368C"/>
    <w:rsid w:val="00C25207"/>
    <w:rsid w:val="00C25422"/>
    <w:rsid w:val="00C25DB2"/>
    <w:rsid w:val="00C32E62"/>
    <w:rsid w:val="00C35103"/>
    <w:rsid w:val="00C3609D"/>
    <w:rsid w:val="00C36709"/>
    <w:rsid w:val="00C36822"/>
    <w:rsid w:val="00C369A2"/>
    <w:rsid w:val="00C37A44"/>
    <w:rsid w:val="00C414AE"/>
    <w:rsid w:val="00C41990"/>
    <w:rsid w:val="00C438AE"/>
    <w:rsid w:val="00C44A55"/>
    <w:rsid w:val="00C44C78"/>
    <w:rsid w:val="00C4662C"/>
    <w:rsid w:val="00C4751C"/>
    <w:rsid w:val="00C51F42"/>
    <w:rsid w:val="00C52375"/>
    <w:rsid w:val="00C533B3"/>
    <w:rsid w:val="00C542B0"/>
    <w:rsid w:val="00C57419"/>
    <w:rsid w:val="00C60113"/>
    <w:rsid w:val="00C605FD"/>
    <w:rsid w:val="00C62B75"/>
    <w:rsid w:val="00C62F4A"/>
    <w:rsid w:val="00C653CD"/>
    <w:rsid w:val="00C67C74"/>
    <w:rsid w:val="00C7039A"/>
    <w:rsid w:val="00C703F6"/>
    <w:rsid w:val="00C704ED"/>
    <w:rsid w:val="00C70B4F"/>
    <w:rsid w:val="00C71D2E"/>
    <w:rsid w:val="00C73DD4"/>
    <w:rsid w:val="00C745B7"/>
    <w:rsid w:val="00C7483F"/>
    <w:rsid w:val="00C74A4C"/>
    <w:rsid w:val="00C74C26"/>
    <w:rsid w:val="00C75F22"/>
    <w:rsid w:val="00C76D9E"/>
    <w:rsid w:val="00C76DD8"/>
    <w:rsid w:val="00C77AC7"/>
    <w:rsid w:val="00C816F4"/>
    <w:rsid w:val="00C857D0"/>
    <w:rsid w:val="00C85AA5"/>
    <w:rsid w:val="00C85E99"/>
    <w:rsid w:val="00C86D5A"/>
    <w:rsid w:val="00C8730C"/>
    <w:rsid w:val="00C91C8A"/>
    <w:rsid w:val="00C926FE"/>
    <w:rsid w:val="00C95B46"/>
    <w:rsid w:val="00CA016A"/>
    <w:rsid w:val="00CA130B"/>
    <w:rsid w:val="00CA14FB"/>
    <w:rsid w:val="00CA25DF"/>
    <w:rsid w:val="00CA45C7"/>
    <w:rsid w:val="00CA64FB"/>
    <w:rsid w:val="00CA69EE"/>
    <w:rsid w:val="00CB27C7"/>
    <w:rsid w:val="00CB32FF"/>
    <w:rsid w:val="00CB5E5E"/>
    <w:rsid w:val="00CC10E0"/>
    <w:rsid w:val="00CC1528"/>
    <w:rsid w:val="00CC197F"/>
    <w:rsid w:val="00CC6A80"/>
    <w:rsid w:val="00CD10EF"/>
    <w:rsid w:val="00CD2C04"/>
    <w:rsid w:val="00CD309C"/>
    <w:rsid w:val="00CD3F3F"/>
    <w:rsid w:val="00CD5421"/>
    <w:rsid w:val="00CD556F"/>
    <w:rsid w:val="00CD7531"/>
    <w:rsid w:val="00CE0023"/>
    <w:rsid w:val="00CE177F"/>
    <w:rsid w:val="00CE1B9E"/>
    <w:rsid w:val="00CE1D60"/>
    <w:rsid w:val="00CE3B94"/>
    <w:rsid w:val="00CE51B8"/>
    <w:rsid w:val="00CE6E42"/>
    <w:rsid w:val="00CE6EB1"/>
    <w:rsid w:val="00CF103C"/>
    <w:rsid w:val="00CF3985"/>
    <w:rsid w:val="00D01E75"/>
    <w:rsid w:val="00D025C2"/>
    <w:rsid w:val="00D0276E"/>
    <w:rsid w:val="00D05040"/>
    <w:rsid w:val="00D05459"/>
    <w:rsid w:val="00D056E6"/>
    <w:rsid w:val="00D05746"/>
    <w:rsid w:val="00D06E7D"/>
    <w:rsid w:val="00D07862"/>
    <w:rsid w:val="00D123FA"/>
    <w:rsid w:val="00D12C05"/>
    <w:rsid w:val="00D136BF"/>
    <w:rsid w:val="00D1641A"/>
    <w:rsid w:val="00D17D69"/>
    <w:rsid w:val="00D2036C"/>
    <w:rsid w:val="00D205AD"/>
    <w:rsid w:val="00D20F33"/>
    <w:rsid w:val="00D216F1"/>
    <w:rsid w:val="00D22619"/>
    <w:rsid w:val="00D2372D"/>
    <w:rsid w:val="00D23A9B"/>
    <w:rsid w:val="00D248A6"/>
    <w:rsid w:val="00D24AAF"/>
    <w:rsid w:val="00D25FB3"/>
    <w:rsid w:val="00D267C0"/>
    <w:rsid w:val="00D27138"/>
    <w:rsid w:val="00D300BD"/>
    <w:rsid w:val="00D311DA"/>
    <w:rsid w:val="00D324DA"/>
    <w:rsid w:val="00D333BE"/>
    <w:rsid w:val="00D35973"/>
    <w:rsid w:val="00D35FC9"/>
    <w:rsid w:val="00D373BB"/>
    <w:rsid w:val="00D37C7C"/>
    <w:rsid w:val="00D40242"/>
    <w:rsid w:val="00D4065A"/>
    <w:rsid w:val="00D409AA"/>
    <w:rsid w:val="00D41C8A"/>
    <w:rsid w:val="00D427C8"/>
    <w:rsid w:val="00D452A5"/>
    <w:rsid w:val="00D46051"/>
    <w:rsid w:val="00D461C9"/>
    <w:rsid w:val="00D463A2"/>
    <w:rsid w:val="00D476AB"/>
    <w:rsid w:val="00D47E65"/>
    <w:rsid w:val="00D5000E"/>
    <w:rsid w:val="00D50951"/>
    <w:rsid w:val="00D50A62"/>
    <w:rsid w:val="00D52994"/>
    <w:rsid w:val="00D52E8D"/>
    <w:rsid w:val="00D53B67"/>
    <w:rsid w:val="00D54B96"/>
    <w:rsid w:val="00D54CE2"/>
    <w:rsid w:val="00D56229"/>
    <w:rsid w:val="00D56BE0"/>
    <w:rsid w:val="00D57EDC"/>
    <w:rsid w:val="00D60704"/>
    <w:rsid w:val="00D6153D"/>
    <w:rsid w:val="00D61FC2"/>
    <w:rsid w:val="00D63F21"/>
    <w:rsid w:val="00D64456"/>
    <w:rsid w:val="00D65480"/>
    <w:rsid w:val="00D71BD2"/>
    <w:rsid w:val="00D71C25"/>
    <w:rsid w:val="00D723E0"/>
    <w:rsid w:val="00D73DEC"/>
    <w:rsid w:val="00D73E3A"/>
    <w:rsid w:val="00D74B22"/>
    <w:rsid w:val="00D7576E"/>
    <w:rsid w:val="00D76415"/>
    <w:rsid w:val="00D764AA"/>
    <w:rsid w:val="00D8242B"/>
    <w:rsid w:val="00D843BA"/>
    <w:rsid w:val="00D84FC9"/>
    <w:rsid w:val="00D85686"/>
    <w:rsid w:val="00D85FF4"/>
    <w:rsid w:val="00D87458"/>
    <w:rsid w:val="00D903BF"/>
    <w:rsid w:val="00D925FF"/>
    <w:rsid w:val="00D93B9E"/>
    <w:rsid w:val="00D93D9E"/>
    <w:rsid w:val="00D94295"/>
    <w:rsid w:val="00D94AD6"/>
    <w:rsid w:val="00D94B6A"/>
    <w:rsid w:val="00D975A0"/>
    <w:rsid w:val="00DA0E5F"/>
    <w:rsid w:val="00DA10D2"/>
    <w:rsid w:val="00DA12AD"/>
    <w:rsid w:val="00DA38AA"/>
    <w:rsid w:val="00DA3B97"/>
    <w:rsid w:val="00DA5079"/>
    <w:rsid w:val="00DA572D"/>
    <w:rsid w:val="00DA6082"/>
    <w:rsid w:val="00DB27AF"/>
    <w:rsid w:val="00DB36A2"/>
    <w:rsid w:val="00DB372F"/>
    <w:rsid w:val="00DB4D4A"/>
    <w:rsid w:val="00DB6C79"/>
    <w:rsid w:val="00DB7723"/>
    <w:rsid w:val="00DC090D"/>
    <w:rsid w:val="00DC124D"/>
    <w:rsid w:val="00DC2621"/>
    <w:rsid w:val="00DC3789"/>
    <w:rsid w:val="00DC4AAC"/>
    <w:rsid w:val="00DC6B02"/>
    <w:rsid w:val="00DD1132"/>
    <w:rsid w:val="00DD1369"/>
    <w:rsid w:val="00DD140E"/>
    <w:rsid w:val="00DD2292"/>
    <w:rsid w:val="00DD27EA"/>
    <w:rsid w:val="00DD3B79"/>
    <w:rsid w:val="00DD57DD"/>
    <w:rsid w:val="00DD73DF"/>
    <w:rsid w:val="00DE044E"/>
    <w:rsid w:val="00DE04D1"/>
    <w:rsid w:val="00DE05FE"/>
    <w:rsid w:val="00DE0F7C"/>
    <w:rsid w:val="00DE3BCE"/>
    <w:rsid w:val="00DE3CE6"/>
    <w:rsid w:val="00DE45B5"/>
    <w:rsid w:val="00DE5B25"/>
    <w:rsid w:val="00DE6585"/>
    <w:rsid w:val="00DF051C"/>
    <w:rsid w:val="00DF0F26"/>
    <w:rsid w:val="00DF1033"/>
    <w:rsid w:val="00DF1800"/>
    <w:rsid w:val="00DF20FF"/>
    <w:rsid w:val="00DF3722"/>
    <w:rsid w:val="00DF3874"/>
    <w:rsid w:val="00DF3E48"/>
    <w:rsid w:val="00DF49FE"/>
    <w:rsid w:val="00DF4FB1"/>
    <w:rsid w:val="00DF5329"/>
    <w:rsid w:val="00DF57AA"/>
    <w:rsid w:val="00DF7977"/>
    <w:rsid w:val="00DF7BE9"/>
    <w:rsid w:val="00E01793"/>
    <w:rsid w:val="00E01E02"/>
    <w:rsid w:val="00E01ED3"/>
    <w:rsid w:val="00E025A6"/>
    <w:rsid w:val="00E02988"/>
    <w:rsid w:val="00E02B87"/>
    <w:rsid w:val="00E02DDF"/>
    <w:rsid w:val="00E03156"/>
    <w:rsid w:val="00E046E9"/>
    <w:rsid w:val="00E052BE"/>
    <w:rsid w:val="00E05D3D"/>
    <w:rsid w:val="00E073F0"/>
    <w:rsid w:val="00E07721"/>
    <w:rsid w:val="00E0786C"/>
    <w:rsid w:val="00E07985"/>
    <w:rsid w:val="00E10545"/>
    <w:rsid w:val="00E1276E"/>
    <w:rsid w:val="00E12DE8"/>
    <w:rsid w:val="00E13EB5"/>
    <w:rsid w:val="00E15087"/>
    <w:rsid w:val="00E173BF"/>
    <w:rsid w:val="00E20285"/>
    <w:rsid w:val="00E22378"/>
    <w:rsid w:val="00E23135"/>
    <w:rsid w:val="00E23474"/>
    <w:rsid w:val="00E23F79"/>
    <w:rsid w:val="00E24C01"/>
    <w:rsid w:val="00E24DA3"/>
    <w:rsid w:val="00E24EA0"/>
    <w:rsid w:val="00E31FE7"/>
    <w:rsid w:val="00E32160"/>
    <w:rsid w:val="00E32455"/>
    <w:rsid w:val="00E34B59"/>
    <w:rsid w:val="00E36FF8"/>
    <w:rsid w:val="00E42A7C"/>
    <w:rsid w:val="00E435D6"/>
    <w:rsid w:val="00E44157"/>
    <w:rsid w:val="00E4461D"/>
    <w:rsid w:val="00E4620B"/>
    <w:rsid w:val="00E46C0D"/>
    <w:rsid w:val="00E47EBD"/>
    <w:rsid w:val="00E5164A"/>
    <w:rsid w:val="00E52778"/>
    <w:rsid w:val="00E53A1D"/>
    <w:rsid w:val="00E53B9A"/>
    <w:rsid w:val="00E542AD"/>
    <w:rsid w:val="00E54F90"/>
    <w:rsid w:val="00E55EEB"/>
    <w:rsid w:val="00E57067"/>
    <w:rsid w:val="00E575D6"/>
    <w:rsid w:val="00E60554"/>
    <w:rsid w:val="00E63ABE"/>
    <w:rsid w:val="00E65CBA"/>
    <w:rsid w:val="00E66A9C"/>
    <w:rsid w:val="00E66BA0"/>
    <w:rsid w:val="00E66D0D"/>
    <w:rsid w:val="00E71531"/>
    <w:rsid w:val="00E72EC9"/>
    <w:rsid w:val="00E73EAC"/>
    <w:rsid w:val="00E74298"/>
    <w:rsid w:val="00E7558F"/>
    <w:rsid w:val="00E81A26"/>
    <w:rsid w:val="00E82BE9"/>
    <w:rsid w:val="00E86E95"/>
    <w:rsid w:val="00E879EF"/>
    <w:rsid w:val="00E90906"/>
    <w:rsid w:val="00E913EC"/>
    <w:rsid w:val="00E94039"/>
    <w:rsid w:val="00E9501A"/>
    <w:rsid w:val="00E97A3C"/>
    <w:rsid w:val="00EA16F5"/>
    <w:rsid w:val="00EA6AFA"/>
    <w:rsid w:val="00EA7BB6"/>
    <w:rsid w:val="00EA7D2F"/>
    <w:rsid w:val="00EB02CA"/>
    <w:rsid w:val="00EB3083"/>
    <w:rsid w:val="00EB33AD"/>
    <w:rsid w:val="00EB497E"/>
    <w:rsid w:val="00EB5101"/>
    <w:rsid w:val="00EB537D"/>
    <w:rsid w:val="00EB6EA8"/>
    <w:rsid w:val="00EC00EF"/>
    <w:rsid w:val="00EC05FA"/>
    <w:rsid w:val="00EC066D"/>
    <w:rsid w:val="00EC0E70"/>
    <w:rsid w:val="00EC1230"/>
    <w:rsid w:val="00EC2918"/>
    <w:rsid w:val="00EC4FB4"/>
    <w:rsid w:val="00EC5D49"/>
    <w:rsid w:val="00EC7C2A"/>
    <w:rsid w:val="00EC7F96"/>
    <w:rsid w:val="00ED0AF6"/>
    <w:rsid w:val="00ED1B0D"/>
    <w:rsid w:val="00ED331C"/>
    <w:rsid w:val="00ED35E1"/>
    <w:rsid w:val="00ED45A6"/>
    <w:rsid w:val="00ED4E08"/>
    <w:rsid w:val="00ED6CC3"/>
    <w:rsid w:val="00EE0B61"/>
    <w:rsid w:val="00EE16DA"/>
    <w:rsid w:val="00EE1890"/>
    <w:rsid w:val="00EE236F"/>
    <w:rsid w:val="00EE2EE8"/>
    <w:rsid w:val="00EE3F75"/>
    <w:rsid w:val="00EE5422"/>
    <w:rsid w:val="00EF19F0"/>
    <w:rsid w:val="00EF339C"/>
    <w:rsid w:val="00EF4656"/>
    <w:rsid w:val="00EF74FA"/>
    <w:rsid w:val="00EF7504"/>
    <w:rsid w:val="00F00B13"/>
    <w:rsid w:val="00F01826"/>
    <w:rsid w:val="00F02274"/>
    <w:rsid w:val="00F032D1"/>
    <w:rsid w:val="00F03CB0"/>
    <w:rsid w:val="00F05BF9"/>
    <w:rsid w:val="00F05DC6"/>
    <w:rsid w:val="00F063E0"/>
    <w:rsid w:val="00F0723C"/>
    <w:rsid w:val="00F07D71"/>
    <w:rsid w:val="00F106CD"/>
    <w:rsid w:val="00F1180A"/>
    <w:rsid w:val="00F145EC"/>
    <w:rsid w:val="00F14805"/>
    <w:rsid w:val="00F14FA5"/>
    <w:rsid w:val="00F16BE7"/>
    <w:rsid w:val="00F22066"/>
    <w:rsid w:val="00F238F3"/>
    <w:rsid w:val="00F23C87"/>
    <w:rsid w:val="00F25608"/>
    <w:rsid w:val="00F25CA1"/>
    <w:rsid w:val="00F26F9D"/>
    <w:rsid w:val="00F27AA8"/>
    <w:rsid w:val="00F3136B"/>
    <w:rsid w:val="00F33A3C"/>
    <w:rsid w:val="00F33D86"/>
    <w:rsid w:val="00F33E06"/>
    <w:rsid w:val="00F348B7"/>
    <w:rsid w:val="00F35806"/>
    <w:rsid w:val="00F36FE3"/>
    <w:rsid w:val="00F3773F"/>
    <w:rsid w:val="00F408D6"/>
    <w:rsid w:val="00F41169"/>
    <w:rsid w:val="00F4276E"/>
    <w:rsid w:val="00F42BEE"/>
    <w:rsid w:val="00F434C9"/>
    <w:rsid w:val="00F43723"/>
    <w:rsid w:val="00F448E6"/>
    <w:rsid w:val="00F44A6E"/>
    <w:rsid w:val="00F45C6D"/>
    <w:rsid w:val="00F4605F"/>
    <w:rsid w:val="00F47757"/>
    <w:rsid w:val="00F50455"/>
    <w:rsid w:val="00F52B0A"/>
    <w:rsid w:val="00F52F91"/>
    <w:rsid w:val="00F545E0"/>
    <w:rsid w:val="00F63A4B"/>
    <w:rsid w:val="00F64295"/>
    <w:rsid w:val="00F65C59"/>
    <w:rsid w:val="00F6731D"/>
    <w:rsid w:val="00F706CB"/>
    <w:rsid w:val="00F709C5"/>
    <w:rsid w:val="00F721C7"/>
    <w:rsid w:val="00F732A8"/>
    <w:rsid w:val="00F74881"/>
    <w:rsid w:val="00F74DCE"/>
    <w:rsid w:val="00F76040"/>
    <w:rsid w:val="00F80D88"/>
    <w:rsid w:val="00F82352"/>
    <w:rsid w:val="00F831A5"/>
    <w:rsid w:val="00F83E99"/>
    <w:rsid w:val="00F857CF"/>
    <w:rsid w:val="00F86001"/>
    <w:rsid w:val="00F8622C"/>
    <w:rsid w:val="00F86F32"/>
    <w:rsid w:val="00F901A6"/>
    <w:rsid w:val="00F904AC"/>
    <w:rsid w:val="00F910D7"/>
    <w:rsid w:val="00F91738"/>
    <w:rsid w:val="00F94888"/>
    <w:rsid w:val="00F96EDE"/>
    <w:rsid w:val="00FA0729"/>
    <w:rsid w:val="00FA0D8E"/>
    <w:rsid w:val="00FA1808"/>
    <w:rsid w:val="00FA1F34"/>
    <w:rsid w:val="00FA20E9"/>
    <w:rsid w:val="00FA24E9"/>
    <w:rsid w:val="00FA48DE"/>
    <w:rsid w:val="00FA4963"/>
    <w:rsid w:val="00FA5198"/>
    <w:rsid w:val="00FA697C"/>
    <w:rsid w:val="00FB0F9F"/>
    <w:rsid w:val="00FB12A1"/>
    <w:rsid w:val="00FB1AD0"/>
    <w:rsid w:val="00FB4D90"/>
    <w:rsid w:val="00FB5395"/>
    <w:rsid w:val="00FB555D"/>
    <w:rsid w:val="00FB5866"/>
    <w:rsid w:val="00FC075F"/>
    <w:rsid w:val="00FC41B3"/>
    <w:rsid w:val="00FC52B8"/>
    <w:rsid w:val="00FC59E2"/>
    <w:rsid w:val="00FC650B"/>
    <w:rsid w:val="00FC6ECD"/>
    <w:rsid w:val="00FD0D50"/>
    <w:rsid w:val="00FD32B9"/>
    <w:rsid w:val="00FD5744"/>
    <w:rsid w:val="00FD5809"/>
    <w:rsid w:val="00FD595C"/>
    <w:rsid w:val="00FD66C0"/>
    <w:rsid w:val="00FD6F17"/>
    <w:rsid w:val="00FD6F21"/>
    <w:rsid w:val="00FD7C1C"/>
    <w:rsid w:val="00FE02BC"/>
    <w:rsid w:val="00FE24BF"/>
    <w:rsid w:val="00FE29CF"/>
    <w:rsid w:val="00FE58D7"/>
    <w:rsid w:val="00FF06A2"/>
    <w:rsid w:val="00FF0F66"/>
    <w:rsid w:val="00FF1188"/>
    <w:rsid w:val="00FF1666"/>
    <w:rsid w:val="00FF1748"/>
    <w:rsid w:val="00FF1EA0"/>
    <w:rsid w:val="00FF270A"/>
    <w:rsid w:val="00FF3579"/>
    <w:rsid w:val="00FF664B"/>
    <w:rsid w:val="00FF6D58"/>
    <w:rsid w:val="00FF7A1A"/>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144">
      <o:colormru v:ext="edit" colors="white"/>
      <o:colormenu v:ext="edit" fillcolor="white" strokecolor="none"/>
    </o:shapedefaults>
    <o:shapelayout v:ext="edit">
      <o:idmap v:ext="edit" data="1"/>
      <o:rules v:ext="edit">
        <o:r id="V:Rule4" type="connector" idref="#_x0000_s1124"/>
        <o:r id="V:Rule5" type="connector" idref="#_x0000_s1127"/>
        <o:r id="V:Rule6" type="connector" idref="#_x0000_s1101"/>
      </o:rules>
      <o:regrouptable v:ext="edit">
        <o:entry new="1" old="0"/>
        <o:entry new="2" old="0"/>
        <o:entry new="3" old="0"/>
        <o:entry new="4" old="0"/>
        <o:entry new="5" old="0"/>
        <o:entry new="6" old="0"/>
        <o:entry new="7" old="6"/>
        <o:entry new="8" old="6"/>
        <o:entry new="9" old="0"/>
        <o:entry new="10" old="6"/>
        <o:entry new="11" old="6"/>
        <o:entry new="12" old="6"/>
        <o:entry new="13" old="6"/>
        <o:entry new="14" old="6"/>
        <o:entry new="15" old="6"/>
        <o:entry new="16" old="0"/>
        <o:entry new="17" old="16"/>
        <o:entry new="18" old="17"/>
        <o:entry new="19" old="0"/>
        <o:entry new="20" old="19"/>
        <o:entry new="21" old="20"/>
        <o:entry new="22" old="0"/>
        <o:entry new="23" old="0"/>
        <o:entry new="2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6668"/>
    <w:pPr>
      <w:spacing w:after="120"/>
      <w:jc w:val="both"/>
    </w:pPr>
    <w:rPr>
      <w:rFonts w:ascii="Times New Roman" w:hAnsi="Times New Roman" w:cs="Times New Roman"/>
    </w:rPr>
  </w:style>
  <w:style w:type="paragraph" w:styleId="Heading1">
    <w:name w:val="heading 1"/>
    <w:basedOn w:val="Normal"/>
    <w:next w:val="Normal"/>
    <w:link w:val="Heading1Char"/>
    <w:uiPriority w:val="9"/>
    <w:qFormat/>
    <w:rsid w:val="001C6668"/>
    <w:pPr>
      <w:numPr>
        <w:numId w:val="1"/>
      </w:numPr>
      <w:spacing w:before="480" w:after="180"/>
      <w:contextualSpacing/>
      <w:outlineLvl w:val="0"/>
    </w:pPr>
    <w:rPr>
      <w:rFonts w:eastAsiaTheme="majorEastAsia"/>
      <w:b/>
      <w:bCs/>
      <w:sz w:val="24"/>
      <w:szCs w:val="24"/>
    </w:rPr>
  </w:style>
  <w:style w:type="paragraph" w:styleId="Heading2">
    <w:name w:val="heading 2"/>
    <w:basedOn w:val="Normal"/>
    <w:next w:val="Normal"/>
    <w:link w:val="Heading2Char"/>
    <w:uiPriority w:val="9"/>
    <w:unhideWhenUsed/>
    <w:qFormat/>
    <w:rsid w:val="00F83E99"/>
    <w:pPr>
      <w:numPr>
        <w:ilvl w:val="1"/>
        <w:numId w:val="1"/>
      </w:numPr>
      <w:spacing w:before="240"/>
      <w:ind w:left="0"/>
      <w:outlineLvl w:val="1"/>
    </w:pPr>
    <w:rPr>
      <w:rFonts w:eastAsiaTheme="majorEastAsia"/>
      <w:bCs/>
      <w:sz w:val="24"/>
      <w:szCs w:val="24"/>
      <w:u w:val="single"/>
    </w:rPr>
  </w:style>
  <w:style w:type="paragraph" w:styleId="Heading3">
    <w:name w:val="heading 3"/>
    <w:basedOn w:val="Normal"/>
    <w:next w:val="Normal"/>
    <w:link w:val="Heading3Char"/>
    <w:uiPriority w:val="9"/>
    <w:unhideWhenUsed/>
    <w:qFormat/>
    <w:rsid w:val="00B533AD"/>
    <w:pPr>
      <w:numPr>
        <w:ilvl w:val="2"/>
        <w:numId w:val="1"/>
      </w:numPr>
      <w:tabs>
        <w:tab w:val="left" w:pos="1260"/>
      </w:tabs>
      <w:spacing w:before="200" w:line="271" w:lineRule="auto"/>
      <w:outlineLvl w:val="2"/>
    </w:pPr>
    <w:rPr>
      <w:rFonts w:eastAsiaTheme="majorEastAsia"/>
      <w:b/>
      <w:bCs/>
    </w:rPr>
  </w:style>
  <w:style w:type="paragraph" w:styleId="Heading4">
    <w:name w:val="heading 4"/>
    <w:basedOn w:val="Normal"/>
    <w:next w:val="Normal"/>
    <w:link w:val="Heading4Char"/>
    <w:uiPriority w:val="9"/>
    <w:unhideWhenUsed/>
    <w:qFormat/>
    <w:rsid w:val="004034F1"/>
    <w:pPr>
      <w:numPr>
        <w:ilvl w:val="3"/>
        <w:numId w:val="1"/>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4034F1"/>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4034F1"/>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unhideWhenUsed/>
    <w:qFormat/>
    <w:rsid w:val="004034F1"/>
    <w:pPr>
      <w:numPr>
        <w:ilvl w:val="6"/>
        <w:numId w:val="1"/>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4034F1"/>
    <w:pPr>
      <w:numPr>
        <w:ilvl w:val="7"/>
        <w:numId w:val="1"/>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4034F1"/>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34F1"/>
    <w:pPr>
      <w:ind w:left="720"/>
      <w:contextualSpacing/>
    </w:pPr>
  </w:style>
  <w:style w:type="character" w:customStyle="1" w:styleId="Heading1Char">
    <w:name w:val="Heading 1 Char"/>
    <w:basedOn w:val="DefaultParagraphFont"/>
    <w:link w:val="Heading1"/>
    <w:uiPriority w:val="9"/>
    <w:rsid w:val="001C6668"/>
    <w:rPr>
      <w:rFonts w:ascii="Times New Roman" w:eastAsiaTheme="majorEastAsia" w:hAnsi="Times New Roman" w:cs="Times New Roman"/>
      <w:b/>
      <w:bCs/>
      <w:sz w:val="24"/>
      <w:szCs w:val="24"/>
    </w:rPr>
  </w:style>
  <w:style w:type="character" w:customStyle="1" w:styleId="Heading2Char">
    <w:name w:val="Heading 2 Char"/>
    <w:basedOn w:val="DefaultParagraphFont"/>
    <w:link w:val="Heading2"/>
    <w:uiPriority w:val="9"/>
    <w:rsid w:val="00F83E99"/>
    <w:rPr>
      <w:rFonts w:ascii="Times New Roman" w:eastAsiaTheme="majorEastAsia" w:hAnsi="Times New Roman" w:cs="Times New Roman"/>
      <w:bCs/>
      <w:sz w:val="24"/>
      <w:szCs w:val="24"/>
      <w:u w:val="single"/>
    </w:rPr>
  </w:style>
  <w:style w:type="character" w:customStyle="1" w:styleId="Heading3Char">
    <w:name w:val="Heading 3 Char"/>
    <w:basedOn w:val="DefaultParagraphFont"/>
    <w:link w:val="Heading3"/>
    <w:uiPriority w:val="9"/>
    <w:rsid w:val="00B533AD"/>
    <w:rPr>
      <w:rFonts w:ascii="Times New Roman" w:eastAsiaTheme="majorEastAsia" w:hAnsi="Times New Roman" w:cs="Times New Roman"/>
      <w:b/>
      <w:bCs/>
    </w:rPr>
  </w:style>
  <w:style w:type="paragraph" w:styleId="Title">
    <w:name w:val="Title"/>
    <w:basedOn w:val="Normal"/>
    <w:next w:val="Normal"/>
    <w:link w:val="TitleChar"/>
    <w:uiPriority w:val="10"/>
    <w:qFormat/>
    <w:rsid w:val="001C6668"/>
    <w:pPr>
      <w:pBdr>
        <w:bottom w:val="single" w:sz="4" w:space="1" w:color="auto"/>
      </w:pBdr>
      <w:spacing w:line="240" w:lineRule="auto"/>
      <w:contextualSpacing/>
      <w:jc w:val="left"/>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C6668"/>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4034F1"/>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4034F1"/>
    <w:rPr>
      <w:rFonts w:asciiTheme="majorHAnsi" w:eastAsiaTheme="majorEastAsia" w:hAnsiTheme="majorHAnsi" w:cstheme="majorBidi"/>
      <w:i/>
      <w:iCs/>
      <w:spacing w:val="13"/>
      <w:sz w:val="24"/>
      <w:szCs w:val="24"/>
    </w:rPr>
  </w:style>
  <w:style w:type="character" w:styleId="BookTitle">
    <w:name w:val="Book Title"/>
    <w:uiPriority w:val="33"/>
    <w:qFormat/>
    <w:rsid w:val="004034F1"/>
    <w:rPr>
      <w:i/>
      <w:iCs/>
      <w:smallCaps/>
      <w:spacing w:val="5"/>
    </w:rPr>
  </w:style>
  <w:style w:type="character" w:customStyle="1" w:styleId="Heading4Char">
    <w:name w:val="Heading 4 Char"/>
    <w:basedOn w:val="DefaultParagraphFont"/>
    <w:link w:val="Heading4"/>
    <w:uiPriority w:val="9"/>
    <w:rsid w:val="004034F1"/>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4034F1"/>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4034F1"/>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rsid w:val="004034F1"/>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034F1"/>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4034F1"/>
    <w:rPr>
      <w:rFonts w:asciiTheme="majorHAnsi" w:eastAsiaTheme="majorEastAsia" w:hAnsiTheme="majorHAnsi" w:cstheme="majorBidi"/>
      <w:i/>
      <w:iCs/>
      <w:spacing w:val="5"/>
      <w:sz w:val="20"/>
      <w:szCs w:val="20"/>
    </w:rPr>
  </w:style>
  <w:style w:type="character" w:styleId="Strong">
    <w:name w:val="Strong"/>
    <w:uiPriority w:val="22"/>
    <w:qFormat/>
    <w:rsid w:val="004034F1"/>
    <w:rPr>
      <w:b/>
      <w:bCs/>
    </w:rPr>
  </w:style>
  <w:style w:type="character" w:styleId="Emphasis">
    <w:name w:val="Emphasis"/>
    <w:uiPriority w:val="20"/>
    <w:qFormat/>
    <w:rsid w:val="004034F1"/>
    <w:rPr>
      <w:b/>
      <w:bCs/>
      <w:i/>
      <w:iCs/>
      <w:spacing w:val="10"/>
      <w:bdr w:val="none" w:sz="0" w:space="0" w:color="auto"/>
      <w:shd w:val="clear" w:color="auto" w:fill="auto"/>
    </w:rPr>
  </w:style>
  <w:style w:type="paragraph" w:styleId="NoSpacing">
    <w:name w:val="No Spacing"/>
    <w:basedOn w:val="Normal"/>
    <w:uiPriority w:val="1"/>
    <w:qFormat/>
    <w:rsid w:val="004034F1"/>
    <w:pPr>
      <w:spacing w:after="0" w:line="240" w:lineRule="auto"/>
    </w:pPr>
  </w:style>
  <w:style w:type="paragraph" w:styleId="Quote">
    <w:name w:val="Quote"/>
    <w:basedOn w:val="Normal"/>
    <w:next w:val="Normal"/>
    <w:link w:val="QuoteChar"/>
    <w:uiPriority w:val="29"/>
    <w:qFormat/>
    <w:rsid w:val="004034F1"/>
    <w:pPr>
      <w:spacing w:before="200" w:after="0"/>
      <w:ind w:left="360" w:right="360"/>
    </w:pPr>
    <w:rPr>
      <w:i/>
      <w:iCs/>
    </w:rPr>
  </w:style>
  <w:style w:type="character" w:customStyle="1" w:styleId="QuoteChar">
    <w:name w:val="Quote Char"/>
    <w:basedOn w:val="DefaultParagraphFont"/>
    <w:link w:val="Quote"/>
    <w:uiPriority w:val="29"/>
    <w:rsid w:val="004034F1"/>
    <w:rPr>
      <w:i/>
      <w:iCs/>
    </w:rPr>
  </w:style>
  <w:style w:type="paragraph" w:styleId="IntenseQuote">
    <w:name w:val="Intense Quote"/>
    <w:basedOn w:val="Normal"/>
    <w:next w:val="Normal"/>
    <w:link w:val="IntenseQuoteChar"/>
    <w:uiPriority w:val="30"/>
    <w:qFormat/>
    <w:rsid w:val="004034F1"/>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4034F1"/>
    <w:rPr>
      <w:b/>
      <w:bCs/>
      <w:i/>
      <w:iCs/>
    </w:rPr>
  </w:style>
  <w:style w:type="character" w:styleId="SubtleEmphasis">
    <w:name w:val="Subtle Emphasis"/>
    <w:uiPriority w:val="19"/>
    <w:qFormat/>
    <w:rsid w:val="001C6668"/>
    <w:rPr>
      <w:i/>
      <w:iCs/>
    </w:rPr>
  </w:style>
  <w:style w:type="character" w:styleId="IntenseEmphasis">
    <w:name w:val="Intense Emphasis"/>
    <w:uiPriority w:val="21"/>
    <w:qFormat/>
    <w:rsid w:val="004034F1"/>
    <w:rPr>
      <w:b/>
      <w:bCs/>
    </w:rPr>
  </w:style>
  <w:style w:type="character" w:styleId="SubtleReference">
    <w:name w:val="Subtle Reference"/>
    <w:uiPriority w:val="31"/>
    <w:qFormat/>
    <w:rsid w:val="004034F1"/>
    <w:rPr>
      <w:smallCaps/>
    </w:rPr>
  </w:style>
  <w:style w:type="character" w:styleId="IntenseReference">
    <w:name w:val="Intense Reference"/>
    <w:uiPriority w:val="32"/>
    <w:qFormat/>
    <w:rsid w:val="004034F1"/>
    <w:rPr>
      <w:smallCaps/>
      <w:spacing w:val="5"/>
      <w:u w:val="single"/>
    </w:rPr>
  </w:style>
  <w:style w:type="paragraph" w:styleId="TOCHeading">
    <w:name w:val="TOC Heading"/>
    <w:basedOn w:val="Heading1"/>
    <w:next w:val="Normal"/>
    <w:uiPriority w:val="39"/>
    <w:unhideWhenUsed/>
    <w:qFormat/>
    <w:rsid w:val="004034F1"/>
    <w:pPr>
      <w:outlineLvl w:val="9"/>
    </w:pPr>
  </w:style>
  <w:style w:type="paragraph" w:styleId="Header">
    <w:name w:val="header"/>
    <w:basedOn w:val="Normal"/>
    <w:link w:val="HeaderChar"/>
    <w:uiPriority w:val="99"/>
    <w:semiHidden/>
    <w:unhideWhenUsed/>
    <w:rsid w:val="004034F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034F1"/>
  </w:style>
  <w:style w:type="paragraph" w:styleId="Footer">
    <w:name w:val="footer"/>
    <w:basedOn w:val="Normal"/>
    <w:link w:val="FooterChar"/>
    <w:uiPriority w:val="99"/>
    <w:unhideWhenUsed/>
    <w:rsid w:val="004034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34F1"/>
  </w:style>
  <w:style w:type="table" w:styleId="TableGrid">
    <w:name w:val="Table Grid"/>
    <w:basedOn w:val="TableNormal"/>
    <w:uiPriority w:val="59"/>
    <w:rsid w:val="004835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D31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31F8"/>
    <w:rPr>
      <w:rFonts w:ascii="Tahoma" w:hAnsi="Tahoma" w:cs="Tahoma"/>
      <w:sz w:val="16"/>
      <w:szCs w:val="16"/>
    </w:rPr>
  </w:style>
  <w:style w:type="paragraph" w:styleId="FootnoteText">
    <w:name w:val="footnote text"/>
    <w:aliases w:val="Footnote,Footnote text,Fußnotentextf,fn,Text poznámky pod čiarou 007,_Poznámka pod čiarou,Schriftart: 9 pt,Schriftart: 10 pt,Schriftart: 8 pt,Text poznámky pod ciarou 007,_Poznámka pod ciarou,Voetnoottekst Char1,Voetnoottekst Char Char,f"/>
    <w:basedOn w:val="Normal"/>
    <w:link w:val="FootnoteTextChar"/>
    <w:unhideWhenUsed/>
    <w:rsid w:val="00252C48"/>
    <w:pPr>
      <w:spacing w:after="0" w:line="240" w:lineRule="auto"/>
    </w:pPr>
    <w:rPr>
      <w:sz w:val="20"/>
      <w:szCs w:val="20"/>
    </w:rPr>
  </w:style>
  <w:style w:type="character" w:customStyle="1" w:styleId="FootnoteTextChar">
    <w:name w:val="Footnote Text Char"/>
    <w:aliases w:val="Footnote Char,Footnote text Char,Fußnotentextf Char,fn Char,Text poznámky pod čiarou 007 Char,_Poznámka pod čiarou Char,Schriftart: 9 pt Char,Schriftart: 10 pt Char,Schriftart: 8 pt Char,Text poznámky pod ciarou 007 Char,f Char"/>
    <w:basedOn w:val="DefaultParagraphFont"/>
    <w:link w:val="FootnoteText"/>
    <w:rsid w:val="00252C48"/>
    <w:rPr>
      <w:rFonts w:ascii="Times New Roman" w:hAnsi="Times New Roman" w:cs="Times New Roman"/>
      <w:sz w:val="20"/>
      <w:szCs w:val="20"/>
    </w:rPr>
  </w:style>
  <w:style w:type="character" w:styleId="FootnoteReference">
    <w:name w:val="footnote reference"/>
    <w:aliases w:val="Footnote symbol,number,SUPERS,Footnote Reference Superscript,stylish,Footnote Refernece,BVI fnr,callout,Odwołanie przypisu,Footnote Reference Number,Times 10 Point,Exposant 3 Point,Ref,de nota al pie,ftref,16 Point,Superscript 6 Point"/>
    <w:basedOn w:val="DefaultParagraphFont"/>
    <w:unhideWhenUsed/>
    <w:rsid w:val="00252C48"/>
    <w:rPr>
      <w:vertAlign w:val="superscript"/>
    </w:rPr>
  </w:style>
  <w:style w:type="paragraph" w:styleId="Caption">
    <w:name w:val="caption"/>
    <w:aliases w:val="Table legend,Tab_Überschrift,Figure reference,Tab_†berschrift,Beschriftung Char2,Beschriftung Char1 Char1,Beschriftung Char Char Char1,Beschriftung Char1 Char Char,Beschriftung Char Char Char Char,Beschriftung Char Char1 Char"/>
    <w:basedOn w:val="Normal"/>
    <w:next w:val="Normal"/>
    <w:link w:val="CaptionChar"/>
    <w:unhideWhenUsed/>
    <w:qFormat/>
    <w:rsid w:val="00EB497E"/>
    <w:pPr>
      <w:spacing w:after="200" w:line="240" w:lineRule="auto"/>
    </w:pPr>
    <w:rPr>
      <w:b/>
      <w:bCs/>
      <w:color w:val="4F81BD" w:themeColor="accent1"/>
      <w:sz w:val="18"/>
      <w:szCs w:val="18"/>
    </w:rPr>
  </w:style>
  <w:style w:type="table" w:customStyle="1" w:styleId="LightShading1">
    <w:name w:val="Light Shading1"/>
    <w:basedOn w:val="TableNormal"/>
    <w:uiPriority w:val="60"/>
    <w:rsid w:val="00391DC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iPriority w:val="99"/>
    <w:semiHidden/>
    <w:unhideWhenUsed/>
    <w:rsid w:val="00282960"/>
    <w:rPr>
      <w:sz w:val="16"/>
      <w:szCs w:val="16"/>
    </w:rPr>
  </w:style>
  <w:style w:type="paragraph" w:styleId="CommentText">
    <w:name w:val="annotation text"/>
    <w:basedOn w:val="Normal"/>
    <w:link w:val="CommentTextChar"/>
    <w:uiPriority w:val="99"/>
    <w:unhideWhenUsed/>
    <w:rsid w:val="00282960"/>
    <w:pPr>
      <w:spacing w:line="240" w:lineRule="auto"/>
    </w:pPr>
    <w:rPr>
      <w:sz w:val="20"/>
      <w:szCs w:val="20"/>
    </w:rPr>
  </w:style>
  <w:style w:type="character" w:customStyle="1" w:styleId="CommentTextChar">
    <w:name w:val="Comment Text Char"/>
    <w:basedOn w:val="DefaultParagraphFont"/>
    <w:link w:val="CommentText"/>
    <w:uiPriority w:val="99"/>
    <w:rsid w:val="00282960"/>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82960"/>
    <w:rPr>
      <w:b/>
      <w:bCs/>
    </w:rPr>
  </w:style>
  <w:style w:type="character" w:customStyle="1" w:styleId="CommentSubjectChar">
    <w:name w:val="Comment Subject Char"/>
    <w:basedOn w:val="CommentTextChar"/>
    <w:link w:val="CommentSubject"/>
    <w:uiPriority w:val="99"/>
    <w:semiHidden/>
    <w:rsid w:val="00282960"/>
    <w:rPr>
      <w:b/>
      <w:bCs/>
    </w:rPr>
  </w:style>
  <w:style w:type="character" w:styleId="Hyperlink">
    <w:name w:val="Hyperlink"/>
    <w:basedOn w:val="DefaultParagraphFont"/>
    <w:uiPriority w:val="99"/>
    <w:unhideWhenUsed/>
    <w:rsid w:val="008C56FF"/>
    <w:rPr>
      <w:color w:val="0000FF" w:themeColor="hyperlink"/>
      <w:u w:val="single"/>
    </w:rPr>
  </w:style>
  <w:style w:type="table" w:customStyle="1" w:styleId="LightShading2">
    <w:name w:val="Light Shading2"/>
    <w:basedOn w:val="TableNormal"/>
    <w:uiPriority w:val="60"/>
    <w:rsid w:val="009D466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1">
    <w:name w:val="toc 1"/>
    <w:basedOn w:val="Normal"/>
    <w:next w:val="Normal"/>
    <w:autoRedefine/>
    <w:uiPriority w:val="39"/>
    <w:unhideWhenUsed/>
    <w:rsid w:val="005E23AF"/>
    <w:pPr>
      <w:tabs>
        <w:tab w:val="left" w:pos="660"/>
        <w:tab w:val="right" w:leader="dot" w:pos="9350"/>
      </w:tabs>
      <w:spacing w:before="240" w:after="100"/>
    </w:pPr>
    <w:rPr>
      <w:b/>
      <w:noProof/>
    </w:rPr>
  </w:style>
  <w:style w:type="paragraph" w:styleId="TOC2">
    <w:name w:val="toc 2"/>
    <w:basedOn w:val="Normal"/>
    <w:next w:val="Normal"/>
    <w:autoRedefine/>
    <w:uiPriority w:val="39"/>
    <w:unhideWhenUsed/>
    <w:rsid w:val="005E23AF"/>
    <w:pPr>
      <w:spacing w:after="100"/>
      <w:ind w:left="220"/>
    </w:pPr>
  </w:style>
  <w:style w:type="paragraph" w:styleId="TOC3">
    <w:name w:val="toc 3"/>
    <w:basedOn w:val="Normal"/>
    <w:next w:val="Normal"/>
    <w:autoRedefine/>
    <w:uiPriority w:val="39"/>
    <w:unhideWhenUsed/>
    <w:rsid w:val="005E23AF"/>
    <w:pPr>
      <w:spacing w:after="100"/>
      <w:ind w:left="440"/>
    </w:pPr>
  </w:style>
  <w:style w:type="character" w:customStyle="1" w:styleId="CaptionChar">
    <w:name w:val="Caption Char"/>
    <w:aliases w:val="Table legend Char,Tab_Überschrift Char,Figure reference Char,Tab_†berschrift Char,Beschriftung Char2 Char,Beschriftung Char1 Char1 Char,Beschriftung Char Char Char1 Char,Beschriftung Char1 Char Char Char,Beschriftung Char Char1 Char Char"/>
    <w:basedOn w:val="DefaultParagraphFont"/>
    <w:link w:val="Caption"/>
    <w:rsid w:val="00D24AAF"/>
    <w:rPr>
      <w:rFonts w:ascii="Times New Roman" w:hAnsi="Times New Roman" w:cs="Times New Roman"/>
      <w:b/>
      <w:bCs/>
      <w:color w:val="4F81BD" w:themeColor="accent1"/>
      <w:sz w:val="18"/>
      <w:szCs w:val="18"/>
    </w:rPr>
  </w:style>
  <w:style w:type="character" w:styleId="FollowedHyperlink">
    <w:name w:val="FollowedHyperlink"/>
    <w:basedOn w:val="DefaultParagraphFont"/>
    <w:uiPriority w:val="99"/>
    <w:semiHidden/>
    <w:unhideWhenUsed/>
    <w:rsid w:val="00D24AAF"/>
    <w:rPr>
      <w:color w:val="800080" w:themeColor="followedHyperlink"/>
      <w:u w:val="single"/>
    </w:rPr>
  </w:style>
  <w:style w:type="paragraph" w:styleId="DocumentMap">
    <w:name w:val="Document Map"/>
    <w:basedOn w:val="Normal"/>
    <w:link w:val="DocumentMapChar"/>
    <w:uiPriority w:val="99"/>
    <w:semiHidden/>
    <w:unhideWhenUsed/>
    <w:rsid w:val="00F106C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106CD"/>
    <w:rPr>
      <w:rFonts w:ascii="Tahoma" w:hAnsi="Tahoma" w:cs="Tahoma"/>
      <w:sz w:val="16"/>
      <w:szCs w:val="16"/>
    </w:rPr>
  </w:style>
  <w:style w:type="character" w:customStyle="1" w:styleId="apple-converted-space">
    <w:name w:val="apple-converted-space"/>
    <w:basedOn w:val="DefaultParagraphFont"/>
    <w:rsid w:val="00671F71"/>
  </w:style>
  <w:style w:type="paragraph" w:styleId="TableofFigures">
    <w:name w:val="table of figures"/>
    <w:basedOn w:val="Normal"/>
    <w:next w:val="Normal"/>
    <w:uiPriority w:val="99"/>
    <w:unhideWhenUsed/>
    <w:rsid w:val="00584B38"/>
    <w:pPr>
      <w:spacing w:after="0"/>
    </w:pPr>
  </w:style>
  <w:style w:type="table" w:styleId="MediumShading2-Accent3">
    <w:name w:val="Medium Shading 2 Accent 3"/>
    <w:basedOn w:val="TableNormal"/>
    <w:uiPriority w:val="64"/>
    <w:rsid w:val="00B955E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3">
    <w:name w:val="Medium Shading 1 Accent 3"/>
    <w:basedOn w:val="TableNormal"/>
    <w:uiPriority w:val="63"/>
    <w:rsid w:val="00B955E2"/>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ghtList-Accent3">
    <w:name w:val="Light List Accent 3"/>
    <w:basedOn w:val="TableNormal"/>
    <w:uiPriority w:val="61"/>
    <w:rsid w:val="00B955E2"/>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MediumShading1-Accent31">
    <w:name w:val="Medium Shading 1 - Accent 31"/>
    <w:basedOn w:val="TableNormal"/>
    <w:next w:val="MediumShading1-Accent3"/>
    <w:uiPriority w:val="63"/>
    <w:rsid w:val="00254B4B"/>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customStyle="1" w:styleId="NormalNumbered">
    <w:name w:val="Normal Numbered"/>
    <w:basedOn w:val="Normal"/>
    <w:rsid w:val="005A184F"/>
    <w:pPr>
      <w:numPr>
        <w:numId w:val="15"/>
      </w:numPr>
      <w:spacing w:before="120" w:line="240" w:lineRule="auto"/>
    </w:pPr>
    <w:rPr>
      <w:rFonts w:eastAsia="MS Mincho"/>
      <w:sz w:val="24"/>
      <w:szCs w:val="24"/>
      <w:lang w:eastAsia="ja-JP" w:bidi="ar-SA"/>
    </w:rPr>
  </w:style>
  <w:style w:type="table" w:customStyle="1" w:styleId="MediumShading1-Accent11">
    <w:name w:val="Medium Shading 1 - Accent 11"/>
    <w:basedOn w:val="TableNormal"/>
    <w:uiPriority w:val="63"/>
    <w:rsid w:val="005A184F"/>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14163538">
      <w:bodyDiv w:val="1"/>
      <w:marLeft w:val="0"/>
      <w:marRight w:val="0"/>
      <w:marTop w:val="0"/>
      <w:marBottom w:val="0"/>
      <w:divBdr>
        <w:top w:val="none" w:sz="0" w:space="0" w:color="auto"/>
        <w:left w:val="none" w:sz="0" w:space="0" w:color="auto"/>
        <w:bottom w:val="none" w:sz="0" w:space="0" w:color="auto"/>
        <w:right w:val="none" w:sz="0" w:space="0" w:color="auto"/>
      </w:divBdr>
      <w:divsChild>
        <w:div w:id="169027713">
          <w:marLeft w:val="0"/>
          <w:marRight w:val="0"/>
          <w:marTop w:val="0"/>
          <w:marBottom w:val="0"/>
          <w:divBdr>
            <w:top w:val="none" w:sz="0" w:space="0" w:color="auto"/>
            <w:left w:val="none" w:sz="0" w:space="0" w:color="auto"/>
            <w:bottom w:val="none" w:sz="0" w:space="0" w:color="auto"/>
            <w:right w:val="none" w:sz="0" w:space="0" w:color="auto"/>
          </w:divBdr>
          <w:divsChild>
            <w:div w:id="594049950">
              <w:marLeft w:val="0"/>
              <w:marRight w:val="0"/>
              <w:marTop w:val="0"/>
              <w:marBottom w:val="0"/>
              <w:divBdr>
                <w:top w:val="none" w:sz="0" w:space="0" w:color="auto"/>
                <w:left w:val="none" w:sz="0" w:space="0" w:color="auto"/>
                <w:bottom w:val="none" w:sz="0" w:space="0" w:color="auto"/>
                <w:right w:val="none" w:sz="0" w:space="0" w:color="auto"/>
              </w:divBdr>
              <w:divsChild>
                <w:div w:id="576787388">
                  <w:marLeft w:val="336"/>
                  <w:marRight w:val="0"/>
                  <w:marTop w:val="120"/>
                  <w:marBottom w:val="312"/>
                  <w:divBdr>
                    <w:top w:val="none" w:sz="0" w:space="0" w:color="auto"/>
                    <w:left w:val="none" w:sz="0" w:space="0" w:color="auto"/>
                    <w:bottom w:val="none" w:sz="0" w:space="0" w:color="auto"/>
                    <w:right w:val="none" w:sz="0" w:space="0" w:color="auto"/>
                  </w:divBdr>
                  <w:divsChild>
                    <w:div w:id="2064207261">
                      <w:marLeft w:val="0"/>
                      <w:marRight w:val="0"/>
                      <w:marTop w:val="0"/>
                      <w:marBottom w:val="0"/>
                      <w:divBdr>
                        <w:top w:val="single" w:sz="6" w:space="0" w:color="CCCCCC"/>
                        <w:left w:val="single" w:sz="6" w:space="0" w:color="CCCCCC"/>
                        <w:bottom w:val="single" w:sz="6" w:space="0" w:color="CCCCCC"/>
                        <w:right w:val="single" w:sz="6" w:space="0" w:color="CCCCCC"/>
                      </w:divBdr>
                      <w:divsChild>
                        <w:div w:id="158958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808123">
                  <w:marLeft w:val="336"/>
                  <w:marRight w:val="0"/>
                  <w:marTop w:val="120"/>
                  <w:marBottom w:val="312"/>
                  <w:divBdr>
                    <w:top w:val="none" w:sz="0" w:space="0" w:color="auto"/>
                    <w:left w:val="none" w:sz="0" w:space="0" w:color="auto"/>
                    <w:bottom w:val="none" w:sz="0" w:space="0" w:color="auto"/>
                    <w:right w:val="none" w:sz="0" w:space="0" w:color="auto"/>
                  </w:divBdr>
                  <w:divsChild>
                    <w:div w:id="2088569906">
                      <w:marLeft w:val="0"/>
                      <w:marRight w:val="0"/>
                      <w:marTop w:val="0"/>
                      <w:marBottom w:val="0"/>
                      <w:divBdr>
                        <w:top w:val="single" w:sz="6" w:space="0" w:color="CCCCCC"/>
                        <w:left w:val="single" w:sz="6" w:space="0" w:color="CCCCCC"/>
                        <w:bottom w:val="single" w:sz="6" w:space="0" w:color="CCCCCC"/>
                        <w:right w:val="single" w:sz="6" w:space="0" w:color="CCCCCC"/>
                      </w:divBdr>
                      <w:divsChild>
                        <w:div w:id="110712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67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21970">
      <w:bodyDiv w:val="1"/>
      <w:marLeft w:val="0"/>
      <w:marRight w:val="0"/>
      <w:marTop w:val="0"/>
      <w:marBottom w:val="0"/>
      <w:divBdr>
        <w:top w:val="none" w:sz="0" w:space="0" w:color="auto"/>
        <w:left w:val="none" w:sz="0" w:space="0" w:color="auto"/>
        <w:bottom w:val="none" w:sz="0" w:space="0" w:color="auto"/>
        <w:right w:val="none" w:sz="0" w:space="0" w:color="auto"/>
      </w:divBdr>
      <w:divsChild>
        <w:div w:id="2124877932">
          <w:marLeft w:val="0"/>
          <w:marRight w:val="0"/>
          <w:marTop w:val="0"/>
          <w:marBottom w:val="0"/>
          <w:divBdr>
            <w:top w:val="none" w:sz="0" w:space="0" w:color="auto"/>
            <w:left w:val="none" w:sz="0" w:space="0" w:color="auto"/>
            <w:bottom w:val="none" w:sz="0" w:space="0" w:color="auto"/>
            <w:right w:val="none" w:sz="0" w:space="0" w:color="auto"/>
          </w:divBdr>
        </w:div>
      </w:divsChild>
    </w:div>
    <w:div w:id="214893051">
      <w:bodyDiv w:val="1"/>
      <w:marLeft w:val="0"/>
      <w:marRight w:val="0"/>
      <w:marTop w:val="0"/>
      <w:marBottom w:val="0"/>
      <w:divBdr>
        <w:top w:val="none" w:sz="0" w:space="0" w:color="auto"/>
        <w:left w:val="none" w:sz="0" w:space="0" w:color="auto"/>
        <w:bottom w:val="none" w:sz="0" w:space="0" w:color="auto"/>
        <w:right w:val="none" w:sz="0" w:space="0" w:color="auto"/>
      </w:divBdr>
      <w:divsChild>
        <w:div w:id="1770854372">
          <w:marLeft w:val="0"/>
          <w:marRight w:val="0"/>
          <w:marTop w:val="0"/>
          <w:marBottom w:val="15"/>
          <w:divBdr>
            <w:top w:val="none" w:sz="0" w:space="0" w:color="auto"/>
            <w:left w:val="none" w:sz="0" w:space="0" w:color="auto"/>
            <w:bottom w:val="none" w:sz="0" w:space="0" w:color="auto"/>
            <w:right w:val="none" w:sz="0" w:space="0" w:color="auto"/>
          </w:divBdr>
        </w:div>
      </w:divsChild>
    </w:div>
    <w:div w:id="226308511">
      <w:bodyDiv w:val="1"/>
      <w:marLeft w:val="0"/>
      <w:marRight w:val="0"/>
      <w:marTop w:val="0"/>
      <w:marBottom w:val="0"/>
      <w:divBdr>
        <w:top w:val="none" w:sz="0" w:space="0" w:color="auto"/>
        <w:left w:val="none" w:sz="0" w:space="0" w:color="auto"/>
        <w:bottom w:val="none" w:sz="0" w:space="0" w:color="auto"/>
        <w:right w:val="none" w:sz="0" w:space="0" w:color="auto"/>
      </w:divBdr>
    </w:div>
    <w:div w:id="241062506">
      <w:bodyDiv w:val="1"/>
      <w:marLeft w:val="0"/>
      <w:marRight w:val="0"/>
      <w:marTop w:val="0"/>
      <w:marBottom w:val="0"/>
      <w:divBdr>
        <w:top w:val="none" w:sz="0" w:space="0" w:color="auto"/>
        <w:left w:val="none" w:sz="0" w:space="0" w:color="auto"/>
        <w:bottom w:val="none" w:sz="0" w:space="0" w:color="auto"/>
        <w:right w:val="none" w:sz="0" w:space="0" w:color="auto"/>
      </w:divBdr>
    </w:div>
    <w:div w:id="247688807">
      <w:bodyDiv w:val="1"/>
      <w:marLeft w:val="0"/>
      <w:marRight w:val="0"/>
      <w:marTop w:val="0"/>
      <w:marBottom w:val="0"/>
      <w:divBdr>
        <w:top w:val="none" w:sz="0" w:space="0" w:color="auto"/>
        <w:left w:val="none" w:sz="0" w:space="0" w:color="auto"/>
        <w:bottom w:val="none" w:sz="0" w:space="0" w:color="auto"/>
        <w:right w:val="none" w:sz="0" w:space="0" w:color="auto"/>
      </w:divBdr>
    </w:div>
    <w:div w:id="334958056">
      <w:bodyDiv w:val="1"/>
      <w:marLeft w:val="0"/>
      <w:marRight w:val="0"/>
      <w:marTop w:val="0"/>
      <w:marBottom w:val="0"/>
      <w:divBdr>
        <w:top w:val="none" w:sz="0" w:space="0" w:color="auto"/>
        <w:left w:val="none" w:sz="0" w:space="0" w:color="auto"/>
        <w:bottom w:val="none" w:sz="0" w:space="0" w:color="auto"/>
        <w:right w:val="none" w:sz="0" w:space="0" w:color="auto"/>
      </w:divBdr>
      <w:divsChild>
        <w:div w:id="105395571">
          <w:marLeft w:val="0"/>
          <w:marRight w:val="0"/>
          <w:marTop w:val="0"/>
          <w:marBottom w:val="0"/>
          <w:divBdr>
            <w:top w:val="none" w:sz="0" w:space="0" w:color="auto"/>
            <w:left w:val="none" w:sz="0" w:space="0" w:color="auto"/>
            <w:bottom w:val="none" w:sz="0" w:space="0" w:color="auto"/>
            <w:right w:val="none" w:sz="0" w:space="0" w:color="auto"/>
          </w:divBdr>
        </w:div>
      </w:divsChild>
    </w:div>
    <w:div w:id="394159147">
      <w:bodyDiv w:val="1"/>
      <w:marLeft w:val="0"/>
      <w:marRight w:val="0"/>
      <w:marTop w:val="0"/>
      <w:marBottom w:val="0"/>
      <w:divBdr>
        <w:top w:val="none" w:sz="0" w:space="0" w:color="auto"/>
        <w:left w:val="none" w:sz="0" w:space="0" w:color="auto"/>
        <w:bottom w:val="none" w:sz="0" w:space="0" w:color="auto"/>
        <w:right w:val="none" w:sz="0" w:space="0" w:color="auto"/>
      </w:divBdr>
    </w:div>
    <w:div w:id="421922176">
      <w:bodyDiv w:val="1"/>
      <w:marLeft w:val="0"/>
      <w:marRight w:val="0"/>
      <w:marTop w:val="0"/>
      <w:marBottom w:val="0"/>
      <w:divBdr>
        <w:top w:val="none" w:sz="0" w:space="0" w:color="auto"/>
        <w:left w:val="none" w:sz="0" w:space="0" w:color="auto"/>
        <w:bottom w:val="none" w:sz="0" w:space="0" w:color="auto"/>
        <w:right w:val="none" w:sz="0" w:space="0" w:color="auto"/>
      </w:divBdr>
    </w:div>
    <w:div w:id="428307928">
      <w:bodyDiv w:val="1"/>
      <w:marLeft w:val="0"/>
      <w:marRight w:val="0"/>
      <w:marTop w:val="0"/>
      <w:marBottom w:val="0"/>
      <w:divBdr>
        <w:top w:val="none" w:sz="0" w:space="0" w:color="auto"/>
        <w:left w:val="none" w:sz="0" w:space="0" w:color="auto"/>
        <w:bottom w:val="none" w:sz="0" w:space="0" w:color="auto"/>
        <w:right w:val="none" w:sz="0" w:space="0" w:color="auto"/>
      </w:divBdr>
    </w:div>
    <w:div w:id="529025780">
      <w:bodyDiv w:val="1"/>
      <w:marLeft w:val="0"/>
      <w:marRight w:val="0"/>
      <w:marTop w:val="0"/>
      <w:marBottom w:val="0"/>
      <w:divBdr>
        <w:top w:val="none" w:sz="0" w:space="0" w:color="auto"/>
        <w:left w:val="none" w:sz="0" w:space="0" w:color="auto"/>
        <w:bottom w:val="none" w:sz="0" w:space="0" w:color="auto"/>
        <w:right w:val="none" w:sz="0" w:space="0" w:color="auto"/>
      </w:divBdr>
    </w:div>
    <w:div w:id="700326691">
      <w:bodyDiv w:val="1"/>
      <w:marLeft w:val="0"/>
      <w:marRight w:val="0"/>
      <w:marTop w:val="0"/>
      <w:marBottom w:val="0"/>
      <w:divBdr>
        <w:top w:val="none" w:sz="0" w:space="0" w:color="auto"/>
        <w:left w:val="none" w:sz="0" w:space="0" w:color="auto"/>
        <w:bottom w:val="none" w:sz="0" w:space="0" w:color="auto"/>
        <w:right w:val="none" w:sz="0" w:space="0" w:color="auto"/>
      </w:divBdr>
    </w:div>
    <w:div w:id="709034375">
      <w:bodyDiv w:val="1"/>
      <w:marLeft w:val="0"/>
      <w:marRight w:val="0"/>
      <w:marTop w:val="0"/>
      <w:marBottom w:val="0"/>
      <w:divBdr>
        <w:top w:val="none" w:sz="0" w:space="0" w:color="auto"/>
        <w:left w:val="none" w:sz="0" w:space="0" w:color="auto"/>
        <w:bottom w:val="none" w:sz="0" w:space="0" w:color="auto"/>
        <w:right w:val="none" w:sz="0" w:space="0" w:color="auto"/>
      </w:divBdr>
      <w:divsChild>
        <w:div w:id="6713428">
          <w:marLeft w:val="1166"/>
          <w:marRight w:val="0"/>
          <w:marTop w:val="0"/>
          <w:marBottom w:val="0"/>
          <w:divBdr>
            <w:top w:val="none" w:sz="0" w:space="0" w:color="auto"/>
            <w:left w:val="none" w:sz="0" w:space="0" w:color="auto"/>
            <w:bottom w:val="none" w:sz="0" w:space="0" w:color="auto"/>
            <w:right w:val="none" w:sz="0" w:space="0" w:color="auto"/>
          </w:divBdr>
        </w:div>
        <w:div w:id="221990769">
          <w:marLeft w:val="1166"/>
          <w:marRight w:val="0"/>
          <w:marTop w:val="0"/>
          <w:marBottom w:val="0"/>
          <w:divBdr>
            <w:top w:val="none" w:sz="0" w:space="0" w:color="auto"/>
            <w:left w:val="none" w:sz="0" w:space="0" w:color="auto"/>
            <w:bottom w:val="none" w:sz="0" w:space="0" w:color="auto"/>
            <w:right w:val="none" w:sz="0" w:space="0" w:color="auto"/>
          </w:divBdr>
        </w:div>
        <w:div w:id="828785644">
          <w:marLeft w:val="547"/>
          <w:marRight w:val="0"/>
          <w:marTop w:val="0"/>
          <w:marBottom w:val="0"/>
          <w:divBdr>
            <w:top w:val="none" w:sz="0" w:space="0" w:color="auto"/>
            <w:left w:val="none" w:sz="0" w:space="0" w:color="auto"/>
            <w:bottom w:val="none" w:sz="0" w:space="0" w:color="auto"/>
            <w:right w:val="none" w:sz="0" w:space="0" w:color="auto"/>
          </w:divBdr>
        </w:div>
        <w:div w:id="1219169194">
          <w:marLeft w:val="1166"/>
          <w:marRight w:val="0"/>
          <w:marTop w:val="0"/>
          <w:marBottom w:val="0"/>
          <w:divBdr>
            <w:top w:val="none" w:sz="0" w:space="0" w:color="auto"/>
            <w:left w:val="none" w:sz="0" w:space="0" w:color="auto"/>
            <w:bottom w:val="none" w:sz="0" w:space="0" w:color="auto"/>
            <w:right w:val="none" w:sz="0" w:space="0" w:color="auto"/>
          </w:divBdr>
        </w:div>
        <w:div w:id="1438017004">
          <w:marLeft w:val="1166"/>
          <w:marRight w:val="0"/>
          <w:marTop w:val="0"/>
          <w:marBottom w:val="0"/>
          <w:divBdr>
            <w:top w:val="none" w:sz="0" w:space="0" w:color="auto"/>
            <w:left w:val="none" w:sz="0" w:space="0" w:color="auto"/>
            <w:bottom w:val="none" w:sz="0" w:space="0" w:color="auto"/>
            <w:right w:val="none" w:sz="0" w:space="0" w:color="auto"/>
          </w:divBdr>
        </w:div>
        <w:div w:id="1630278888">
          <w:marLeft w:val="1166"/>
          <w:marRight w:val="0"/>
          <w:marTop w:val="0"/>
          <w:marBottom w:val="0"/>
          <w:divBdr>
            <w:top w:val="none" w:sz="0" w:space="0" w:color="auto"/>
            <w:left w:val="none" w:sz="0" w:space="0" w:color="auto"/>
            <w:bottom w:val="none" w:sz="0" w:space="0" w:color="auto"/>
            <w:right w:val="none" w:sz="0" w:space="0" w:color="auto"/>
          </w:divBdr>
        </w:div>
        <w:div w:id="2060737474">
          <w:marLeft w:val="1166"/>
          <w:marRight w:val="0"/>
          <w:marTop w:val="0"/>
          <w:marBottom w:val="0"/>
          <w:divBdr>
            <w:top w:val="none" w:sz="0" w:space="0" w:color="auto"/>
            <w:left w:val="none" w:sz="0" w:space="0" w:color="auto"/>
            <w:bottom w:val="none" w:sz="0" w:space="0" w:color="auto"/>
            <w:right w:val="none" w:sz="0" w:space="0" w:color="auto"/>
          </w:divBdr>
        </w:div>
      </w:divsChild>
    </w:div>
    <w:div w:id="777602504">
      <w:bodyDiv w:val="1"/>
      <w:marLeft w:val="0"/>
      <w:marRight w:val="0"/>
      <w:marTop w:val="0"/>
      <w:marBottom w:val="0"/>
      <w:divBdr>
        <w:top w:val="none" w:sz="0" w:space="0" w:color="auto"/>
        <w:left w:val="none" w:sz="0" w:space="0" w:color="auto"/>
        <w:bottom w:val="none" w:sz="0" w:space="0" w:color="auto"/>
        <w:right w:val="none" w:sz="0" w:space="0" w:color="auto"/>
      </w:divBdr>
      <w:divsChild>
        <w:div w:id="377053265">
          <w:marLeft w:val="0"/>
          <w:marRight w:val="0"/>
          <w:marTop w:val="0"/>
          <w:marBottom w:val="0"/>
          <w:divBdr>
            <w:top w:val="none" w:sz="0" w:space="0" w:color="auto"/>
            <w:left w:val="none" w:sz="0" w:space="0" w:color="auto"/>
            <w:bottom w:val="none" w:sz="0" w:space="0" w:color="auto"/>
            <w:right w:val="none" w:sz="0" w:space="0" w:color="auto"/>
          </w:divBdr>
          <w:divsChild>
            <w:div w:id="2117359799">
              <w:marLeft w:val="0"/>
              <w:marRight w:val="0"/>
              <w:marTop w:val="0"/>
              <w:marBottom w:val="0"/>
              <w:divBdr>
                <w:top w:val="none" w:sz="0" w:space="0" w:color="auto"/>
                <w:left w:val="none" w:sz="0" w:space="0" w:color="auto"/>
                <w:bottom w:val="none" w:sz="0" w:space="0" w:color="auto"/>
                <w:right w:val="none" w:sz="0" w:space="0" w:color="auto"/>
              </w:divBdr>
              <w:divsChild>
                <w:div w:id="1540166430">
                  <w:marLeft w:val="0"/>
                  <w:marRight w:val="0"/>
                  <w:marTop w:val="0"/>
                  <w:marBottom w:val="0"/>
                  <w:divBdr>
                    <w:top w:val="none" w:sz="0" w:space="0" w:color="auto"/>
                    <w:left w:val="none" w:sz="0" w:space="0" w:color="auto"/>
                    <w:bottom w:val="none" w:sz="0" w:space="0" w:color="auto"/>
                    <w:right w:val="none" w:sz="0" w:space="0" w:color="auto"/>
                  </w:divBdr>
                  <w:divsChild>
                    <w:div w:id="27340192">
                      <w:marLeft w:val="0"/>
                      <w:marRight w:val="0"/>
                      <w:marTop w:val="0"/>
                      <w:marBottom w:val="0"/>
                      <w:divBdr>
                        <w:top w:val="none" w:sz="0" w:space="0" w:color="auto"/>
                        <w:left w:val="none" w:sz="0" w:space="0" w:color="auto"/>
                        <w:bottom w:val="none" w:sz="0" w:space="0" w:color="auto"/>
                        <w:right w:val="none" w:sz="0" w:space="0" w:color="auto"/>
                      </w:divBdr>
                      <w:divsChild>
                        <w:div w:id="311179621">
                          <w:marLeft w:val="0"/>
                          <w:marRight w:val="0"/>
                          <w:marTop w:val="0"/>
                          <w:marBottom w:val="0"/>
                          <w:divBdr>
                            <w:top w:val="none" w:sz="0" w:space="0" w:color="auto"/>
                            <w:left w:val="none" w:sz="0" w:space="0" w:color="auto"/>
                            <w:bottom w:val="none" w:sz="0" w:space="0" w:color="auto"/>
                            <w:right w:val="none" w:sz="0" w:space="0" w:color="auto"/>
                          </w:divBdr>
                          <w:divsChild>
                            <w:div w:id="875317163">
                              <w:marLeft w:val="0"/>
                              <w:marRight w:val="0"/>
                              <w:marTop w:val="0"/>
                              <w:marBottom w:val="0"/>
                              <w:divBdr>
                                <w:top w:val="none" w:sz="0" w:space="0" w:color="auto"/>
                                <w:left w:val="none" w:sz="0" w:space="0" w:color="auto"/>
                                <w:bottom w:val="none" w:sz="0" w:space="0" w:color="auto"/>
                                <w:right w:val="none" w:sz="0" w:space="0" w:color="auto"/>
                              </w:divBdr>
                              <w:divsChild>
                                <w:div w:id="94334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1996859">
      <w:bodyDiv w:val="1"/>
      <w:marLeft w:val="0"/>
      <w:marRight w:val="0"/>
      <w:marTop w:val="0"/>
      <w:marBottom w:val="0"/>
      <w:divBdr>
        <w:top w:val="none" w:sz="0" w:space="0" w:color="auto"/>
        <w:left w:val="none" w:sz="0" w:space="0" w:color="auto"/>
        <w:bottom w:val="none" w:sz="0" w:space="0" w:color="auto"/>
        <w:right w:val="none" w:sz="0" w:space="0" w:color="auto"/>
      </w:divBdr>
    </w:div>
    <w:div w:id="790830747">
      <w:bodyDiv w:val="1"/>
      <w:marLeft w:val="0"/>
      <w:marRight w:val="0"/>
      <w:marTop w:val="0"/>
      <w:marBottom w:val="0"/>
      <w:divBdr>
        <w:top w:val="none" w:sz="0" w:space="0" w:color="auto"/>
        <w:left w:val="none" w:sz="0" w:space="0" w:color="auto"/>
        <w:bottom w:val="none" w:sz="0" w:space="0" w:color="auto"/>
        <w:right w:val="none" w:sz="0" w:space="0" w:color="auto"/>
      </w:divBdr>
    </w:div>
    <w:div w:id="917906537">
      <w:bodyDiv w:val="1"/>
      <w:marLeft w:val="0"/>
      <w:marRight w:val="0"/>
      <w:marTop w:val="0"/>
      <w:marBottom w:val="0"/>
      <w:divBdr>
        <w:top w:val="none" w:sz="0" w:space="0" w:color="auto"/>
        <w:left w:val="none" w:sz="0" w:space="0" w:color="auto"/>
        <w:bottom w:val="none" w:sz="0" w:space="0" w:color="auto"/>
        <w:right w:val="none" w:sz="0" w:space="0" w:color="auto"/>
      </w:divBdr>
      <w:divsChild>
        <w:div w:id="985400592">
          <w:marLeft w:val="0"/>
          <w:marRight w:val="0"/>
          <w:marTop w:val="0"/>
          <w:marBottom w:val="0"/>
          <w:divBdr>
            <w:top w:val="none" w:sz="0" w:space="0" w:color="auto"/>
            <w:left w:val="none" w:sz="0" w:space="0" w:color="auto"/>
            <w:bottom w:val="none" w:sz="0" w:space="0" w:color="auto"/>
            <w:right w:val="none" w:sz="0" w:space="0" w:color="auto"/>
          </w:divBdr>
          <w:divsChild>
            <w:div w:id="170782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855923">
      <w:bodyDiv w:val="1"/>
      <w:marLeft w:val="0"/>
      <w:marRight w:val="0"/>
      <w:marTop w:val="0"/>
      <w:marBottom w:val="0"/>
      <w:divBdr>
        <w:top w:val="none" w:sz="0" w:space="0" w:color="auto"/>
        <w:left w:val="none" w:sz="0" w:space="0" w:color="auto"/>
        <w:bottom w:val="none" w:sz="0" w:space="0" w:color="auto"/>
        <w:right w:val="none" w:sz="0" w:space="0" w:color="auto"/>
      </w:divBdr>
    </w:div>
    <w:div w:id="942879873">
      <w:bodyDiv w:val="1"/>
      <w:marLeft w:val="0"/>
      <w:marRight w:val="0"/>
      <w:marTop w:val="0"/>
      <w:marBottom w:val="0"/>
      <w:divBdr>
        <w:top w:val="none" w:sz="0" w:space="0" w:color="auto"/>
        <w:left w:val="none" w:sz="0" w:space="0" w:color="auto"/>
        <w:bottom w:val="none" w:sz="0" w:space="0" w:color="auto"/>
        <w:right w:val="none" w:sz="0" w:space="0" w:color="auto"/>
      </w:divBdr>
    </w:div>
    <w:div w:id="948271265">
      <w:bodyDiv w:val="1"/>
      <w:marLeft w:val="0"/>
      <w:marRight w:val="0"/>
      <w:marTop w:val="0"/>
      <w:marBottom w:val="0"/>
      <w:divBdr>
        <w:top w:val="none" w:sz="0" w:space="0" w:color="auto"/>
        <w:left w:val="none" w:sz="0" w:space="0" w:color="auto"/>
        <w:bottom w:val="none" w:sz="0" w:space="0" w:color="auto"/>
        <w:right w:val="none" w:sz="0" w:space="0" w:color="auto"/>
      </w:divBdr>
      <w:divsChild>
        <w:div w:id="1062799806">
          <w:marLeft w:val="0"/>
          <w:marRight w:val="0"/>
          <w:marTop w:val="0"/>
          <w:marBottom w:val="0"/>
          <w:divBdr>
            <w:top w:val="none" w:sz="0" w:space="0" w:color="auto"/>
            <w:left w:val="none" w:sz="0" w:space="0" w:color="auto"/>
            <w:bottom w:val="none" w:sz="0" w:space="0" w:color="auto"/>
            <w:right w:val="none" w:sz="0" w:space="0" w:color="auto"/>
          </w:divBdr>
          <w:divsChild>
            <w:div w:id="2120878449">
              <w:marLeft w:val="0"/>
              <w:marRight w:val="0"/>
              <w:marTop w:val="0"/>
              <w:marBottom w:val="0"/>
              <w:divBdr>
                <w:top w:val="none" w:sz="0" w:space="0" w:color="auto"/>
                <w:left w:val="none" w:sz="0" w:space="0" w:color="auto"/>
                <w:bottom w:val="none" w:sz="0" w:space="0" w:color="auto"/>
                <w:right w:val="none" w:sz="0" w:space="0" w:color="auto"/>
              </w:divBdr>
              <w:divsChild>
                <w:div w:id="295961507">
                  <w:marLeft w:val="0"/>
                  <w:marRight w:val="0"/>
                  <w:marTop w:val="0"/>
                  <w:marBottom w:val="0"/>
                  <w:divBdr>
                    <w:top w:val="none" w:sz="0" w:space="0" w:color="auto"/>
                    <w:left w:val="none" w:sz="0" w:space="0" w:color="auto"/>
                    <w:bottom w:val="none" w:sz="0" w:space="0" w:color="auto"/>
                    <w:right w:val="none" w:sz="0" w:space="0" w:color="auto"/>
                  </w:divBdr>
                  <w:divsChild>
                    <w:div w:id="462308685">
                      <w:marLeft w:val="0"/>
                      <w:marRight w:val="0"/>
                      <w:marTop w:val="0"/>
                      <w:marBottom w:val="0"/>
                      <w:divBdr>
                        <w:top w:val="none" w:sz="0" w:space="0" w:color="auto"/>
                        <w:left w:val="none" w:sz="0" w:space="0" w:color="auto"/>
                        <w:bottom w:val="none" w:sz="0" w:space="0" w:color="auto"/>
                        <w:right w:val="none" w:sz="0" w:space="0" w:color="auto"/>
                      </w:divBdr>
                    </w:div>
                    <w:div w:id="970748589">
                      <w:marLeft w:val="0"/>
                      <w:marRight w:val="0"/>
                      <w:marTop w:val="0"/>
                      <w:marBottom w:val="0"/>
                      <w:divBdr>
                        <w:top w:val="none" w:sz="0" w:space="0" w:color="auto"/>
                        <w:left w:val="none" w:sz="0" w:space="0" w:color="auto"/>
                        <w:bottom w:val="none" w:sz="0" w:space="0" w:color="auto"/>
                        <w:right w:val="none" w:sz="0" w:space="0" w:color="auto"/>
                      </w:divBdr>
                    </w:div>
                    <w:div w:id="1131902510">
                      <w:marLeft w:val="0"/>
                      <w:marRight w:val="0"/>
                      <w:marTop w:val="0"/>
                      <w:marBottom w:val="0"/>
                      <w:divBdr>
                        <w:top w:val="none" w:sz="0" w:space="0" w:color="auto"/>
                        <w:left w:val="none" w:sz="0" w:space="0" w:color="auto"/>
                        <w:bottom w:val="none" w:sz="0" w:space="0" w:color="auto"/>
                        <w:right w:val="none" w:sz="0" w:space="0" w:color="auto"/>
                      </w:divBdr>
                    </w:div>
                    <w:div w:id="1156260823">
                      <w:marLeft w:val="0"/>
                      <w:marRight w:val="0"/>
                      <w:marTop w:val="0"/>
                      <w:marBottom w:val="0"/>
                      <w:divBdr>
                        <w:top w:val="none" w:sz="0" w:space="0" w:color="auto"/>
                        <w:left w:val="none" w:sz="0" w:space="0" w:color="auto"/>
                        <w:bottom w:val="none" w:sz="0" w:space="0" w:color="auto"/>
                        <w:right w:val="none" w:sz="0" w:space="0" w:color="auto"/>
                      </w:divBdr>
                    </w:div>
                    <w:div w:id="1402144627">
                      <w:marLeft w:val="0"/>
                      <w:marRight w:val="0"/>
                      <w:marTop w:val="0"/>
                      <w:marBottom w:val="0"/>
                      <w:divBdr>
                        <w:top w:val="none" w:sz="0" w:space="0" w:color="auto"/>
                        <w:left w:val="none" w:sz="0" w:space="0" w:color="auto"/>
                        <w:bottom w:val="none" w:sz="0" w:space="0" w:color="auto"/>
                        <w:right w:val="none" w:sz="0" w:space="0" w:color="auto"/>
                      </w:divBdr>
                    </w:div>
                    <w:div w:id="1800147109">
                      <w:marLeft w:val="0"/>
                      <w:marRight w:val="0"/>
                      <w:marTop w:val="0"/>
                      <w:marBottom w:val="0"/>
                      <w:divBdr>
                        <w:top w:val="none" w:sz="0" w:space="0" w:color="auto"/>
                        <w:left w:val="none" w:sz="0" w:space="0" w:color="auto"/>
                        <w:bottom w:val="none" w:sz="0" w:space="0" w:color="auto"/>
                        <w:right w:val="none" w:sz="0" w:space="0" w:color="auto"/>
                      </w:divBdr>
                    </w:div>
                    <w:div w:id="2046177854">
                      <w:marLeft w:val="0"/>
                      <w:marRight w:val="0"/>
                      <w:marTop w:val="0"/>
                      <w:marBottom w:val="0"/>
                      <w:divBdr>
                        <w:top w:val="none" w:sz="0" w:space="0" w:color="auto"/>
                        <w:left w:val="none" w:sz="0" w:space="0" w:color="auto"/>
                        <w:bottom w:val="none" w:sz="0" w:space="0" w:color="auto"/>
                        <w:right w:val="none" w:sz="0" w:space="0" w:color="auto"/>
                      </w:divBdr>
                    </w:div>
                    <w:div w:id="2080132370">
                      <w:marLeft w:val="0"/>
                      <w:marRight w:val="0"/>
                      <w:marTop w:val="0"/>
                      <w:marBottom w:val="0"/>
                      <w:divBdr>
                        <w:top w:val="none" w:sz="0" w:space="0" w:color="auto"/>
                        <w:left w:val="none" w:sz="0" w:space="0" w:color="auto"/>
                        <w:bottom w:val="none" w:sz="0" w:space="0" w:color="auto"/>
                        <w:right w:val="none" w:sz="0" w:space="0" w:color="auto"/>
                      </w:divBdr>
                    </w:div>
                    <w:div w:id="210757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6593220">
      <w:bodyDiv w:val="1"/>
      <w:marLeft w:val="0"/>
      <w:marRight w:val="0"/>
      <w:marTop w:val="0"/>
      <w:marBottom w:val="0"/>
      <w:divBdr>
        <w:top w:val="none" w:sz="0" w:space="0" w:color="auto"/>
        <w:left w:val="none" w:sz="0" w:space="0" w:color="auto"/>
        <w:bottom w:val="none" w:sz="0" w:space="0" w:color="auto"/>
        <w:right w:val="none" w:sz="0" w:space="0" w:color="auto"/>
      </w:divBdr>
      <w:divsChild>
        <w:div w:id="1983995468">
          <w:marLeft w:val="0"/>
          <w:marRight w:val="0"/>
          <w:marTop w:val="0"/>
          <w:marBottom w:val="0"/>
          <w:divBdr>
            <w:top w:val="none" w:sz="0" w:space="0" w:color="auto"/>
            <w:left w:val="none" w:sz="0" w:space="0" w:color="auto"/>
            <w:bottom w:val="none" w:sz="0" w:space="0" w:color="auto"/>
            <w:right w:val="none" w:sz="0" w:space="0" w:color="auto"/>
          </w:divBdr>
          <w:divsChild>
            <w:div w:id="851527391">
              <w:marLeft w:val="0"/>
              <w:marRight w:val="0"/>
              <w:marTop w:val="0"/>
              <w:marBottom w:val="0"/>
              <w:divBdr>
                <w:top w:val="none" w:sz="0" w:space="0" w:color="auto"/>
                <w:left w:val="none" w:sz="0" w:space="0" w:color="auto"/>
                <w:bottom w:val="none" w:sz="0" w:space="0" w:color="auto"/>
                <w:right w:val="none" w:sz="0" w:space="0" w:color="auto"/>
              </w:divBdr>
              <w:divsChild>
                <w:div w:id="812064364">
                  <w:marLeft w:val="0"/>
                  <w:marRight w:val="0"/>
                  <w:marTop w:val="0"/>
                  <w:marBottom w:val="0"/>
                  <w:divBdr>
                    <w:top w:val="none" w:sz="0" w:space="0" w:color="auto"/>
                    <w:left w:val="none" w:sz="0" w:space="0" w:color="auto"/>
                    <w:bottom w:val="none" w:sz="0" w:space="0" w:color="auto"/>
                    <w:right w:val="none" w:sz="0" w:space="0" w:color="auto"/>
                  </w:divBdr>
                  <w:divsChild>
                    <w:div w:id="1563368574">
                      <w:marLeft w:val="0"/>
                      <w:marRight w:val="0"/>
                      <w:marTop w:val="0"/>
                      <w:marBottom w:val="0"/>
                      <w:divBdr>
                        <w:top w:val="none" w:sz="0" w:space="0" w:color="auto"/>
                        <w:left w:val="none" w:sz="0" w:space="0" w:color="auto"/>
                        <w:bottom w:val="none" w:sz="0" w:space="0" w:color="auto"/>
                        <w:right w:val="none" w:sz="0" w:space="0" w:color="auto"/>
                      </w:divBdr>
                      <w:divsChild>
                        <w:div w:id="1257589567">
                          <w:marLeft w:val="0"/>
                          <w:marRight w:val="0"/>
                          <w:marTop w:val="0"/>
                          <w:marBottom w:val="0"/>
                          <w:divBdr>
                            <w:top w:val="none" w:sz="0" w:space="0" w:color="auto"/>
                            <w:left w:val="none" w:sz="0" w:space="0" w:color="auto"/>
                            <w:bottom w:val="none" w:sz="0" w:space="0" w:color="auto"/>
                            <w:right w:val="none" w:sz="0" w:space="0" w:color="auto"/>
                          </w:divBdr>
                          <w:divsChild>
                            <w:div w:id="1603339686">
                              <w:marLeft w:val="0"/>
                              <w:marRight w:val="0"/>
                              <w:marTop w:val="0"/>
                              <w:marBottom w:val="0"/>
                              <w:divBdr>
                                <w:top w:val="none" w:sz="0" w:space="0" w:color="auto"/>
                                <w:left w:val="none" w:sz="0" w:space="0" w:color="auto"/>
                                <w:bottom w:val="none" w:sz="0" w:space="0" w:color="auto"/>
                                <w:right w:val="none" w:sz="0" w:space="0" w:color="auto"/>
                              </w:divBdr>
                              <w:divsChild>
                                <w:div w:id="6010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6177111">
      <w:bodyDiv w:val="1"/>
      <w:marLeft w:val="0"/>
      <w:marRight w:val="0"/>
      <w:marTop w:val="0"/>
      <w:marBottom w:val="0"/>
      <w:divBdr>
        <w:top w:val="none" w:sz="0" w:space="0" w:color="auto"/>
        <w:left w:val="none" w:sz="0" w:space="0" w:color="auto"/>
        <w:bottom w:val="none" w:sz="0" w:space="0" w:color="auto"/>
        <w:right w:val="none" w:sz="0" w:space="0" w:color="auto"/>
      </w:divBdr>
      <w:divsChild>
        <w:div w:id="229393287">
          <w:marLeft w:val="0"/>
          <w:marRight w:val="0"/>
          <w:marTop w:val="0"/>
          <w:marBottom w:val="0"/>
          <w:divBdr>
            <w:top w:val="none" w:sz="0" w:space="0" w:color="auto"/>
            <w:left w:val="none" w:sz="0" w:space="0" w:color="auto"/>
            <w:bottom w:val="none" w:sz="0" w:space="0" w:color="auto"/>
            <w:right w:val="none" w:sz="0" w:space="0" w:color="auto"/>
          </w:divBdr>
          <w:divsChild>
            <w:div w:id="343823439">
              <w:marLeft w:val="0"/>
              <w:marRight w:val="0"/>
              <w:marTop w:val="0"/>
              <w:marBottom w:val="0"/>
              <w:divBdr>
                <w:top w:val="none" w:sz="0" w:space="0" w:color="auto"/>
                <w:left w:val="none" w:sz="0" w:space="0" w:color="auto"/>
                <w:bottom w:val="none" w:sz="0" w:space="0" w:color="auto"/>
                <w:right w:val="none" w:sz="0" w:space="0" w:color="auto"/>
              </w:divBdr>
            </w:div>
            <w:div w:id="1992246691">
              <w:marLeft w:val="0"/>
              <w:marRight w:val="0"/>
              <w:marTop w:val="0"/>
              <w:marBottom w:val="0"/>
              <w:divBdr>
                <w:top w:val="none" w:sz="0" w:space="0" w:color="auto"/>
                <w:left w:val="none" w:sz="0" w:space="0" w:color="auto"/>
                <w:bottom w:val="none" w:sz="0" w:space="0" w:color="auto"/>
                <w:right w:val="none" w:sz="0" w:space="0" w:color="auto"/>
              </w:divBdr>
            </w:div>
            <w:div w:id="1996756433">
              <w:marLeft w:val="0"/>
              <w:marRight w:val="0"/>
              <w:marTop w:val="0"/>
              <w:marBottom w:val="0"/>
              <w:divBdr>
                <w:top w:val="none" w:sz="0" w:space="0" w:color="auto"/>
                <w:left w:val="none" w:sz="0" w:space="0" w:color="auto"/>
                <w:bottom w:val="none" w:sz="0" w:space="0" w:color="auto"/>
                <w:right w:val="none" w:sz="0" w:space="0" w:color="auto"/>
              </w:divBdr>
            </w:div>
          </w:divsChild>
        </w:div>
        <w:div w:id="698244257">
          <w:marLeft w:val="0"/>
          <w:marRight w:val="0"/>
          <w:marTop w:val="0"/>
          <w:marBottom w:val="0"/>
          <w:divBdr>
            <w:top w:val="none" w:sz="0" w:space="0" w:color="auto"/>
            <w:left w:val="none" w:sz="0" w:space="0" w:color="auto"/>
            <w:bottom w:val="none" w:sz="0" w:space="0" w:color="auto"/>
            <w:right w:val="none" w:sz="0" w:space="0" w:color="auto"/>
          </w:divBdr>
        </w:div>
      </w:divsChild>
    </w:div>
    <w:div w:id="1098869691">
      <w:bodyDiv w:val="1"/>
      <w:marLeft w:val="0"/>
      <w:marRight w:val="0"/>
      <w:marTop w:val="0"/>
      <w:marBottom w:val="0"/>
      <w:divBdr>
        <w:top w:val="none" w:sz="0" w:space="0" w:color="auto"/>
        <w:left w:val="none" w:sz="0" w:space="0" w:color="auto"/>
        <w:bottom w:val="none" w:sz="0" w:space="0" w:color="auto"/>
        <w:right w:val="none" w:sz="0" w:space="0" w:color="auto"/>
      </w:divBdr>
      <w:divsChild>
        <w:div w:id="1874340708">
          <w:marLeft w:val="0"/>
          <w:marRight w:val="0"/>
          <w:marTop w:val="0"/>
          <w:marBottom w:val="0"/>
          <w:divBdr>
            <w:top w:val="none" w:sz="0" w:space="0" w:color="auto"/>
            <w:left w:val="none" w:sz="0" w:space="0" w:color="auto"/>
            <w:bottom w:val="none" w:sz="0" w:space="0" w:color="auto"/>
            <w:right w:val="none" w:sz="0" w:space="0" w:color="auto"/>
          </w:divBdr>
          <w:divsChild>
            <w:div w:id="523056735">
              <w:marLeft w:val="0"/>
              <w:marRight w:val="0"/>
              <w:marTop w:val="0"/>
              <w:marBottom w:val="0"/>
              <w:divBdr>
                <w:top w:val="none" w:sz="0" w:space="0" w:color="auto"/>
                <w:left w:val="none" w:sz="0" w:space="0" w:color="auto"/>
                <w:bottom w:val="none" w:sz="0" w:space="0" w:color="auto"/>
                <w:right w:val="none" w:sz="0" w:space="0" w:color="auto"/>
              </w:divBdr>
              <w:divsChild>
                <w:div w:id="1110197280">
                  <w:marLeft w:val="0"/>
                  <w:marRight w:val="0"/>
                  <w:marTop w:val="0"/>
                  <w:marBottom w:val="0"/>
                  <w:divBdr>
                    <w:top w:val="none" w:sz="0" w:space="0" w:color="auto"/>
                    <w:left w:val="none" w:sz="0" w:space="0" w:color="auto"/>
                    <w:bottom w:val="none" w:sz="0" w:space="0" w:color="auto"/>
                    <w:right w:val="none" w:sz="0" w:space="0" w:color="auto"/>
                  </w:divBdr>
                  <w:divsChild>
                    <w:div w:id="1607736877">
                      <w:marLeft w:val="0"/>
                      <w:marRight w:val="0"/>
                      <w:marTop w:val="0"/>
                      <w:marBottom w:val="0"/>
                      <w:divBdr>
                        <w:top w:val="none" w:sz="0" w:space="0" w:color="auto"/>
                        <w:left w:val="none" w:sz="0" w:space="0" w:color="auto"/>
                        <w:bottom w:val="none" w:sz="0" w:space="0" w:color="auto"/>
                        <w:right w:val="none" w:sz="0" w:space="0" w:color="auto"/>
                      </w:divBdr>
                      <w:divsChild>
                        <w:div w:id="1173380198">
                          <w:marLeft w:val="0"/>
                          <w:marRight w:val="0"/>
                          <w:marTop w:val="0"/>
                          <w:marBottom w:val="0"/>
                          <w:divBdr>
                            <w:top w:val="none" w:sz="0" w:space="0" w:color="auto"/>
                            <w:left w:val="none" w:sz="0" w:space="0" w:color="auto"/>
                            <w:bottom w:val="none" w:sz="0" w:space="0" w:color="auto"/>
                            <w:right w:val="none" w:sz="0" w:space="0" w:color="auto"/>
                          </w:divBdr>
                          <w:divsChild>
                            <w:div w:id="2015106221">
                              <w:marLeft w:val="0"/>
                              <w:marRight w:val="0"/>
                              <w:marTop w:val="0"/>
                              <w:marBottom w:val="0"/>
                              <w:divBdr>
                                <w:top w:val="none" w:sz="0" w:space="0" w:color="auto"/>
                                <w:left w:val="none" w:sz="0" w:space="0" w:color="auto"/>
                                <w:bottom w:val="none" w:sz="0" w:space="0" w:color="auto"/>
                                <w:right w:val="none" w:sz="0" w:space="0" w:color="auto"/>
                              </w:divBdr>
                              <w:divsChild>
                                <w:div w:id="68768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7035147">
      <w:bodyDiv w:val="1"/>
      <w:marLeft w:val="0"/>
      <w:marRight w:val="0"/>
      <w:marTop w:val="0"/>
      <w:marBottom w:val="0"/>
      <w:divBdr>
        <w:top w:val="none" w:sz="0" w:space="0" w:color="auto"/>
        <w:left w:val="none" w:sz="0" w:space="0" w:color="auto"/>
        <w:bottom w:val="none" w:sz="0" w:space="0" w:color="auto"/>
        <w:right w:val="none" w:sz="0" w:space="0" w:color="auto"/>
      </w:divBdr>
    </w:div>
    <w:div w:id="1199270477">
      <w:bodyDiv w:val="1"/>
      <w:marLeft w:val="0"/>
      <w:marRight w:val="0"/>
      <w:marTop w:val="0"/>
      <w:marBottom w:val="0"/>
      <w:divBdr>
        <w:top w:val="none" w:sz="0" w:space="0" w:color="auto"/>
        <w:left w:val="none" w:sz="0" w:space="0" w:color="auto"/>
        <w:bottom w:val="none" w:sz="0" w:space="0" w:color="auto"/>
        <w:right w:val="none" w:sz="0" w:space="0" w:color="auto"/>
      </w:divBdr>
    </w:div>
    <w:div w:id="1204824022">
      <w:bodyDiv w:val="1"/>
      <w:marLeft w:val="0"/>
      <w:marRight w:val="0"/>
      <w:marTop w:val="0"/>
      <w:marBottom w:val="0"/>
      <w:divBdr>
        <w:top w:val="none" w:sz="0" w:space="0" w:color="auto"/>
        <w:left w:val="none" w:sz="0" w:space="0" w:color="auto"/>
        <w:bottom w:val="none" w:sz="0" w:space="0" w:color="auto"/>
        <w:right w:val="none" w:sz="0" w:space="0" w:color="auto"/>
      </w:divBdr>
    </w:div>
    <w:div w:id="1227760100">
      <w:bodyDiv w:val="1"/>
      <w:marLeft w:val="0"/>
      <w:marRight w:val="0"/>
      <w:marTop w:val="0"/>
      <w:marBottom w:val="0"/>
      <w:divBdr>
        <w:top w:val="none" w:sz="0" w:space="0" w:color="auto"/>
        <w:left w:val="none" w:sz="0" w:space="0" w:color="auto"/>
        <w:bottom w:val="none" w:sz="0" w:space="0" w:color="auto"/>
        <w:right w:val="none" w:sz="0" w:space="0" w:color="auto"/>
      </w:divBdr>
    </w:div>
    <w:div w:id="1279489124">
      <w:bodyDiv w:val="1"/>
      <w:marLeft w:val="0"/>
      <w:marRight w:val="0"/>
      <w:marTop w:val="0"/>
      <w:marBottom w:val="0"/>
      <w:divBdr>
        <w:top w:val="none" w:sz="0" w:space="0" w:color="auto"/>
        <w:left w:val="none" w:sz="0" w:space="0" w:color="auto"/>
        <w:bottom w:val="none" w:sz="0" w:space="0" w:color="auto"/>
        <w:right w:val="none" w:sz="0" w:space="0" w:color="auto"/>
      </w:divBdr>
    </w:div>
    <w:div w:id="1350714464">
      <w:bodyDiv w:val="1"/>
      <w:marLeft w:val="0"/>
      <w:marRight w:val="0"/>
      <w:marTop w:val="0"/>
      <w:marBottom w:val="0"/>
      <w:divBdr>
        <w:top w:val="none" w:sz="0" w:space="0" w:color="auto"/>
        <w:left w:val="none" w:sz="0" w:space="0" w:color="auto"/>
        <w:bottom w:val="none" w:sz="0" w:space="0" w:color="auto"/>
        <w:right w:val="none" w:sz="0" w:space="0" w:color="auto"/>
      </w:divBdr>
    </w:div>
    <w:div w:id="1374043032">
      <w:bodyDiv w:val="1"/>
      <w:marLeft w:val="0"/>
      <w:marRight w:val="0"/>
      <w:marTop w:val="0"/>
      <w:marBottom w:val="0"/>
      <w:divBdr>
        <w:top w:val="none" w:sz="0" w:space="0" w:color="auto"/>
        <w:left w:val="none" w:sz="0" w:space="0" w:color="auto"/>
        <w:bottom w:val="none" w:sz="0" w:space="0" w:color="auto"/>
        <w:right w:val="none" w:sz="0" w:space="0" w:color="auto"/>
      </w:divBdr>
    </w:div>
    <w:div w:id="1435900443">
      <w:bodyDiv w:val="1"/>
      <w:marLeft w:val="0"/>
      <w:marRight w:val="0"/>
      <w:marTop w:val="0"/>
      <w:marBottom w:val="0"/>
      <w:divBdr>
        <w:top w:val="none" w:sz="0" w:space="0" w:color="auto"/>
        <w:left w:val="none" w:sz="0" w:space="0" w:color="auto"/>
        <w:bottom w:val="none" w:sz="0" w:space="0" w:color="auto"/>
        <w:right w:val="none" w:sz="0" w:space="0" w:color="auto"/>
      </w:divBdr>
    </w:div>
    <w:div w:id="1436756194">
      <w:bodyDiv w:val="1"/>
      <w:marLeft w:val="0"/>
      <w:marRight w:val="0"/>
      <w:marTop w:val="0"/>
      <w:marBottom w:val="0"/>
      <w:divBdr>
        <w:top w:val="none" w:sz="0" w:space="0" w:color="auto"/>
        <w:left w:val="none" w:sz="0" w:space="0" w:color="auto"/>
        <w:bottom w:val="none" w:sz="0" w:space="0" w:color="auto"/>
        <w:right w:val="none" w:sz="0" w:space="0" w:color="auto"/>
      </w:divBdr>
      <w:divsChild>
        <w:div w:id="1178814384">
          <w:marLeft w:val="0"/>
          <w:marRight w:val="0"/>
          <w:marTop w:val="0"/>
          <w:marBottom w:val="0"/>
          <w:divBdr>
            <w:top w:val="none" w:sz="0" w:space="0" w:color="auto"/>
            <w:left w:val="none" w:sz="0" w:space="0" w:color="auto"/>
            <w:bottom w:val="none" w:sz="0" w:space="0" w:color="auto"/>
            <w:right w:val="none" w:sz="0" w:space="0" w:color="auto"/>
          </w:divBdr>
          <w:divsChild>
            <w:div w:id="1229804191">
              <w:marLeft w:val="0"/>
              <w:marRight w:val="0"/>
              <w:marTop w:val="0"/>
              <w:marBottom w:val="0"/>
              <w:divBdr>
                <w:top w:val="none" w:sz="0" w:space="0" w:color="auto"/>
                <w:left w:val="none" w:sz="0" w:space="0" w:color="auto"/>
                <w:bottom w:val="none" w:sz="0" w:space="0" w:color="auto"/>
                <w:right w:val="none" w:sz="0" w:space="0" w:color="auto"/>
              </w:divBdr>
              <w:divsChild>
                <w:div w:id="1832018496">
                  <w:marLeft w:val="0"/>
                  <w:marRight w:val="0"/>
                  <w:marTop w:val="0"/>
                  <w:marBottom w:val="0"/>
                  <w:divBdr>
                    <w:top w:val="none" w:sz="0" w:space="0" w:color="auto"/>
                    <w:left w:val="none" w:sz="0" w:space="0" w:color="auto"/>
                    <w:bottom w:val="none" w:sz="0" w:space="0" w:color="auto"/>
                    <w:right w:val="none" w:sz="0" w:space="0" w:color="auto"/>
                  </w:divBdr>
                  <w:divsChild>
                    <w:div w:id="1442454629">
                      <w:marLeft w:val="0"/>
                      <w:marRight w:val="0"/>
                      <w:marTop w:val="0"/>
                      <w:marBottom w:val="0"/>
                      <w:divBdr>
                        <w:top w:val="none" w:sz="0" w:space="0" w:color="auto"/>
                        <w:left w:val="none" w:sz="0" w:space="0" w:color="auto"/>
                        <w:bottom w:val="none" w:sz="0" w:space="0" w:color="auto"/>
                        <w:right w:val="none" w:sz="0" w:space="0" w:color="auto"/>
                      </w:divBdr>
                      <w:divsChild>
                        <w:div w:id="872883158">
                          <w:marLeft w:val="0"/>
                          <w:marRight w:val="0"/>
                          <w:marTop w:val="0"/>
                          <w:marBottom w:val="0"/>
                          <w:divBdr>
                            <w:top w:val="none" w:sz="0" w:space="0" w:color="auto"/>
                            <w:left w:val="none" w:sz="0" w:space="0" w:color="auto"/>
                            <w:bottom w:val="none" w:sz="0" w:space="0" w:color="auto"/>
                            <w:right w:val="none" w:sz="0" w:space="0" w:color="auto"/>
                          </w:divBdr>
                          <w:divsChild>
                            <w:div w:id="374738162">
                              <w:marLeft w:val="0"/>
                              <w:marRight w:val="0"/>
                              <w:marTop w:val="0"/>
                              <w:marBottom w:val="0"/>
                              <w:divBdr>
                                <w:top w:val="none" w:sz="0" w:space="0" w:color="auto"/>
                                <w:left w:val="none" w:sz="0" w:space="0" w:color="auto"/>
                                <w:bottom w:val="none" w:sz="0" w:space="0" w:color="auto"/>
                                <w:right w:val="none" w:sz="0" w:space="0" w:color="auto"/>
                              </w:divBdr>
                              <w:divsChild>
                                <w:div w:id="200798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9956682">
      <w:bodyDiv w:val="1"/>
      <w:marLeft w:val="0"/>
      <w:marRight w:val="0"/>
      <w:marTop w:val="0"/>
      <w:marBottom w:val="0"/>
      <w:divBdr>
        <w:top w:val="none" w:sz="0" w:space="0" w:color="auto"/>
        <w:left w:val="none" w:sz="0" w:space="0" w:color="auto"/>
        <w:bottom w:val="none" w:sz="0" w:space="0" w:color="auto"/>
        <w:right w:val="none" w:sz="0" w:space="0" w:color="auto"/>
      </w:divBdr>
    </w:div>
    <w:div w:id="1525823928">
      <w:bodyDiv w:val="1"/>
      <w:marLeft w:val="0"/>
      <w:marRight w:val="0"/>
      <w:marTop w:val="0"/>
      <w:marBottom w:val="0"/>
      <w:divBdr>
        <w:top w:val="none" w:sz="0" w:space="0" w:color="auto"/>
        <w:left w:val="none" w:sz="0" w:space="0" w:color="auto"/>
        <w:bottom w:val="none" w:sz="0" w:space="0" w:color="auto"/>
        <w:right w:val="none" w:sz="0" w:space="0" w:color="auto"/>
      </w:divBdr>
    </w:div>
    <w:div w:id="1607729512">
      <w:bodyDiv w:val="1"/>
      <w:marLeft w:val="0"/>
      <w:marRight w:val="0"/>
      <w:marTop w:val="0"/>
      <w:marBottom w:val="0"/>
      <w:divBdr>
        <w:top w:val="none" w:sz="0" w:space="0" w:color="auto"/>
        <w:left w:val="none" w:sz="0" w:space="0" w:color="auto"/>
        <w:bottom w:val="none" w:sz="0" w:space="0" w:color="auto"/>
        <w:right w:val="none" w:sz="0" w:space="0" w:color="auto"/>
      </w:divBdr>
    </w:div>
    <w:div w:id="1625043556">
      <w:bodyDiv w:val="1"/>
      <w:marLeft w:val="0"/>
      <w:marRight w:val="0"/>
      <w:marTop w:val="0"/>
      <w:marBottom w:val="0"/>
      <w:divBdr>
        <w:top w:val="none" w:sz="0" w:space="0" w:color="auto"/>
        <w:left w:val="none" w:sz="0" w:space="0" w:color="auto"/>
        <w:bottom w:val="none" w:sz="0" w:space="0" w:color="auto"/>
        <w:right w:val="none" w:sz="0" w:space="0" w:color="auto"/>
      </w:divBdr>
    </w:div>
    <w:div w:id="1632400397">
      <w:bodyDiv w:val="1"/>
      <w:marLeft w:val="0"/>
      <w:marRight w:val="0"/>
      <w:marTop w:val="0"/>
      <w:marBottom w:val="0"/>
      <w:divBdr>
        <w:top w:val="none" w:sz="0" w:space="0" w:color="auto"/>
        <w:left w:val="none" w:sz="0" w:space="0" w:color="auto"/>
        <w:bottom w:val="none" w:sz="0" w:space="0" w:color="auto"/>
        <w:right w:val="none" w:sz="0" w:space="0" w:color="auto"/>
      </w:divBdr>
    </w:div>
    <w:div w:id="1700549616">
      <w:bodyDiv w:val="1"/>
      <w:marLeft w:val="0"/>
      <w:marRight w:val="0"/>
      <w:marTop w:val="0"/>
      <w:marBottom w:val="0"/>
      <w:divBdr>
        <w:top w:val="none" w:sz="0" w:space="0" w:color="auto"/>
        <w:left w:val="none" w:sz="0" w:space="0" w:color="auto"/>
        <w:bottom w:val="none" w:sz="0" w:space="0" w:color="auto"/>
        <w:right w:val="none" w:sz="0" w:space="0" w:color="auto"/>
      </w:divBdr>
    </w:div>
    <w:div w:id="1723098989">
      <w:bodyDiv w:val="1"/>
      <w:marLeft w:val="0"/>
      <w:marRight w:val="0"/>
      <w:marTop w:val="0"/>
      <w:marBottom w:val="0"/>
      <w:divBdr>
        <w:top w:val="none" w:sz="0" w:space="0" w:color="auto"/>
        <w:left w:val="none" w:sz="0" w:space="0" w:color="auto"/>
        <w:bottom w:val="none" w:sz="0" w:space="0" w:color="auto"/>
        <w:right w:val="none" w:sz="0" w:space="0" w:color="auto"/>
      </w:divBdr>
    </w:div>
    <w:div w:id="1731730847">
      <w:bodyDiv w:val="1"/>
      <w:marLeft w:val="0"/>
      <w:marRight w:val="0"/>
      <w:marTop w:val="0"/>
      <w:marBottom w:val="0"/>
      <w:divBdr>
        <w:top w:val="none" w:sz="0" w:space="0" w:color="auto"/>
        <w:left w:val="none" w:sz="0" w:space="0" w:color="auto"/>
        <w:bottom w:val="none" w:sz="0" w:space="0" w:color="auto"/>
        <w:right w:val="none" w:sz="0" w:space="0" w:color="auto"/>
      </w:divBdr>
    </w:div>
    <w:div w:id="1824736183">
      <w:bodyDiv w:val="1"/>
      <w:marLeft w:val="0"/>
      <w:marRight w:val="0"/>
      <w:marTop w:val="0"/>
      <w:marBottom w:val="0"/>
      <w:divBdr>
        <w:top w:val="none" w:sz="0" w:space="0" w:color="auto"/>
        <w:left w:val="none" w:sz="0" w:space="0" w:color="auto"/>
        <w:bottom w:val="none" w:sz="0" w:space="0" w:color="auto"/>
        <w:right w:val="none" w:sz="0" w:space="0" w:color="auto"/>
      </w:divBdr>
    </w:div>
    <w:div w:id="1833329456">
      <w:bodyDiv w:val="1"/>
      <w:marLeft w:val="0"/>
      <w:marRight w:val="0"/>
      <w:marTop w:val="0"/>
      <w:marBottom w:val="0"/>
      <w:divBdr>
        <w:top w:val="none" w:sz="0" w:space="0" w:color="auto"/>
        <w:left w:val="none" w:sz="0" w:space="0" w:color="auto"/>
        <w:bottom w:val="none" w:sz="0" w:space="0" w:color="auto"/>
        <w:right w:val="none" w:sz="0" w:space="0" w:color="auto"/>
      </w:divBdr>
      <w:divsChild>
        <w:div w:id="774833105">
          <w:marLeft w:val="0"/>
          <w:marRight w:val="0"/>
          <w:marTop w:val="0"/>
          <w:marBottom w:val="0"/>
          <w:divBdr>
            <w:top w:val="none" w:sz="0" w:space="0" w:color="auto"/>
            <w:left w:val="none" w:sz="0" w:space="0" w:color="auto"/>
            <w:bottom w:val="none" w:sz="0" w:space="0" w:color="auto"/>
            <w:right w:val="none" w:sz="0" w:space="0" w:color="auto"/>
          </w:divBdr>
          <w:divsChild>
            <w:div w:id="166234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836671">
      <w:bodyDiv w:val="1"/>
      <w:marLeft w:val="0"/>
      <w:marRight w:val="0"/>
      <w:marTop w:val="0"/>
      <w:marBottom w:val="0"/>
      <w:divBdr>
        <w:top w:val="none" w:sz="0" w:space="0" w:color="auto"/>
        <w:left w:val="none" w:sz="0" w:space="0" w:color="auto"/>
        <w:bottom w:val="none" w:sz="0" w:space="0" w:color="auto"/>
        <w:right w:val="none" w:sz="0" w:space="0" w:color="auto"/>
      </w:divBdr>
    </w:div>
    <w:div w:id="1999920535">
      <w:bodyDiv w:val="1"/>
      <w:marLeft w:val="0"/>
      <w:marRight w:val="0"/>
      <w:marTop w:val="0"/>
      <w:marBottom w:val="0"/>
      <w:divBdr>
        <w:top w:val="none" w:sz="0" w:space="0" w:color="auto"/>
        <w:left w:val="none" w:sz="0" w:space="0" w:color="auto"/>
        <w:bottom w:val="none" w:sz="0" w:space="0" w:color="auto"/>
        <w:right w:val="none" w:sz="0" w:space="0" w:color="auto"/>
      </w:divBdr>
    </w:div>
    <w:div w:id="2142723040">
      <w:bodyDiv w:val="1"/>
      <w:marLeft w:val="0"/>
      <w:marRight w:val="0"/>
      <w:marTop w:val="0"/>
      <w:marBottom w:val="0"/>
      <w:divBdr>
        <w:top w:val="none" w:sz="0" w:space="0" w:color="auto"/>
        <w:left w:val="none" w:sz="0" w:space="0" w:color="auto"/>
        <w:bottom w:val="none" w:sz="0" w:space="0" w:color="auto"/>
        <w:right w:val="none" w:sz="0" w:space="0" w:color="auto"/>
      </w:divBdr>
      <w:divsChild>
        <w:div w:id="42487342">
          <w:marLeft w:val="1166"/>
          <w:marRight w:val="0"/>
          <w:marTop w:val="0"/>
          <w:marBottom w:val="0"/>
          <w:divBdr>
            <w:top w:val="none" w:sz="0" w:space="0" w:color="auto"/>
            <w:left w:val="none" w:sz="0" w:space="0" w:color="auto"/>
            <w:bottom w:val="none" w:sz="0" w:space="0" w:color="auto"/>
            <w:right w:val="none" w:sz="0" w:space="0" w:color="auto"/>
          </w:divBdr>
        </w:div>
        <w:div w:id="203297676">
          <w:marLeft w:val="1166"/>
          <w:marRight w:val="0"/>
          <w:marTop w:val="0"/>
          <w:marBottom w:val="0"/>
          <w:divBdr>
            <w:top w:val="none" w:sz="0" w:space="0" w:color="auto"/>
            <w:left w:val="none" w:sz="0" w:space="0" w:color="auto"/>
            <w:bottom w:val="none" w:sz="0" w:space="0" w:color="auto"/>
            <w:right w:val="none" w:sz="0" w:space="0" w:color="auto"/>
          </w:divBdr>
        </w:div>
        <w:div w:id="793402447">
          <w:marLeft w:val="1166"/>
          <w:marRight w:val="0"/>
          <w:marTop w:val="0"/>
          <w:marBottom w:val="0"/>
          <w:divBdr>
            <w:top w:val="none" w:sz="0" w:space="0" w:color="auto"/>
            <w:left w:val="none" w:sz="0" w:space="0" w:color="auto"/>
            <w:bottom w:val="none" w:sz="0" w:space="0" w:color="auto"/>
            <w:right w:val="none" w:sz="0" w:space="0" w:color="auto"/>
          </w:divBdr>
        </w:div>
        <w:div w:id="962924932">
          <w:marLeft w:val="547"/>
          <w:marRight w:val="0"/>
          <w:marTop w:val="0"/>
          <w:marBottom w:val="0"/>
          <w:divBdr>
            <w:top w:val="none" w:sz="0" w:space="0" w:color="auto"/>
            <w:left w:val="none" w:sz="0" w:space="0" w:color="auto"/>
            <w:bottom w:val="none" w:sz="0" w:space="0" w:color="auto"/>
            <w:right w:val="none" w:sz="0" w:space="0" w:color="auto"/>
          </w:divBdr>
        </w:div>
        <w:div w:id="1495609317">
          <w:marLeft w:val="1166"/>
          <w:marRight w:val="0"/>
          <w:marTop w:val="0"/>
          <w:marBottom w:val="0"/>
          <w:divBdr>
            <w:top w:val="none" w:sz="0" w:space="0" w:color="auto"/>
            <w:left w:val="none" w:sz="0" w:space="0" w:color="auto"/>
            <w:bottom w:val="none" w:sz="0" w:space="0" w:color="auto"/>
            <w:right w:val="none" w:sz="0" w:space="0" w:color="auto"/>
          </w:divBdr>
        </w:div>
        <w:div w:id="1738816913">
          <w:marLeft w:val="1166"/>
          <w:marRight w:val="0"/>
          <w:marTop w:val="0"/>
          <w:marBottom w:val="0"/>
          <w:divBdr>
            <w:top w:val="none" w:sz="0" w:space="0" w:color="auto"/>
            <w:left w:val="none" w:sz="0" w:space="0" w:color="auto"/>
            <w:bottom w:val="none" w:sz="0" w:space="0" w:color="auto"/>
            <w:right w:val="none" w:sz="0" w:space="0" w:color="auto"/>
          </w:divBdr>
        </w:div>
        <w:div w:id="1898662488">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chart" Target="charts/chart2.xml"/><Relationship Id="rId26" Type="http://schemas.openxmlformats.org/officeDocument/2006/relationships/diagramLayout" Target="diagrams/layout1.xml"/><Relationship Id="rId39" Type="http://schemas.openxmlformats.org/officeDocument/2006/relationships/chart" Target="charts/chart5.xml"/><Relationship Id="rId21" Type="http://schemas.openxmlformats.org/officeDocument/2006/relationships/image" Target="media/image10.emf"/><Relationship Id="rId34" Type="http://schemas.microsoft.com/office/2007/relationships/diagramDrawing" Target="diagrams/drawing2.xml"/><Relationship Id="rId42" Type="http://schemas.openxmlformats.org/officeDocument/2006/relationships/chart" Target="charts/chart8.xml"/><Relationship Id="rId47" Type="http://schemas.openxmlformats.org/officeDocument/2006/relationships/image" Target="media/image14.emf"/><Relationship Id="rId50" Type="http://schemas.openxmlformats.org/officeDocument/2006/relationships/image" Target="media/image17.emf"/><Relationship Id="rId55" Type="http://schemas.openxmlformats.org/officeDocument/2006/relationships/image" Target="media/image18.emf"/><Relationship Id="rId63" Type="http://schemas.openxmlformats.org/officeDocument/2006/relationships/image" Target="media/image24.png"/><Relationship Id="rId68" Type="http://schemas.openxmlformats.org/officeDocument/2006/relationships/hyperlink" Target="http://www.vtpi.org/tdm/tdm17.ht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chart" Target="charts/chart3.xml"/><Relationship Id="rId32" Type="http://schemas.openxmlformats.org/officeDocument/2006/relationships/diagramQuickStyle" Target="diagrams/quickStyle2.xml"/><Relationship Id="rId37" Type="http://schemas.openxmlformats.org/officeDocument/2006/relationships/hyperlink" Target="http://www.traceca-org.org" TargetMode="External"/><Relationship Id="rId40" Type="http://schemas.openxmlformats.org/officeDocument/2006/relationships/chart" Target="charts/chart6.xml"/><Relationship Id="rId45" Type="http://schemas.openxmlformats.org/officeDocument/2006/relationships/chart" Target="charts/chart11.xml"/><Relationship Id="rId53" Type="http://schemas.openxmlformats.org/officeDocument/2006/relationships/hyperlink" Target="http://www.asfinag.at" TargetMode="External"/><Relationship Id="rId58" Type="http://schemas.openxmlformats.org/officeDocument/2006/relationships/image" Target="media/image20.emf"/><Relationship Id="rId66"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2.emf"/><Relationship Id="rId28" Type="http://schemas.openxmlformats.org/officeDocument/2006/relationships/diagramColors" Target="diagrams/colors1.xml"/><Relationship Id="rId36" Type="http://schemas.openxmlformats.org/officeDocument/2006/relationships/image" Target="media/image13.png"/><Relationship Id="rId49" Type="http://schemas.openxmlformats.org/officeDocument/2006/relationships/image" Target="media/image16.emf"/><Relationship Id="rId57" Type="http://schemas.openxmlformats.org/officeDocument/2006/relationships/chart" Target="charts/chart16.xml"/><Relationship Id="rId61" Type="http://schemas.openxmlformats.org/officeDocument/2006/relationships/image" Target="media/image22.jpeg"/><Relationship Id="rId10" Type="http://schemas.openxmlformats.org/officeDocument/2006/relationships/image" Target="media/image2.emf"/><Relationship Id="rId19" Type="http://schemas.openxmlformats.org/officeDocument/2006/relationships/image" Target="media/image8.emf"/><Relationship Id="rId31" Type="http://schemas.openxmlformats.org/officeDocument/2006/relationships/diagramLayout" Target="diagrams/layout2.xml"/><Relationship Id="rId44" Type="http://schemas.openxmlformats.org/officeDocument/2006/relationships/chart" Target="charts/chart10.xml"/><Relationship Id="rId52" Type="http://schemas.openxmlformats.org/officeDocument/2006/relationships/chart" Target="charts/chart14.xml"/><Relationship Id="rId60" Type="http://schemas.openxmlformats.org/officeDocument/2006/relationships/image" Target="media/image21.png"/><Relationship Id="rId65" Type="http://schemas.openxmlformats.org/officeDocument/2006/relationships/image" Target="media/image25.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emf"/><Relationship Id="rId22" Type="http://schemas.openxmlformats.org/officeDocument/2006/relationships/image" Target="media/image11.emf"/><Relationship Id="rId27" Type="http://schemas.openxmlformats.org/officeDocument/2006/relationships/diagramQuickStyle" Target="diagrams/quickStyle1.xml"/><Relationship Id="rId30" Type="http://schemas.openxmlformats.org/officeDocument/2006/relationships/diagramData" Target="diagrams/data2.xml"/><Relationship Id="rId35" Type="http://schemas.openxmlformats.org/officeDocument/2006/relationships/hyperlink" Target="http://www.nottingham.ac.uk/transportissues/cong_roadcharging.shtml" TargetMode="External"/><Relationship Id="rId43" Type="http://schemas.openxmlformats.org/officeDocument/2006/relationships/chart" Target="charts/chart9.xml"/><Relationship Id="rId48" Type="http://schemas.openxmlformats.org/officeDocument/2006/relationships/image" Target="media/image15.emf"/><Relationship Id="rId56" Type="http://schemas.openxmlformats.org/officeDocument/2006/relationships/image" Target="media/image19.png"/><Relationship Id="rId64" Type="http://schemas.openxmlformats.org/officeDocument/2006/relationships/hyperlink" Target="http://www.autopapa.ge"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chart" Target="charts/chart13.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chart" Target="charts/chart1.xml"/><Relationship Id="rId25" Type="http://schemas.openxmlformats.org/officeDocument/2006/relationships/diagramData" Target="diagrams/data1.xml"/><Relationship Id="rId33" Type="http://schemas.openxmlformats.org/officeDocument/2006/relationships/diagramColors" Target="diagrams/colors2.xml"/><Relationship Id="rId38" Type="http://schemas.openxmlformats.org/officeDocument/2006/relationships/chart" Target="charts/chart4.xml"/><Relationship Id="rId46" Type="http://schemas.openxmlformats.org/officeDocument/2006/relationships/chart" Target="charts/chart12.xml"/><Relationship Id="rId59" Type="http://schemas.openxmlformats.org/officeDocument/2006/relationships/chart" Target="charts/chart17.xml"/><Relationship Id="rId67" Type="http://schemas.openxmlformats.org/officeDocument/2006/relationships/hyperlink" Target="http://www.afdc.energy.gov/afdc/vehicles/natural_gas_emissions.html" TargetMode="External"/><Relationship Id="rId20" Type="http://schemas.openxmlformats.org/officeDocument/2006/relationships/image" Target="media/image9.emf"/><Relationship Id="rId41" Type="http://schemas.openxmlformats.org/officeDocument/2006/relationships/chart" Target="charts/chart7.xml"/><Relationship Id="rId54" Type="http://schemas.openxmlformats.org/officeDocument/2006/relationships/chart" Target="charts/chart15.xml"/><Relationship Id="rId62" Type="http://schemas.openxmlformats.org/officeDocument/2006/relationships/image" Target="media/image23.png"/><Relationship Id="rId7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wb332037\Documents\01_Projects%20FY11%20ECSSD\P127210%20-%20Georgia%20Green%20Transport\Concept%20Review\Hydro%20Fuel%20Urbanization%20Georgia%20WDI.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wb332037\Documents\01_Projects%20FY11%20ECSSD\P127210%20-%20Georgia%20Green%20Transport\Draft%20Report\Georgia_Green%20Transport_2011-11-3.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wb332037\Documents\01_Projects%20FY11%20ECSSD\P127210%20-%20Georgia%20Green%20Transport\Draft%20Report\Georgia_Green%20Transport_2011-11-3.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wb332037\Documents\01_Projects%20FY11%20ECSSD\P127210%20-%20Georgia%20Green%20Transport\Draft%20Report\Georgia_Green%20Transport_2011-11-8.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wb332037\Documents\01_Projects%20FY11%20ECSSD\P127210%20-%20Georgia%20Green%20Transport\Draft%20Report\Georgia_Green%20Transport_2011-11-8.xlsx"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wb332037\Documents\01_Projects%20FY11%20ECSSD\P127210%20-%20Georgia%20Green%20Transport\Draft%20Report\Road%20User%20Charges.xlsx"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wb332037\Documents\01_Projects%20FY11%20ECSSD\P127210%20-%20Georgia%20Green%20Transport\Draft%20Report\Georgia_Green%20Transport_2011-11-8.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wb332037\Documents\01_Projects%20FY11%20ECSSD\P127210%20-%20Georgia%20Green%20Transport\Draft%20Report\Georgia_Green%20Transport_2011-11-6.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b332037\Documents\01_Projects%20FY11%20ECSSD\P127210%20-%20Georgia%20Green%20Transport\Concept%20Review\Hydro%20Fuel%20Urbanization%20Georgia%20WDI.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wb332037\Documents\01_Projects%20FY11%20ECSSD\P127210%20-%20Georgia%20Green%20Transport\EFFECT%20-%20RV3_beta%20-%20Revised\EM_Test%20(Jan%2020%202012)\Transport.xlsm"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wb332037\Documents\01_Projects%20FY11%20ECSSD\P127210%20-%20Georgia%20Green%20Transport\Draft%20Report\Georgia_Green%20Transport_2011-11-8.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wb332037\Documents\01_Projects%20FY11%20ECSSD\P127210%20-%20Georgia%20Green%20Transport\Data%20and%20Documents\OECD2006.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wb332037\Documents\01_Projects%20FY11%20ECSSD\P127210%20-%20Georgia%20Green%20Transport\Draft%20Report\Georgia_Green%20Transport_2011-11-8.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wb332037\Documents\01_Projects%20FY11%20ECSSD\P127210%20-%20Georgia%20Green%20Transport\Draft%20Report\Georgia_Green%20Transport_2011-11-8.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wb332037\Documents\01_Projects%20FY11%20ECSSD\P127210%20-%20Georgia%20Green%20Transport\Draft%20Report\Georgia_Green%20Transport_2011-11-3.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wb332037\Documents\01_Projects%20FY11%20ECSSD\P127210%20-%20Georgia%20Green%20Transport\Draft%20Report\Georgia_Green%20Transport_2011-11-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7.4578804450596892E-2"/>
          <c:y val="8.7791495198903807E-2"/>
          <c:w val="0.82807566921569964"/>
          <c:h val="0.73180562306255492"/>
        </c:manualLayout>
      </c:layout>
      <c:lineChart>
        <c:grouping val="standard"/>
        <c:ser>
          <c:idx val="0"/>
          <c:order val="0"/>
          <c:tx>
            <c:strRef>
              <c:f>'1daffb92-e41b-4a6d-b780-697181d'!$B$37</c:f>
              <c:strCache>
                <c:ptCount val="1"/>
                <c:pt idx="0">
                  <c:v>Merchandise imports (current US$)</c:v>
                </c:pt>
              </c:strCache>
            </c:strRef>
          </c:tx>
          <c:marker>
            <c:symbol val="none"/>
          </c:marker>
          <c:cat>
            <c:numRef>
              <c:f>'1daffb92-e41b-4a6d-b780-697181d'!$C$32:$O$32</c:f>
              <c:numCache>
                <c:formatCode>General</c:formatCode>
                <c:ptCount val="13"/>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numCache>
            </c:numRef>
          </c:cat>
          <c:val>
            <c:numRef>
              <c:f>'1daffb92-e41b-4a6d-b780-697181d'!$C$37:$O$37</c:f>
              <c:numCache>
                <c:formatCode>#,##0.00</c:formatCode>
                <c:ptCount val="13"/>
                <c:pt idx="0">
                  <c:v>0.58500000000000052</c:v>
                </c:pt>
                <c:pt idx="1">
                  <c:v>0.70900000000000063</c:v>
                </c:pt>
                <c:pt idx="2">
                  <c:v>0.75300000000000478</c:v>
                </c:pt>
                <c:pt idx="3">
                  <c:v>0.79600000000000004</c:v>
                </c:pt>
                <c:pt idx="4">
                  <c:v>1.141</c:v>
                </c:pt>
                <c:pt idx="5">
                  <c:v>1.84555</c:v>
                </c:pt>
                <c:pt idx="6">
                  <c:v>2.4899999999999998</c:v>
                </c:pt>
                <c:pt idx="7">
                  <c:v>3.6777446870000001</c:v>
                </c:pt>
                <c:pt idx="8">
                  <c:v>5.2148834079999755</c:v>
                </c:pt>
                <c:pt idx="9">
                  <c:v>6.3045573289999419</c:v>
                </c:pt>
                <c:pt idx="10">
                  <c:v>4.3780844369999645</c:v>
                </c:pt>
                <c:pt idx="11">
                  <c:v>5.09546028105148</c:v>
                </c:pt>
              </c:numCache>
            </c:numRef>
          </c:val>
        </c:ser>
        <c:ser>
          <c:idx val="1"/>
          <c:order val="1"/>
          <c:tx>
            <c:strRef>
              <c:f>'1daffb92-e41b-4a6d-b780-697181d'!$B$38</c:f>
              <c:strCache>
                <c:ptCount val="1"/>
                <c:pt idx="0">
                  <c:v>Fuel imports (current US$)</c:v>
                </c:pt>
              </c:strCache>
            </c:strRef>
          </c:tx>
          <c:marker>
            <c:symbol val="none"/>
          </c:marker>
          <c:cat>
            <c:numRef>
              <c:f>'1daffb92-e41b-4a6d-b780-697181d'!$C$32:$O$32</c:f>
              <c:numCache>
                <c:formatCode>General</c:formatCode>
                <c:ptCount val="13"/>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numCache>
            </c:numRef>
          </c:cat>
          <c:val>
            <c:numRef>
              <c:f>'1daffb92-e41b-4a6d-b780-697181d'!$C$38:$O$38</c:f>
              <c:numCache>
                <c:formatCode>#,##0.00</c:formatCode>
                <c:ptCount val="13"/>
                <c:pt idx="0">
                  <c:v>0.13455</c:v>
                </c:pt>
                <c:pt idx="1">
                  <c:v>0.16307000000000019</c:v>
                </c:pt>
                <c:pt idx="2">
                  <c:v>0.17319000000000001</c:v>
                </c:pt>
                <c:pt idx="3">
                  <c:v>0.18307999999999999</c:v>
                </c:pt>
                <c:pt idx="4">
                  <c:v>0.26243</c:v>
                </c:pt>
                <c:pt idx="5">
                  <c:v>0.42447650000000325</c:v>
                </c:pt>
                <c:pt idx="6">
                  <c:v>0.57270000000000065</c:v>
                </c:pt>
                <c:pt idx="7">
                  <c:v>0.8458812780100049</c:v>
                </c:pt>
                <c:pt idx="8">
                  <c:v>1.19942318384</c:v>
                </c:pt>
                <c:pt idx="9">
                  <c:v>1.45004818567</c:v>
                </c:pt>
                <c:pt idx="10">
                  <c:v>0.70957101436489156</c:v>
                </c:pt>
                <c:pt idx="11">
                  <c:v>0.83222158363267063</c:v>
                </c:pt>
              </c:numCache>
            </c:numRef>
          </c:val>
        </c:ser>
        <c:marker val="1"/>
        <c:axId val="42863616"/>
        <c:axId val="42873600"/>
      </c:lineChart>
      <c:lineChart>
        <c:grouping val="standard"/>
        <c:ser>
          <c:idx val="2"/>
          <c:order val="2"/>
          <c:tx>
            <c:strRef>
              <c:f>'1daffb92-e41b-4a6d-b780-697181d'!$B$39</c:f>
              <c:strCache>
                <c:ptCount val="1"/>
                <c:pt idx="0">
                  <c:v>Fuel imports (million tons)</c:v>
                </c:pt>
              </c:strCache>
            </c:strRef>
          </c:tx>
          <c:spPr>
            <a:ln w="34925">
              <a:solidFill>
                <a:schemeClr val="tx1">
                  <a:lumMod val="85000"/>
                  <a:lumOff val="15000"/>
                </a:schemeClr>
              </a:solidFill>
              <a:prstDash val="sysDash"/>
            </a:ln>
          </c:spPr>
          <c:marker>
            <c:symbol val="none"/>
          </c:marker>
          <c:cat>
            <c:numRef>
              <c:f>'1daffb92-e41b-4a6d-b780-697181d'!$C$32:$O$32</c:f>
              <c:numCache>
                <c:formatCode>General</c:formatCode>
                <c:ptCount val="13"/>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numCache>
            </c:numRef>
          </c:cat>
          <c:val>
            <c:numRef>
              <c:f>'1daffb92-e41b-4a6d-b780-697181d'!$C$39:$O$39</c:f>
              <c:numCache>
                <c:formatCode>General</c:formatCode>
                <c:ptCount val="13"/>
                <c:pt idx="9" formatCode="#,##0.00">
                  <c:v>0.75843318499999957</c:v>
                </c:pt>
                <c:pt idx="10" formatCode="#,##0.00">
                  <c:v>0.84164026200000785</c:v>
                </c:pt>
                <c:pt idx="11" formatCode="#,##0.00">
                  <c:v>0.85158612700800007</c:v>
                </c:pt>
                <c:pt idx="12" formatCode="#,##0.00">
                  <c:v>0.87438396666666651</c:v>
                </c:pt>
              </c:numCache>
            </c:numRef>
          </c:val>
        </c:ser>
        <c:marker val="1"/>
        <c:axId val="42881024"/>
        <c:axId val="42875136"/>
      </c:lineChart>
      <c:catAx>
        <c:axId val="42863616"/>
        <c:scaling>
          <c:orientation val="minMax"/>
        </c:scaling>
        <c:axPos val="b"/>
        <c:numFmt formatCode="General" sourceLinked="1"/>
        <c:tickLblPos val="nextTo"/>
        <c:crossAx val="42873600"/>
        <c:crosses val="autoZero"/>
        <c:auto val="1"/>
        <c:lblAlgn val="ctr"/>
        <c:lblOffset val="100"/>
      </c:catAx>
      <c:valAx>
        <c:axId val="42873600"/>
        <c:scaling>
          <c:orientation val="minMax"/>
        </c:scaling>
        <c:axPos val="l"/>
        <c:majorGridlines/>
        <c:numFmt formatCode="#,##0" sourceLinked="0"/>
        <c:tickLblPos val="nextTo"/>
        <c:crossAx val="42863616"/>
        <c:crosses val="autoZero"/>
        <c:crossBetween val="between"/>
      </c:valAx>
      <c:valAx>
        <c:axId val="42875136"/>
        <c:scaling>
          <c:orientation val="minMax"/>
          <c:max val="1"/>
          <c:min val="0"/>
        </c:scaling>
        <c:axPos val="r"/>
        <c:numFmt formatCode="#,##0.0" sourceLinked="0"/>
        <c:tickLblPos val="nextTo"/>
        <c:crossAx val="42881024"/>
        <c:crosses val="max"/>
        <c:crossBetween val="between"/>
        <c:majorUnit val="0.2"/>
      </c:valAx>
      <c:catAx>
        <c:axId val="42881024"/>
        <c:scaling>
          <c:orientation val="minMax"/>
        </c:scaling>
        <c:delete val="1"/>
        <c:axPos val="b"/>
        <c:numFmt formatCode="General" sourceLinked="1"/>
        <c:tickLblPos val="none"/>
        <c:crossAx val="42875136"/>
        <c:crosses val="autoZero"/>
        <c:auto val="1"/>
        <c:lblAlgn val="ctr"/>
        <c:lblOffset val="100"/>
      </c:catAx>
    </c:plotArea>
    <c:legend>
      <c:legendPos val="r"/>
      <c:layout>
        <c:manualLayout>
          <c:xMode val="edge"/>
          <c:yMode val="edge"/>
          <c:x val="7.7163173594398823E-2"/>
          <c:y val="9.2812719397729601E-2"/>
          <c:w val="0.66717727049698072"/>
          <c:h val="0.17641424451573426"/>
        </c:manualLayout>
      </c:layout>
      <c:overlay val="1"/>
    </c:legend>
    <c:plotVisOnly val="1"/>
    <c:dispBlanksAs val="gap"/>
  </c:chart>
  <c:spPr>
    <a:ln>
      <a:noFill/>
    </a:ln>
  </c:spPr>
  <c:txPr>
    <a:bodyPr/>
    <a:lstStyle/>
    <a:p>
      <a:pPr>
        <a:defRPr sz="900"/>
      </a:pPr>
      <a:endParaRPr lang="en-US"/>
    </a:p>
  </c:txPr>
  <c:externalData r:id="rId1"/>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style val="16"/>
  <c:chart>
    <c:autoTitleDeleted val="1"/>
    <c:plotArea>
      <c:layout/>
      <c:pieChart>
        <c:varyColors val="1"/>
        <c:ser>
          <c:idx val="0"/>
          <c:order val="0"/>
          <c:tx>
            <c:strRef>
              <c:f>'All vhcl age distribution'!$A$3</c:f>
              <c:strCache>
                <c:ptCount val="1"/>
                <c:pt idx="0">
                  <c:v>buses</c:v>
                </c:pt>
              </c:strCache>
            </c:strRef>
          </c:tx>
          <c:dLbls>
            <c:dLbl>
              <c:idx val="0"/>
              <c:layout>
                <c:manualLayout>
                  <c:x val="-8.0948502126890268E-2"/>
                  <c:y val="0"/>
                </c:manualLayout>
              </c:layout>
              <c:showCatName val="1"/>
              <c:showPercent val="1"/>
            </c:dLbl>
            <c:showCatName val="1"/>
            <c:showPercent val="1"/>
            <c:showLeaderLines val="1"/>
          </c:dLbls>
          <c:cat>
            <c:strRef>
              <c:f>'All vhcl age distribution'!$B$1:$F$1</c:f>
              <c:strCache>
                <c:ptCount val="5"/>
                <c:pt idx="0">
                  <c:v>&lt;5 yrs</c:v>
                </c:pt>
                <c:pt idx="1">
                  <c:v>5-10 yrs</c:v>
                </c:pt>
                <c:pt idx="2">
                  <c:v>11-15 yrs</c:v>
                </c:pt>
                <c:pt idx="3">
                  <c:v>16-20 yrs</c:v>
                </c:pt>
                <c:pt idx="4">
                  <c:v>&gt;20 yrs</c:v>
                </c:pt>
              </c:strCache>
            </c:strRef>
          </c:cat>
          <c:val>
            <c:numRef>
              <c:f>'All vhcl age distribution'!$B$3:$F$3</c:f>
              <c:numCache>
                <c:formatCode>General</c:formatCode>
                <c:ptCount val="5"/>
                <c:pt idx="0">
                  <c:v>1475</c:v>
                </c:pt>
                <c:pt idx="1">
                  <c:v>827</c:v>
                </c:pt>
                <c:pt idx="2">
                  <c:v>5604</c:v>
                </c:pt>
                <c:pt idx="3">
                  <c:v>5469</c:v>
                </c:pt>
                <c:pt idx="4">
                  <c:v>3295</c:v>
                </c:pt>
              </c:numCache>
            </c:numRef>
          </c:val>
        </c:ser>
        <c:dLbls>
          <c:showCatName val="1"/>
          <c:showPercent val="1"/>
        </c:dLbls>
        <c:firstSliceAng val="0"/>
      </c:pieChart>
    </c:plotArea>
    <c:plotVisOnly val="1"/>
  </c:chart>
  <c:spPr>
    <a:ln>
      <a:noFill/>
    </a:ln>
  </c:spPr>
  <c:txPr>
    <a:bodyPr/>
    <a:lstStyle/>
    <a:p>
      <a:pPr>
        <a:defRPr sz="900"/>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style val="12"/>
  <c:chart>
    <c:autoTitleDeleted val="1"/>
    <c:plotArea>
      <c:layout/>
      <c:pieChart>
        <c:varyColors val="1"/>
        <c:ser>
          <c:idx val="0"/>
          <c:order val="0"/>
          <c:tx>
            <c:strRef>
              <c:f>'All vhcl age distribution'!$A$4</c:f>
              <c:strCache>
                <c:ptCount val="1"/>
                <c:pt idx="0">
                  <c:v>trucks</c:v>
                </c:pt>
              </c:strCache>
            </c:strRef>
          </c:tx>
          <c:cat>
            <c:strRef>
              <c:f>'All vhcl age distribution'!$B$1:$F$1</c:f>
              <c:strCache>
                <c:ptCount val="5"/>
                <c:pt idx="0">
                  <c:v>&lt;5 yrs</c:v>
                </c:pt>
                <c:pt idx="1">
                  <c:v>5-10 yrs</c:v>
                </c:pt>
                <c:pt idx="2">
                  <c:v>11-15 yrs</c:v>
                </c:pt>
                <c:pt idx="3">
                  <c:v>16-20 yrs</c:v>
                </c:pt>
                <c:pt idx="4">
                  <c:v>&gt;20 yrs</c:v>
                </c:pt>
              </c:strCache>
            </c:strRef>
          </c:cat>
          <c:val>
            <c:numRef>
              <c:f>'All vhcl age distribution'!$B$4:$F$4</c:f>
              <c:numCache>
                <c:formatCode>General</c:formatCode>
                <c:ptCount val="5"/>
                <c:pt idx="0">
                  <c:v>3084</c:v>
                </c:pt>
                <c:pt idx="1">
                  <c:v>5726</c:v>
                </c:pt>
                <c:pt idx="2">
                  <c:v>5941</c:v>
                </c:pt>
                <c:pt idx="3">
                  <c:v>5787</c:v>
                </c:pt>
                <c:pt idx="4">
                  <c:v>32998</c:v>
                </c:pt>
              </c:numCache>
            </c:numRef>
          </c:val>
        </c:ser>
        <c:dLbls>
          <c:showCatName val="1"/>
          <c:showPercent val="1"/>
        </c:dLbls>
        <c:firstSliceAng val="0"/>
      </c:pieChart>
    </c:plotArea>
    <c:plotVisOnly val="1"/>
  </c:chart>
  <c:spPr>
    <a:ln>
      <a:noFill/>
    </a:ln>
  </c:spPr>
  <c:txPr>
    <a:bodyPr/>
    <a:lstStyle/>
    <a:p>
      <a:pPr>
        <a:defRPr sz="900"/>
      </a:pPr>
      <a:endParaRPr lang="en-U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4189496583197528"/>
          <c:y val="3.6019343735879762E-2"/>
          <c:w val="0.78225910950320399"/>
          <c:h val="0.81525386249795651"/>
        </c:manualLayout>
      </c:layout>
      <c:scatterChart>
        <c:scatterStyle val="lineMarker"/>
        <c:ser>
          <c:idx val="1"/>
          <c:order val="0"/>
          <c:tx>
            <c:strRef>
              <c:f>'Motorization and Income'!$A$4</c:f>
              <c:strCache>
                <c:ptCount val="1"/>
                <c:pt idx="0">
                  <c:v>Bulgaria</c:v>
                </c:pt>
              </c:strCache>
            </c:strRef>
          </c:tx>
          <c:marker>
            <c:symbol val="diamond"/>
            <c:size val="7"/>
            <c:spPr>
              <a:solidFill>
                <a:srgbClr val="1F497D"/>
              </a:solidFill>
              <a:ln>
                <a:solidFill>
                  <a:schemeClr val="tx2"/>
                </a:solidFill>
              </a:ln>
            </c:spPr>
          </c:marker>
          <c:dLbls>
            <c:dLbl>
              <c:idx val="0"/>
              <c:layout>
                <c:manualLayout>
                  <c:x val="-1.6989772830120382E-2"/>
                  <c:y val="1.1760916249105708E-2"/>
                </c:manualLayout>
              </c:layout>
              <c:dLblPos val="r"/>
              <c:showSerName val="1"/>
            </c:dLbl>
            <c:dLblPos val="b"/>
            <c:showSerName val="1"/>
          </c:dLbls>
          <c:xVal>
            <c:numRef>
              <c:f>'Motorization and Income'!$H$3</c:f>
              <c:numCache>
                <c:formatCode>_(* #,##0_);_(* \(#,##0\);_(* "-"??_);_(@_)</c:formatCode>
                <c:ptCount val="1"/>
                <c:pt idx="0">
                  <c:v>5614.7243182193415</c:v>
                </c:pt>
              </c:numCache>
            </c:numRef>
          </c:xVal>
          <c:yVal>
            <c:numRef>
              <c:f>'Motorization and Income'!$K$3</c:f>
              <c:numCache>
                <c:formatCode>0</c:formatCode>
                <c:ptCount val="1"/>
                <c:pt idx="0">
                  <c:v>105</c:v>
                </c:pt>
              </c:numCache>
            </c:numRef>
          </c:yVal>
        </c:ser>
        <c:ser>
          <c:idx val="3"/>
          <c:order val="1"/>
          <c:tx>
            <c:strRef>
              <c:f>'Motorization and Income'!$A$6</c:f>
              <c:strCache>
                <c:ptCount val="1"/>
                <c:pt idx="0">
                  <c:v>Belarus*</c:v>
                </c:pt>
              </c:strCache>
            </c:strRef>
          </c:tx>
          <c:marker>
            <c:symbol val="diamond"/>
            <c:size val="7"/>
            <c:spPr>
              <a:solidFill>
                <a:srgbClr val="1F497D"/>
              </a:solidFill>
              <a:ln>
                <a:solidFill>
                  <a:schemeClr val="tx2"/>
                </a:solidFill>
              </a:ln>
            </c:spPr>
          </c:marker>
          <c:dLbls>
            <c:dLbl>
              <c:idx val="0"/>
              <c:layout>
                <c:manualLayout>
                  <c:x val="-1.0230179028133404E-2"/>
                  <c:y val="0"/>
                </c:manualLayout>
              </c:layout>
              <c:showSerName val="1"/>
            </c:dLbl>
            <c:showSerName val="1"/>
          </c:dLbls>
          <c:xVal>
            <c:numRef>
              <c:f>'Motorization and Income'!$H$6</c:f>
              <c:numCache>
                <c:formatCode>_(* #,##0_);_(* \(#,##0\);_(* "-"??_);_(@_)</c:formatCode>
                <c:ptCount val="1"/>
                <c:pt idx="0">
                  <c:v>11746.723900460955</c:v>
                </c:pt>
              </c:numCache>
            </c:numRef>
          </c:xVal>
          <c:yVal>
            <c:numRef>
              <c:f>'Motorization and Income'!$K$6</c:f>
              <c:numCache>
                <c:formatCode>0</c:formatCode>
                <c:ptCount val="1"/>
                <c:pt idx="0">
                  <c:v>282</c:v>
                </c:pt>
              </c:numCache>
            </c:numRef>
          </c:yVal>
        </c:ser>
        <c:ser>
          <c:idx val="4"/>
          <c:order val="2"/>
          <c:tx>
            <c:strRef>
              <c:f>'Motorization and Income'!$A$7</c:f>
              <c:strCache>
                <c:ptCount val="1"/>
                <c:pt idx="0">
                  <c:v>Czech Rep</c:v>
                </c:pt>
              </c:strCache>
            </c:strRef>
          </c:tx>
          <c:marker>
            <c:symbol val="diamond"/>
            <c:size val="7"/>
            <c:spPr>
              <a:solidFill>
                <a:srgbClr val="1F497D"/>
              </a:solidFill>
              <a:ln>
                <a:solidFill>
                  <a:schemeClr val="tx2"/>
                </a:solidFill>
              </a:ln>
            </c:spPr>
          </c:marker>
          <c:dLbls>
            <c:showSerName val="1"/>
          </c:dLbls>
          <c:xVal>
            <c:numRef>
              <c:f>'Motorization and Income'!$H$7</c:f>
              <c:numCache>
                <c:formatCode>_(* #,##0_);_(* \(#,##0\);_(* "-"??_);_(@_)</c:formatCode>
                <c:ptCount val="1"/>
                <c:pt idx="0">
                  <c:v>23222.92067560682</c:v>
                </c:pt>
              </c:numCache>
            </c:numRef>
          </c:xVal>
          <c:yVal>
            <c:numRef>
              <c:f>'Motorization and Income'!$K$7</c:f>
              <c:numCache>
                <c:formatCode>0</c:formatCode>
                <c:ptCount val="1"/>
                <c:pt idx="0">
                  <c:v>513</c:v>
                </c:pt>
              </c:numCache>
            </c:numRef>
          </c:yVal>
        </c:ser>
        <c:ser>
          <c:idx val="5"/>
          <c:order val="3"/>
          <c:tx>
            <c:strRef>
              <c:f>'Motorization and Income'!$A$8</c:f>
              <c:strCache>
                <c:ptCount val="1"/>
                <c:pt idx="0">
                  <c:v>Estonia</c:v>
                </c:pt>
              </c:strCache>
            </c:strRef>
          </c:tx>
          <c:marker>
            <c:symbol val="diamond"/>
            <c:size val="7"/>
            <c:spPr>
              <a:solidFill>
                <a:srgbClr val="1F497D"/>
              </a:solidFill>
              <a:ln>
                <a:solidFill>
                  <a:schemeClr val="tx2"/>
                </a:solidFill>
              </a:ln>
            </c:spPr>
          </c:marker>
          <c:dLbls>
            <c:showSerName val="1"/>
          </c:dLbls>
          <c:xVal>
            <c:numRef>
              <c:f>'Motorization and Income'!$H$8</c:f>
              <c:numCache>
                <c:formatCode>_(* #,##0_);_(* \(#,##0\);_(* "-"??_);_(@_)</c:formatCode>
                <c:ptCount val="1"/>
                <c:pt idx="0">
                  <c:v>18646.285557713421</c:v>
                </c:pt>
              </c:numCache>
            </c:numRef>
          </c:xVal>
          <c:yVal>
            <c:numRef>
              <c:f>'Motorization and Income'!$K$8</c:f>
              <c:numCache>
                <c:formatCode>0</c:formatCode>
                <c:ptCount val="1"/>
                <c:pt idx="0">
                  <c:v>477</c:v>
                </c:pt>
              </c:numCache>
            </c:numRef>
          </c:yVal>
        </c:ser>
        <c:ser>
          <c:idx val="6"/>
          <c:order val="4"/>
          <c:tx>
            <c:strRef>
              <c:f>'Motorization and Income'!$A$9</c:f>
              <c:strCache>
                <c:ptCount val="1"/>
                <c:pt idx="0">
                  <c:v>Georgia</c:v>
                </c:pt>
              </c:strCache>
            </c:strRef>
          </c:tx>
          <c:spPr>
            <a:ln w="28575">
              <a:noFill/>
            </a:ln>
          </c:spPr>
          <c:marker>
            <c:symbol val="diamond"/>
            <c:size val="7"/>
            <c:spPr>
              <a:solidFill>
                <a:schemeClr val="accent2"/>
              </a:solidFill>
              <a:ln>
                <a:solidFill>
                  <a:schemeClr val="accent2"/>
                </a:solidFill>
              </a:ln>
            </c:spPr>
          </c:marker>
          <c:dLbls>
            <c:dLbl>
              <c:idx val="0"/>
              <c:layout>
                <c:manualLayout>
                  <c:x val="-0.14274207103422876"/>
                  <c:y val="5.0505050505050475E-3"/>
                </c:manualLayout>
              </c:layout>
              <c:spPr>
                <a:noFill/>
              </c:spPr>
              <c:txPr>
                <a:bodyPr/>
                <a:lstStyle/>
                <a:p>
                  <a:pPr>
                    <a:defRPr sz="900" b="1">
                      <a:solidFill>
                        <a:schemeClr val="accent2">
                          <a:lumMod val="75000"/>
                        </a:schemeClr>
                      </a:solidFill>
                    </a:defRPr>
                  </a:pPr>
                  <a:endParaRPr lang="en-US"/>
                </a:p>
              </c:txPr>
              <c:dLblPos val="r"/>
              <c:showSerName val="1"/>
            </c:dLbl>
            <c:spPr>
              <a:noFill/>
            </c:spPr>
            <c:dLblPos val="l"/>
            <c:showSerName val="1"/>
          </c:dLbls>
          <c:xVal>
            <c:numRef>
              <c:f>'Motorization and Income'!$H$9</c:f>
              <c:numCache>
                <c:formatCode>_(* #,##0_);_(* \(#,##0\);_(* "-"??_);_(@_)</c:formatCode>
                <c:ptCount val="1"/>
                <c:pt idx="0">
                  <c:v>4516.3382081706322</c:v>
                </c:pt>
              </c:numCache>
            </c:numRef>
          </c:xVal>
          <c:yVal>
            <c:numRef>
              <c:f>'Motorization and Income'!$K$9</c:f>
              <c:numCache>
                <c:formatCode>0</c:formatCode>
                <c:ptCount val="1"/>
                <c:pt idx="0">
                  <c:v>116</c:v>
                </c:pt>
              </c:numCache>
            </c:numRef>
          </c:yVal>
        </c:ser>
        <c:ser>
          <c:idx val="7"/>
          <c:order val="5"/>
          <c:tx>
            <c:strRef>
              <c:f>'Motorization and Income'!$A$10</c:f>
              <c:strCache>
                <c:ptCount val="1"/>
                <c:pt idx="0">
                  <c:v>Croatia</c:v>
                </c:pt>
              </c:strCache>
            </c:strRef>
          </c:tx>
          <c:marker>
            <c:symbol val="diamond"/>
            <c:size val="7"/>
            <c:spPr>
              <a:solidFill>
                <a:srgbClr val="1F497D"/>
              </a:solidFill>
              <a:ln>
                <a:solidFill>
                  <a:schemeClr val="tx2"/>
                </a:solidFill>
              </a:ln>
            </c:spPr>
          </c:marker>
          <c:dLbls>
            <c:showSerName val="1"/>
          </c:dLbls>
          <c:xVal>
            <c:numRef>
              <c:f>'Motorization and Income'!$H$10</c:f>
              <c:numCache>
                <c:formatCode>_(* #,##0_);_(* \(#,##0\);_(* "-"??_);_(@_)</c:formatCode>
                <c:ptCount val="1"/>
                <c:pt idx="0">
                  <c:v>17316.88798754778</c:v>
                </c:pt>
              </c:numCache>
            </c:numRef>
          </c:xVal>
          <c:yVal>
            <c:numRef>
              <c:f>'Motorization and Income'!$K$10</c:f>
              <c:numCache>
                <c:formatCode>0</c:formatCode>
                <c:ptCount val="1"/>
                <c:pt idx="0">
                  <c:v>388</c:v>
                </c:pt>
              </c:numCache>
            </c:numRef>
          </c:yVal>
        </c:ser>
        <c:ser>
          <c:idx val="8"/>
          <c:order val="6"/>
          <c:tx>
            <c:strRef>
              <c:f>'Motorization and Income'!$A$11</c:f>
              <c:strCache>
                <c:ptCount val="1"/>
                <c:pt idx="0">
                  <c:v>Kazakhstan</c:v>
                </c:pt>
              </c:strCache>
            </c:strRef>
          </c:tx>
          <c:marker>
            <c:symbol val="diamond"/>
            <c:size val="7"/>
            <c:spPr>
              <a:solidFill>
                <a:srgbClr val="1F497D"/>
              </a:solidFill>
              <a:ln>
                <a:solidFill>
                  <a:schemeClr val="tx2"/>
                </a:solidFill>
              </a:ln>
            </c:spPr>
          </c:marker>
          <c:dLbls>
            <c:dLbl>
              <c:idx val="0"/>
              <c:layout>
                <c:manualLayout>
                  <c:x val="-0.1676909254267745"/>
                  <c:y val="-1.8518518518518583E-2"/>
                </c:manualLayout>
              </c:layout>
              <c:dLblPos val="r"/>
              <c:showSerName val="1"/>
            </c:dLbl>
            <c:dLblPos val="l"/>
            <c:showSerName val="1"/>
          </c:dLbls>
          <c:xVal>
            <c:numRef>
              <c:f>'Motorization and Income'!$H$11</c:f>
              <c:numCache>
                <c:formatCode>_(* #,##0_);_(* \(#,##0\);_(* "-"??_);_(@_)</c:formatCode>
                <c:ptCount val="1"/>
                <c:pt idx="0">
                  <c:v>10468.819015259693</c:v>
                </c:pt>
              </c:numCache>
            </c:numRef>
          </c:xVal>
          <c:yVal>
            <c:numRef>
              <c:f>'Motorization and Income'!$K$11</c:f>
              <c:numCache>
                <c:formatCode>0</c:formatCode>
                <c:ptCount val="1"/>
                <c:pt idx="0">
                  <c:v>197</c:v>
                </c:pt>
              </c:numCache>
            </c:numRef>
          </c:yVal>
        </c:ser>
        <c:ser>
          <c:idx val="9"/>
          <c:order val="7"/>
          <c:tx>
            <c:strRef>
              <c:f>'Motorization and Income'!$A$12</c:f>
              <c:strCache>
                <c:ptCount val="1"/>
                <c:pt idx="0">
                  <c:v>Kyrgyz Rep*</c:v>
                </c:pt>
              </c:strCache>
            </c:strRef>
          </c:tx>
          <c:spPr>
            <a:ln w="28575">
              <a:noFill/>
            </a:ln>
          </c:spPr>
          <c:marker>
            <c:symbol val="diamond"/>
            <c:size val="7"/>
            <c:spPr>
              <a:solidFill>
                <a:srgbClr val="1F497D"/>
              </a:solidFill>
              <a:ln>
                <a:solidFill>
                  <a:schemeClr val="tx2"/>
                </a:solidFill>
              </a:ln>
            </c:spPr>
          </c:marker>
          <c:dLbls>
            <c:dLbl>
              <c:idx val="0"/>
              <c:layout>
                <c:manualLayout>
                  <c:x val="-9.8522167487689934E-3"/>
                  <c:y val="0"/>
                </c:manualLayout>
              </c:layout>
              <c:showSerName val="1"/>
            </c:dLbl>
            <c:showSerName val="1"/>
          </c:dLbls>
          <c:xVal>
            <c:numRef>
              <c:f>'Motorization and Income'!$H$12</c:f>
              <c:numCache>
                <c:formatCode>_(* #,##0_);_(* \(#,##0\);_(* "-"??_);_(@_)</c:formatCode>
                <c:ptCount val="1"/>
                <c:pt idx="0">
                  <c:v>2042.5945370387499</c:v>
                </c:pt>
              </c:numCache>
            </c:numRef>
          </c:xVal>
          <c:yVal>
            <c:numRef>
              <c:f>'Motorization and Income'!$K$12</c:f>
              <c:numCache>
                <c:formatCode>0</c:formatCode>
                <c:ptCount val="1"/>
                <c:pt idx="0">
                  <c:v>59</c:v>
                </c:pt>
              </c:numCache>
            </c:numRef>
          </c:yVal>
        </c:ser>
        <c:ser>
          <c:idx val="10"/>
          <c:order val="8"/>
          <c:tx>
            <c:strRef>
              <c:f>'Motorization and Income'!$A$13</c:f>
              <c:strCache>
                <c:ptCount val="1"/>
                <c:pt idx="0">
                  <c:v>Lithuania</c:v>
                </c:pt>
              </c:strCache>
            </c:strRef>
          </c:tx>
          <c:spPr>
            <a:ln w="28575">
              <a:noFill/>
            </a:ln>
          </c:spPr>
          <c:marker>
            <c:symbol val="diamond"/>
            <c:size val="7"/>
            <c:spPr>
              <a:solidFill>
                <a:srgbClr val="1F497D"/>
              </a:solidFill>
              <a:ln>
                <a:solidFill>
                  <a:schemeClr val="tx2"/>
                </a:solidFill>
              </a:ln>
            </c:spPr>
          </c:marker>
          <c:dLbls>
            <c:showSerName val="1"/>
          </c:dLbls>
          <c:xVal>
            <c:numRef>
              <c:f>'Motorization and Income'!$H$13</c:f>
              <c:numCache>
                <c:formatCode>_(* #,##0_);_(* \(#,##0\);_(* "-"??_);_(@_)</c:formatCode>
                <c:ptCount val="1"/>
                <c:pt idx="0">
                  <c:v>17616.294471859717</c:v>
                </c:pt>
              </c:numCache>
            </c:numRef>
          </c:xVal>
          <c:yVal>
            <c:numRef>
              <c:f>'Motorization and Income'!$K$13</c:f>
              <c:numCache>
                <c:formatCode>0</c:formatCode>
                <c:ptCount val="1"/>
                <c:pt idx="0">
                  <c:v>546</c:v>
                </c:pt>
              </c:numCache>
            </c:numRef>
          </c:yVal>
        </c:ser>
        <c:ser>
          <c:idx val="11"/>
          <c:order val="9"/>
          <c:tx>
            <c:strRef>
              <c:f>'Motorization and Income'!$A$14</c:f>
              <c:strCache>
                <c:ptCount val="1"/>
                <c:pt idx="0">
                  <c:v>Latvia</c:v>
                </c:pt>
              </c:strCache>
            </c:strRef>
          </c:tx>
          <c:spPr>
            <a:ln w="28575">
              <a:noFill/>
            </a:ln>
          </c:spPr>
          <c:marker>
            <c:symbol val="diamond"/>
            <c:size val="7"/>
            <c:spPr>
              <a:solidFill>
                <a:srgbClr val="1F497D"/>
              </a:solidFill>
              <a:ln>
                <a:solidFill>
                  <a:schemeClr val="tx2"/>
                </a:solidFill>
              </a:ln>
            </c:spPr>
          </c:marker>
          <c:dLbls>
            <c:dLbl>
              <c:idx val="0"/>
              <c:layout>
                <c:manualLayout>
                  <c:x val="-4.9261083743842422E-2"/>
                  <c:y val="3.0303030303030311E-2"/>
                </c:manualLayout>
              </c:layout>
              <c:showSerName val="1"/>
            </c:dLbl>
            <c:showSerName val="1"/>
          </c:dLbls>
          <c:xVal>
            <c:numRef>
              <c:f>'Motorization and Income'!$H$14</c:f>
              <c:numCache>
                <c:formatCode>_(* #,##0_);_(* \(#,##0\);_(* "-"??_);_(@_)</c:formatCode>
                <c:ptCount val="1"/>
                <c:pt idx="0">
                  <c:v>15661.922198368553</c:v>
                </c:pt>
              </c:numCache>
            </c:numRef>
          </c:xVal>
          <c:yVal>
            <c:numRef>
              <c:f>'Motorization and Income'!$K$14</c:f>
              <c:numCache>
                <c:formatCode>0</c:formatCode>
                <c:ptCount val="1"/>
                <c:pt idx="0">
                  <c:v>474</c:v>
                </c:pt>
              </c:numCache>
            </c:numRef>
          </c:yVal>
        </c:ser>
        <c:ser>
          <c:idx val="12"/>
          <c:order val="10"/>
          <c:tx>
            <c:strRef>
              <c:f>'Motorization and Income'!$A$15</c:f>
              <c:strCache>
                <c:ptCount val="1"/>
                <c:pt idx="0">
                  <c:v>Moldova</c:v>
                </c:pt>
              </c:strCache>
            </c:strRef>
          </c:tx>
          <c:spPr>
            <a:ln w="28575">
              <a:noFill/>
            </a:ln>
          </c:spPr>
          <c:marker>
            <c:symbol val="diamond"/>
            <c:size val="7"/>
            <c:spPr>
              <a:solidFill>
                <a:srgbClr val="1F497D"/>
              </a:solidFill>
              <a:ln>
                <a:solidFill>
                  <a:schemeClr val="tx2"/>
                </a:solidFill>
              </a:ln>
            </c:spPr>
          </c:marker>
          <c:dLbls>
            <c:dLbl>
              <c:idx val="0"/>
              <c:layout>
                <c:manualLayout>
                  <c:x val="-8.3031319198307765E-2"/>
                  <c:y val="-2.6515018955964358E-2"/>
                </c:manualLayout>
              </c:layout>
              <c:showSerName val="1"/>
            </c:dLbl>
            <c:showSerName val="1"/>
          </c:dLbls>
          <c:xVal>
            <c:numRef>
              <c:f>'Motorization and Income'!$H$15</c:f>
              <c:numCache>
                <c:formatCode>_(* #,##0_);_(* \(#,##0\);_(* "-"??_);_(@_)</c:formatCode>
                <c:ptCount val="1"/>
                <c:pt idx="0">
                  <c:v>2768.2728190404814</c:v>
                </c:pt>
              </c:numCache>
            </c:numRef>
          </c:xVal>
          <c:yVal>
            <c:numRef>
              <c:f>'Motorization and Income'!$K$15</c:f>
              <c:numCache>
                <c:formatCode>0</c:formatCode>
                <c:ptCount val="1"/>
                <c:pt idx="0">
                  <c:v>139</c:v>
                </c:pt>
              </c:numCache>
            </c:numRef>
          </c:yVal>
        </c:ser>
        <c:ser>
          <c:idx val="13"/>
          <c:order val="11"/>
          <c:tx>
            <c:strRef>
              <c:f>'Motorization and Income'!$A$16</c:f>
              <c:strCache>
                <c:ptCount val="1"/>
                <c:pt idx="0">
                  <c:v>Macedonia</c:v>
                </c:pt>
              </c:strCache>
            </c:strRef>
          </c:tx>
          <c:spPr>
            <a:ln w="28575">
              <a:noFill/>
            </a:ln>
          </c:spPr>
          <c:marker>
            <c:symbol val="diamond"/>
            <c:size val="7"/>
            <c:spPr>
              <a:solidFill>
                <a:srgbClr val="1F497D"/>
              </a:solidFill>
              <a:ln>
                <a:solidFill>
                  <a:schemeClr val="tx2"/>
                </a:solidFill>
              </a:ln>
            </c:spPr>
          </c:marker>
          <c:dLbls>
            <c:dLbl>
              <c:idx val="0"/>
              <c:layout>
                <c:manualLayout>
                  <c:x val="-1.1859838274932862E-2"/>
                  <c:y val="1.1096529600467947E-3"/>
                </c:manualLayout>
              </c:layout>
              <c:showSerName val="1"/>
            </c:dLbl>
            <c:showSerName val="1"/>
          </c:dLbls>
          <c:xVal>
            <c:numRef>
              <c:f>'Motorization and Income'!$H$16</c:f>
              <c:numCache>
                <c:formatCode>_(* #,##0_);_(* \(#,##0\);_(* "-"??_);_(@_)</c:formatCode>
                <c:ptCount val="1"/>
                <c:pt idx="0">
                  <c:v>8786.0780996433732</c:v>
                </c:pt>
              </c:numCache>
            </c:numRef>
          </c:xVal>
          <c:yVal>
            <c:numRef>
              <c:f>'Motorization and Income'!$K$16</c:f>
              <c:numCache>
                <c:formatCode>0</c:formatCode>
                <c:ptCount val="1"/>
                <c:pt idx="0">
                  <c:v>144</c:v>
                </c:pt>
              </c:numCache>
            </c:numRef>
          </c:yVal>
        </c:ser>
        <c:ser>
          <c:idx val="14"/>
          <c:order val="12"/>
          <c:tx>
            <c:strRef>
              <c:f>'Motorization and Income'!$A$17</c:f>
              <c:strCache>
                <c:ptCount val="1"/>
                <c:pt idx="0">
                  <c:v>Poland</c:v>
                </c:pt>
              </c:strCache>
            </c:strRef>
          </c:tx>
          <c:spPr>
            <a:ln w="28575">
              <a:noFill/>
            </a:ln>
          </c:spPr>
          <c:marker>
            <c:symbol val="diamond"/>
            <c:size val="7"/>
            <c:spPr>
              <a:solidFill>
                <a:srgbClr val="1F497D"/>
              </a:solidFill>
              <a:ln>
                <a:solidFill>
                  <a:schemeClr val="tx2"/>
                </a:solidFill>
              </a:ln>
            </c:spPr>
          </c:marker>
          <c:dLbls>
            <c:dLbl>
              <c:idx val="0"/>
              <c:layout>
                <c:manualLayout>
                  <c:x val="-2.4024024024024031E-2"/>
                  <c:y val="-1.9115890083632237E-2"/>
                </c:manualLayout>
              </c:layout>
              <c:showSerName val="1"/>
            </c:dLbl>
            <c:showSerName val="1"/>
          </c:dLbls>
          <c:xVal>
            <c:numRef>
              <c:f>'Motorization and Income'!$H$17</c:f>
              <c:numCache>
                <c:formatCode>_(* #,##0_);_(* \(#,##0\);_(* "-"??_);_(@_)</c:formatCode>
                <c:ptCount val="1"/>
                <c:pt idx="0">
                  <c:v>16454.813425477696</c:v>
                </c:pt>
              </c:numCache>
            </c:numRef>
          </c:xVal>
          <c:yVal>
            <c:numRef>
              <c:f>'Motorization and Income'!$K$17</c:f>
              <c:numCache>
                <c:formatCode>0</c:formatCode>
                <c:ptCount val="1"/>
                <c:pt idx="0">
                  <c:v>495</c:v>
                </c:pt>
              </c:numCache>
            </c:numRef>
          </c:yVal>
        </c:ser>
        <c:ser>
          <c:idx val="15"/>
          <c:order val="13"/>
          <c:tx>
            <c:strRef>
              <c:f>'Motorization and Income'!$A$18</c:f>
              <c:strCache>
                <c:ptCount val="1"/>
                <c:pt idx="0">
                  <c:v>Romania</c:v>
                </c:pt>
              </c:strCache>
            </c:strRef>
          </c:tx>
          <c:spPr>
            <a:ln w="28575">
              <a:noFill/>
            </a:ln>
          </c:spPr>
          <c:marker>
            <c:symbol val="diamond"/>
            <c:size val="7"/>
            <c:spPr>
              <a:solidFill>
                <a:srgbClr val="1F497D"/>
              </a:solidFill>
              <a:ln>
                <a:solidFill>
                  <a:schemeClr val="tx2"/>
                </a:solidFill>
              </a:ln>
            </c:spPr>
          </c:marker>
          <c:dLbls>
            <c:dLbl>
              <c:idx val="0"/>
              <c:layout>
                <c:manualLayout>
                  <c:x val="-8.9764628478046782E-2"/>
                  <c:y val="-2.525262467191601E-2"/>
                </c:manualLayout>
              </c:layout>
              <c:showSerName val="1"/>
            </c:dLbl>
            <c:showSerName val="1"/>
          </c:dLbls>
          <c:xVal>
            <c:numRef>
              <c:f>'Motorization and Income'!$H$18</c:f>
              <c:numCache>
                <c:formatCode>_(* #,##0_);_(* \(#,##0\);_(* "-"??_);_(@_)</c:formatCode>
                <c:ptCount val="1"/>
                <c:pt idx="0">
                  <c:v>11793.189419147235</c:v>
                </c:pt>
              </c:numCache>
            </c:numRef>
          </c:xVal>
          <c:yVal>
            <c:numRef>
              <c:f>'Motorization and Income'!$K$18</c:f>
              <c:numCache>
                <c:formatCode>0</c:formatCode>
                <c:ptCount val="1"/>
                <c:pt idx="0">
                  <c:v>219</c:v>
                </c:pt>
              </c:numCache>
            </c:numRef>
          </c:yVal>
        </c:ser>
        <c:ser>
          <c:idx val="16"/>
          <c:order val="14"/>
          <c:tx>
            <c:strRef>
              <c:f>'Motorization and Income'!$A$19</c:f>
              <c:strCache>
                <c:ptCount val="1"/>
                <c:pt idx="0">
                  <c:v>Russia*</c:v>
                </c:pt>
              </c:strCache>
            </c:strRef>
          </c:tx>
          <c:spPr>
            <a:ln w="28575">
              <a:noFill/>
            </a:ln>
          </c:spPr>
          <c:marker>
            <c:symbol val="diamond"/>
            <c:size val="7"/>
            <c:spPr>
              <a:solidFill>
                <a:srgbClr val="1F497D"/>
              </a:solidFill>
              <a:ln>
                <a:solidFill>
                  <a:schemeClr val="tx2"/>
                </a:solidFill>
              </a:ln>
            </c:spPr>
          </c:marker>
          <c:dLbls>
            <c:showSerName val="1"/>
          </c:dLbls>
          <c:xVal>
            <c:numRef>
              <c:f>'Motorization and Income'!$H$19</c:f>
              <c:numCache>
                <c:formatCode>_(* #,##0_);_(* \(#,##0\);_(* "-"??_);_(@_)</c:formatCode>
                <c:ptCount val="1"/>
                <c:pt idx="0">
                  <c:v>14767.304368396704</c:v>
                </c:pt>
              </c:numCache>
            </c:numRef>
          </c:xVal>
          <c:yVal>
            <c:numRef>
              <c:f>'Motorization and Income'!$K$19</c:f>
              <c:numCache>
                <c:formatCode>0</c:formatCode>
                <c:ptCount val="1"/>
                <c:pt idx="0">
                  <c:v>245</c:v>
                </c:pt>
              </c:numCache>
            </c:numRef>
          </c:yVal>
        </c:ser>
        <c:ser>
          <c:idx val="17"/>
          <c:order val="15"/>
          <c:tx>
            <c:strRef>
              <c:f>'Motorization and Income'!$A$20</c:f>
              <c:strCache>
                <c:ptCount val="1"/>
                <c:pt idx="0">
                  <c:v>Slovak Rep*</c:v>
                </c:pt>
              </c:strCache>
            </c:strRef>
          </c:tx>
          <c:spPr>
            <a:ln w="28575">
              <a:noFill/>
            </a:ln>
          </c:spPr>
          <c:marker>
            <c:symbol val="diamond"/>
            <c:size val="7"/>
            <c:spPr>
              <a:solidFill>
                <a:srgbClr val="1F497D"/>
              </a:solidFill>
              <a:ln>
                <a:solidFill>
                  <a:schemeClr val="tx2"/>
                </a:solidFill>
              </a:ln>
            </c:spPr>
          </c:marker>
          <c:dLbls>
            <c:dLbl>
              <c:idx val="0"/>
              <c:layout>
                <c:manualLayout>
                  <c:x val="-1.2479474548440065E-2"/>
                  <c:y val="-4.4571701264614653E-3"/>
                </c:manualLayout>
              </c:layout>
              <c:dLblPos val="r"/>
              <c:showSerName val="1"/>
            </c:dLbl>
            <c:dLblPos val="t"/>
            <c:showSerName val="1"/>
          </c:dLbls>
          <c:xVal>
            <c:numRef>
              <c:f>'Motorization and Income'!$H$20</c:f>
              <c:numCache>
                <c:formatCode>_(* #,##0_);_(* \(#,##0\);_(* "-"??_);_(@_)</c:formatCode>
                <c:ptCount val="1"/>
                <c:pt idx="0">
                  <c:v>20515.388192265378</c:v>
                </c:pt>
              </c:numCache>
            </c:numRef>
          </c:xVal>
          <c:yVal>
            <c:numRef>
              <c:f>'Motorization and Income'!$K$19</c:f>
              <c:numCache>
                <c:formatCode>0</c:formatCode>
                <c:ptCount val="1"/>
                <c:pt idx="0">
                  <c:v>245</c:v>
                </c:pt>
              </c:numCache>
            </c:numRef>
          </c:yVal>
        </c:ser>
        <c:ser>
          <c:idx val="18"/>
          <c:order val="16"/>
          <c:tx>
            <c:strRef>
              <c:f>'Motorization and Income'!$A$21</c:f>
              <c:strCache>
                <c:ptCount val="1"/>
                <c:pt idx="0">
                  <c:v>Slovenia</c:v>
                </c:pt>
              </c:strCache>
            </c:strRef>
          </c:tx>
          <c:spPr>
            <a:ln w="28575">
              <a:noFill/>
            </a:ln>
          </c:spPr>
          <c:marker>
            <c:symbol val="diamond"/>
            <c:size val="7"/>
            <c:spPr>
              <a:solidFill>
                <a:srgbClr val="1F497D"/>
              </a:solidFill>
              <a:ln>
                <a:solidFill>
                  <a:schemeClr val="tx2"/>
                </a:solidFill>
              </a:ln>
            </c:spPr>
          </c:marker>
          <c:dLbls>
            <c:dLbl>
              <c:idx val="0"/>
              <c:layout>
                <c:manualLayout>
                  <c:x val="-8.1924444129168744E-2"/>
                  <c:y val="-3.8231780167264216E-2"/>
                </c:manualLayout>
              </c:layout>
              <c:showSerName val="1"/>
            </c:dLbl>
            <c:showSerName val="1"/>
          </c:dLbls>
          <c:xVal>
            <c:numRef>
              <c:f>'Motorization and Income'!$H$21</c:f>
              <c:numCache>
                <c:formatCode>_(* #,##0_);_(* \(#,##0\);_(* "-"??_);_(@_)</c:formatCode>
                <c:ptCount val="1"/>
                <c:pt idx="0">
                  <c:v>27196.844936606496</c:v>
                </c:pt>
              </c:numCache>
            </c:numRef>
          </c:xVal>
          <c:yVal>
            <c:numRef>
              <c:f>'Motorization and Income'!$K$21</c:f>
              <c:numCache>
                <c:formatCode>0</c:formatCode>
                <c:ptCount val="1"/>
                <c:pt idx="0">
                  <c:v>565</c:v>
                </c:pt>
              </c:numCache>
            </c:numRef>
          </c:yVal>
        </c:ser>
        <c:ser>
          <c:idx val="19"/>
          <c:order val="17"/>
          <c:tx>
            <c:strRef>
              <c:f>'Motorization and Income'!$A$22</c:f>
              <c:strCache>
                <c:ptCount val="1"/>
                <c:pt idx="0">
                  <c:v>Tajikistan*</c:v>
                </c:pt>
              </c:strCache>
            </c:strRef>
          </c:tx>
          <c:spPr>
            <a:ln w="28575">
              <a:noFill/>
            </a:ln>
          </c:spPr>
          <c:marker>
            <c:symbol val="diamond"/>
            <c:size val="7"/>
            <c:spPr>
              <a:solidFill>
                <a:srgbClr val="1F497D"/>
              </a:solidFill>
              <a:ln>
                <a:solidFill>
                  <a:schemeClr val="tx2"/>
                </a:solidFill>
              </a:ln>
            </c:spPr>
          </c:marker>
          <c:dLbls>
            <c:dLbl>
              <c:idx val="0"/>
              <c:layout>
                <c:manualLayout>
                  <c:x val="-1.3136288998357963E-2"/>
                  <c:y val="2.0202020202020152E-2"/>
                </c:manualLayout>
              </c:layout>
              <c:showSerName val="1"/>
            </c:dLbl>
            <c:showSerName val="1"/>
          </c:dLbls>
          <c:xVal>
            <c:numRef>
              <c:f>'Motorization and Income'!$H$22</c:f>
              <c:numCache>
                <c:formatCode>_(* #,##0_);_(* \(#,##0\);_(* "-"??_);_(@_)</c:formatCode>
                <c:ptCount val="1"/>
                <c:pt idx="0">
                  <c:v>1780.7358743937461</c:v>
                </c:pt>
              </c:numCache>
            </c:numRef>
          </c:xVal>
          <c:yVal>
            <c:numRef>
              <c:f>'Motorization and Income'!$K$22</c:f>
              <c:numCache>
                <c:formatCode>0</c:formatCode>
                <c:ptCount val="1"/>
                <c:pt idx="0">
                  <c:v>38</c:v>
                </c:pt>
              </c:numCache>
            </c:numRef>
          </c:yVal>
        </c:ser>
        <c:ser>
          <c:idx val="21"/>
          <c:order val="18"/>
          <c:tx>
            <c:strRef>
              <c:f>'Motorization and Income'!$A$24</c:f>
              <c:strCache>
                <c:ptCount val="1"/>
                <c:pt idx="0">
                  <c:v>Turkey</c:v>
                </c:pt>
              </c:strCache>
            </c:strRef>
          </c:tx>
          <c:spPr>
            <a:ln w="28575">
              <a:noFill/>
            </a:ln>
          </c:spPr>
          <c:marker>
            <c:symbol val="diamond"/>
            <c:size val="7"/>
            <c:spPr>
              <a:solidFill>
                <a:srgbClr val="1F497D"/>
              </a:solidFill>
              <a:ln>
                <a:solidFill>
                  <a:schemeClr val="tx2"/>
                </a:solidFill>
              </a:ln>
            </c:spPr>
          </c:marker>
          <c:dLbls>
            <c:dLbl>
              <c:idx val="0"/>
              <c:layout>
                <c:manualLayout>
                  <c:x val="-1.128042328042372E-2"/>
                  <c:y val="3.0372443114032232E-3"/>
                </c:manualLayout>
              </c:layout>
              <c:dLblPos val="r"/>
              <c:showSerName val="1"/>
            </c:dLbl>
            <c:dLblPos val="b"/>
            <c:showSerName val="1"/>
          </c:dLbls>
          <c:xVal>
            <c:numRef>
              <c:f>'Motorization and Income'!$H$24</c:f>
              <c:numCache>
                <c:formatCode>_(* #,##0_);_(* \(#,##0\);_(* "-"??_);_(@_)</c:formatCode>
                <c:ptCount val="1"/>
                <c:pt idx="0">
                  <c:v>12405.500608528244</c:v>
                </c:pt>
              </c:numCache>
            </c:numRef>
          </c:xVal>
          <c:yVal>
            <c:numRef>
              <c:f>'Motorization and Income'!$K$24</c:f>
              <c:numCache>
                <c:formatCode>0</c:formatCode>
                <c:ptCount val="1"/>
                <c:pt idx="0">
                  <c:v>184</c:v>
                </c:pt>
              </c:numCache>
            </c:numRef>
          </c:yVal>
        </c:ser>
        <c:ser>
          <c:idx val="22"/>
          <c:order val="19"/>
          <c:tx>
            <c:strRef>
              <c:f>'Motorization and Income'!$A$25</c:f>
              <c:strCache>
                <c:ptCount val="1"/>
                <c:pt idx="0">
                  <c:v>Ukraine</c:v>
                </c:pt>
              </c:strCache>
            </c:strRef>
          </c:tx>
          <c:spPr>
            <a:ln w="28575">
              <a:noFill/>
            </a:ln>
          </c:spPr>
          <c:marker>
            <c:symbol val="diamond"/>
            <c:size val="7"/>
            <c:spPr>
              <a:solidFill>
                <a:srgbClr val="1F497D"/>
              </a:solidFill>
              <a:ln>
                <a:solidFill>
                  <a:schemeClr val="tx2"/>
                </a:solidFill>
              </a:ln>
            </c:spPr>
          </c:marker>
          <c:dLbls>
            <c:dLbl>
              <c:idx val="0"/>
              <c:layout>
                <c:manualLayout>
                  <c:x val="-7.2126550218958474E-2"/>
                  <c:y val="-3.5181175269758051E-2"/>
                </c:manualLayout>
              </c:layout>
              <c:dLblPos val="r"/>
              <c:showSerName val="1"/>
            </c:dLbl>
            <c:dLblPos val="t"/>
            <c:showSerName val="1"/>
          </c:dLbls>
          <c:xVal>
            <c:numRef>
              <c:f>'Motorization and Income'!$H$25</c:f>
              <c:numCache>
                <c:formatCode>_(* #,##0_);_(* \(#,##0\);_(* "-"??_);_(@_)</c:formatCode>
                <c:ptCount val="1"/>
                <c:pt idx="0">
                  <c:v>6720.866230392975</c:v>
                </c:pt>
              </c:numCache>
            </c:numRef>
          </c:xVal>
          <c:yVal>
            <c:numRef>
              <c:f>'Motorization and Income'!$K$25</c:f>
              <c:numCache>
                <c:formatCode>0</c:formatCode>
                <c:ptCount val="1"/>
                <c:pt idx="0">
                  <c:v>152</c:v>
                </c:pt>
              </c:numCache>
            </c:numRef>
          </c:yVal>
        </c:ser>
        <c:dLbls>
          <c:showVal val="1"/>
        </c:dLbls>
        <c:axId val="211867904"/>
        <c:axId val="211874176"/>
      </c:scatterChart>
      <c:valAx>
        <c:axId val="211867904"/>
        <c:scaling>
          <c:orientation val="minMax"/>
        </c:scaling>
        <c:axPos val="b"/>
        <c:title>
          <c:tx>
            <c:rich>
              <a:bodyPr/>
              <a:lstStyle/>
              <a:p>
                <a:pPr>
                  <a:defRPr sz="900"/>
                </a:pPr>
                <a:r>
                  <a:rPr lang="en-US" sz="900"/>
                  <a:t>GDP per capita, PPP (constant 2000 international $)</a:t>
                </a:r>
              </a:p>
            </c:rich>
          </c:tx>
        </c:title>
        <c:numFmt formatCode="_(* #,##0_);_(* \(#,##0\);_(* &quot;-&quot;??_);_(@_)" sourceLinked="1"/>
        <c:tickLblPos val="nextTo"/>
        <c:crossAx val="211874176"/>
        <c:crosses val="autoZero"/>
        <c:crossBetween val="midCat"/>
      </c:valAx>
      <c:valAx>
        <c:axId val="211874176"/>
        <c:scaling>
          <c:orientation val="minMax"/>
        </c:scaling>
        <c:axPos val="l"/>
        <c:majorGridlines/>
        <c:title>
          <c:tx>
            <c:rich>
              <a:bodyPr rot="-5400000" vert="horz"/>
              <a:lstStyle/>
              <a:p>
                <a:pPr>
                  <a:defRPr sz="900"/>
                </a:pPr>
                <a:r>
                  <a:rPr lang="en-US" sz="900"/>
                  <a:t>Motor vehicles per 1000 people</a:t>
                </a:r>
              </a:p>
            </c:rich>
          </c:tx>
          <c:layout>
            <c:manualLayout>
              <c:xMode val="edge"/>
              <c:yMode val="edge"/>
              <c:x val="2.5641389420917476E-3"/>
              <c:y val="0.13702210300635498"/>
            </c:manualLayout>
          </c:layout>
        </c:title>
        <c:numFmt formatCode="0" sourceLinked="1"/>
        <c:tickLblPos val="nextTo"/>
        <c:crossAx val="211867904"/>
        <c:crosses val="autoZero"/>
        <c:crossBetween val="midCat"/>
      </c:valAx>
    </c:plotArea>
    <c:plotVisOnly val="1"/>
  </c:chart>
  <c:spPr>
    <a:ln>
      <a:noFill/>
    </a:ln>
  </c:spPr>
  <c:txPr>
    <a:bodyPr/>
    <a:lstStyle/>
    <a:p>
      <a:pPr>
        <a:defRPr sz="800"/>
      </a:pPr>
      <a:endParaRPr lang="en-U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style val="11"/>
  <c:chart>
    <c:plotArea>
      <c:layout>
        <c:manualLayout>
          <c:layoutTarget val="inner"/>
          <c:xMode val="edge"/>
          <c:yMode val="edge"/>
          <c:x val="7.8613634834108881E-2"/>
          <c:y val="0.10157647021368231"/>
          <c:w val="0.81282152230971971"/>
          <c:h val="0.7778379988675066"/>
        </c:manualLayout>
      </c:layout>
      <c:barChart>
        <c:barDir val="col"/>
        <c:grouping val="stacked"/>
        <c:ser>
          <c:idx val="0"/>
          <c:order val="0"/>
          <c:tx>
            <c:strRef>
              <c:f>Sheet3!$K$14</c:f>
              <c:strCache>
                <c:ptCount val="1"/>
                <c:pt idx="0">
                  <c:v>Transit</c:v>
                </c:pt>
              </c:strCache>
            </c:strRef>
          </c:tx>
          <c:spPr>
            <a:solidFill>
              <a:srgbClr val="4D7FBB"/>
            </a:solidFill>
          </c:spPr>
          <c:dLbls>
            <c:dLbl>
              <c:idx val="4"/>
              <c:tx>
                <c:rich>
                  <a:bodyPr/>
                  <a:lstStyle/>
                  <a:p>
                    <a:r>
                      <a:rPr lang="en-US" b="1"/>
                      <a:t>Transit</a:t>
                    </a:r>
                  </a:p>
                  <a:p>
                    <a:r>
                      <a:rPr lang="en-US"/>
                      <a:t>1.716</a:t>
                    </a:r>
                  </a:p>
                </c:rich>
              </c:tx>
              <c:showVal val="1"/>
              <c:showSerName val="1"/>
            </c:dLbl>
            <c:showVal val="1"/>
          </c:dLbls>
          <c:cat>
            <c:numRef>
              <c:f>Sheet3!$L$13:$P$13</c:f>
              <c:numCache>
                <c:formatCode>General</c:formatCode>
                <c:ptCount val="5"/>
                <c:pt idx="0">
                  <c:v>2006</c:v>
                </c:pt>
                <c:pt idx="1">
                  <c:v>2007</c:v>
                </c:pt>
                <c:pt idx="2">
                  <c:v>2008</c:v>
                </c:pt>
                <c:pt idx="3">
                  <c:v>2009</c:v>
                </c:pt>
                <c:pt idx="4">
                  <c:v>2010</c:v>
                </c:pt>
              </c:numCache>
            </c:numRef>
          </c:cat>
          <c:val>
            <c:numRef>
              <c:f>Sheet3!$L$14:$P$14</c:f>
              <c:numCache>
                <c:formatCode>General</c:formatCode>
                <c:ptCount val="5"/>
                <c:pt idx="0">
                  <c:v>0.81200000000000061</c:v>
                </c:pt>
                <c:pt idx="1">
                  <c:v>1.0660000000000001</c:v>
                </c:pt>
                <c:pt idx="2">
                  <c:v>1.3520000000000001</c:v>
                </c:pt>
                <c:pt idx="3">
                  <c:v>1.4709999999999837</c:v>
                </c:pt>
                <c:pt idx="4">
                  <c:v>1.716</c:v>
                </c:pt>
              </c:numCache>
            </c:numRef>
          </c:val>
        </c:ser>
        <c:ser>
          <c:idx val="1"/>
          <c:order val="1"/>
          <c:tx>
            <c:strRef>
              <c:f>Sheet3!$K$15</c:f>
              <c:strCache>
                <c:ptCount val="1"/>
                <c:pt idx="0">
                  <c:v>Import</c:v>
                </c:pt>
              </c:strCache>
            </c:strRef>
          </c:tx>
          <c:spPr>
            <a:solidFill>
              <a:srgbClr val="85A7D1"/>
            </a:solidFill>
          </c:spPr>
          <c:dLbls>
            <c:dLbl>
              <c:idx val="4"/>
              <c:tx>
                <c:rich>
                  <a:bodyPr/>
                  <a:lstStyle/>
                  <a:p>
                    <a:r>
                      <a:rPr lang="en-US" b="1"/>
                      <a:t>Import</a:t>
                    </a:r>
                  </a:p>
                  <a:p>
                    <a:r>
                      <a:rPr lang="en-US"/>
                      <a:t>1.325</a:t>
                    </a:r>
                  </a:p>
                </c:rich>
              </c:tx>
              <c:showVal val="1"/>
              <c:showSerName val="1"/>
            </c:dLbl>
            <c:showVal val="1"/>
          </c:dLbls>
          <c:cat>
            <c:numRef>
              <c:f>Sheet3!$L$13:$P$13</c:f>
              <c:numCache>
                <c:formatCode>General</c:formatCode>
                <c:ptCount val="5"/>
                <c:pt idx="0">
                  <c:v>2006</c:v>
                </c:pt>
                <c:pt idx="1">
                  <c:v>2007</c:v>
                </c:pt>
                <c:pt idx="2">
                  <c:v>2008</c:v>
                </c:pt>
                <c:pt idx="3">
                  <c:v>2009</c:v>
                </c:pt>
                <c:pt idx="4">
                  <c:v>2010</c:v>
                </c:pt>
              </c:numCache>
            </c:numRef>
          </c:cat>
          <c:val>
            <c:numRef>
              <c:f>Sheet3!$L$15:$P$15</c:f>
              <c:numCache>
                <c:formatCode>General</c:formatCode>
                <c:ptCount val="5"/>
                <c:pt idx="0">
                  <c:v>0.89</c:v>
                </c:pt>
                <c:pt idx="1">
                  <c:v>1.099</c:v>
                </c:pt>
                <c:pt idx="2">
                  <c:v>1.1930000000000001</c:v>
                </c:pt>
                <c:pt idx="3">
                  <c:v>1.169</c:v>
                </c:pt>
                <c:pt idx="4">
                  <c:v>1.325</c:v>
                </c:pt>
              </c:numCache>
            </c:numRef>
          </c:val>
        </c:ser>
        <c:ser>
          <c:idx val="2"/>
          <c:order val="2"/>
          <c:tx>
            <c:strRef>
              <c:f>Sheet3!$K$16</c:f>
              <c:strCache>
                <c:ptCount val="1"/>
                <c:pt idx="0">
                  <c:v>Export</c:v>
                </c:pt>
              </c:strCache>
            </c:strRef>
          </c:tx>
          <c:spPr>
            <a:solidFill>
              <a:srgbClr val="B6CBE4"/>
            </a:solidFill>
          </c:spPr>
          <c:dLbls>
            <c:dLbl>
              <c:idx val="4"/>
              <c:layout>
                <c:manualLayout>
                  <c:x val="3.1821797931583292E-3"/>
                  <c:y val="4.8130968994392872E-3"/>
                </c:manualLayout>
              </c:layout>
              <c:tx>
                <c:rich>
                  <a:bodyPr/>
                  <a:lstStyle/>
                  <a:p>
                    <a:r>
                      <a:rPr lang="en-US" b="1"/>
                      <a:t>Export </a:t>
                    </a:r>
                    <a:r>
                      <a:rPr lang="en-US"/>
                      <a:t>0.133</a:t>
                    </a:r>
                  </a:p>
                </c:rich>
              </c:tx>
              <c:showVal val="1"/>
              <c:showSerName val="1"/>
            </c:dLbl>
            <c:showVal val="1"/>
          </c:dLbls>
          <c:cat>
            <c:numRef>
              <c:f>Sheet3!$L$13:$P$13</c:f>
              <c:numCache>
                <c:formatCode>General</c:formatCode>
                <c:ptCount val="5"/>
                <c:pt idx="0">
                  <c:v>2006</c:v>
                </c:pt>
                <c:pt idx="1">
                  <c:v>2007</c:v>
                </c:pt>
                <c:pt idx="2">
                  <c:v>2008</c:v>
                </c:pt>
                <c:pt idx="3">
                  <c:v>2009</c:v>
                </c:pt>
                <c:pt idx="4">
                  <c:v>2010</c:v>
                </c:pt>
              </c:numCache>
            </c:numRef>
          </c:cat>
          <c:val>
            <c:numRef>
              <c:f>Sheet3!$L$16:$P$16</c:f>
              <c:numCache>
                <c:formatCode>General</c:formatCode>
                <c:ptCount val="5"/>
                <c:pt idx="0">
                  <c:v>0.24700000000000041</c:v>
                </c:pt>
                <c:pt idx="1">
                  <c:v>0.23500000000000001</c:v>
                </c:pt>
                <c:pt idx="2">
                  <c:v>0.17700000000000021</c:v>
                </c:pt>
                <c:pt idx="3">
                  <c:v>0.23400000000000001</c:v>
                </c:pt>
                <c:pt idx="4">
                  <c:v>0.13300000000000001</c:v>
                </c:pt>
              </c:numCache>
            </c:numRef>
          </c:val>
        </c:ser>
        <c:overlap val="100"/>
        <c:axId val="211993344"/>
        <c:axId val="211994880"/>
      </c:barChart>
      <c:lineChart>
        <c:grouping val="standard"/>
        <c:ser>
          <c:idx val="3"/>
          <c:order val="3"/>
          <c:tx>
            <c:strRef>
              <c:f>Sheet3!$K$17</c:f>
              <c:strCache>
                <c:ptCount val="1"/>
                <c:pt idx="0">
                  <c:v>% of Transit</c:v>
                </c:pt>
              </c:strCache>
            </c:strRef>
          </c:tx>
          <c:spPr>
            <a:ln w="31750">
              <a:solidFill>
                <a:schemeClr val="accent2"/>
              </a:solidFill>
            </a:ln>
          </c:spPr>
          <c:marker>
            <c:symbol val="circle"/>
            <c:size val="5"/>
            <c:spPr>
              <a:solidFill>
                <a:schemeClr val="accent2"/>
              </a:solidFill>
              <a:ln>
                <a:solidFill>
                  <a:schemeClr val="accent2"/>
                </a:solidFill>
              </a:ln>
            </c:spPr>
          </c:marker>
          <c:dLbls>
            <c:dLbl>
              <c:idx val="0"/>
              <c:layout>
                <c:manualLayout>
                  <c:x val="-5.1376418043209991E-2"/>
                  <c:y val="-3.6563793081083894E-2"/>
                </c:manualLayout>
              </c:layout>
              <c:dLblPos val="r"/>
              <c:showVal val="1"/>
            </c:dLbl>
            <c:dLbl>
              <c:idx val="1"/>
              <c:layout>
                <c:manualLayout>
                  <c:x val="-5.4558597836369134E-2"/>
                  <c:y val="-3.6563793081083894E-2"/>
                </c:manualLayout>
              </c:layout>
              <c:dLblPos val="r"/>
              <c:showVal val="1"/>
            </c:dLbl>
            <c:dLbl>
              <c:idx val="2"/>
              <c:layout>
                <c:manualLayout>
                  <c:x val="-5.4558597836369134E-2"/>
                  <c:y val="-3.1415790019846242E-2"/>
                </c:manualLayout>
              </c:layout>
              <c:dLblPos val="r"/>
              <c:showVal val="1"/>
            </c:dLbl>
            <c:dLbl>
              <c:idx val="3"/>
              <c:layout>
                <c:manualLayout>
                  <c:x val="-5.4558597836369134E-2"/>
                  <c:y val="-3.6563793081083956E-2"/>
                </c:manualLayout>
              </c:layout>
              <c:dLblPos val="r"/>
              <c:showVal val="1"/>
            </c:dLbl>
            <c:dLbl>
              <c:idx val="4"/>
              <c:layout>
                <c:manualLayout>
                  <c:x val="-5.4558597836369134E-2"/>
                  <c:y val="-5.6152039132422123E-2"/>
                </c:manualLayout>
              </c:layout>
              <c:dLblPos val="r"/>
              <c:showVal val="1"/>
            </c:dLbl>
            <c:txPr>
              <a:bodyPr/>
              <a:lstStyle/>
              <a:p>
                <a:pPr>
                  <a:defRPr b="1">
                    <a:solidFill>
                      <a:schemeClr val="accent2">
                        <a:lumMod val="75000"/>
                      </a:schemeClr>
                    </a:solidFill>
                  </a:defRPr>
                </a:pPr>
                <a:endParaRPr lang="en-US"/>
              </a:p>
            </c:txPr>
            <c:dLblPos val="t"/>
            <c:showVal val="1"/>
          </c:dLbls>
          <c:cat>
            <c:numRef>
              <c:f>Sheet3!$L$13:$P$13</c:f>
              <c:numCache>
                <c:formatCode>General</c:formatCode>
                <c:ptCount val="5"/>
                <c:pt idx="0">
                  <c:v>2006</c:v>
                </c:pt>
                <c:pt idx="1">
                  <c:v>2007</c:v>
                </c:pt>
                <c:pt idx="2">
                  <c:v>2008</c:v>
                </c:pt>
                <c:pt idx="3">
                  <c:v>2009</c:v>
                </c:pt>
                <c:pt idx="4">
                  <c:v>2010</c:v>
                </c:pt>
              </c:numCache>
            </c:numRef>
          </c:cat>
          <c:val>
            <c:numRef>
              <c:f>Sheet3!$L$17:$P$17</c:f>
              <c:numCache>
                <c:formatCode>0%</c:formatCode>
                <c:ptCount val="5"/>
                <c:pt idx="0">
                  <c:v>0.41662390969728491</c:v>
                </c:pt>
                <c:pt idx="1">
                  <c:v>0.44416666666666682</c:v>
                </c:pt>
                <c:pt idx="2">
                  <c:v>0.49669360764144038</c:v>
                </c:pt>
                <c:pt idx="3">
                  <c:v>0.51183020180932459</c:v>
                </c:pt>
                <c:pt idx="4">
                  <c:v>0.54064272211720232</c:v>
                </c:pt>
              </c:numCache>
            </c:numRef>
          </c:val>
        </c:ser>
        <c:marker val="1"/>
        <c:axId val="212014592"/>
        <c:axId val="212013056"/>
      </c:lineChart>
      <c:catAx>
        <c:axId val="211993344"/>
        <c:scaling>
          <c:orientation val="minMax"/>
        </c:scaling>
        <c:axPos val="b"/>
        <c:numFmt formatCode="General" sourceLinked="1"/>
        <c:tickLblPos val="nextTo"/>
        <c:crossAx val="211994880"/>
        <c:crosses val="autoZero"/>
        <c:auto val="1"/>
        <c:lblAlgn val="ctr"/>
        <c:lblOffset val="100"/>
      </c:catAx>
      <c:valAx>
        <c:axId val="211994880"/>
        <c:scaling>
          <c:orientation val="minMax"/>
          <c:max val="4"/>
          <c:min val="0"/>
        </c:scaling>
        <c:axPos val="l"/>
        <c:majorGridlines/>
        <c:numFmt formatCode="#,##0" sourceLinked="0"/>
        <c:tickLblPos val="nextTo"/>
        <c:crossAx val="211993344"/>
        <c:crosses val="autoZero"/>
        <c:crossBetween val="between"/>
        <c:majorUnit val="1"/>
      </c:valAx>
      <c:valAx>
        <c:axId val="212013056"/>
        <c:scaling>
          <c:orientation val="minMax"/>
        </c:scaling>
        <c:axPos val="r"/>
        <c:numFmt formatCode="0%" sourceLinked="1"/>
        <c:tickLblPos val="nextTo"/>
        <c:crossAx val="212014592"/>
        <c:crosses val="max"/>
        <c:crossBetween val="between"/>
      </c:valAx>
      <c:catAx>
        <c:axId val="212014592"/>
        <c:scaling>
          <c:orientation val="minMax"/>
        </c:scaling>
        <c:delete val="1"/>
        <c:axPos val="b"/>
        <c:numFmt formatCode="General" sourceLinked="1"/>
        <c:tickLblPos val="none"/>
        <c:crossAx val="212013056"/>
        <c:crosses val="autoZero"/>
        <c:auto val="1"/>
        <c:lblAlgn val="ctr"/>
        <c:lblOffset val="100"/>
      </c:catAx>
    </c:plotArea>
    <c:plotVisOnly val="1"/>
    <c:dispBlanksAs val="gap"/>
  </c:chart>
  <c:spPr>
    <a:ln>
      <a:noFill/>
    </a:ln>
  </c:spPr>
  <c:txPr>
    <a:bodyPr/>
    <a:lstStyle/>
    <a:p>
      <a:pPr>
        <a:defRPr sz="900"/>
      </a:pPr>
      <a:endParaRPr lang="en-US"/>
    </a:p>
  </c:txPr>
  <c:externalData r:id="rId1"/>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style val="15"/>
  <c:chart>
    <c:plotArea>
      <c:layout>
        <c:manualLayout>
          <c:layoutTarget val="inner"/>
          <c:xMode val="edge"/>
          <c:yMode val="edge"/>
          <c:x val="9.5979558175868118E-2"/>
          <c:y val="9.9378407957307915E-2"/>
          <c:w val="0.82468818287682888"/>
          <c:h val="0.72892892078527083"/>
        </c:manualLayout>
      </c:layout>
      <c:barChart>
        <c:barDir val="col"/>
        <c:grouping val="stacked"/>
        <c:ser>
          <c:idx val="0"/>
          <c:order val="0"/>
          <c:tx>
            <c:strRef>
              <c:f>'Freight transport modal share'!$L$3</c:f>
              <c:strCache>
                <c:ptCount val="1"/>
                <c:pt idx="0">
                  <c:v>Transit</c:v>
                </c:pt>
              </c:strCache>
            </c:strRef>
          </c:tx>
          <c:spPr>
            <a:solidFill>
              <a:schemeClr val="accent5">
                <a:lumMod val="75000"/>
              </a:schemeClr>
            </a:solidFill>
          </c:spPr>
          <c:dPt>
            <c:idx val="0"/>
            <c:spPr>
              <a:solidFill>
                <a:srgbClr val="2C778C"/>
              </a:solidFill>
            </c:spPr>
          </c:dPt>
          <c:dPt>
            <c:idx val="1"/>
            <c:spPr>
              <a:solidFill>
                <a:schemeClr val="tx1">
                  <a:lumMod val="85000"/>
                  <a:lumOff val="15000"/>
                </a:schemeClr>
              </a:solidFill>
            </c:spPr>
          </c:dPt>
          <c:dPt>
            <c:idx val="2"/>
            <c:spPr>
              <a:solidFill>
                <a:srgbClr val="2C778C"/>
              </a:solidFill>
            </c:spPr>
          </c:dPt>
          <c:dPt>
            <c:idx val="3"/>
            <c:spPr>
              <a:solidFill>
                <a:schemeClr val="tx1">
                  <a:lumMod val="85000"/>
                  <a:lumOff val="15000"/>
                </a:schemeClr>
              </a:solidFill>
            </c:spPr>
          </c:dPt>
          <c:dPt>
            <c:idx val="4"/>
            <c:spPr>
              <a:solidFill>
                <a:srgbClr val="2C778C"/>
              </a:solidFill>
            </c:spPr>
          </c:dPt>
          <c:dPt>
            <c:idx val="5"/>
            <c:spPr>
              <a:solidFill>
                <a:schemeClr val="tx1">
                  <a:lumMod val="85000"/>
                  <a:lumOff val="15000"/>
                </a:schemeClr>
              </a:solidFill>
            </c:spPr>
          </c:dPt>
          <c:dPt>
            <c:idx val="6"/>
            <c:spPr>
              <a:solidFill>
                <a:srgbClr val="2C778C"/>
              </a:solidFill>
            </c:spPr>
          </c:dPt>
          <c:dPt>
            <c:idx val="7"/>
            <c:spPr>
              <a:solidFill>
                <a:schemeClr val="tx1">
                  <a:lumMod val="85000"/>
                  <a:lumOff val="15000"/>
                </a:schemeClr>
              </a:solidFill>
            </c:spPr>
          </c:dPt>
          <c:dPt>
            <c:idx val="8"/>
            <c:spPr>
              <a:solidFill>
                <a:srgbClr val="2C778C"/>
              </a:solidFill>
            </c:spPr>
          </c:dPt>
          <c:dPt>
            <c:idx val="9"/>
            <c:spPr>
              <a:solidFill>
                <a:schemeClr val="tx1">
                  <a:lumMod val="85000"/>
                  <a:lumOff val="15000"/>
                </a:schemeClr>
              </a:solidFill>
            </c:spPr>
          </c:dPt>
          <c:dLbls>
            <c:dLbl>
              <c:idx val="0"/>
              <c:layout>
                <c:manualLayout>
                  <c:x val="0.15789473684210859"/>
                  <c:y val="-4.8979591836734733E-2"/>
                </c:manualLayout>
              </c:layout>
              <c:showSerName val="1"/>
            </c:dLbl>
            <c:delete val="1"/>
          </c:dLbls>
          <c:cat>
            <c:multiLvlStrRef>
              <c:f>'Freight transport modal share'!$M$1:$V$2</c:f>
              <c:multiLvlStrCache>
                <c:ptCount val="10"/>
                <c:lvl>
                  <c:pt idx="0">
                    <c:v>Rail</c:v>
                  </c:pt>
                  <c:pt idx="1">
                    <c:v>Road</c:v>
                  </c:pt>
                  <c:pt idx="2">
                    <c:v>Rail</c:v>
                  </c:pt>
                  <c:pt idx="3">
                    <c:v>Road</c:v>
                  </c:pt>
                  <c:pt idx="4">
                    <c:v>Rail</c:v>
                  </c:pt>
                  <c:pt idx="5">
                    <c:v>Road</c:v>
                  </c:pt>
                  <c:pt idx="6">
                    <c:v>Rail</c:v>
                  </c:pt>
                  <c:pt idx="7">
                    <c:v>Road</c:v>
                  </c:pt>
                  <c:pt idx="8">
                    <c:v>Rail</c:v>
                  </c:pt>
                  <c:pt idx="9">
                    <c:v>Road</c:v>
                  </c:pt>
                </c:lvl>
                <c:lvl>
                  <c:pt idx="0">
                    <c:v>2006</c:v>
                  </c:pt>
                  <c:pt idx="2">
                    <c:v>2007</c:v>
                  </c:pt>
                  <c:pt idx="4">
                    <c:v>2008</c:v>
                  </c:pt>
                  <c:pt idx="6">
                    <c:v>2009</c:v>
                  </c:pt>
                  <c:pt idx="8">
                    <c:v>2010</c:v>
                  </c:pt>
                </c:lvl>
              </c:multiLvlStrCache>
            </c:multiLvlStrRef>
          </c:cat>
          <c:val>
            <c:numRef>
              <c:f>'Freight transport modal share'!$M$3:$V$3</c:f>
              <c:numCache>
                <c:formatCode>0.0</c:formatCode>
                <c:ptCount val="10"/>
                <c:pt idx="0">
                  <c:v>3.5</c:v>
                </c:pt>
                <c:pt idx="1">
                  <c:v>0.81170000000000064</c:v>
                </c:pt>
                <c:pt idx="2">
                  <c:v>3.8</c:v>
                </c:pt>
                <c:pt idx="3">
                  <c:v>1.0658999999999836</c:v>
                </c:pt>
                <c:pt idx="4">
                  <c:v>4.7</c:v>
                </c:pt>
                <c:pt idx="5">
                  <c:v>1.3523000000000001</c:v>
                </c:pt>
                <c:pt idx="6">
                  <c:v>2.7</c:v>
                </c:pt>
                <c:pt idx="7">
                  <c:v>1.4711999999999836</c:v>
                </c:pt>
                <c:pt idx="8">
                  <c:v>3</c:v>
                </c:pt>
                <c:pt idx="9">
                  <c:v>1.7164999999999855</c:v>
                </c:pt>
              </c:numCache>
            </c:numRef>
          </c:val>
        </c:ser>
        <c:ser>
          <c:idx val="1"/>
          <c:order val="1"/>
          <c:tx>
            <c:strRef>
              <c:f>'Freight transport modal share'!$L$4</c:f>
              <c:strCache>
                <c:ptCount val="1"/>
                <c:pt idx="0">
                  <c:v>Import</c:v>
                </c:pt>
              </c:strCache>
            </c:strRef>
          </c:tx>
          <c:spPr>
            <a:solidFill>
              <a:schemeClr val="accent5"/>
            </a:solidFill>
          </c:spPr>
          <c:dPt>
            <c:idx val="1"/>
            <c:spPr>
              <a:solidFill>
                <a:schemeClr val="tx1">
                  <a:lumMod val="65000"/>
                  <a:lumOff val="35000"/>
                </a:schemeClr>
              </a:solidFill>
            </c:spPr>
          </c:dPt>
          <c:dPt>
            <c:idx val="3"/>
            <c:spPr>
              <a:solidFill>
                <a:schemeClr val="tx1">
                  <a:lumMod val="65000"/>
                  <a:lumOff val="35000"/>
                </a:schemeClr>
              </a:solidFill>
            </c:spPr>
          </c:dPt>
          <c:dPt>
            <c:idx val="5"/>
            <c:spPr>
              <a:solidFill>
                <a:schemeClr val="tx1">
                  <a:lumMod val="65000"/>
                  <a:lumOff val="35000"/>
                </a:schemeClr>
              </a:solidFill>
            </c:spPr>
          </c:dPt>
          <c:dPt>
            <c:idx val="7"/>
            <c:spPr>
              <a:solidFill>
                <a:schemeClr val="tx1">
                  <a:lumMod val="65000"/>
                  <a:lumOff val="35000"/>
                </a:schemeClr>
              </a:solidFill>
            </c:spPr>
          </c:dPt>
          <c:dPt>
            <c:idx val="9"/>
            <c:spPr>
              <a:solidFill>
                <a:schemeClr val="tx1">
                  <a:lumMod val="65000"/>
                  <a:lumOff val="35000"/>
                </a:schemeClr>
              </a:solidFill>
            </c:spPr>
          </c:dPt>
          <c:dLbls>
            <c:dLbl>
              <c:idx val="0"/>
              <c:layout>
                <c:manualLayout>
                  <c:x val="0.15789473684210859"/>
                  <c:y val="-3.2653061224489806E-2"/>
                </c:manualLayout>
              </c:layout>
              <c:showSerName val="1"/>
            </c:dLbl>
            <c:delete val="1"/>
          </c:dLbls>
          <c:cat>
            <c:multiLvlStrRef>
              <c:f>'Freight transport modal share'!$M$1:$V$2</c:f>
              <c:multiLvlStrCache>
                <c:ptCount val="10"/>
                <c:lvl>
                  <c:pt idx="0">
                    <c:v>Rail</c:v>
                  </c:pt>
                  <c:pt idx="1">
                    <c:v>Road</c:v>
                  </c:pt>
                  <c:pt idx="2">
                    <c:v>Rail</c:v>
                  </c:pt>
                  <c:pt idx="3">
                    <c:v>Road</c:v>
                  </c:pt>
                  <c:pt idx="4">
                    <c:v>Rail</c:v>
                  </c:pt>
                  <c:pt idx="5">
                    <c:v>Road</c:v>
                  </c:pt>
                  <c:pt idx="6">
                    <c:v>Rail</c:v>
                  </c:pt>
                  <c:pt idx="7">
                    <c:v>Road</c:v>
                  </c:pt>
                  <c:pt idx="8">
                    <c:v>Rail</c:v>
                  </c:pt>
                  <c:pt idx="9">
                    <c:v>Road</c:v>
                  </c:pt>
                </c:lvl>
                <c:lvl>
                  <c:pt idx="0">
                    <c:v>2006</c:v>
                  </c:pt>
                  <c:pt idx="2">
                    <c:v>2007</c:v>
                  </c:pt>
                  <c:pt idx="4">
                    <c:v>2008</c:v>
                  </c:pt>
                  <c:pt idx="6">
                    <c:v>2009</c:v>
                  </c:pt>
                  <c:pt idx="8">
                    <c:v>2010</c:v>
                  </c:pt>
                </c:lvl>
              </c:multiLvlStrCache>
            </c:multiLvlStrRef>
          </c:cat>
          <c:val>
            <c:numRef>
              <c:f>'Freight transport modal share'!$M$4:$V$4</c:f>
              <c:numCache>
                <c:formatCode>0.0</c:formatCode>
                <c:ptCount val="10"/>
                <c:pt idx="0">
                  <c:v>2</c:v>
                </c:pt>
                <c:pt idx="1">
                  <c:v>0.89039999999999997</c:v>
                </c:pt>
                <c:pt idx="2">
                  <c:v>2.7</c:v>
                </c:pt>
                <c:pt idx="3">
                  <c:v>1.0987</c:v>
                </c:pt>
                <c:pt idx="4">
                  <c:v>2.6</c:v>
                </c:pt>
                <c:pt idx="5">
                  <c:v>1.1931</c:v>
                </c:pt>
                <c:pt idx="6">
                  <c:v>1.7</c:v>
                </c:pt>
                <c:pt idx="7">
                  <c:v>1.1694</c:v>
                </c:pt>
                <c:pt idx="8">
                  <c:v>2.1</c:v>
                </c:pt>
                <c:pt idx="9">
                  <c:v>1.3247</c:v>
                </c:pt>
              </c:numCache>
            </c:numRef>
          </c:val>
        </c:ser>
        <c:ser>
          <c:idx val="2"/>
          <c:order val="2"/>
          <c:tx>
            <c:strRef>
              <c:f>'Freight transport modal share'!$L$5</c:f>
              <c:strCache>
                <c:ptCount val="1"/>
                <c:pt idx="0">
                  <c:v>Export</c:v>
                </c:pt>
              </c:strCache>
            </c:strRef>
          </c:tx>
          <c:spPr>
            <a:solidFill>
              <a:schemeClr val="accent5">
                <a:lumMod val="40000"/>
                <a:lumOff val="60000"/>
              </a:schemeClr>
            </a:solidFill>
          </c:spPr>
          <c:dPt>
            <c:idx val="1"/>
            <c:spPr>
              <a:solidFill>
                <a:schemeClr val="bg1">
                  <a:lumMod val="65000"/>
                </a:schemeClr>
              </a:solidFill>
            </c:spPr>
          </c:dPt>
          <c:dPt>
            <c:idx val="3"/>
            <c:spPr>
              <a:solidFill>
                <a:schemeClr val="bg1">
                  <a:lumMod val="65000"/>
                </a:schemeClr>
              </a:solidFill>
            </c:spPr>
          </c:dPt>
          <c:dPt>
            <c:idx val="5"/>
            <c:spPr>
              <a:solidFill>
                <a:schemeClr val="bg1">
                  <a:lumMod val="65000"/>
                </a:schemeClr>
              </a:solidFill>
            </c:spPr>
          </c:dPt>
          <c:dPt>
            <c:idx val="7"/>
            <c:spPr>
              <a:solidFill>
                <a:schemeClr val="bg1">
                  <a:lumMod val="65000"/>
                </a:schemeClr>
              </a:solidFill>
            </c:spPr>
          </c:dPt>
          <c:dPt>
            <c:idx val="9"/>
            <c:spPr>
              <a:solidFill>
                <a:schemeClr val="bg1">
                  <a:lumMod val="65000"/>
                </a:schemeClr>
              </a:solidFill>
            </c:spPr>
          </c:dPt>
          <c:dLbls>
            <c:dLbl>
              <c:idx val="0"/>
              <c:layout>
                <c:manualLayout>
                  <c:x val="0.15789473684210859"/>
                  <c:y val="-6.5306122448979598E-2"/>
                </c:manualLayout>
              </c:layout>
              <c:showSerName val="1"/>
            </c:dLbl>
            <c:delete val="1"/>
          </c:dLbls>
          <c:cat>
            <c:multiLvlStrRef>
              <c:f>'Freight transport modal share'!$M$1:$V$2</c:f>
              <c:multiLvlStrCache>
                <c:ptCount val="10"/>
                <c:lvl>
                  <c:pt idx="0">
                    <c:v>Rail</c:v>
                  </c:pt>
                  <c:pt idx="1">
                    <c:v>Road</c:v>
                  </c:pt>
                  <c:pt idx="2">
                    <c:v>Rail</c:v>
                  </c:pt>
                  <c:pt idx="3">
                    <c:v>Road</c:v>
                  </c:pt>
                  <c:pt idx="4">
                    <c:v>Rail</c:v>
                  </c:pt>
                  <c:pt idx="5">
                    <c:v>Road</c:v>
                  </c:pt>
                  <c:pt idx="6">
                    <c:v>Rail</c:v>
                  </c:pt>
                  <c:pt idx="7">
                    <c:v>Road</c:v>
                  </c:pt>
                  <c:pt idx="8">
                    <c:v>Rail</c:v>
                  </c:pt>
                  <c:pt idx="9">
                    <c:v>Road</c:v>
                  </c:pt>
                </c:lvl>
                <c:lvl>
                  <c:pt idx="0">
                    <c:v>2006</c:v>
                  </c:pt>
                  <c:pt idx="2">
                    <c:v>2007</c:v>
                  </c:pt>
                  <c:pt idx="4">
                    <c:v>2008</c:v>
                  </c:pt>
                  <c:pt idx="6">
                    <c:v>2009</c:v>
                  </c:pt>
                  <c:pt idx="8">
                    <c:v>2010</c:v>
                  </c:pt>
                </c:lvl>
              </c:multiLvlStrCache>
            </c:multiLvlStrRef>
          </c:cat>
          <c:val>
            <c:numRef>
              <c:f>'Freight transport modal share'!$M$5:$V$5</c:f>
              <c:numCache>
                <c:formatCode>0.0</c:formatCode>
                <c:ptCount val="10"/>
                <c:pt idx="0">
                  <c:v>1.2</c:v>
                </c:pt>
                <c:pt idx="1">
                  <c:v>0.24680000000000021</c:v>
                </c:pt>
                <c:pt idx="2">
                  <c:v>1.3</c:v>
                </c:pt>
                <c:pt idx="3">
                  <c:v>0.23519999999999999</c:v>
                </c:pt>
                <c:pt idx="4">
                  <c:v>1.4</c:v>
                </c:pt>
                <c:pt idx="5">
                  <c:v>0.17690000000000144</c:v>
                </c:pt>
                <c:pt idx="6">
                  <c:v>1.4</c:v>
                </c:pt>
                <c:pt idx="7">
                  <c:v>0.23400000000000001</c:v>
                </c:pt>
                <c:pt idx="8">
                  <c:v>1.4</c:v>
                </c:pt>
                <c:pt idx="9">
                  <c:v>0.13339999999999999</c:v>
                </c:pt>
              </c:numCache>
            </c:numRef>
          </c:val>
        </c:ser>
        <c:gapWidth val="100"/>
        <c:overlap val="100"/>
        <c:axId val="212181760"/>
        <c:axId val="212183296"/>
      </c:barChart>
      <c:lineChart>
        <c:grouping val="standard"/>
        <c:ser>
          <c:idx val="3"/>
          <c:order val="3"/>
          <c:tx>
            <c:strRef>
              <c:f>'Freight transport modal share'!$L$6</c:f>
              <c:strCache>
                <c:ptCount val="1"/>
                <c:pt idx="0">
                  <c:v>Share of Transit Cargo by Railway</c:v>
                </c:pt>
              </c:strCache>
            </c:strRef>
          </c:tx>
          <c:spPr>
            <a:ln w="25400">
              <a:solidFill>
                <a:srgbClr val="F79646">
                  <a:lumMod val="75000"/>
                </a:srgbClr>
              </a:solidFill>
            </a:ln>
          </c:spPr>
          <c:marker>
            <c:symbol val="circle"/>
            <c:size val="5"/>
            <c:spPr>
              <a:solidFill>
                <a:schemeClr val="accent6">
                  <a:lumMod val="75000"/>
                </a:schemeClr>
              </a:solidFill>
              <a:ln>
                <a:solidFill>
                  <a:srgbClr val="F79646">
                    <a:lumMod val="75000"/>
                  </a:srgbClr>
                </a:solidFill>
              </a:ln>
            </c:spPr>
          </c:marker>
          <c:dPt>
            <c:idx val="1"/>
            <c:marker>
              <c:symbol val="none"/>
            </c:marker>
          </c:dPt>
          <c:dPt>
            <c:idx val="3"/>
            <c:marker>
              <c:symbol val="none"/>
            </c:marker>
          </c:dPt>
          <c:dPt>
            <c:idx val="5"/>
            <c:marker>
              <c:symbol val="none"/>
            </c:marker>
          </c:dPt>
          <c:dPt>
            <c:idx val="7"/>
            <c:marker>
              <c:symbol val="none"/>
            </c:marker>
          </c:dPt>
          <c:dLbls>
            <c:dLbl>
              <c:idx val="0"/>
              <c:layout>
                <c:manualLayout>
                  <c:x val="-4.4735905668797087E-2"/>
                  <c:y val="-3.6337392510289501E-2"/>
                </c:manualLayout>
              </c:layout>
              <c:dLblPos val="r"/>
              <c:showVal val="1"/>
            </c:dLbl>
            <c:dLbl>
              <c:idx val="1"/>
              <c:delete val="1"/>
            </c:dLbl>
            <c:dLbl>
              <c:idx val="2"/>
              <c:layout>
                <c:manualLayout>
                  <c:x val="-4.4735905668797087E-2"/>
                  <c:y val="-4.032940722353491E-2"/>
                </c:manualLayout>
              </c:layout>
              <c:dLblPos val="r"/>
              <c:showVal val="1"/>
            </c:dLbl>
            <c:dLbl>
              <c:idx val="3"/>
              <c:delete val="1"/>
            </c:dLbl>
            <c:dLbl>
              <c:idx val="4"/>
              <c:layout>
                <c:manualLayout>
                  <c:x val="-4.4735905668797087E-2"/>
                  <c:y val="-4.4321421936782318E-2"/>
                </c:manualLayout>
              </c:layout>
              <c:dLblPos val="r"/>
              <c:showVal val="1"/>
            </c:dLbl>
            <c:dLbl>
              <c:idx val="5"/>
              <c:delete val="1"/>
            </c:dLbl>
            <c:dLbl>
              <c:idx val="6"/>
              <c:layout>
                <c:manualLayout>
                  <c:x val="-4.4735905668797087E-2"/>
                  <c:y val="-3.6337392510289501E-2"/>
                </c:manualLayout>
              </c:layout>
              <c:dLblPos val="r"/>
              <c:showVal val="1"/>
            </c:dLbl>
            <c:dLbl>
              <c:idx val="7"/>
              <c:delete val="1"/>
            </c:dLbl>
            <c:dLbl>
              <c:idx val="8"/>
              <c:layout>
                <c:manualLayout>
                  <c:x val="-4.4735905668797087E-2"/>
                  <c:y val="-3.6337392510289501E-2"/>
                </c:manualLayout>
              </c:layout>
              <c:dLblPos val="r"/>
              <c:showVal val="1"/>
            </c:dLbl>
            <c:dLbl>
              <c:idx val="9"/>
              <c:delete val="1"/>
            </c:dLbl>
            <c:txPr>
              <a:bodyPr/>
              <a:lstStyle/>
              <a:p>
                <a:pPr>
                  <a:defRPr b="1">
                    <a:solidFill>
                      <a:schemeClr val="accent6">
                        <a:lumMod val="50000"/>
                      </a:schemeClr>
                    </a:solidFill>
                  </a:defRPr>
                </a:pPr>
                <a:endParaRPr lang="en-US"/>
              </a:p>
            </c:txPr>
            <c:dLblPos val="t"/>
            <c:showVal val="1"/>
          </c:dLbls>
          <c:cat>
            <c:multiLvlStrRef>
              <c:f>'Freight transport modal share'!$M$1:$V$2</c:f>
              <c:multiLvlStrCache>
                <c:ptCount val="10"/>
                <c:lvl>
                  <c:pt idx="0">
                    <c:v>Rail</c:v>
                  </c:pt>
                  <c:pt idx="1">
                    <c:v>Road</c:v>
                  </c:pt>
                  <c:pt idx="2">
                    <c:v>Rail</c:v>
                  </c:pt>
                  <c:pt idx="3">
                    <c:v>Road</c:v>
                  </c:pt>
                  <c:pt idx="4">
                    <c:v>Rail</c:v>
                  </c:pt>
                  <c:pt idx="5">
                    <c:v>Road</c:v>
                  </c:pt>
                  <c:pt idx="6">
                    <c:v>Rail</c:v>
                  </c:pt>
                  <c:pt idx="7">
                    <c:v>Road</c:v>
                  </c:pt>
                  <c:pt idx="8">
                    <c:v>Rail</c:v>
                  </c:pt>
                  <c:pt idx="9">
                    <c:v>Road</c:v>
                  </c:pt>
                </c:lvl>
                <c:lvl>
                  <c:pt idx="0">
                    <c:v>2006</c:v>
                  </c:pt>
                  <c:pt idx="2">
                    <c:v>2007</c:v>
                  </c:pt>
                  <c:pt idx="4">
                    <c:v>2008</c:v>
                  </c:pt>
                  <c:pt idx="6">
                    <c:v>2009</c:v>
                  </c:pt>
                  <c:pt idx="8">
                    <c:v>2010</c:v>
                  </c:pt>
                </c:lvl>
              </c:multiLvlStrCache>
            </c:multiLvlStrRef>
          </c:cat>
          <c:val>
            <c:numRef>
              <c:f>'Freight transport modal share'!$M$6:$U$6</c:f>
              <c:numCache>
                <c:formatCode>0%</c:formatCode>
                <c:ptCount val="9"/>
                <c:pt idx="0">
                  <c:v>0.8117447874388376</c:v>
                </c:pt>
                <c:pt idx="1">
                  <c:v>0.7963448654101607</c:v>
                </c:pt>
                <c:pt idx="2">
                  <c:v>0.78094494338149889</c:v>
                </c:pt>
                <c:pt idx="3">
                  <c:v>0.77875461236455901</c:v>
                </c:pt>
                <c:pt idx="4">
                  <c:v>0.77656428134758682</c:v>
                </c:pt>
                <c:pt idx="5">
                  <c:v>0.71193001179001891</c:v>
                </c:pt>
                <c:pt idx="6">
                  <c:v>0.64729574223245823</c:v>
                </c:pt>
                <c:pt idx="7">
                  <c:v>0.64168031042504325</c:v>
                </c:pt>
                <c:pt idx="8">
                  <c:v>0.63606487861761962</c:v>
                </c:pt>
              </c:numCache>
            </c:numRef>
          </c:val>
        </c:ser>
        <c:marker val="1"/>
        <c:axId val="212194816"/>
        <c:axId val="212193280"/>
      </c:lineChart>
      <c:catAx>
        <c:axId val="212181760"/>
        <c:scaling>
          <c:orientation val="minMax"/>
        </c:scaling>
        <c:axPos val="b"/>
        <c:tickLblPos val="nextTo"/>
        <c:crossAx val="212183296"/>
        <c:crosses val="autoZero"/>
        <c:auto val="1"/>
        <c:lblAlgn val="ctr"/>
        <c:lblOffset val="100"/>
      </c:catAx>
      <c:valAx>
        <c:axId val="212183296"/>
        <c:scaling>
          <c:orientation val="minMax"/>
        </c:scaling>
        <c:axPos val="l"/>
        <c:majorGridlines/>
        <c:numFmt formatCode="0" sourceLinked="0"/>
        <c:tickLblPos val="nextTo"/>
        <c:crossAx val="212181760"/>
        <c:crosses val="autoZero"/>
        <c:crossBetween val="between"/>
        <c:majorUnit val="2"/>
      </c:valAx>
      <c:valAx>
        <c:axId val="212193280"/>
        <c:scaling>
          <c:orientation val="minMax"/>
        </c:scaling>
        <c:axPos val="r"/>
        <c:numFmt formatCode="0%" sourceLinked="1"/>
        <c:tickLblPos val="nextTo"/>
        <c:crossAx val="212194816"/>
        <c:crosses val="max"/>
        <c:crossBetween val="between"/>
      </c:valAx>
      <c:catAx>
        <c:axId val="212194816"/>
        <c:scaling>
          <c:orientation val="minMax"/>
        </c:scaling>
        <c:delete val="1"/>
        <c:axPos val="b"/>
        <c:tickLblPos val="none"/>
        <c:crossAx val="212193280"/>
        <c:crosses val="autoZero"/>
        <c:auto val="1"/>
        <c:lblAlgn val="ctr"/>
        <c:lblOffset val="100"/>
      </c:catAx>
    </c:plotArea>
    <c:plotVisOnly val="1"/>
    <c:dispBlanksAs val="gap"/>
  </c:chart>
  <c:spPr>
    <a:ln>
      <a:noFill/>
    </a:ln>
  </c:spPr>
  <c:txPr>
    <a:bodyPr/>
    <a:lstStyle/>
    <a:p>
      <a:pPr>
        <a:defRPr sz="900"/>
      </a:pPr>
      <a:endParaRPr lang="en-US"/>
    </a:p>
  </c:txPr>
  <c:externalData r:id="rId1"/>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9.7744230247081204E-2"/>
          <c:y val="0.11414584941588229"/>
          <c:w val="0.79407584396778064"/>
          <c:h val="0.76987453038960174"/>
        </c:manualLayout>
      </c:layout>
      <c:lineChart>
        <c:grouping val="standard"/>
        <c:ser>
          <c:idx val="0"/>
          <c:order val="0"/>
          <c:tx>
            <c:strRef>
              <c:f>Sheet4!$A$2</c:f>
              <c:strCache>
                <c:ptCount val="1"/>
                <c:pt idx="0">
                  <c:v>Dry cargo</c:v>
                </c:pt>
              </c:strCache>
            </c:strRef>
          </c:tx>
          <c:marker>
            <c:symbol val="none"/>
          </c:marker>
          <c:dLbls>
            <c:dLbl>
              <c:idx val="5"/>
              <c:layout>
                <c:manualLayout>
                  <c:x val="-0.25800054303556885"/>
                  <c:y val="-1.3431129328012383E-2"/>
                </c:manualLayout>
              </c:layout>
              <c:tx>
                <c:rich>
                  <a:bodyPr/>
                  <a:lstStyle/>
                  <a:p>
                    <a:r>
                      <a:rPr lang="en-US"/>
                      <a:t>Dry cargo</a:t>
                    </a:r>
                  </a:p>
                </c:rich>
              </c:tx>
              <c:dLblPos val="r"/>
              <c:showSerName val="1"/>
            </c:dLbl>
            <c:delete val="1"/>
            <c:txPr>
              <a:bodyPr/>
              <a:lstStyle/>
              <a:p>
                <a:pPr>
                  <a:defRPr b="1">
                    <a:solidFill>
                      <a:schemeClr val="tx2"/>
                    </a:solidFill>
                  </a:defRPr>
                </a:pPr>
                <a:endParaRPr lang="en-US"/>
              </a:p>
            </c:txPr>
          </c:dLbls>
          <c:cat>
            <c:numRef>
              <c:f>Sheet4!$B$1:$H$1</c:f>
              <c:numCache>
                <c:formatCode>General</c:formatCode>
                <c:ptCount val="7"/>
                <c:pt idx="0">
                  <c:v>2004</c:v>
                </c:pt>
                <c:pt idx="1">
                  <c:v>2005</c:v>
                </c:pt>
                <c:pt idx="2">
                  <c:v>2006</c:v>
                </c:pt>
                <c:pt idx="3">
                  <c:v>2007</c:v>
                </c:pt>
                <c:pt idx="4">
                  <c:v>2008</c:v>
                </c:pt>
                <c:pt idx="5">
                  <c:v>2009</c:v>
                </c:pt>
                <c:pt idx="6">
                  <c:v>2010</c:v>
                </c:pt>
              </c:numCache>
            </c:numRef>
          </c:cat>
          <c:val>
            <c:numRef>
              <c:f>Sheet4!$B$2:$H$2</c:f>
              <c:numCache>
                <c:formatCode>General</c:formatCode>
                <c:ptCount val="7"/>
                <c:pt idx="0">
                  <c:v>6.2</c:v>
                </c:pt>
                <c:pt idx="1">
                  <c:v>6.3</c:v>
                </c:pt>
                <c:pt idx="2">
                  <c:v>6.8</c:v>
                </c:pt>
                <c:pt idx="3">
                  <c:v>7.9</c:v>
                </c:pt>
                <c:pt idx="4">
                  <c:v>8.4</c:v>
                </c:pt>
                <c:pt idx="5">
                  <c:v>6.6</c:v>
                </c:pt>
                <c:pt idx="6">
                  <c:v>8</c:v>
                </c:pt>
              </c:numCache>
            </c:numRef>
          </c:val>
        </c:ser>
        <c:ser>
          <c:idx val="1"/>
          <c:order val="1"/>
          <c:tx>
            <c:strRef>
              <c:f>Sheet4!$A$3</c:f>
              <c:strCache>
                <c:ptCount val="1"/>
                <c:pt idx="0">
                  <c:v>Liquid cargo</c:v>
                </c:pt>
              </c:strCache>
            </c:strRef>
          </c:tx>
          <c:marker>
            <c:symbol val="none"/>
          </c:marker>
          <c:dLbls>
            <c:dLbl>
              <c:idx val="0"/>
              <c:layout>
                <c:manualLayout>
                  <c:x val="1.2048188961139379E-2"/>
                  <c:y val="5.2287581699347104E-3"/>
                </c:manualLayout>
              </c:layout>
              <c:tx>
                <c:rich>
                  <a:bodyPr/>
                  <a:lstStyle/>
                  <a:p>
                    <a:r>
                      <a:rPr lang="en-US"/>
                      <a:t>Liquid cargo</a:t>
                    </a:r>
                  </a:p>
                </c:rich>
              </c:tx>
              <c:showSerName val="1"/>
            </c:dLbl>
            <c:delete val="1"/>
            <c:txPr>
              <a:bodyPr/>
              <a:lstStyle/>
              <a:p>
                <a:pPr>
                  <a:defRPr b="1">
                    <a:solidFill>
                      <a:schemeClr val="accent2">
                        <a:lumMod val="75000"/>
                      </a:schemeClr>
                    </a:solidFill>
                  </a:defRPr>
                </a:pPr>
                <a:endParaRPr lang="en-US"/>
              </a:p>
            </c:txPr>
          </c:dLbls>
          <c:cat>
            <c:numRef>
              <c:f>Sheet4!$B$1:$H$1</c:f>
              <c:numCache>
                <c:formatCode>General</c:formatCode>
                <c:ptCount val="7"/>
                <c:pt idx="0">
                  <c:v>2004</c:v>
                </c:pt>
                <c:pt idx="1">
                  <c:v>2005</c:v>
                </c:pt>
                <c:pt idx="2">
                  <c:v>2006</c:v>
                </c:pt>
                <c:pt idx="3">
                  <c:v>2007</c:v>
                </c:pt>
                <c:pt idx="4">
                  <c:v>2008</c:v>
                </c:pt>
                <c:pt idx="5">
                  <c:v>2009</c:v>
                </c:pt>
                <c:pt idx="6">
                  <c:v>2010</c:v>
                </c:pt>
              </c:numCache>
            </c:numRef>
          </c:cat>
          <c:val>
            <c:numRef>
              <c:f>Sheet4!$B$3:$H$3</c:f>
              <c:numCache>
                <c:formatCode>General</c:formatCode>
                <c:ptCount val="7"/>
                <c:pt idx="0">
                  <c:v>14.4</c:v>
                </c:pt>
                <c:pt idx="1">
                  <c:v>17.7</c:v>
                </c:pt>
                <c:pt idx="2">
                  <c:v>18.7</c:v>
                </c:pt>
                <c:pt idx="3">
                  <c:v>11</c:v>
                </c:pt>
                <c:pt idx="4">
                  <c:v>10.1</c:v>
                </c:pt>
                <c:pt idx="5">
                  <c:v>13.6</c:v>
                </c:pt>
                <c:pt idx="6">
                  <c:v>14.7</c:v>
                </c:pt>
              </c:numCache>
            </c:numRef>
          </c:val>
        </c:ser>
        <c:marker val="1"/>
        <c:axId val="212121088"/>
        <c:axId val="212122624"/>
      </c:lineChart>
      <c:lineChart>
        <c:grouping val="standard"/>
        <c:ser>
          <c:idx val="2"/>
          <c:order val="2"/>
          <c:tx>
            <c:strRef>
              <c:f>Sheet4!$A$4</c:f>
              <c:strCache>
                <c:ptCount val="1"/>
                <c:pt idx="0">
                  <c:v>Container cargo</c:v>
                </c:pt>
              </c:strCache>
            </c:strRef>
          </c:tx>
          <c:spPr>
            <a:ln>
              <a:solidFill>
                <a:schemeClr val="accent3">
                  <a:lumMod val="75000"/>
                </a:schemeClr>
              </a:solidFill>
            </a:ln>
          </c:spPr>
          <c:marker>
            <c:symbol val="none"/>
          </c:marker>
          <c:dLbls>
            <c:dLbl>
              <c:idx val="4"/>
              <c:layout>
                <c:manualLayout>
                  <c:x val="-5.6224881818650409E-2"/>
                  <c:y val="-4.1830065359477107E-2"/>
                </c:manualLayout>
              </c:layout>
              <c:tx>
                <c:rich>
                  <a:bodyPr/>
                  <a:lstStyle/>
                  <a:p>
                    <a:pPr>
                      <a:defRPr b="1">
                        <a:solidFill>
                          <a:schemeClr val="accent3">
                            <a:lumMod val="50000"/>
                          </a:schemeClr>
                        </a:solidFill>
                      </a:defRPr>
                    </a:pPr>
                    <a:r>
                      <a:rPr lang="en-US"/>
                      <a:t>Container cargo</a:t>
                    </a:r>
                  </a:p>
                </c:rich>
              </c:tx>
              <c:spPr/>
              <c:showSerName val="1"/>
            </c:dLbl>
            <c:delete val="1"/>
            <c:txPr>
              <a:bodyPr/>
              <a:lstStyle/>
              <a:p>
                <a:pPr>
                  <a:defRPr>
                    <a:solidFill>
                      <a:schemeClr val="accent3">
                        <a:lumMod val="50000"/>
                      </a:schemeClr>
                    </a:solidFill>
                  </a:defRPr>
                </a:pPr>
                <a:endParaRPr lang="en-US"/>
              </a:p>
            </c:txPr>
          </c:dLbls>
          <c:cat>
            <c:numRef>
              <c:f>Sheet4!$B$1:$H$1</c:f>
              <c:numCache>
                <c:formatCode>General</c:formatCode>
                <c:ptCount val="7"/>
                <c:pt idx="0">
                  <c:v>2004</c:v>
                </c:pt>
                <c:pt idx="1">
                  <c:v>2005</c:v>
                </c:pt>
                <c:pt idx="2">
                  <c:v>2006</c:v>
                </c:pt>
                <c:pt idx="3">
                  <c:v>2007</c:v>
                </c:pt>
                <c:pt idx="4">
                  <c:v>2008</c:v>
                </c:pt>
                <c:pt idx="5">
                  <c:v>2009</c:v>
                </c:pt>
                <c:pt idx="6">
                  <c:v>2010</c:v>
                </c:pt>
              </c:numCache>
            </c:numRef>
          </c:cat>
          <c:val>
            <c:numRef>
              <c:f>Sheet4!$B$4:$H$4</c:f>
              <c:numCache>
                <c:formatCode>General</c:formatCode>
                <c:ptCount val="7"/>
                <c:pt idx="0">
                  <c:v>80.009</c:v>
                </c:pt>
                <c:pt idx="1">
                  <c:v>106.458</c:v>
                </c:pt>
                <c:pt idx="2">
                  <c:v>129.1</c:v>
                </c:pt>
                <c:pt idx="3">
                  <c:v>184.792</c:v>
                </c:pt>
                <c:pt idx="4">
                  <c:v>253.81100000000001</c:v>
                </c:pt>
                <c:pt idx="5">
                  <c:v>181.61299999999997</c:v>
                </c:pt>
                <c:pt idx="6">
                  <c:v>226.11499999999998</c:v>
                </c:pt>
              </c:numCache>
            </c:numRef>
          </c:val>
        </c:ser>
        <c:marker val="1"/>
        <c:axId val="234961536"/>
        <c:axId val="234960000"/>
      </c:lineChart>
      <c:catAx>
        <c:axId val="212121088"/>
        <c:scaling>
          <c:orientation val="minMax"/>
        </c:scaling>
        <c:axPos val="b"/>
        <c:numFmt formatCode="General" sourceLinked="1"/>
        <c:tickLblPos val="nextTo"/>
        <c:crossAx val="212122624"/>
        <c:crosses val="autoZero"/>
        <c:auto val="1"/>
        <c:lblAlgn val="ctr"/>
        <c:lblOffset val="100"/>
      </c:catAx>
      <c:valAx>
        <c:axId val="212122624"/>
        <c:scaling>
          <c:orientation val="minMax"/>
        </c:scaling>
        <c:axPos val="l"/>
        <c:majorGridlines/>
        <c:title>
          <c:tx>
            <c:rich>
              <a:bodyPr rot="0" vert="horz"/>
              <a:lstStyle/>
              <a:p>
                <a:pPr>
                  <a:defRPr sz="850"/>
                </a:pPr>
                <a:r>
                  <a:rPr lang="en-US" sz="850"/>
                  <a:t>(mln tons)</a:t>
                </a:r>
              </a:p>
            </c:rich>
          </c:tx>
          <c:layout>
            <c:manualLayout>
              <c:xMode val="edge"/>
              <c:yMode val="edge"/>
              <c:x val="6.2261625316502129E-3"/>
              <c:y val="3.5777880706088286E-4"/>
            </c:manualLayout>
          </c:layout>
        </c:title>
        <c:numFmt formatCode="General" sourceLinked="1"/>
        <c:tickLblPos val="nextTo"/>
        <c:crossAx val="212121088"/>
        <c:crosses val="autoZero"/>
        <c:crossBetween val="between"/>
      </c:valAx>
      <c:valAx>
        <c:axId val="234960000"/>
        <c:scaling>
          <c:orientation val="minMax"/>
        </c:scaling>
        <c:axPos val="r"/>
        <c:numFmt formatCode="General" sourceLinked="1"/>
        <c:tickLblPos val="nextTo"/>
        <c:crossAx val="234961536"/>
        <c:crosses val="max"/>
        <c:crossBetween val="between"/>
      </c:valAx>
      <c:catAx>
        <c:axId val="234961536"/>
        <c:scaling>
          <c:orientation val="minMax"/>
        </c:scaling>
        <c:delete val="1"/>
        <c:axPos val="b"/>
        <c:numFmt formatCode="General" sourceLinked="1"/>
        <c:tickLblPos val="none"/>
        <c:crossAx val="234960000"/>
        <c:crosses val="autoZero"/>
        <c:auto val="1"/>
        <c:lblAlgn val="ctr"/>
        <c:lblOffset val="100"/>
      </c:catAx>
    </c:plotArea>
    <c:plotVisOnly val="1"/>
    <c:dispBlanksAs val="gap"/>
  </c:chart>
  <c:spPr>
    <a:ln>
      <a:noFill/>
    </a:ln>
  </c:spPr>
  <c:txPr>
    <a:bodyPr/>
    <a:lstStyle/>
    <a:p>
      <a:pPr>
        <a:defRPr sz="900"/>
      </a:pPr>
      <a:endParaRPr lang="en-US"/>
    </a:p>
  </c:txPr>
  <c:externalData r:id="rId1"/>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7.6563960004075324E-2"/>
          <c:y val="6.0381556783014066E-2"/>
          <c:w val="0.85626233429682053"/>
          <c:h val="0.80660581606406656"/>
        </c:manualLayout>
      </c:layout>
      <c:barChart>
        <c:barDir val="col"/>
        <c:grouping val="clustered"/>
        <c:ser>
          <c:idx val="0"/>
          <c:order val="0"/>
          <c:tx>
            <c:v>2005</c:v>
          </c:tx>
          <c:cat>
            <c:strRef>
              <c:f>'Minibus age distr'!$C$25:$G$25</c:f>
              <c:strCache>
                <c:ptCount val="5"/>
                <c:pt idx="0">
                  <c:v>&lt;5</c:v>
                </c:pt>
                <c:pt idx="1">
                  <c:v>5-10</c:v>
                </c:pt>
                <c:pt idx="2">
                  <c:v>11-15</c:v>
                </c:pt>
                <c:pt idx="3">
                  <c:v>16-20</c:v>
                </c:pt>
                <c:pt idx="4">
                  <c:v>&gt;20</c:v>
                </c:pt>
              </c:strCache>
            </c:strRef>
          </c:cat>
          <c:val>
            <c:numRef>
              <c:f>'Minibus age distr'!$C$26:$G$26</c:f>
              <c:numCache>
                <c:formatCode>0%</c:formatCode>
                <c:ptCount val="5"/>
                <c:pt idx="0">
                  <c:v>8.0000000000000227E-3</c:v>
                </c:pt>
                <c:pt idx="1">
                  <c:v>0.127</c:v>
                </c:pt>
                <c:pt idx="2">
                  <c:v>0.42500000000000032</c:v>
                </c:pt>
                <c:pt idx="3">
                  <c:v>0.31000000000000238</c:v>
                </c:pt>
                <c:pt idx="4">
                  <c:v>0.13</c:v>
                </c:pt>
              </c:numCache>
            </c:numRef>
          </c:val>
        </c:ser>
        <c:ser>
          <c:idx val="1"/>
          <c:order val="1"/>
          <c:tx>
            <c:v>2010</c:v>
          </c:tx>
          <c:spPr>
            <a:solidFill>
              <a:srgbClr val="92D050"/>
            </a:solidFill>
          </c:spPr>
          <c:cat>
            <c:strRef>
              <c:f>'Minibus age distr'!$C$25:$G$25</c:f>
              <c:strCache>
                <c:ptCount val="5"/>
                <c:pt idx="0">
                  <c:v>&lt;5</c:v>
                </c:pt>
                <c:pt idx="1">
                  <c:v>5-10</c:v>
                </c:pt>
                <c:pt idx="2">
                  <c:v>11-15</c:v>
                </c:pt>
                <c:pt idx="3">
                  <c:v>16-20</c:v>
                </c:pt>
                <c:pt idx="4">
                  <c:v>&gt;20</c:v>
                </c:pt>
              </c:strCache>
            </c:strRef>
          </c:cat>
          <c:val>
            <c:numRef>
              <c:f>'Minibus age distr'!$C$27:$G$27</c:f>
              <c:numCache>
                <c:formatCode>0%</c:formatCode>
                <c:ptCount val="5"/>
                <c:pt idx="0">
                  <c:v>4.6911369740376005E-2</c:v>
                </c:pt>
                <c:pt idx="1">
                  <c:v>3.9122649955237197E-2</c:v>
                </c:pt>
                <c:pt idx="2">
                  <c:v>0.40859444941808415</c:v>
                </c:pt>
                <c:pt idx="3">
                  <c:v>0.35765443151298132</c:v>
                </c:pt>
                <c:pt idx="4">
                  <c:v>0.14771709937332803</c:v>
                </c:pt>
              </c:numCache>
            </c:numRef>
          </c:val>
        </c:ser>
        <c:axId val="234985728"/>
        <c:axId val="234999808"/>
      </c:barChart>
      <c:catAx>
        <c:axId val="234985728"/>
        <c:scaling>
          <c:orientation val="minMax"/>
        </c:scaling>
        <c:axPos val="b"/>
        <c:tickLblPos val="nextTo"/>
        <c:txPr>
          <a:bodyPr/>
          <a:lstStyle/>
          <a:p>
            <a:pPr>
              <a:defRPr lang="en-US"/>
            </a:pPr>
            <a:endParaRPr lang="en-US"/>
          </a:p>
        </c:txPr>
        <c:crossAx val="234999808"/>
        <c:crosses val="autoZero"/>
        <c:auto val="1"/>
        <c:lblAlgn val="ctr"/>
        <c:lblOffset val="100"/>
      </c:catAx>
      <c:valAx>
        <c:axId val="234999808"/>
        <c:scaling>
          <c:orientation val="minMax"/>
        </c:scaling>
        <c:axPos val="l"/>
        <c:majorGridlines/>
        <c:numFmt formatCode="0%" sourceLinked="1"/>
        <c:tickLblPos val="nextTo"/>
        <c:txPr>
          <a:bodyPr/>
          <a:lstStyle/>
          <a:p>
            <a:pPr>
              <a:defRPr lang="en-US"/>
            </a:pPr>
            <a:endParaRPr lang="en-US"/>
          </a:p>
        </c:txPr>
        <c:crossAx val="234985728"/>
        <c:crosses val="autoZero"/>
        <c:crossBetween val="between"/>
      </c:valAx>
    </c:plotArea>
    <c:legend>
      <c:legendPos val="r"/>
      <c:layout>
        <c:manualLayout>
          <c:xMode val="edge"/>
          <c:yMode val="edge"/>
          <c:x val="0.12856976479226667"/>
          <c:y val="0.10707512307230461"/>
          <c:w val="0.2204582626528597"/>
          <c:h val="0.23233282406863318"/>
        </c:manualLayout>
      </c:layout>
      <c:txPr>
        <a:bodyPr/>
        <a:lstStyle/>
        <a:p>
          <a:pPr>
            <a:defRPr lang="en-US"/>
          </a:pPr>
          <a:endParaRPr lang="en-US"/>
        </a:p>
      </c:txPr>
    </c:legend>
    <c:plotVisOnly val="1"/>
  </c:chart>
  <c:spPr>
    <a:ln>
      <a:noFill/>
    </a:ln>
  </c:sp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0583487353469886"/>
          <c:y val="4.1586314868536534E-2"/>
          <c:w val="0.86105476365293554"/>
          <c:h val="0.69306902426670369"/>
        </c:manualLayout>
      </c:layout>
      <c:barChart>
        <c:barDir val="col"/>
        <c:grouping val="clustered"/>
        <c:ser>
          <c:idx val="0"/>
          <c:order val="0"/>
          <c:tx>
            <c:strRef>
              <c:f>Sheet1!$B$29</c:f>
              <c:strCache>
                <c:ptCount val="1"/>
                <c:pt idx="0">
                  <c:v>City Cen ter First Hour Cost (Euros)</c:v>
                </c:pt>
              </c:strCache>
            </c:strRef>
          </c:tx>
          <c:dPt>
            <c:idx val="11"/>
            <c:spPr>
              <a:gradFill>
                <a:gsLst>
                  <a:gs pos="0">
                    <a:srgbClr val="000000"/>
                  </a:gs>
                  <a:gs pos="39999">
                    <a:srgbClr val="0A128C"/>
                  </a:gs>
                  <a:gs pos="70000">
                    <a:srgbClr val="181CC7"/>
                  </a:gs>
                  <a:gs pos="88000">
                    <a:srgbClr val="7005D4"/>
                  </a:gs>
                  <a:gs pos="100000">
                    <a:srgbClr val="8C3D91"/>
                  </a:gs>
                </a:gsLst>
                <a:lin ang="5400000" scaled="0"/>
              </a:gradFill>
            </c:spPr>
          </c:dPt>
          <c:cat>
            <c:strRef>
              <c:f>Sheet1!$A$30:$A$41</c:f>
              <c:strCache>
                <c:ptCount val="12"/>
                <c:pt idx="0">
                  <c:v>Amsterdam</c:v>
                </c:pt>
                <c:pt idx="1">
                  <c:v>London</c:v>
                </c:pt>
                <c:pt idx="2">
                  <c:v>Stockholm</c:v>
                </c:pt>
                <c:pt idx="3">
                  <c:v>Copenhagen</c:v>
                </c:pt>
                <c:pt idx="4">
                  <c:v>Paris</c:v>
                </c:pt>
                <c:pt idx="5">
                  <c:v>Barcelona</c:v>
                </c:pt>
                <c:pt idx="6">
                  <c:v>Antwerp</c:v>
                </c:pt>
                <c:pt idx="7">
                  <c:v>Munich</c:v>
                </c:pt>
                <c:pt idx="8">
                  <c:v>Hamburg</c:v>
                </c:pt>
                <c:pt idx="9">
                  <c:v>Strasbourg</c:v>
                </c:pt>
                <c:pt idx="10">
                  <c:v>Vienna</c:v>
                </c:pt>
                <c:pt idx="11">
                  <c:v>Tbilisi</c:v>
                </c:pt>
              </c:strCache>
            </c:strRef>
          </c:cat>
          <c:val>
            <c:numRef>
              <c:f>Sheet1!$B$30:$B$41</c:f>
              <c:numCache>
                <c:formatCode>General</c:formatCode>
                <c:ptCount val="12"/>
                <c:pt idx="0">
                  <c:v>5</c:v>
                </c:pt>
                <c:pt idx="1">
                  <c:v>4</c:v>
                </c:pt>
                <c:pt idx="2">
                  <c:v>3.8699999999999997</c:v>
                </c:pt>
                <c:pt idx="3">
                  <c:v>3.86</c:v>
                </c:pt>
                <c:pt idx="4">
                  <c:v>3.6</c:v>
                </c:pt>
                <c:pt idx="5">
                  <c:v>2.8499999999999988</c:v>
                </c:pt>
                <c:pt idx="6">
                  <c:v>2.5</c:v>
                </c:pt>
                <c:pt idx="7">
                  <c:v>2.5</c:v>
                </c:pt>
                <c:pt idx="8">
                  <c:v>2</c:v>
                </c:pt>
                <c:pt idx="9">
                  <c:v>1.6</c:v>
                </c:pt>
                <c:pt idx="10">
                  <c:v>1.2</c:v>
                </c:pt>
                <c:pt idx="11">
                  <c:v>0.4</c:v>
                </c:pt>
              </c:numCache>
            </c:numRef>
          </c:val>
        </c:ser>
        <c:axId val="241506944"/>
        <c:axId val="241508736"/>
      </c:barChart>
      <c:catAx>
        <c:axId val="241506944"/>
        <c:scaling>
          <c:orientation val="minMax"/>
        </c:scaling>
        <c:axPos val="b"/>
        <c:tickLblPos val="nextTo"/>
        <c:txPr>
          <a:bodyPr/>
          <a:lstStyle/>
          <a:p>
            <a:pPr>
              <a:defRPr sz="800"/>
            </a:pPr>
            <a:endParaRPr lang="en-US"/>
          </a:p>
        </c:txPr>
        <c:crossAx val="241508736"/>
        <c:crosses val="autoZero"/>
        <c:auto val="1"/>
        <c:lblAlgn val="ctr"/>
        <c:lblOffset val="100"/>
      </c:catAx>
      <c:valAx>
        <c:axId val="241508736"/>
        <c:scaling>
          <c:orientation val="minMax"/>
          <c:max val="5"/>
        </c:scaling>
        <c:axPos val="l"/>
        <c:majorGridlines/>
        <c:title>
          <c:tx>
            <c:rich>
              <a:bodyPr rot="0" vert="horz"/>
              <a:lstStyle/>
              <a:p>
                <a:pPr>
                  <a:defRPr sz="900" b="0"/>
                </a:pPr>
                <a:r>
                  <a:rPr lang="en-US" sz="900" b="0">
                    <a:latin typeface="Calibri"/>
                  </a:rPr>
                  <a:t>€/hr</a:t>
                </a:r>
                <a:endParaRPr lang="en-US" sz="900" b="0"/>
              </a:p>
            </c:rich>
          </c:tx>
          <c:layout>
            <c:manualLayout>
              <c:xMode val="edge"/>
              <c:yMode val="edge"/>
              <c:x val="0"/>
              <c:y val="3.9500996110425991E-2"/>
            </c:manualLayout>
          </c:layout>
        </c:title>
        <c:numFmt formatCode="General" sourceLinked="1"/>
        <c:tickLblPos val="nextTo"/>
        <c:crossAx val="241506944"/>
        <c:crosses val="autoZero"/>
        <c:crossBetween val="between"/>
        <c:majorUnit val="1"/>
      </c:valAx>
    </c:plotArea>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8.1380016177223125E-2"/>
          <c:y val="4.3010752688172046E-2"/>
          <c:w val="0.88088413476617311"/>
          <c:h val="0.81444996794755498"/>
        </c:manualLayout>
      </c:layout>
      <c:lineChart>
        <c:grouping val="standard"/>
        <c:ser>
          <c:idx val="0"/>
          <c:order val="0"/>
          <c:tx>
            <c:strRef>
              <c:f>'1daffb92-e41b-4a6d-b780-697181d'!$B$14</c:f>
              <c:strCache>
                <c:ptCount val="1"/>
                <c:pt idx="0">
                  <c:v>Electricity production (TWh)</c:v>
                </c:pt>
              </c:strCache>
            </c:strRef>
          </c:tx>
          <c:marker>
            <c:symbol val="none"/>
          </c:marker>
          <c:cat>
            <c:numRef>
              <c:f>'1daffb92-e41b-4a6d-b780-697181d'!$C$1:$L$1</c:f>
              <c:numCache>
                <c:formatCode>General</c:formatCode>
                <c:ptCount val="10"/>
                <c:pt idx="0">
                  <c:v>1999</c:v>
                </c:pt>
                <c:pt idx="1">
                  <c:v>2000</c:v>
                </c:pt>
                <c:pt idx="2">
                  <c:v>2001</c:v>
                </c:pt>
                <c:pt idx="3">
                  <c:v>2002</c:v>
                </c:pt>
                <c:pt idx="4">
                  <c:v>2003</c:v>
                </c:pt>
                <c:pt idx="5">
                  <c:v>2004</c:v>
                </c:pt>
                <c:pt idx="6">
                  <c:v>2005</c:v>
                </c:pt>
                <c:pt idx="7">
                  <c:v>2006</c:v>
                </c:pt>
                <c:pt idx="8">
                  <c:v>2007</c:v>
                </c:pt>
                <c:pt idx="9">
                  <c:v>2008</c:v>
                </c:pt>
              </c:numCache>
            </c:numRef>
          </c:cat>
          <c:val>
            <c:numRef>
              <c:f>'1daffb92-e41b-4a6d-b780-697181d'!$C$14:$L$14</c:f>
              <c:numCache>
                <c:formatCode>#,##0</c:formatCode>
                <c:ptCount val="10"/>
                <c:pt idx="0">
                  <c:v>7.6829999999999945</c:v>
                </c:pt>
                <c:pt idx="1">
                  <c:v>7.4239999999999995</c:v>
                </c:pt>
                <c:pt idx="2">
                  <c:v>6.9370000000000003</c:v>
                </c:pt>
                <c:pt idx="3">
                  <c:v>7.2569999999999997</c:v>
                </c:pt>
                <c:pt idx="4">
                  <c:v>7.1599999999999975</c:v>
                </c:pt>
                <c:pt idx="5">
                  <c:v>6.9239999999999995</c:v>
                </c:pt>
                <c:pt idx="6">
                  <c:v>7.2669999999999995</c:v>
                </c:pt>
                <c:pt idx="7">
                  <c:v>7.2869999999999999</c:v>
                </c:pt>
                <c:pt idx="8">
                  <c:v>8.3320000000000007</c:v>
                </c:pt>
                <c:pt idx="9">
                  <c:v>8.4410000000000025</c:v>
                </c:pt>
              </c:numCache>
            </c:numRef>
          </c:val>
        </c:ser>
        <c:ser>
          <c:idx val="1"/>
          <c:order val="1"/>
          <c:tx>
            <c:strRef>
              <c:f>'1daffb92-e41b-4a6d-b780-697181d'!$B$15</c:f>
              <c:strCache>
                <c:ptCount val="1"/>
                <c:pt idx="0">
                  <c:v>Electricity production from hydroelectric sources (TWh)</c:v>
                </c:pt>
              </c:strCache>
            </c:strRef>
          </c:tx>
          <c:marker>
            <c:symbol val="none"/>
          </c:marker>
          <c:cat>
            <c:numRef>
              <c:f>'1daffb92-e41b-4a6d-b780-697181d'!$C$1:$L$1</c:f>
              <c:numCache>
                <c:formatCode>General</c:formatCode>
                <c:ptCount val="10"/>
                <c:pt idx="0">
                  <c:v>1999</c:v>
                </c:pt>
                <c:pt idx="1">
                  <c:v>2000</c:v>
                </c:pt>
                <c:pt idx="2">
                  <c:v>2001</c:v>
                </c:pt>
                <c:pt idx="3">
                  <c:v>2002</c:v>
                </c:pt>
                <c:pt idx="4">
                  <c:v>2003</c:v>
                </c:pt>
                <c:pt idx="5">
                  <c:v>2004</c:v>
                </c:pt>
                <c:pt idx="6">
                  <c:v>2005</c:v>
                </c:pt>
                <c:pt idx="7">
                  <c:v>2006</c:v>
                </c:pt>
                <c:pt idx="8">
                  <c:v>2007</c:v>
                </c:pt>
                <c:pt idx="9">
                  <c:v>2008</c:v>
                </c:pt>
              </c:numCache>
            </c:numRef>
          </c:cat>
          <c:val>
            <c:numRef>
              <c:f>'1daffb92-e41b-4a6d-b780-697181d'!$C$15:$L$15</c:f>
              <c:numCache>
                <c:formatCode>#,##0</c:formatCode>
                <c:ptCount val="10"/>
                <c:pt idx="0">
                  <c:v>6.4420000000000002</c:v>
                </c:pt>
                <c:pt idx="1">
                  <c:v>5.8599999999999985</c:v>
                </c:pt>
                <c:pt idx="2">
                  <c:v>5.5419999999999998</c:v>
                </c:pt>
                <c:pt idx="3">
                  <c:v>6.7669999999999995</c:v>
                </c:pt>
                <c:pt idx="4">
                  <c:v>6.5259999999999945</c:v>
                </c:pt>
                <c:pt idx="5">
                  <c:v>6.0490000000000004</c:v>
                </c:pt>
                <c:pt idx="6">
                  <c:v>6.2359999999999998</c:v>
                </c:pt>
                <c:pt idx="7">
                  <c:v>5.3149999999999755</c:v>
                </c:pt>
                <c:pt idx="8">
                  <c:v>6.8179999999999845</c:v>
                </c:pt>
                <c:pt idx="9">
                  <c:v>7.1619999999999955</c:v>
                </c:pt>
              </c:numCache>
            </c:numRef>
          </c:val>
        </c:ser>
        <c:marker val="1"/>
        <c:axId val="42942848"/>
        <c:axId val="42944384"/>
      </c:lineChart>
      <c:catAx>
        <c:axId val="42942848"/>
        <c:scaling>
          <c:orientation val="minMax"/>
        </c:scaling>
        <c:axPos val="b"/>
        <c:numFmt formatCode="General" sourceLinked="1"/>
        <c:tickLblPos val="nextTo"/>
        <c:crossAx val="42944384"/>
        <c:crosses val="autoZero"/>
        <c:auto val="1"/>
        <c:lblAlgn val="ctr"/>
        <c:lblOffset val="100"/>
      </c:catAx>
      <c:valAx>
        <c:axId val="42944384"/>
        <c:scaling>
          <c:orientation val="minMax"/>
        </c:scaling>
        <c:axPos val="l"/>
        <c:majorGridlines/>
        <c:numFmt formatCode="#,##0" sourceLinked="1"/>
        <c:tickLblPos val="nextTo"/>
        <c:crossAx val="42942848"/>
        <c:crosses val="autoZero"/>
        <c:crossBetween val="between"/>
      </c:valAx>
    </c:plotArea>
    <c:legend>
      <c:legendPos val="r"/>
      <c:layout>
        <c:manualLayout>
          <c:xMode val="edge"/>
          <c:yMode val="edge"/>
          <c:x val="9.7905638301236567E-2"/>
          <c:y val="0.57886374068712254"/>
          <c:w val="0.87510978369084036"/>
          <c:h val="0.19457787507503263"/>
        </c:manualLayout>
      </c:layout>
      <c:overlay val="1"/>
      <c:txPr>
        <a:bodyPr/>
        <a:lstStyle/>
        <a:p>
          <a:pPr>
            <a:defRPr sz="850"/>
          </a:pPr>
          <a:endParaRPr lang="en-US"/>
        </a:p>
      </c:txPr>
    </c:legend>
    <c:plotVisOnly val="1"/>
    <c:dispBlanksAs val="gap"/>
  </c:chart>
  <c:spPr>
    <a:ln>
      <a:noFill/>
    </a:ln>
  </c:spPr>
  <c:txPr>
    <a:bodyPr/>
    <a:lstStyle/>
    <a:p>
      <a:pPr>
        <a:defRPr sz="900"/>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1457483477215979"/>
          <c:y val="0.12324929971988796"/>
          <c:w val="0.84564209155935155"/>
          <c:h val="0.7468343230442116"/>
        </c:manualLayout>
      </c:layout>
      <c:lineChart>
        <c:grouping val="standard"/>
        <c:ser>
          <c:idx val="0"/>
          <c:order val="0"/>
          <c:tx>
            <c:strRef>
              <c:f>'PC Ownership'!$E$691</c:f>
              <c:strCache>
                <c:ptCount val="1"/>
                <c:pt idx="0">
                  <c:v>Low (&lt;200)</c:v>
                </c:pt>
              </c:strCache>
            </c:strRef>
          </c:tx>
          <c:spPr>
            <a:ln>
              <a:solidFill>
                <a:srgbClr val="92D050"/>
              </a:solidFill>
            </a:ln>
          </c:spPr>
          <c:marker>
            <c:symbol val="none"/>
          </c:marker>
          <c:cat>
            <c:numRef>
              <c:f>'PC Ownership'!$I$13:$Z$13</c:f>
              <c:numCache>
                <c:formatCode>General</c:formatCode>
                <c:ptCount val="18"/>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numCache>
            </c:numRef>
          </c:cat>
          <c:val>
            <c:numRef>
              <c:f>'PC Ownership'!$I$691:$Z$691</c:f>
              <c:numCache>
                <c:formatCode>0</c:formatCode>
                <c:ptCount val="18"/>
                <c:pt idx="0">
                  <c:v>84.904719916617196</c:v>
                </c:pt>
                <c:pt idx="1">
                  <c:v>88.66219860707038</c:v>
                </c:pt>
                <c:pt idx="2">
                  <c:v>92.602901660059658</c:v>
                </c:pt>
                <c:pt idx="3">
                  <c:v>96.736157464386224</c:v>
                </c:pt>
                <c:pt idx="4">
                  <c:v>101.0736959564034</c:v>
                </c:pt>
                <c:pt idx="5">
                  <c:v>105.63138464274056</c:v>
                </c:pt>
                <c:pt idx="6">
                  <c:v>110.36476971263588</c:v>
                </c:pt>
                <c:pt idx="7">
                  <c:v>115.56320421151869</c:v>
                </c:pt>
                <c:pt idx="8">
                  <c:v>121.15322236810947</c:v>
                </c:pt>
                <c:pt idx="9">
                  <c:v>126.96363616091696</c:v>
                </c:pt>
                <c:pt idx="10">
                  <c:v>132.9913276859823</c:v>
                </c:pt>
                <c:pt idx="11">
                  <c:v>139.22804390200241</c:v>
                </c:pt>
                <c:pt idx="12">
                  <c:v>146.02811481480003</c:v>
                </c:pt>
                <c:pt idx="13">
                  <c:v>153.29550849468998</c:v>
                </c:pt>
                <c:pt idx="14">
                  <c:v>160.76585251353555</c:v>
                </c:pt>
                <c:pt idx="15">
                  <c:v>168.422106190227</c:v>
                </c:pt>
                <c:pt idx="16">
                  <c:v>176.24825971921658</c:v>
                </c:pt>
                <c:pt idx="17">
                  <c:v>184.44994290793107</c:v>
                </c:pt>
              </c:numCache>
            </c:numRef>
          </c:val>
        </c:ser>
        <c:ser>
          <c:idx val="2"/>
          <c:order val="1"/>
          <c:tx>
            <c:strRef>
              <c:f>'PC Ownership'!$E$693</c:f>
              <c:strCache>
                <c:ptCount val="1"/>
                <c:pt idx="0">
                  <c:v>Med (≈220)</c:v>
                </c:pt>
              </c:strCache>
            </c:strRef>
          </c:tx>
          <c:spPr>
            <a:ln>
              <a:solidFill>
                <a:srgbClr val="008000"/>
              </a:solidFill>
            </a:ln>
          </c:spPr>
          <c:marker>
            <c:symbol val="none"/>
          </c:marker>
          <c:cat>
            <c:numRef>
              <c:f>'PC Ownership'!$I$13:$Z$13</c:f>
              <c:numCache>
                <c:formatCode>General</c:formatCode>
                <c:ptCount val="18"/>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numCache>
            </c:numRef>
          </c:cat>
          <c:val>
            <c:numRef>
              <c:f>'PC Ownership'!$I$693:$Z$693</c:f>
              <c:numCache>
                <c:formatCode>0</c:formatCode>
                <c:ptCount val="18"/>
                <c:pt idx="0">
                  <c:v>84.904719916617196</c:v>
                </c:pt>
                <c:pt idx="1">
                  <c:v>89.806242833785305</c:v>
                </c:pt>
                <c:pt idx="2">
                  <c:v>94.964309083028922</c:v>
                </c:pt>
                <c:pt idx="3">
                  <c:v>100.39304281877828</c:v>
                </c:pt>
                <c:pt idx="4">
                  <c:v>106.11045638092691</c:v>
                </c:pt>
                <c:pt idx="5">
                  <c:v>112.14133107169575</c:v>
                </c:pt>
                <c:pt idx="6">
                  <c:v>118.41243551219044</c:v>
                </c:pt>
                <c:pt idx="7">
                  <c:v>125.38963861437529</c:v>
                </c:pt>
                <c:pt idx="8">
                  <c:v>132.95092191693652</c:v>
                </c:pt>
                <c:pt idx="9">
                  <c:v>140.81979875631458</c:v>
                </c:pt>
                <c:pt idx="10">
                  <c:v>148.99135345828634</c:v>
                </c:pt>
                <c:pt idx="11">
                  <c:v>157.45266955098697</c:v>
                </c:pt>
                <c:pt idx="12">
                  <c:v>166.7670140084798</c:v>
                </c:pt>
                <c:pt idx="13">
                  <c:v>176.77910273417993</c:v>
                </c:pt>
                <c:pt idx="14">
                  <c:v>187.06972095067263</c:v>
                </c:pt>
                <c:pt idx="15">
                  <c:v>197.61380515614172</c:v>
                </c:pt>
                <c:pt idx="16">
                  <c:v>208.38836094156667</c:v>
                </c:pt>
                <c:pt idx="17">
                  <c:v>219.71870786998798</c:v>
                </c:pt>
              </c:numCache>
            </c:numRef>
          </c:val>
        </c:ser>
        <c:ser>
          <c:idx val="4"/>
          <c:order val="2"/>
          <c:tx>
            <c:strRef>
              <c:f>'PC Ownership'!$E$695</c:f>
              <c:strCache>
                <c:ptCount val="1"/>
                <c:pt idx="0">
                  <c:v>High (&gt;250)</c:v>
                </c:pt>
              </c:strCache>
            </c:strRef>
          </c:tx>
          <c:spPr>
            <a:ln>
              <a:solidFill>
                <a:srgbClr val="003300"/>
              </a:solidFill>
            </a:ln>
          </c:spPr>
          <c:marker>
            <c:symbol val="none"/>
          </c:marker>
          <c:cat>
            <c:numRef>
              <c:f>'PC Ownership'!$I$13:$Z$13</c:f>
              <c:numCache>
                <c:formatCode>General</c:formatCode>
                <c:ptCount val="18"/>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numCache>
            </c:numRef>
          </c:cat>
          <c:val>
            <c:numRef>
              <c:f>'PC Ownership'!$I$695:$Z$695</c:f>
              <c:numCache>
                <c:formatCode>0</c:formatCode>
                <c:ptCount val="18"/>
                <c:pt idx="0">
                  <c:v>84.904719916617196</c:v>
                </c:pt>
                <c:pt idx="1">
                  <c:v>90.95028706050374</c:v>
                </c:pt>
                <c:pt idx="2">
                  <c:v>97.325716505998088</c:v>
                </c:pt>
                <c:pt idx="3">
                  <c:v>104.04992817317276</c:v>
                </c:pt>
                <c:pt idx="4">
                  <c:v>111.14721680544933</c:v>
                </c:pt>
                <c:pt idx="5">
                  <c:v>118.6512775006513</c:v>
                </c:pt>
                <c:pt idx="6">
                  <c:v>126.46010131174722</c:v>
                </c:pt>
                <c:pt idx="7">
                  <c:v>135.21607301723188</c:v>
                </c:pt>
                <c:pt idx="8">
                  <c:v>144.74862146575632</c:v>
                </c:pt>
                <c:pt idx="9">
                  <c:v>154.67596135171215</c:v>
                </c:pt>
                <c:pt idx="10">
                  <c:v>164.99137923058927</c:v>
                </c:pt>
                <c:pt idx="11">
                  <c:v>175.67729519996496</c:v>
                </c:pt>
                <c:pt idx="12">
                  <c:v>187.50591320215975</c:v>
                </c:pt>
                <c:pt idx="13">
                  <c:v>200.26269697367829</c:v>
                </c:pt>
                <c:pt idx="14">
                  <c:v>213.37358938780983</c:v>
                </c:pt>
                <c:pt idx="15">
                  <c:v>226.80550412206532</c:v>
                </c:pt>
                <c:pt idx="16">
                  <c:v>240.52846216391634</c:v>
                </c:pt>
                <c:pt idx="17">
                  <c:v>254.98747283204662</c:v>
                </c:pt>
              </c:numCache>
            </c:numRef>
          </c:val>
        </c:ser>
        <c:marker val="1"/>
        <c:axId val="67251200"/>
        <c:axId val="67257088"/>
      </c:lineChart>
      <c:catAx>
        <c:axId val="67251200"/>
        <c:scaling>
          <c:orientation val="minMax"/>
        </c:scaling>
        <c:axPos val="b"/>
        <c:numFmt formatCode="General" sourceLinked="1"/>
        <c:tickLblPos val="nextTo"/>
        <c:crossAx val="67257088"/>
        <c:crosses val="autoZero"/>
        <c:auto val="1"/>
        <c:lblAlgn val="ctr"/>
        <c:lblOffset val="100"/>
      </c:catAx>
      <c:valAx>
        <c:axId val="67257088"/>
        <c:scaling>
          <c:orientation val="minMax"/>
          <c:max val="300"/>
          <c:min val="0"/>
        </c:scaling>
        <c:axPos val="l"/>
        <c:majorGridlines/>
        <c:numFmt formatCode="0" sourceLinked="0"/>
        <c:tickLblPos val="nextTo"/>
        <c:crossAx val="67251200"/>
        <c:crosses val="autoZero"/>
        <c:crossBetween val="between"/>
      </c:valAx>
    </c:plotArea>
    <c:plotVisOnly val="1"/>
  </c:chart>
  <c:spPr>
    <a:ln>
      <a:noFill/>
    </a:ln>
  </c:spPr>
  <c:txPr>
    <a:bodyPr/>
    <a:lstStyle/>
    <a:p>
      <a:pPr>
        <a:defRPr sz="900"/>
      </a:pPr>
      <a:endParaRPr lang="en-US"/>
    </a:p>
  </c:tx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6537645058518641"/>
          <c:y val="5.5035297311974013E-2"/>
          <c:w val="0.80612786609221021"/>
          <c:h val="0.83082812924246541"/>
        </c:manualLayout>
      </c:layout>
      <c:lineChart>
        <c:grouping val="standard"/>
        <c:ser>
          <c:idx val="0"/>
          <c:order val="0"/>
          <c:tx>
            <c:strRef>
              <c:f>Sheet2!$L$3:$L$4</c:f>
              <c:strCache>
                <c:ptCount val="1"/>
                <c:pt idx="0">
                  <c:v>PC Diesel</c:v>
                </c:pt>
              </c:strCache>
            </c:strRef>
          </c:tx>
          <c:spPr>
            <a:ln>
              <a:solidFill>
                <a:srgbClr val="0070C0"/>
              </a:solidFill>
            </a:ln>
          </c:spPr>
          <c:marker>
            <c:symbol val="none"/>
          </c:marker>
          <c:cat>
            <c:strRef>
              <c:f>Sheet2!$K$5:$K$10</c:f>
              <c:strCache>
                <c:ptCount val="6"/>
                <c:pt idx="0">
                  <c:v>Euro 1</c:v>
                </c:pt>
                <c:pt idx="1">
                  <c:v>Euro 2</c:v>
                </c:pt>
                <c:pt idx="2">
                  <c:v>Euro 3</c:v>
                </c:pt>
                <c:pt idx="3">
                  <c:v>Euro 4</c:v>
                </c:pt>
                <c:pt idx="4">
                  <c:v>Euro 5</c:v>
                </c:pt>
                <c:pt idx="5">
                  <c:v>Euro 6</c:v>
                </c:pt>
              </c:strCache>
            </c:strRef>
          </c:cat>
          <c:val>
            <c:numRef>
              <c:f>Sheet2!$L$5:$L$10</c:f>
              <c:numCache>
                <c:formatCode>General</c:formatCode>
                <c:ptCount val="6"/>
                <c:pt idx="0">
                  <c:v>0.97000000000000064</c:v>
                </c:pt>
                <c:pt idx="1">
                  <c:v>0.70000000000000062</c:v>
                </c:pt>
                <c:pt idx="2">
                  <c:v>0.56000000000000005</c:v>
                </c:pt>
                <c:pt idx="3">
                  <c:v>0.30000000000000032</c:v>
                </c:pt>
                <c:pt idx="4">
                  <c:v>0.23</c:v>
                </c:pt>
                <c:pt idx="5">
                  <c:v>0.17</c:v>
                </c:pt>
              </c:numCache>
            </c:numRef>
          </c:val>
        </c:ser>
        <c:ser>
          <c:idx val="1"/>
          <c:order val="1"/>
          <c:tx>
            <c:strRef>
              <c:f>Sheet2!$M$3:$M$4</c:f>
              <c:strCache>
                <c:ptCount val="1"/>
                <c:pt idx="0">
                  <c:v>PC Gasoline</c:v>
                </c:pt>
              </c:strCache>
            </c:strRef>
          </c:tx>
          <c:spPr>
            <a:ln>
              <a:solidFill>
                <a:srgbClr val="0070C0"/>
              </a:solidFill>
              <a:prstDash val="sysDash"/>
            </a:ln>
          </c:spPr>
          <c:marker>
            <c:symbol val="none"/>
          </c:marker>
          <c:cat>
            <c:strRef>
              <c:f>Sheet2!$K$5:$K$10</c:f>
              <c:strCache>
                <c:ptCount val="6"/>
                <c:pt idx="0">
                  <c:v>Euro 1</c:v>
                </c:pt>
                <c:pt idx="1">
                  <c:v>Euro 2</c:v>
                </c:pt>
                <c:pt idx="2">
                  <c:v>Euro 3</c:v>
                </c:pt>
                <c:pt idx="3">
                  <c:v>Euro 4</c:v>
                </c:pt>
                <c:pt idx="4">
                  <c:v>Euro 5</c:v>
                </c:pt>
                <c:pt idx="5">
                  <c:v>Euro 6</c:v>
                </c:pt>
              </c:strCache>
            </c:strRef>
          </c:cat>
          <c:val>
            <c:numRef>
              <c:f>Sheet2!$M$5:$M$10</c:f>
              <c:numCache>
                <c:formatCode>General</c:formatCode>
                <c:ptCount val="6"/>
                <c:pt idx="0">
                  <c:v>0.97000000000000064</c:v>
                </c:pt>
                <c:pt idx="1">
                  <c:v>0.5</c:v>
                </c:pt>
                <c:pt idx="2">
                  <c:v>0.35000000000000031</c:v>
                </c:pt>
                <c:pt idx="3">
                  <c:v>0.18000000000000024</c:v>
                </c:pt>
                <c:pt idx="4">
                  <c:v>0.16</c:v>
                </c:pt>
                <c:pt idx="5">
                  <c:v>0.16</c:v>
                </c:pt>
              </c:numCache>
            </c:numRef>
          </c:val>
        </c:ser>
        <c:ser>
          <c:idx val="2"/>
          <c:order val="2"/>
          <c:tx>
            <c:strRef>
              <c:f>Sheet2!$N$3:$N$4</c:f>
              <c:strCache>
                <c:ptCount val="1"/>
                <c:pt idx="0">
                  <c:v>LCV Diesel</c:v>
                </c:pt>
              </c:strCache>
            </c:strRef>
          </c:tx>
          <c:spPr>
            <a:ln>
              <a:solidFill>
                <a:schemeClr val="tx1">
                  <a:lumMod val="85000"/>
                  <a:lumOff val="15000"/>
                </a:schemeClr>
              </a:solidFill>
            </a:ln>
          </c:spPr>
          <c:marker>
            <c:symbol val="none"/>
          </c:marker>
          <c:cat>
            <c:strRef>
              <c:f>Sheet2!$K$5:$K$10</c:f>
              <c:strCache>
                <c:ptCount val="6"/>
                <c:pt idx="0">
                  <c:v>Euro 1</c:v>
                </c:pt>
                <c:pt idx="1">
                  <c:v>Euro 2</c:v>
                </c:pt>
                <c:pt idx="2">
                  <c:v>Euro 3</c:v>
                </c:pt>
                <c:pt idx="3">
                  <c:v>Euro 4</c:v>
                </c:pt>
                <c:pt idx="4">
                  <c:v>Euro 5</c:v>
                </c:pt>
                <c:pt idx="5">
                  <c:v>Euro 6</c:v>
                </c:pt>
              </c:strCache>
            </c:strRef>
          </c:cat>
          <c:val>
            <c:numRef>
              <c:f>Sheet2!$N$5:$N$10</c:f>
              <c:numCache>
                <c:formatCode>General</c:formatCode>
                <c:ptCount val="6"/>
                <c:pt idx="0">
                  <c:v>1.4</c:v>
                </c:pt>
                <c:pt idx="1">
                  <c:v>1</c:v>
                </c:pt>
                <c:pt idx="2">
                  <c:v>0.72000000000000064</c:v>
                </c:pt>
                <c:pt idx="3">
                  <c:v>0.3900000000000034</c:v>
                </c:pt>
                <c:pt idx="4">
                  <c:v>0.29500000000000032</c:v>
                </c:pt>
                <c:pt idx="5">
                  <c:v>0.19500000000000001</c:v>
                </c:pt>
              </c:numCache>
            </c:numRef>
          </c:val>
        </c:ser>
        <c:ser>
          <c:idx val="3"/>
          <c:order val="3"/>
          <c:tx>
            <c:strRef>
              <c:f>Sheet2!$O$3:$O$4</c:f>
              <c:strCache>
                <c:ptCount val="1"/>
                <c:pt idx="0">
                  <c:v>LCV Gasoline</c:v>
                </c:pt>
              </c:strCache>
            </c:strRef>
          </c:tx>
          <c:spPr>
            <a:ln>
              <a:solidFill>
                <a:prstClr val="black">
                  <a:lumMod val="85000"/>
                  <a:lumOff val="15000"/>
                </a:prstClr>
              </a:solidFill>
              <a:prstDash val="sysDash"/>
            </a:ln>
          </c:spPr>
          <c:marker>
            <c:symbol val="none"/>
          </c:marker>
          <c:cat>
            <c:strRef>
              <c:f>Sheet2!$K$5:$K$10</c:f>
              <c:strCache>
                <c:ptCount val="6"/>
                <c:pt idx="0">
                  <c:v>Euro 1</c:v>
                </c:pt>
                <c:pt idx="1">
                  <c:v>Euro 2</c:v>
                </c:pt>
                <c:pt idx="2">
                  <c:v>Euro 3</c:v>
                </c:pt>
                <c:pt idx="3">
                  <c:v>Euro 4</c:v>
                </c:pt>
                <c:pt idx="4">
                  <c:v>Euro 5</c:v>
                </c:pt>
                <c:pt idx="5">
                  <c:v>Euro 6</c:v>
                </c:pt>
              </c:strCache>
            </c:strRef>
          </c:cat>
          <c:val>
            <c:numRef>
              <c:f>Sheet2!$O$5:$O$10</c:f>
              <c:numCache>
                <c:formatCode>General</c:formatCode>
                <c:ptCount val="6"/>
                <c:pt idx="0">
                  <c:v>1.4</c:v>
                </c:pt>
                <c:pt idx="1">
                  <c:v>0.65000000000000691</c:v>
                </c:pt>
                <c:pt idx="2">
                  <c:v>0.35000000000000031</c:v>
                </c:pt>
                <c:pt idx="3">
                  <c:v>0.18000000000000024</c:v>
                </c:pt>
                <c:pt idx="4">
                  <c:v>0.16</c:v>
                </c:pt>
                <c:pt idx="5">
                  <c:v>0.16</c:v>
                </c:pt>
              </c:numCache>
            </c:numRef>
          </c:val>
        </c:ser>
        <c:marker val="1"/>
        <c:axId val="184996608"/>
        <c:axId val="184998144"/>
      </c:lineChart>
      <c:catAx>
        <c:axId val="184996608"/>
        <c:scaling>
          <c:orientation val="minMax"/>
        </c:scaling>
        <c:axPos val="b"/>
        <c:tickLblPos val="nextTo"/>
        <c:crossAx val="184998144"/>
        <c:crosses val="autoZero"/>
        <c:auto val="1"/>
        <c:lblAlgn val="ctr"/>
        <c:lblOffset val="100"/>
      </c:catAx>
      <c:valAx>
        <c:axId val="184998144"/>
        <c:scaling>
          <c:orientation val="minMax"/>
          <c:max val="1.6"/>
          <c:min val="0"/>
        </c:scaling>
        <c:axPos val="l"/>
        <c:majorGridlines/>
        <c:title>
          <c:tx>
            <c:rich>
              <a:bodyPr rot="-5400000" vert="horz"/>
              <a:lstStyle/>
              <a:p>
                <a:pPr>
                  <a:defRPr/>
                </a:pPr>
                <a:r>
                  <a:rPr lang="en-US"/>
                  <a:t>HC + NOx Emission</a:t>
                </a:r>
                <a:r>
                  <a:rPr lang="en-US" baseline="0"/>
                  <a:t> (g/km)</a:t>
                </a:r>
                <a:endParaRPr lang="en-US"/>
              </a:p>
            </c:rich>
          </c:tx>
          <c:layout>
            <c:manualLayout>
              <c:xMode val="edge"/>
              <c:yMode val="edge"/>
              <c:x val="7.9974908796777763E-3"/>
              <c:y val="0.21519481493384757"/>
            </c:manualLayout>
          </c:layout>
        </c:title>
        <c:numFmt formatCode="General" sourceLinked="1"/>
        <c:tickLblPos val="nextTo"/>
        <c:crossAx val="184996608"/>
        <c:crosses val="autoZero"/>
        <c:crossBetween val="between"/>
        <c:majorUnit val="0.2"/>
      </c:valAx>
    </c:plotArea>
    <c:legend>
      <c:legendPos val="r"/>
      <c:layout>
        <c:manualLayout>
          <c:xMode val="edge"/>
          <c:yMode val="edge"/>
          <c:x val="0.54653110108809211"/>
          <c:y val="5.5962078016110132E-2"/>
          <c:w val="0.41683127572016482"/>
          <c:h val="0.41600552086161646"/>
        </c:manualLayout>
      </c:layout>
      <c:overlay val="1"/>
    </c:legend>
    <c:plotVisOnly val="1"/>
  </c:chart>
  <c:spPr>
    <a:ln>
      <a:noFill/>
    </a:ln>
  </c:spPr>
  <c:txPr>
    <a:bodyPr/>
    <a:lstStyle/>
    <a:p>
      <a:pPr>
        <a:defRPr sz="900"/>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8254077026982521"/>
          <c:y val="4.2416503094707132E-2"/>
          <c:w val="0.75182461415624291"/>
          <c:h val="0.80874315368113525"/>
        </c:manualLayout>
      </c:layout>
      <c:scatterChart>
        <c:scatterStyle val="lineMarker"/>
        <c:ser>
          <c:idx val="1"/>
          <c:order val="0"/>
          <c:tx>
            <c:strRef>
              <c:f>'Summary Data'!$A$10</c:f>
              <c:strCache>
                <c:ptCount val="1"/>
                <c:pt idx="0">
                  <c:v>Australia</c:v>
                </c:pt>
              </c:strCache>
            </c:strRef>
          </c:tx>
          <c:spPr>
            <a:ln w="28575">
              <a:noFill/>
            </a:ln>
          </c:spPr>
          <c:marker>
            <c:symbol val="circle"/>
            <c:size val="7"/>
            <c:spPr>
              <a:solidFill>
                <a:srgbClr val="1F497D"/>
              </a:solidFill>
              <a:ln>
                <a:solidFill>
                  <a:schemeClr val="tx2"/>
                </a:solidFill>
              </a:ln>
            </c:spPr>
          </c:marker>
          <c:dLbls>
            <c:dLbl>
              <c:idx val="0"/>
              <c:layout>
                <c:manualLayout>
                  <c:x val="-8.3333333333333367E-3"/>
                  <c:y val="0"/>
                </c:manualLayout>
              </c:layout>
              <c:showSerName val="1"/>
            </c:dLbl>
            <c:showSerName val="1"/>
          </c:dLbls>
          <c:xVal>
            <c:numRef>
              <c:f>'Summary Data'!$F$10</c:f>
              <c:numCache>
                <c:formatCode>"$"#,##0.00_);[Red]\("$"#,##0.00\)</c:formatCode>
                <c:ptCount val="1"/>
                <c:pt idx="0">
                  <c:v>0.85000000000000064</c:v>
                </c:pt>
              </c:numCache>
            </c:numRef>
          </c:xVal>
          <c:yVal>
            <c:numRef>
              <c:f>'Summary Data'!$D$10</c:f>
              <c:numCache>
                <c:formatCode>_(* #,##0.00_);_(* \(#,##0.00\);_(* "-"??_);_(@_)</c:formatCode>
                <c:ptCount val="1"/>
                <c:pt idx="0">
                  <c:v>1.4683238564887033</c:v>
                </c:pt>
              </c:numCache>
            </c:numRef>
          </c:yVal>
        </c:ser>
        <c:ser>
          <c:idx val="0"/>
          <c:order val="1"/>
          <c:tx>
            <c:strRef>
              <c:f>'Summary Data'!$A$11</c:f>
              <c:strCache>
                <c:ptCount val="1"/>
                <c:pt idx="0">
                  <c:v>Austria</c:v>
                </c:pt>
              </c:strCache>
            </c:strRef>
          </c:tx>
          <c:spPr>
            <a:ln w="28575">
              <a:noFill/>
            </a:ln>
          </c:spPr>
          <c:marker>
            <c:symbol val="circle"/>
            <c:size val="7"/>
            <c:spPr>
              <a:solidFill>
                <a:srgbClr val="1F497D"/>
              </a:solidFill>
            </c:spPr>
          </c:marker>
          <c:dLbls>
            <c:dLbl>
              <c:idx val="0"/>
              <c:layout>
                <c:manualLayout>
                  <c:x val="-0.10613827117764379"/>
                  <c:y val="-4.2141417716043919E-2"/>
                </c:manualLayout>
              </c:layout>
              <c:dLblPos val="r"/>
              <c:showSerName val="1"/>
            </c:dLbl>
            <c:dLblPos val="t"/>
            <c:showSerName val="1"/>
          </c:dLbls>
          <c:xVal>
            <c:numRef>
              <c:f>'Summary Data'!$F$11</c:f>
              <c:numCache>
                <c:formatCode>"$"#,##0.00_);[Red]\("$"#,##0.00\)</c:formatCode>
                <c:ptCount val="1"/>
                <c:pt idx="0">
                  <c:v>1.32</c:v>
                </c:pt>
              </c:numCache>
            </c:numRef>
          </c:xVal>
          <c:yVal>
            <c:numRef>
              <c:f>'Summary Data'!$D$11</c:f>
              <c:numCache>
                <c:formatCode>_(* #,##0.00_);_(* \(#,##0.00\);_(* "-"??_);_(@_)</c:formatCode>
                <c:ptCount val="1"/>
                <c:pt idx="0">
                  <c:v>0.96205962059620664</c:v>
                </c:pt>
              </c:numCache>
            </c:numRef>
          </c:yVal>
        </c:ser>
        <c:ser>
          <c:idx val="3"/>
          <c:order val="2"/>
          <c:tx>
            <c:strRef>
              <c:f>'Summary Data'!$A$13</c:f>
              <c:strCache>
                <c:ptCount val="1"/>
                <c:pt idx="0">
                  <c:v>Canada</c:v>
                </c:pt>
              </c:strCache>
            </c:strRef>
          </c:tx>
          <c:spPr>
            <a:ln w="28575">
              <a:noFill/>
            </a:ln>
          </c:spPr>
          <c:marker>
            <c:symbol val="circle"/>
            <c:size val="7"/>
            <c:spPr>
              <a:solidFill>
                <a:schemeClr val="tx2"/>
              </a:solidFill>
              <a:ln>
                <a:solidFill>
                  <a:schemeClr val="tx2"/>
                </a:solidFill>
              </a:ln>
            </c:spPr>
          </c:marker>
          <c:dLbls>
            <c:dLbl>
              <c:idx val="0"/>
              <c:layout>
                <c:manualLayout>
                  <c:x val="-8.3333333333333367E-3"/>
                  <c:y val="-4.6296296296297014E-3"/>
                </c:manualLayout>
              </c:layout>
              <c:showSerName val="1"/>
            </c:dLbl>
            <c:showSerName val="1"/>
          </c:dLbls>
          <c:xVal>
            <c:numRef>
              <c:f>'Summary Data'!$F$13</c:f>
              <c:numCache>
                <c:formatCode>"$"#,##0.00_);[Red]\("$"#,##0.00\)</c:formatCode>
                <c:ptCount val="1"/>
                <c:pt idx="0">
                  <c:v>0.68</c:v>
                </c:pt>
              </c:numCache>
            </c:numRef>
          </c:xVal>
          <c:yVal>
            <c:numRef>
              <c:f>'Summary Data'!$D$13</c:f>
              <c:numCache>
                <c:formatCode>_(* #,##0.00_);_(* \(#,##0.00\);_(* "-"??_);_(@_)</c:formatCode>
                <c:ptCount val="1"/>
                <c:pt idx="0">
                  <c:v>1.7163613392293098</c:v>
                </c:pt>
              </c:numCache>
            </c:numRef>
          </c:yVal>
        </c:ser>
        <c:ser>
          <c:idx val="6"/>
          <c:order val="3"/>
          <c:tx>
            <c:strRef>
              <c:f>'Summary Data'!$A$16</c:f>
              <c:strCache>
                <c:ptCount val="1"/>
                <c:pt idx="0">
                  <c:v>France</c:v>
                </c:pt>
              </c:strCache>
            </c:strRef>
          </c:tx>
          <c:spPr>
            <a:ln w="28575">
              <a:noFill/>
            </a:ln>
          </c:spPr>
          <c:marker>
            <c:symbol val="circle"/>
            <c:size val="7"/>
            <c:spPr>
              <a:solidFill>
                <a:srgbClr val="1F497D"/>
              </a:solidFill>
              <a:ln>
                <a:solidFill>
                  <a:srgbClr val="1F497D"/>
                </a:solidFill>
              </a:ln>
            </c:spPr>
          </c:marker>
          <c:dLbls>
            <c:dLbl>
              <c:idx val="0"/>
              <c:layout>
                <c:manualLayout>
                  <c:x val="4.0412327491322134E-2"/>
                  <c:y val="8.3333235031014377E-2"/>
                </c:manualLayout>
              </c:layout>
              <c:showSerName val="1"/>
            </c:dLbl>
            <c:showSerName val="1"/>
          </c:dLbls>
          <c:xVal>
            <c:numRef>
              <c:f>'Summary Data'!$F$16</c:f>
              <c:numCache>
                <c:formatCode>"$"#,##0.00_);[Red]\("$"#,##0.00\)</c:formatCode>
                <c:ptCount val="1"/>
                <c:pt idx="0">
                  <c:v>1.54</c:v>
                </c:pt>
              </c:numCache>
            </c:numRef>
          </c:xVal>
          <c:yVal>
            <c:numRef>
              <c:f>'Summary Data'!$D$16</c:f>
              <c:numCache>
                <c:formatCode>_(* #,##0.00_);_(* \(#,##0.00\);_(* "-"??_);_(@_)</c:formatCode>
                <c:ptCount val="1"/>
                <c:pt idx="0">
                  <c:v>0.91310186073278343</c:v>
                </c:pt>
              </c:numCache>
            </c:numRef>
          </c:yVal>
        </c:ser>
        <c:ser>
          <c:idx val="7"/>
          <c:order val="4"/>
          <c:tx>
            <c:strRef>
              <c:f>'Summary Data'!$A$17</c:f>
              <c:strCache>
                <c:ptCount val="1"/>
                <c:pt idx="0">
                  <c:v>Finland</c:v>
                </c:pt>
              </c:strCache>
            </c:strRef>
          </c:tx>
          <c:spPr>
            <a:ln w="28575">
              <a:noFill/>
            </a:ln>
          </c:spPr>
          <c:marker>
            <c:symbol val="circle"/>
            <c:size val="7"/>
            <c:spPr>
              <a:solidFill>
                <a:srgbClr val="1F497D"/>
              </a:solidFill>
              <a:ln>
                <a:solidFill>
                  <a:schemeClr val="tx2"/>
                </a:solidFill>
              </a:ln>
            </c:spPr>
          </c:marker>
          <c:dLbls>
            <c:dLbl>
              <c:idx val="0"/>
              <c:layout>
                <c:manualLayout>
                  <c:x val="-7.0472222222222422E-2"/>
                  <c:y val="-0.16251166520850935"/>
                </c:manualLayout>
              </c:layout>
              <c:dLblPos val="r"/>
              <c:showSerName val="1"/>
            </c:dLbl>
            <c:dLblPos val="t"/>
            <c:showSerName val="1"/>
          </c:dLbls>
          <c:xVal>
            <c:numRef>
              <c:f>'Summary Data'!$F$17</c:f>
              <c:numCache>
                <c:formatCode>"$"#,##0.00_);[Red]\("$"#,##0.00\)</c:formatCode>
                <c:ptCount val="1"/>
                <c:pt idx="0">
                  <c:v>1.42</c:v>
                </c:pt>
              </c:numCache>
            </c:numRef>
          </c:xVal>
          <c:yVal>
            <c:numRef>
              <c:f>'Summary Data'!$D$17</c:f>
              <c:numCache>
                <c:formatCode>_(* #,##0.00_);_(* \(#,##0.00\);_(* "-"??_);_(@_)</c:formatCode>
                <c:ptCount val="1"/>
                <c:pt idx="0">
                  <c:v>0.87992270273872264</c:v>
                </c:pt>
              </c:numCache>
            </c:numRef>
          </c:yVal>
        </c:ser>
        <c:ser>
          <c:idx val="8"/>
          <c:order val="5"/>
          <c:tx>
            <c:strRef>
              <c:f>'Summary Data'!$A$18</c:f>
              <c:strCache>
                <c:ptCount val="1"/>
                <c:pt idx="0">
                  <c:v>Germany</c:v>
                </c:pt>
              </c:strCache>
            </c:strRef>
          </c:tx>
          <c:spPr>
            <a:ln w="28575">
              <a:noFill/>
            </a:ln>
          </c:spPr>
          <c:marker>
            <c:symbol val="circle"/>
            <c:size val="7"/>
            <c:spPr>
              <a:solidFill>
                <a:srgbClr val="1F497D"/>
              </a:solidFill>
              <a:ln>
                <a:solidFill>
                  <a:schemeClr val="tx2"/>
                </a:solidFill>
              </a:ln>
            </c:spPr>
          </c:marker>
          <c:dLbls>
            <c:dLbl>
              <c:idx val="0"/>
              <c:layout>
                <c:manualLayout>
                  <c:x val="-6.9444444444444572E-2"/>
                  <c:y val="0.125"/>
                </c:manualLayout>
              </c:layout>
              <c:showSerName val="1"/>
            </c:dLbl>
            <c:showSerName val="1"/>
          </c:dLbls>
          <c:xVal>
            <c:numRef>
              <c:f>'Summary Data'!$F$18</c:f>
              <c:numCache>
                <c:formatCode>"$"#,##0.00_);[Red]\("$"#,##0.00\)</c:formatCode>
                <c:ptCount val="1"/>
                <c:pt idx="0">
                  <c:v>1.46</c:v>
                </c:pt>
              </c:numCache>
            </c:numRef>
          </c:xVal>
          <c:yVal>
            <c:numRef>
              <c:f>'Summary Data'!$D$18</c:f>
              <c:numCache>
                <c:formatCode>_(* #,##0.00_);_(* \(#,##0.00\);_(* "-"??_);_(@_)</c:formatCode>
                <c:ptCount val="1"/>
                <c:pt idx="0">
                  <c:v>0.77610239751763599</c:v>
                </c:pt>
              </c:numCache>
            </c:numRef>
          </c:yVal>
        </c:ser>
        <c:ser>
          <c:idx val="10"/>
          <c:order val="6"/>
          <c:tx>
            <c:strRef>
              <c:f>'Summary Data'!$A$23</c:f>
              <c:strCache>
                <c:ptCount val="1"/>
                <c:pt idx="0">
                  <c:v>Italy</c:v>
                </c:pt>
              </c:strCache>
            </c:strRef>
          </c:tx>
          <c:spPr>
            <a:ln w="28575">
              <a:noFill/>
            </a:ln>
          </c:spPr>
          <c:marker>
            <c:symbol val="circle"/>
            <c:size val="7"/>
            <c:spPr>
              <a:solidFill>
                <a:srgbClr val="1F497D"/>
              </a:solidFill>
              <a:ln>
                <a:solidFill>
                  <a:schemeClr val="tx2"/>
                </a:solidFill>
              </a:ln>
            </c:spPr>
          </c:marker>
          <c:dLbls>
            <c:dLbl>
              <c:idx val="0"/>
              <c:layout>
                <c:manualLayout>
                  <c:x val="4.1128891146671183E-2"/>
                  <c:y val="0.10232013133189821"/>
                </c:manualLayout>
              </c:layout>
              <c:showSerName val="1"/>
            </c:dLbl>
            <c:showSerName val="1"/>
          </c:dLbls>
          <c:xVal>
            <c:numRef>
              <c:f>'Summary Data'!$F$23</c:f>
              <c:numCache>
                <c:formatCode>"$"#,##0.00_);[Red]\("$"#,##0.00\)</c:formatCode>
                <c:ptCount val="1"/>
                <c:pt idx="0">
                  <c:v>1.53</c:v>
                </c:pt>
              </c:numCache>
            </c:numRef>
          </c:xVal>
          <c:yVal>
            <c:numRef>
              <c:f>'Summary Data'!$D$23</c:f>
              <c:numCache>
                <c:formatCode>_(* #,##0.00_);_(* \(#,##0.00\);_(* "-"??_);_(@_)</c:formatCode>
                <c:ptCount val="1"/>
                <c:pt idx="0">
                  <c:v>0.77177354814015864</c:v>
                </c:pt>
              </c:numCache>
            </c:numRef>
          </c:yVal>
        </c:ser>
        <c:ser>
          <c:idx val="11"/>
          <c:order val="7"/>
          <c:tx>
            <c:strRef>
              <c:f>'Summary Data'!$A$24</c:f>
              <c:strCache>
                <c:ptCount val="1"/>
                <c:pt idx="0">
                  <c:v>Japan</c:v>
                </c:pt>
              </c:strCache>
            </c:strRef>
          </c:tx>
          <c:spPr>
            <a:ln w="28575">
              <a:noFill/>
            </a:ln>
          </c:spPr>
          <c:marker>
            <c:symbol val="circle"/>
            <c:size val="7"/>
            <c:spPr>
              <a:solidFill>
                <a:srgbClr val="1F497D"/>
              </a:solidFill>
              <a:ln>
                <a:solidFill>
                  <a:schemeClr val="tx2"/>
                </a:solidFill>
              </a:ln>
            </c:spPr>
          </c:marker>
          <c:dLbls>
            <c:dLbl>
              <c:idx val="0"/>
              <c:layout>
                <c:manualLayout>
                  <c:x val="-0.13022747156605424"/>
                  <c:y val="1.0826230990789073E-2"/>
                </c:manualLayout>
              </c:layout>
              <c:dLblPos val="r"/>
              <c:showSerName val="1"/>
            </c:dLbl>
            <c:dLblPos val="b"/>
            <c:showSerName val="1"/>
          </c:dLbls>
          <c:xVal>
            <c:numRef>
              <c:f>'Summary Data'!$F$24</c:f>
              <c:numCache>
                <c:formatCode>"$"#,##0.00_);[Red]\("$"#,##0.00\)</c:formatCode>
                <c:ptCount val="1"/>
                <c:pt idx="0">
                  <c:v>1.26</c:v>
                </c:pt>
              </c:numCache>
            </c:numRef>
          </c:xVal>
          <c:yVal>
            <c:numRef>
              <c:f>'Summary Data'!$D$24</c:f>
              <c:numCache>
                <c:formatCode>_(* #,##0.00_);_(* \(#,##0.00\);_(* "-"??_);_(@_)</c:formatCode>
                <c:ptCount val="1"/>
                <c:pt idx="0">
                  <c:v>0.73194430296431168</c:v>
                </c:pt>
              </c:numCache>
            </c:numRef>
          </c:yVal>
        </c:ser>
        <c:ser>
          <c:idx val="12"/>
          <c:order val="8"/>
          <c:tx>
            <c:strRef>
              <c:f>'Summary Data'!$A$25</c:f>
              <c:strCache>
                <c:ptCount val="1"/>
                <c:pt idx="0">
                  <c:v>Korea</c:v>
                </c:pt>
              </c:strCache>
            </c:strRef>
          </c:tx>
          <c:spPr>
            <a:ln w="28575">
              <a:noFill/>
            </a:ln>
          </c:spPr>
          <c:marker>
            <c:symbol val="circle"/>
            <c:size val="7"/>
            <c:spPr>
              <a:solidFill>
                <a:srgbClr val="1F497D"/>
              </a:solidFill>
              <a:ln>
                <a:solidFill>
                  <a:srgbClr val="1F497D"/>
                </a:solidFill>
              </a:ln>
            </c:spPr>
          </c:marker>
          <c:dLbls>
            <c:dLbl>
              <c:idx val="0"/>
              <c:layout>
                <c:manualLayout>
                  <c:x val="-0.126"/>
                  <c:y val="0.10695610965296014"/>
                </c:manualLayout>
              </c:layout>
              <c:dLblPos val="r"/>
              <c:showSerName val="1"/>
            </c:dLbl>
            <c:dLblPos val="b"/>
            <c:showSerName val="1"/>
          </c:dLbls>
          <c:xVal>
            <c:numRef>
              <c:f>'Summary Data'!$F$25</c:f>
              <c:numCache>
                <c:formatCode>"$"#,##0.00_);[Red]\("$"#,##0.00\)</c:formatCode>
                <c:ptCount val="1"/>
                <c:pt idx="0">
                  <c:v>1.35</c:v>
                </c:pt>
              </c:numCache>
            </c:numRef>
          </c:xVal>
          <c:yVal>
            <c:numRef>
              <c:f>'Summary Data'!$D$25</c:f>
              <c:numCache>
                <c:formatCode>_(* #,##0.00_);_(* \(#,##0.00\);_(* "-"??_);_(@_)</c:formatCode>
                <c:ptCount val="1"/>
                <c:pt idx="0">
                  <c:v>0.72269012936529564</c:v>
                </c:pt>
              </c:numCache>
            </c:numRef>
          </c:yVal>
        </c:ser>
        <c:ser>
          <c:idx val="13"/>
          <c:order val="9"/>
          <c:tx>
            <c:strRef>
              <c:f>'Summary Data'!$A$30</c:f>
              <c:strCache>
                <c:ptCount val="1"/>
                <c:pt idx="0">
                  <c:v>Norway</c:v>
                </c:pt>
              </c:strCache>
            </c:strRef>
          </c:tx>
          <c:spPr>
            <a:ln w="28575">
              <a:noFill/>
            </a:ln>
          </c:spPr>
          <c:marker>
            <c:symbol val="circle"/>
            <c:size val="7"/>
            <c:spPr>
              <a:solidFill>
                <a:srgbClr val="1F497D"/>
              </a:solidFill>
              <a:ln>
                <a:solidFill>
                  <a:srgbClr val="1F497D"/>
                </a:solidFill>
              </a:ln>
            </c:spPr>
          </c:marker>
          <c:dLbls>
            <c:dLbl>
              <c:idx val="0"/>
              <c:layout>
                <c:manualLayout>
                  <c:x val="-6.2380806002853333E-2"/>
                  <c:y val="-4.3161172650028917E-2"/>
                </c:manualLayout>
              </c:layout>
              <c:dLblPos val="r"/>
              <c:showSerName val="1"/>
            </c:dLbl>
            <c:dLblPos val="t"/>
            <c:showSerName val="1"/>
          </c:dLbls>
          <c:xVal>
            <c:numRef>
              <c:f>'Summary Data'!$F$30</c:f>
              <c:numCache>
                <c:formatCode>"$"#,##0.00_);[Red]\("$"#,##0.00\)</c:formatCode>
                <c:ptCount val="1"/>
                <c:pt idx="0">
                  <c:v>1.61</c:v>
                </c:pt>
              </c:numCache>
            </c:numRef>
          </c:xVal>
          <c:yVal>
            <c:numRef>
              <c:f>'Summary Data'!$D$30</c:f>
              <c:numCache>
                <c:formatCode>_(* #,##0.00_);_(* \(#,##0.00\);_(* "-"??_);_(@_)</c:formatCode>
                <c:ptCount val="1"/>
                <c:pt idx="0">
                  <c:v>1.0473269062226118</c:v>
                </c:pt>
              </c:numCache>
            </c:numRef>
          </c:yVal>
        </c:ser>
        <c:ser>
          <c:idx val="14"/>
          <c:order val="10"/>
          <c:tx>
            <c:strRef>
              <c:f>'Summary Data'!$A$39</c:f>
              <c:strCache>
                <c:ptCount val="1"/>
                <c:pt idx="0">
                  <c:v>United Kingdom</c:v>
                </c:pt>
              </c:strCache>
            </c:strRef>
          </c:tx>
          <c:spPr>
            <a:ln w="28575">
              <a:solidFill>
                <a:schemeClr val="tx2"/>
              </a:solidFill>
            </a:ln>
          </c:spPr>
          <c:marker>
            <c:spPr>
              <a:solidFill>
                <a:srgbClr val="1F497D"/>
              </a:solidFill>
              <a:ln>
                <a:solidFill>
                  <a:schemeClr val="tx2"/>
                </a:solidFill>
              </a:ln>
            </c:spPr>
          </c:marker>
          <c:dLbls>
            <c:dLbl>
              <c:idx val="0"/>
              <c:layout>
                <c:manualLayout>
                  <c:x val="-0.15979087291507921"/>
                  <c:y val="2.2113303252824793E-2"/>
                </c:manualLayout>
              </c:layout>
              <c:dLblPos val="r"/>
              <c:showSerName val="1"/>
            </c:dLbl>
            <c:dLblPos val="l"/>
            <c:showSerName val="1"/>
          </c:dLbls>
          <c:xVal>
            <c:numRef>
              <c:f>'Summary Data'!$D$39</c:f>
              <c:numCache>
                <c:formatCode>_(* #,##0.00_);_(* \(#,##0.00\);_(* "-"??_);_(@_)</c:formatCode>
                <c:ptCount val="1"/>
                <c:pt idx="0">
                  <c:v>0.90321388991501073</c:v>
                </c:pt>
              </c:numCache>
            </c:numRef>
          </c:xVal>
          <c:yVal>
            <c:numRef>
              <c:f>'Summary Data'!$D$39</c:f>
              <c:numCache>
                <c:formatCode>_(* #,##0.00_);_(* \(#,##0.00\);_(* "-"??_);_(@_)</c:formatCode>
                <c:ptCount val="1"/>
                <c:pt idx="0">
                  <c:v>0.90321388991501073</c:v>
                </c:pt>
              </c:numCache>
            </c:numRef>
          </c:yVal>
        </c:ser>
        <c:ser>
          <c:idx val="15"/>
          <c:order val="11"/>
          <c:tx>
            <c:strRef>
              <c:f>'Summary Data'!$A$40</c:f>
              <c:strCache>
                <c:ptCount val="1"/>
                <c:pt idx="0">
                  <c:v>United States</c:v>
                </c:pt>
              </c:strCache>
            </c:strRef>
          </c:tx>
          <c:spPr>
            <a:ln w="28575">
              <a:solidFill>
                <a:schemeClr val="tx2"/>
              </a:solidFill>
            </a:ln>
          </c:spPr>
          <c:marker>
            <c:symbol val="circle"/>
            <c:size val="7"/>
            <c:spPr>
              <a:solidFill>
                <a:schemeClr val="tx2"/>
              </a:solidFill>
              <a:ln>
                <a:solidFill>
                  <a:schemeClr val="tx2"/>
                </a:solidFill>
              </a:ln>
            </c:spPr>
          </c:marker>
          <c:dLbls>
            <c:dLbl>
              <c:idx val="0"/>
              <c:layout>
                <c:manualLayout>
                  <c:x val="-1.1111111111111125E-2"/>
                  <c:y val="-4.6296296296297014E-3"/>
                </c:manualLayout>
              </c:layout>
              <c:showSerName val="1"/>
            </c:dLbl>
            <c:showSerName val="1"/>
          </c:dLbls>
          <c:xVal>
            <c:numRef>
              <c:f>'Summary Data'!$F$40</c:f>
              <c:numCache>
                <c:formatCode>"$"#,##0.00_);[Red]\("$"#,##0.00\)</c:formatCode>
                <c:ptCount val="1"/>
                <c:pt idx="0">
                  <c:v>0.54</c:v>
                </c:pt>
              </c:numCache>
            </c:numRef>
          </c:xVal>
          <c:yVal>
            <c:numRef>
              <c:f>'Summary Data'!$D$40</c:f>
              <c:numCache>
                <c:formatCode>_(* #,##0.00_);_(* \(#,##0.00\);_(* "-"??_);_(@_)</c:formatCode>
                <c:ptCount val="1"/>
                <c:pt idx="0">
                  <c:v>2.1823383965693401</c:v>
                </c:pt>
              </c:numCache>
            </c:numRef>
          </c:yVal>
        </c:ser>
        <c:ser>
          <c:idx val="16"/>
          <c:order val="12"/>
          <c:tx>
            <c:strRef>
              <c:f>'Summary Data'!$A$28</c:f>
              <c:strCache>
                <c:ptCount val="1"/>
                <c:pt idx="0">
                  <c:v>Netherlands</c:v>
                </c:pt>
              </c:strCache>
            </c:strRef>
          </c:tx>
          <c:spPr>
            <a:ln w="28575">
              <a:noFill/>
            </a:ln>
          </c:spPr>
          <c:marker>
            <c:symbol val="circle"/>
            <c:size val="7"/>
            <c:spPr>
              <a:solidFill>
                <a:srgbClr val="1F497D"/>
              </a:solidFill>
              <a:ln>
                <a:solidFill>
                  <a:schemeClr val="tx2"/>
                </a:solidFill>
              </a:ln>
            </c:spPr>
          </c:marker>
          <c:dLbls>
            <c:dLbl>
              <c:idx val="0"/>
              <c:layout>
                <c:manualLayout>
                  <c:x val="-1.1111111111111021E-2"/>
                  <c:y val="0"/>
                </c:manualLayout>
              </c:layout>
              <c:showSerName val="1"/>
            </c:dLbl>
            <c:showSerName val="1"/>
          </c:dLbls>
          <c:xVal>
            <c:numRef>
              <c:f>'Summary Data'!$F$28</c:f>
              <c:numCache>
                <c:formatCode>"$"#,##0.00_);[Red]\("$"#,##0.00\)</c:formatCode>
                <c:ptCount val="1"/>
                <c:pt idx="0">
                  <c:v>1.62</c:v>
                </c:pt>
              </c:numCache>
            </c:numRef>
          </c:xVal>
          <c:yVal>
            <c:numRef>
              <c:f>'Summary Data'!$D$28</c:f>
              <c:numCache>
                <c:formatCode>_(* #,##0.00_);_(* \(#,##0.00\);_(* "-"??_);_(@_)</c:formatCode>
                <c:ptCount val="1"/>
                <c:pt idx="0">
                  <c:v>0.93133629191319989</c:v>
                </c:pt>
              </c:numCache>
            </c:numRef>
          </c:yVal>
        </c:ser>
        <c:axId val="185179136"/>
        <c:axId val="185205888"/>
      </c:scatterChart>
      <c:valAx>
        <c:axId val="185179136"/>
        <c:scaling>
          <c:orientation val="minMax"/>
          <c:max val="2"/>
          <c:min val="0.5"/>
        </c:scaling>
        <c:axPos val="b"/>
        <c:title>
          <c:tx>
            <c:rich>
              <a:bodyPr/>
              <a:lstStyle/>
              <a:p>
                <a:pPr>
                  <a:defRPr/>
                </a:pPr>
                <a:r>
                  <a:rPr lang="en-US"/>
                  <a:t>Fuel Prices per Liter (in 2007 price)</a:t>
                </a:r>
              </a:p>
            </c:rich>
          </c:tx>
        </c:title>
        <c:numFmt formatCode="&quot;$&quot;#,##0.00_);[Red]\(&quot;$&quot;#,##0.00\)" sourceLinked="1"/>
        <c:tickLblPos val="nextTo"/>
        <c:crossAx val="185205888"/>
        <c:crosses val="autoZero"/>
        <c:crossBetween val="midCat"/>
      </c:valAx>
      <c:valAx>
        <c:axId val="185205888"/>
        <c:scaling>
          <c:orientation val="minMax"/>
        </c:scaling>
        <c:axPos val="l"/>
        <c:majorGridlines/>
        <c:title>
          <c:tx>
            <c:rich>
              <a:bodyPr rot="-5400000" vert="horz"/>
              <a:lstStyle/>
              <a:p>
                <a:pPr>
                  <a:defRPr/>
                </a:pPr>
                <a:r>
                  <a:rPr lang="en-US"/>
                  <a:t>Annual Transport Fuel Consumption     (Tonnes per Capita)</a:t>
                </a:r>
              </a:p>
            </c:rich>
          </c:tx>
          <c:layout>
            <c:manualLayout>
              <c:xMode val="edge"/>
              <c:yMode val="edge"/>
              <c:x val="6.7784268901872934E-3"/>
              <c:y val="4.6611027554140032E-2"/>
            </c:manualLayout>
          </c:layout>
        </c:title>
        <c:numFmt formatCode="_(* #,##0.0_);_(* \(#,##0.0\);_(* &quot;-&quot;?_);_(@_)" sourceLinked="0"/>
        <c:tickLblPos val="nextTo"/>
        <c:crossAx val="185179136"/>
        <c:crosses val="autoZero"/>
        <c:crossBetween val="midCat"/>
      </c:valAx>
    </c:plotArea>
    <c:plotVisOnly val="1"/>
  </c:chart>
  <c:spPr>
    <a:ln>
      <a:noFill/>
    </a:ln>
  </c:spPr>
  <c:txPr>
    <a:bodyPr/>
    <a:lstStyle/>
    <a:p>
      <a:pPr>
        <a:defRPr sz="800"/>
      </a:pPr>
      <a:endParaRPr lang="en-US"/>
    </a:p>
  </c:txPr>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'Gas Price_ECA'!$B$1</c:f>
              <c:strCache>
                <c:ptCount val="1"/>
                <c:pt idx="0">
                  <c:v>Gas Price</c:v>
                </c:pt>
              </c:strCache>
            </c:strRef>
          </c:tx>
          <c:dPt>
            <c:idx val="8"/>
            <c:spPr>
              <a:gradFill>
                <a:gsLst>
                  <a:gs pos="0">
                    <a:srgbClr val="000082"/>
                  </a:gs>
                  <a:gs pos="30000">
                    <a:srgbClr val="66008F"/>
                  </a:gs>
                  <a:gs pos="64999">
                    <a:srgbClr val="BA0066"/>
                  </a:gs>
                  <a:gs pos="89999">
                    <a:srgbClr val="FF0000"/>
                  </a:gs>
                  <a:gs pos="100000">
                    <a:srgbClr val="FF8200"/>
                  </a:gs>
                </a:gsLst>
                <a:lin ang="5400000" scaled="0"/>
              </a:gradFill>
            </c:spPr>
          </c:dPt>
          <c:cat>
            <c:strRef>
              <c:f>'Gas Price_ECA'!$A$2:$A$29</c:f>
              <c:strCache>
                <c:ptCount val="21"/>
                <c:pt idx="0">
                  <c:v>Turkmenistan</c:v>
                </c:pt>
                <c:pt idx="1">
                  <c:v>Kazakhstan</c:v>
                </c:pt>
                <c:pt idx="2">
                  <c:v>Azerbaijan</c:v>
                </c:pt>
                <c:pt idx="3">
                  <c:v>Russia</c:v>
                </c:pt>
                <c:pt idx="4">
                  <c:v>Uzbekistan</c:v>
                </c:pt>
                <c:pt idx="5">
                  <c:v>Ukraine</c:v>
                </c:pt>
                <c:pt idx="6">
                  <c:v>Armenia</c:v>
                </c:pt>
                <c:pt idx="7">
                  <c:v>Belarus</c:v>
                </c:pt>
                <c:pt idx="8">
                  <c:v>Georgia</c:v>
                </c:pt>
                <c:pt idx="9">
                  <c:v>Moldova</c:v>
                </c:pt>
                <c:pt idx="10">
                  <c:v>Albania</c:v>
                </c:pt>
                <c:pt idx="11">
                  <c:v>Romania</c:v>
                </c:pt>
                <c:pt idx="12">
                  <c:v>Serbia</c:v>
                </c:pt>
                <c:pt idx="13">
                  <c:v>Macedonia</c:v>
                </c:pt>
                <c:pt idx="14">
                  <c:v>Poland</c:v>
                </c:pt>
                <c:pt idx="15">
                  <c:v>Croatia</c:v>
                </c:pt>
                <c:pt idx="16">
                  <c:v>Hungary</c:v>
                </c:pt>
                <c:pt idx="17">
                  <c:v>Slovenia</c:v>
                </c:pt>
                <c:pt idx="18">
                  <c:v>Slovak Republic</c:v>
                </c:pt>
                <c:pt idx="19">
                  <c:v>Czech Republic</c:v>
                </c:pt>
                <c:pt idx="20">
                  <c:v>Turkey</c:v>
                </c:pt>
              </c:strCache>
            </c:strRef>
          </c:cat>
          <c:val>
            <c:numRef>
              <c:f>'Gas Price_ECA'!$B$2:$B$29</c:f>
              <c:numCache>
                <c:formatCode>_([$$-409]* #,##0_);_([$$-409]* \(#,##0\);_([$$-409]* "-"??_);_(@_)</c:formatCode>
                <c:ptCount val="21"/>
                <c:pt idx="0">
                  <c:v>0.22</c:v>
                </c:pt>
                <c:pt idx="1">
                  <c:v>0.71000000000000063</c:v>
                </c:pt>
                <c:pt idx="2">
                  <c:v>0.75000000000001221</c:v>
                </c:pt>
                <c:pt idx="3">
                  <c:v>0.84000000000000064</c:v>
                </c:pt>
                <c:pt idx="4">
                  <c:v>0.92</c:v>
                </c:pt>
                <c:pt idx="5">
                  <c:v>1.01</c:v>
                </c:pt>
                <c:pt idx="6">
                  <c:v>1.08</c:v>
                </c:pt>
                <c:pt idx="7">
                  <c:v>1.08</c:v>
                </c:pt>
                <c:pt idx="8">
                  <c:v>1.1299999999999728</c:v>
                </c:pt>
                <c:pt idx="9">
                  <c:v>1.21</c:v>
                </c:pt>
                <c:pt idx="10">
                  <c:v>1.46</c:v>
                </c:pt>
                <c:pt idx="11">
                  <c:v>1.46</c:v>
                </c:pt>
                <c:pt idx="12">
                  <c:v>1.5</c:v>
                </c:pt>
                <c:pt idx="13">
                  <c:v>1.52</c:v>
                </c:pt>
                <c:pt idx="14">
                  <c:v>1.57</c:v>
                </c:pt>
                <c:pt idx="15">
                  <c:v>1.59</c:v>
                </c:pt>
                <c:pt idx="16">
                  <c:v>1.6700000000000021</c:v>
                </c:pt>
                <c:pt idx="17">
                  <c:v>1.6700000000000021</c:v>
                </c:pt>
                <c:pt idx="18">
                  <c:v>1.7</c:v>
                </c:pt>
                <c:pt idx="19">
                  <c:v>1.75</c:v>
                </c:pt>
                <c:pt idx="20">
                  <c:v>2.52</c:v>
                </c:pt>
              </c:numCache>
            </c:numRef>
          </c:val>
        </c:ser>
        <c:axId val="185248000"/>
        <c:axId val="185249792"/>
      </c:barChart>
      <c:catAx>
        <c:axId val="185248000"/>
        <c:scaling>
          <c:orientation val="minMax"/>
        </c:scaling>
        <c:axPos val="b"/>
        <c:tickLblPos val="nextTo"/>
        <c:crossAx val="185249792"/>
        <c:crosses val="autoZero"/>
        <c:auto val="1"/>
        <c:lblAlgn val="ctr"/>
        <c:lblOffset val="100"/>
      </c:catAx>
      <c:valAx>
        <c:axId val="185249792"/>
        <c:scaling>
          <c:orientation val="minMax"/>
          <c:max val="3"/>
          <c:min val="0"/>
        </c:scaling>
        <c:axPos val="l"/>
        <c:majorGridlines/>
        <c:numFmt formatCode="_([$$-409]* #,##0.0_);_([$$-409]* \(#,##0.0\);_([$$-409]* &quot;-&quot;?_);_(@_)" sourceLinked="0"/>
        <c:tickLblPos val="nextTo"/>
        <c:crossAx val="185248000"/>
        <c:crosses val="autoZero"/>
        <c:crossBetween val="between"/>
        <c:majorUnit val="0.5"/>
      </c:valAx>
    </c:plotArea>
    <c:plotVisOnly val="1"/>
  </c:chart>
  <c:spPr>
    <a:ln>
      <a:noFill/>
    </a:ln>
  </c:spPr>
  <c:txPr>
    <a:bodyPr/>
    <a:lstStyle/>
    <a:p>
      <a:pPr>
        <a:defRPr sz="700"/>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1539095403772201"/>
          <c:y val="5.6194125159642422E-2"/>
          <c:w val="0.86135323200881186"/>
          <c:h val="0.61684979032793363"/>
        </c:manualLayout>
      </c:layout>
      <c:barChart>
        <c:barDir val="col"/>
        <c:grouping val="clustered"/>
        <c:ser>
          <c:idx val="0"/>
          <c:order val="0"/>
          <c:cat>
            <c:strRef>
              <c:f>'Gas price_% income'!$A$2:$A$28</c:f>
              <c:strCache>
                <c:ptCount val="22"/>
                <c:pt idx="0">
                  <c:v>Turkmenistan</c:v>
                </c:pt>
                <c:pt idx="1">
                  <c:v>Slovenia</c:v>
                </c:pt>
                <c:pt idx="2">
                  <c:v>Czech Republic</c:v>
                </c:pt>
                <c:pt idx="3">
                  <c:v>Slovak Republic</c:v>
                </c:pt>
                <c:pt idx="4">
                  <c:v>Croatia</c:v>
                </c:pt>
                <c:pt idx="5">
                  <c:v>Poland</c:v>
                </c:pt>
                <c:pt idx="6">
                  <c:v>Hungary</c:v>
                </c:pt>
                <c:pt idx="7">
                  <c:v>Azerbaijan</c:v>
                </c:pt>
                <c:pt idx="8">
                  <c:v>Belarus</c:v>
                </c:pt>
                <c:pt idx="9">
                  <c:v>Romania</c:v>
                </c:pt>
                <c:pt idx="10">
                  <c:v>Bulgaria</c:v>
                </c:pt>
                <c:pt idx="11">
                  <c:v>Turkey</c:v>
                </c:pt>
                <c:pt idx="12">
                  <c:v>Serbia</c:v>
                </c:pt>
                <c:pt idx="13">
                  <c:v>Ukraine</c:v>
                </c:pt>
                <c:pt idx="14">
                  <c:v>Macedonia</c:v>
                </c:pt>
                <c:pt idx="15">
                  <c:v>Armenia</c:v>
                </c:pt>
                <c:pt idx="16">
                  <c:v>Albania</c:v>
                </c:pt>
                <c:pt idx="17">
                  <c:v>Georgia</c:v>
                </c:pt>
                <c:pt idx="18">
                  <c:v>Moldova</c:v>
                </c:pt>
                <c:pt idx="19">
                  <c:v>Uzbekistan</c:v>
                </c:pt>
                <c:pt idx="20">
                  <c:v>Kyrgyz Republic</c:v>
                </c:pt>
                <c:pt idx="21">
                  <c:v>Tajikistan</c:v>
                </c:pt>
              </c:strCache>
            </c:strRef>
          </c:cat>
          <c:val>
            <c:numRef>
              <c:f>'Gas price_% income'!$B$2:$B$28</c:f>
            </c:numRef>
          </c:val>
        </c:ser>
        <c:ser>
          <c:idx val="2"/>
          <c:order val="1"/>
          <c:cat>
            <c:strRef>
              <c:f>'Gas price_% income'!$A$2:$A$28</c:f>
              <c:strCache>
                <c:ptCount val="22"/>
                <c:pt idx="0">
                  <c:v>Turkmenistan</c:v>
                </c:pt>
                <c:pt idx="1">
                  <c:v>Slovenia</c:v>
                </c:pt>
                <c:pt idx="2">
                  <c:v>Czech Republic</c:v>
                </c:pt>
                <c:pt idx="3">
                  <c:v>Slovak Republic</c:v>
                </c:pt>
                <c:pt idx="4">
                  <c:v>Croatia</c:v>
                </c:pt>
                <c:pt idx="5">
                  <c:v>Poland</c:v>
                </c:pt>
                <c:pt idx="6">
                  <c:v>Hungary</c:v>
                </c:pt>
                <c:pt idx="7">
                  <c:v>Azerbaijan</c:v>
                </c:pt>
                <c:pt idx="8">
                  <c:v>Belarus</c:v>
                </c:pt>
                <c:pt idx="9">
                  <c:v>Romania</c:v>
                </c:pt>
                <c:pt idx="10">
                  <c:v>Bulgaria</c:v>
                </c:pt>
                <c:pt idx="11">
                  <c:v>Turkey</c:v>
                </c:pt>
                <c:pt idx="12">
                  <c:v>Serbia</c:v>
                </c:pt>
                <c:pt idx="13">
                  <c:v>Ukraine</c:v>
                </c:pt>
                <c:pt idx="14">
                  <c:v>Macedonia</c:v>
                </c:pt>
                <c:pt idx="15">
                  <c:v>Armenia</c:v>
                </c:pt>
                <c:pt idx="16">
                  <c:v>Albania</c:v>
                </c:pt>
                <c:pt idx="17">
                  <c:v>Georgia</c:v>
                </c:pt>
                <c:pt idx="18">
                  <c:v>Moldova</c:v>
                </c:pt>
                <c:pt idx="19">
                  <c:v>Uzbekistan</c:v>
                </c:pt>
                <c:pt idx="20">
                  <c:v>Kyrgyz Republic</c:v>
                </c:pt>
                <c:pt idx="21">
                  <c:v>Tajikistan</c:v>
                </c:pt>
              </c:strCache>
            </c:strRef>
          </c:cat>
          <c:val>
            <c:numRef>
              <c:f>'Gas price_% income'!$D$2:$D$28</c:f>
            </c:numRef>
          </c:val>
        </c:ser>
        <c:ser>
          <c:idx val="3"/>
          <c:order val="2"/>
          <c:dPt>
            <c:idx val="17"/>
            <c:spPr>
              <a:gradFill>
                <a:gsLst>
                  <a:gs pos="0">
                    <a:srgbClr val="000082"/>
                  </a:gs>
                  <a:gs pos="30000">
                    <a:srgbClr val="66008F"/>
                  </a:gs>
                  <a:gs pos="64999">
                    <a:srgbClr val="BA0066"/>
                  </a:gs>
                  <a:gs pos="89999">
                    <a:srgbClr val="FF0000"/>
                  </a:gs>
                  <a:gs pos="100000">
                    <a:srgbClr val="FF8200"/>
                  </a:gs>
                </a:gsLst>
                <a:lin ang="5400000" scaled="0"/>
              </a:gradFill>
            </c:spPr>
          </c:dPt>
          <c:cat>
            <c:strRef>
              <c:f>'Gas price_% income'!$A$2:$A$28</c:f>
              <c:strCache>
                <c:ptCount val="22"/>
                <c:pt idx="0">
                  <c:v>Turkmenistan</c:v>
                </c:pt>
                <c:pt idx="1">
                  <c:v>Slovenia</c:v>
                </c:pt>
                <c:pt idx="2">
                  <c:v>Czech Republic</c:v>
                </c:pt>
                <c:pt idx="3">
                  <c:v>Slovak Republic</c:v>
                </c:pt>
                <c:pt idx="4">
                  <c:v>Croatia</c:v>
                </c:pt>
                <c:pt idx="5">
                  <c:v>Poland</c:v>
                </c:pt>
                <c:pt idx="6">
                  <c:v>Hungary</c:v>
                </c:pt>
                <c:pt idx="7">
                  <c:v>Azerbaijan</c:v>
                </c:pt>
                <c:pt idx="8">
                  <c:v>Belarus</c:v>
                </c:pt>
                <c:pt idx="9">
                  <c:v>Romania</c:v>
                </c:pt>
                <c:pt idx="10">
                  <c:v>Bulgaria</c:v>
                </c:pt>
                <c:pt idx="11">
                  <c:v>Turkey</c:v>
                </c:pt>
                <c:pt idx="12">
                  <c:v>Serbia</c:v>
                </c:pt>
                <c:pt idx="13">
                  <c:v>Ukraine</c:v>
                </c:pt>
                <c:pt idx="14">
                  <c:v>Macedonia</c:v>
                </c:pt>
                <c:pt idx="15">
                  <c:v>Armenia</c:v>
                </c:pt>
                <c:pt idx="16">
                  <c:v>Albania</c:v>
                </c:pt>
                <c:pt idx="17">
                  <c:v>Georgia</c:v>
                </c:pt>
                <c:pt idx="18">
                  <c:v>Moldova</c:v>
                </c:pt>
                <c:pt idx="19">
                  <c:v>Uzbekistan</c:v>
                </c:pt>
                <c:pt idx="20">
                  <c:v>Kyrgyz Republic</c:v>
                </c:pt>
                <c:pt idx="21">
                  <c:v>Tajikistan</c:v>
                </c:pt>
              </c:strCache>
            </c:strRef>
          </c:cat>
          <c:val>
            <c:numRef>
              <c:f>'Gas price_% income'!$E$2:$E$28</c:f>
              <c:numCache>
                <c:formatCode>0.00%</c:formatCode>
                <c:ptCount val="22"/>
                <c:pt idx="0">
                  <c:v>6.9473684210529484E-4</c:v>
                </c:pt>
                <c:pt idx="1">
                  <c:v>8.3500000000003493E-4</c:v>
                </c:pt>
                <c:pt idx="2">
                  <c:v>1.1738401341531951E-3</c:v>
                </c:pt>
                <c:pt idx="3">
                  <c:v>1.2584824182603341E-3</c:v>
                </c:pt>
                <c:pt idx="4">
                  <c:v>1.3846153846154262E-3</c:v>
                </c:pt>
                <c:pt idx="5">
                  <c:v>1.5181305398872362E-3</c:v>
                </c:pt>
                <c:pt idx="6">
                  <c:v>1.5439137134052401E-3</c:v>
                </c:pt>
                <c:pt idx="7">
                  <c:v>1.7716535433070881E-3</c:v>
                </c:pt>
                <c:pt idx="8">
                  <c:v>2.1141924959216982E-3</c:v>
                </c:pt>
                <c:pt idx="9">
                  <c:v>2.2346938775511011E-3</c:v>
                </c:pt>
                <c:pt idx="10">
                  <c:v>2.8992000000000002E-3</c:v>
                </c:pt>
                <c:pt idx="11">
                  <c:v>3.0576339737108196E-3</c:v>
                </c:pt>
                <c:pt idx="12">
                  <c:v>3.0981067125646386E-3</c:v>
                </c:pt>
                <c:pt idx="13">
                  <c:v>4.0265780730897004E-3</c:v>
                </c:pt>
                <c:pt idx="14">
                  <c:v>4.0353982300884951E-3</c:v>
                </c:pt>
                <c:pt idx="15">
                  <c:v>4.1941747572815345E-3</c:v>
                </c:pt>
                <c:pt idx="16">
                  <c:v>4.4242424242426047E-3</c:v>
                </c:pt>
                <c:pt idx="17">
                  <c:v>5.0408921933087743E-3</c:v>
                </c:pt>
                <c:pt idx="18">
                  <c:v>8.0220994475138207E-3</c:v>
                </c:pt>
                <c:pt idx="19">
                  <c:v>8.6250000000000007E-3</c:v>
                </c:pt>
                <c:pt idx="20">
                  <c:v>1.1590909090909101E-2</c:v>
                </c:pt>
                <c:pt idx="21">
                  <c:v>1.5299999999999998E-2</c:v>
                </c:pt>
              </c:numCache>
            </c:numRef>
          </c:val>
        </c:ser>
        <c:axId val="185283328"/>
        <c:axId val="185284864"/>
      </c:barChart>
      <c:catAx>
        <c:axId val="185283328"/>
        <c:scaling>
          <c:orientation val="minMax"/>
        </c:scaling>
        <c:axPos val="b"/>
        <c:tickLblPos val="nextTo"/>
        <c:crossAx val="185284864"/>
        <c:crosses val="autoZero"/>
        <c:auto val="1"/>
        <c:lblAlgn val="ctr"/>
        <c:lblOffset val="100"/>
      </c:catAx>
      <c:valAx>
        <c:axId val="185284864"/>
        <c:scaling>
          <c:orientation val="minMax"/>
        </c:scaling>
        <c:axPos val="l"/>
        <c:majorGridlines/>
        <c:numFmt formatCode="0.0%" sourceLinked="0"/>
        <c:tickLblPos val="nextTo"/>
        <c:crossAx val="185283328"/>
        <c:crosses val="autoZero"/>
        <c:crossBetween val="between"/>
      </c:valAx>
    </c:plotArea>
    <c:plotVisOnly val="1"/>
  </c:chart>
  <c:spPr>
    <a:ln>
      <a:noFill/>
    </a:ln>
  </c:spPr>
  <c:txPr>
    <a:bodyPr/>
    <a:lstStyle/>
    <a:p>
      <a:pPr>
        <a:defRPr sz="700"/>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0015778462474467"/>
          <c:y val="6.4927015701984614E-2"/>
          <c:w val="0.86189235041272061"/>
          <c:h val="0.78152553299258665"/>
        </c:manualLayout>
      </c:layout>
      <c:barChart>
        <c:barDir val="col"/>
        <c:grouping val="clustered"/>
        <c:ser>
          <c:idx val="0"/>
          <c:order val="0"/>
          <c:tx>
            <c:v>Georgia</c:v>
          </c:tx>
          <c:cat>
            <c:strRef>
              <c:f>'Average vehicle age'!$B$1:$E$1</c:f>
              <c:strCache>
                <c:ptCount val="4"/>
                <c:pt idx="0">
                  <c:v>All vehicles</c:v>
                </c:pt>
                <c:pt idx="1">
                  <c:v>Cars</c:v>
                </c:pt>
                <c:pt idx="2">
                  <c:v>Buses</c:v>
                </c:pt>
                <c:pt idx="3">
                  <c:v>Trucks</c:v>
                </c:pt>
              </c:strCache>
            </c:strRef>
          </c:cat>
          <c:val>
            <c:numRef>
              <c:f>'Average vehicle age'!$B$2:$E$2</c:f>
              <c:numCache>
                <c:formatCode>General</c:formatCode>
                <c:ptCount val="4"/>
                <c:pt idx="0">
                  <c:v>22.3</c:v>
                </c:pt>
                <c:pt idx="1">
                  <c:v>21.2</c:v>
                </c:pt>
                <c:pt idx="2">
                  <c:v>16.3</c:v>
                </c:pt>
                <c:pt idx="3">
                  <c:v>30.5</c:v>
                </c:pt>
              </c:numCache>
            </c:numRef>
          </c:val>
        </c:ser>
        <c:ser>
          <c:idx val="1"/>
          <c:order val="1"/>
          <c:tx>
            <c:v>EU-27</c:v>
          </c:tx>
          <c:spPr>
            <a:solidFill>
              <a:srgbClr val="92D050"/>
            </a:solidFill>
          </c:spPr>
          <c:cat>
            <c:strRef>
              <c:f>'Average vehicle age'!$B$1:$E$1</c:f>
              <c:strCache>
                <c:ptCount val="4"/>
                <c:pt idx="0">
                  <c:v>All vehicles</c:v>
                </c:pt>
                <c:pt idx="1">
                  <c:v>Cars</c:v>
                </c:pt>
                <c:pt idx="2">
                  <c:v>Buses</c:v>
                </c:pt>
                <c:pt idx="3">
                  <c:v>Trucks</c:v>
                </c:pt>
              </c:strCache>
            </c:strRef>
          </c:cat>
          <c:val>
            <c:numRef>
              <c:f>'Average vehicle age'!$B$3:$E$3</c:f>
              <c:numCache>
                <c:formatCode>General</c:formatCode>
                <c:ptCount val="4"/>
                <c:pt idx="0">
                  <c:v>10.79</c:v>
                </c:pt>
                <c:pt idx="1">
                  <c:v>8.19</c:v>
                </c:pt>
                <c:pt idx="2">
                  <c:v>9.3000000000000007</c:v>
                </c:pt>
                <c:pt idx="3">
                  <c:v>11.58</c:v>
                </c:pt>
              </c:numCache>
            </c:numRef>
          </c:val>
        </c:ser>
        <c:axId val="185304576"/>
        <c:axId val="185306112"/>
      </c:barChart>
      <c:catAx>
        <c:axId val="185304576"/>
        <c:scaling>
          <c:orientation val="minMax"/>
        </c:scaling>
        <c:axPos val="b"/>
        <c:tickLblPos val="nextTo"/>
        <c:crossAx val="185306112"/>
        <c:crosses val="autoZero"/>
        <c:auto val="1"/>
        <c:lblAlgn val="ctr"/>
        <c:lblOffset val="100"/>
      </c:catAx>
      <c:valAx>
        <c:axId val="185306112"/>
        <c:scaling>
          <c:orientation val="minMax"/>
        </c:scaling>
        <c:axPos val="l"/>
        <c:majorGridlines/>
        <c:numFmt formatCode="General" sourceLinked="1"/>
        <c:tickLblPos val="nextTo"/>
        <c:crossAx val="185304576"/>
        <c:crosses val="autoZero"/>
        <c:crossBetween val="between"/>
      </c:valAx>
    </c:plotArea>
    <c:legend>
      <c:legendPos val="r"/>
      <c:layout>
        <c:manualLayout>
          <c:xMode val="edge"/>
          <c:yMode val="edge"/>
          <c:x val="0.23161535242877249"/>
          <c:y val="0.17787769949808888"/>
          <c:w val="0.41509590147386038"/>
          <c:h val="0.1120808583137607"/>
        </c:manualLayout>
      </c:layout>
    </c:legend>
    <c:plotVisOnly val="1"/>
  </c:chart>
  <c:spPr>
    <a:ln>
      <a:noFill/>
    </a:ln>
  </c:spPr>
  <c:txPr>
    <a:bodyPr/>
    <a:lstStyle/>
    <a:p>
      <a:pPr>
        <a:defRPr sz="900"/>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style val="15"/>
  <c:chart>
    <c:autoTitleDeleted val="1"/>
    <c:plotArea>
      <c:layout/>
      <c:pieChart>
        <c:varyColors val="1"/>
        <c:ser>
          <c:idx val="0"/>
          <c:order val="0"/>
          <c:tx>
            <c:strRef>
              <c:f>'All vhcl age distribution'!$A$2</c:f>
              <c:strCache>
                <c:ptCount val="1"/>
                <c:pt idx="0">
                  <c:v>cars</c:v>
                </c:pt>
              </c:strCache>
            </c:strRef>
          </c:tx>
          <c:dLbls>
            <c:dLbl>
              <c:idx val="3"/>
              <c:layout>
                <c:manualLayout>
                  <c:x val="2.7574053243344591E-3"/>
                  <c:y val="-4.1281762856566012E-2"/>
                </c:manualLayout>
              </c:layout>
              <c:showCatName val="1"/>
              <c:showPercent val="1"/>
            </c:dLbl>
            <c:showCatName val="1"/>
            <c:showPercent val="1"/>
            <c:showLeaderLines val="1"/>
          </c:dLbls>
          <c:cat>
            <c:strRef>
              <c:f>'All vhcl age distribution'!$B$1:$F$1</c:f>
              <c:strCache>
                <c:ptCount val="5"/>
                <c:pt idx="0">
                  <c:v>&lt;5 yrs</c:v>
                </c:pt>
                <c:pt idx="1">
                  <c:v>5-10 yrs</c:v>
                </c:pt>
                <c:pt idx="2">
                  <c:v>11-15 yrs</c:v>
                </c:pt>
                <c:pt idx="3">
                  <c:v>16-20 yrs</c:v>
                </c:pt>
                <c:pt idx="4">
                  <c:v>&gt;20 yrs</c:v>
                </c:pt>
              </c:strCache>
            </c:strRef>
          </c:cat>
          <c:val>
            <c:numRef>
              <c:f>'All vhcl age distribution'!$B$2:$F$2</c:f>
              <c:numCache>
                <c:formatCode>General</c:formatCode>
                <c:ptCount val="5"/>
                <c:pt idx="0">
                  <c:v>23784</c:v>
                </c:pt>
                <c:pt idx="1">
                  <c:v>42837</c:v>
                </c:pt>
                <c:pt idx="2">
                  <c:v>171968</c:v>
                </c:pt>
                <c:pt idx="3">
                  <c:v>160660</c:v>
                </c:pt>
                <c:pt idx="4">
                  <c:v>244863</c:v>
                </c:pt>
              </c:numCache>
            </c:numRef>
          </c:val>
        </c:ser>
        <c:dLbls>
          <c:showCatName val="1"/>
          <c:showPercent val="1"/>
        </c:dLbls>
        <c:firstSliceAng val="0"/>
      </c:pieChart>
    </c:plotArea>
    <c:plotVisOnly val="1"/>
  </c:chart>
  <c:spPr>
    <a:ln>
      <a:noFill/>
    </a:ln>
  </c:spPr>
  <c:txPr>
    <a:bodyPr/>
    <a:lstStyle/>
    <a:p>
      <a:pPr>
        <a:defRPr sz="900"/>
      </a:pPr>
      <a:endParaRPr lang="en-US"/>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142F62C-E916-488E-AEC9-FE2975485986}" type="doc">
      <dgm:prSet loTypeId="urn:microsoft.com/office/officeart/2005/8/layout/arrow3" loCatId="relationship" qsTypeId="urn:microsoft.com/office/officeart/2005/8/quickstyle/simple1" qsCatId="simple" csTypeId="urn:microsoft.com/office/officeart/2005/8/colors/accent1_2" csCatId="accent1" phldr="1"/>
      <dgm:spPr/>
      <dgm:t>
        <a:bodyPr/>
        <a:lstStyle/>
        <a:p>
          <a:endParaRPr lang="en-US"/>
        </a:p>
      </dgm:t>
    </dgm:pt>
    <dgm:pt modelId="{CDBF835A-2396-414E-A913-90C48AA588FD}">
      <dgm:prSet phldrT="[Text]" custT="1"/>
      <dgm:spPr/>
      <dgm:t>
        <a:bodyPr lIns="0" tIns="0" rIns="0" bIns="0"/>
        <a:lstStyle/>
        <a:p>
          <a:pPr algn="ctr"/>
          <a:r>
            <a:rPr lang="en-US" sz="1000" b="1" u="sng"/>
            <a:t>Influencing Choices</a:t>
          </a:r>
        </a:p>
        <a:p>
          <a:pPr algn="ctr"/>
          <a:r>
            <a:rPr lang="en-US" sz="1000"/>
            <a:t>Making green transport </a:t>
          </a:r>
          <a:r>
            <a:rPr lang="en-US" sz="1000" b="1" i="1"/>
            <a:t>attractive</a:t>
          </a:r>
          <a:r>
            <a:rPr lang="en-US" sz="1000"/>
            <a:t> to users</a:t>
          </a:r>
        </a:p>
      </dgm:t>
    </dgm:pt>
    <dgm:pt modelId="{8BC4ED88-1EBF-4795-9F39-2985F4CF1B20}" type="parTrans" cxnId="{D8417CED-9156-421F-9418-E564AD5784DC}">
      <dgm:prSet/>
      <dgm:spPr/>
      <dgm:t>
        <a:bodyPr/>
        <a:lstStyle/>
        <a:p>
          <a:endParaRPr lang="en-US" sz="1000"/>
        </a:p>
      </dgm:t>
    </dgm:pt>
    <dgm:pt modelId="{1D284263-1FA9-4A8C-B918-034C91E89808}" type="sibTrans" cxnId="{D8417CED-9156-421F-9418-E564AD5784DC}">
      <dgm:prSet/>
      <dgm:spPr/>
      <dgm:t>
        <a:bodyPr/>
        <a:lstStyle/>
        <a:p>
          <a:endParaRPr lang="en-US" sz="1000"/>
        </a:p>
      </dgm:t>
    </dgm:pt>
    <dgm:pt modelId="{167241DD-0EB5-4D74-8628-E822E33F76FF}">
      <dgm:prSet phldrT="[Text]" custT="1"/>
      <dgm:spPr/>
      <dgm:t>
        <a:bodyPr lIns="0" tIns="0" rIns="0" bIns="0"/>
        <a:lstStyle/>
        <a:p>
          <a:pPr algn="ctr"/>
          <a:r>
            <a:rPr lang="en-US" sz="1000" b="1" u="sng"/>
            <a:t>Improving Choices</a:t>
          </a:r>
        </a:p>
        <a:p>
          <a:pPr algn="ctr"/>
          <a:r>
            <a:rPr lang="en-US" sz="1000"/>
            <a:t>Making green transport </a:t>
          </a:r>
          <a:r>
            <a:rPr lang="en-US" sz="1000" b="1" i="1"/>
            <a:t>available</a:t>
          </a:r>
          <a:r>
            <a:rPr lang="en-US" sz="1000" i="1"/>
            <a:t> </a:t>
          </a:r>
          <a:r>
            <a:rPr lang="en-US" sz="1000"/>
            <a:t>to users</a:t>
          </a:r>
        </a:p>
      </dgm:t>
    </dgm:pt>
    <dgm:pt modelId="{B00388CC-E7A2-494C-BB84-1CBC28DB75EB}" type="parTrans" cxnId="{318EE8F8-50E2-4C1A-B052-CC4285049CA7}">
      <dgm:prSet/>
      <dgm:spPr/>
      <dgm:t>
        <a:bodyPr/>
        <a:lstStyle/>
        <a:p>
          <a:endParaRPr lang="en-US" sz="1000"/>
        </a:p>
      </dgm:t>
    </dgm:pt>
    <dgm:pt modelId="{9DB46F63-E996-4CA5-8DDB-9F63547EF960}" type="sibTrans" cxnId="{318EE8F8-50E2-4C1A-B052-CC4285049CA7}">
      <dgm:prSet/>
      <dgm:spPr/>
      <dgm:t>
        <a:bodyPr/>
        <a:lstStyle/>
        <a:p>
          <a:endParaRPr lang="en-US" sz="1000"/>
        </a:p>
      </dgm:t>
    </dgm:pt>
    <dgm:pt modelId="{97632A29-4837-44AD-81DC-AFB89245EAFA}" type="pres">
      <dgm:prSet presAssocID="{A142F62C-E916-488E-AEC9-FE2975485986}" presName="compositeShape" presStyleCnt="0">
        <dgm:presLayoutVars>
          <dgm:chMax val="2"/>
          <dgm:dir/>
          <dgm:resizeHandles val="exact"/>
        </dgm:presLayoutVars>
      </dgm:prSet>
      <dgm:spPr/>
      <dgm:t>
        <a:bodyPr/>
        <a:lstStyle/>
        <a:p>
          <a:endParaRPr lang="en-US"/>
        </a:p>
      </dgm:t>
    </dgm:pt>
    <dgm:pt modelId="{4D3A86A2-CBA9-405F-9BC8-51D99F9CABE7}" type="pres">
      <dgm:prSet presAssocID="{A142F62C-E916-488E-AEC9-FE2975485986}" presName="divider" presStyleLbl="fgShp" presStyleIdx="0" presStyleCnt="1" custAng="63321"/>
      <dgm:spPr/>
    </dgm:pt>
    <dgm:pt modelId="{0B96D72B-647B-48DD-83B0-108AFBDA2869}" type="pres">
      <dgm:prSet presAssocID="{CDBF835A-2396-414E-A913-90C48AA588FD}" presName="downArrow" presStyleLbl="node1" presStyleIdx="0" presStyleCnt="2"/>
      <dgm:spPr/>
    </dgm:pt>
    <dgm:pt modelId="{6CA8CC30-2AB2-4120-86C3-C7A3FE55867B}" type="pres">
      <dgm:prSet presAssocID="{CDBF835A-2396-414E-A913-90C48AA588FD}" presName="downArrowText" presStyleLbl="revTx" presStyleIdx="0" presStyleCnt="2" custScaleX="169241">
        <dgm:presLayoutVars>
          <dgm:bulletEnabled val="1"/>
        </dgm:presLayoutVars>
      </dgm:prSet>
      <dgm:spPr/>
      <dgm:t>
        <a:bodyPr/>
        <a:lstStyle/>
        <a:p>
          <a:endParaRPr lang="en-US"/>
        </a:p>
      </dgm:t>
    </dgm:pt>
    <dgm:pt modelId="{BD2634EC-F9EF-4638-9B92-1800F416C1C0}" type="pres">
      <dgm:prSet presAssocID="{167241DD-0EB5-4D74-8628-E822E33F76FF}" presName="upArrow" presStyleLbl="node1" presStyleIdx="1" presStyleCnt="2"/>
      <dgm:spPr/>
    </dgm:pt>
    <dgm:pt modelId="{6AF9C8AD-C05D-4F61-98E9-27D57E62F607}" type="pres">
      <dgm:prSet presAssocID="{167241DD-0EB5-4D74-8628-E822E33F76FF}" presName="upArrowText" presStyleLbl="revTx" presStyleIdx="1" presStyleCnt="2" custScaleX="169241">
        <dgm:presLayoutVars>
          <dgm:bulletEnabled val="1"/>
        </dgm:presLayoutVars>
      </dgm:prSet>
      <dgm:spPr/>
      <dgm:t>
        <a:bodyPr/>
        <a:lstStyle/>
        <a:p>
          <a:endParaRPr lang="en-US"/>
        </a:p>
      </dgm:t>
    </dgm:pt>
  </dgm:ptLst>
  <dgm:cxnLst>
    <dgm:cxn modelId="{318EE8F8-50E2-4C1A-B052-CC4285049CA7}" srcId="{A142F62C-E916-488E-AEC9-FE2975485986}" destId="{167241DD-0EB5-4D74-8628-E822E33F76FF}" srcOrd="1" destOrd="0" parTransId="{B00388CC-E7A2-494C-BB84-1CBC28DB75EB}" sibTransId="{9DB46F63-E996-4CA5-8DDB-9F63547EF960}"/>
    <dgm:cxn modelId="{B866E1FF-9C1E-4EA3-8C24-59D0ACEE793F}" type="presOf" srcId="{CDBF835A-2396-414E-A913-90C48AA588FD}" destId="{6CA8CC30-2AB2-4120-86C3-C7A3FE55867B}" srcOrd="0" destOrd="0" presId="urn:microsoft.com/office/officeart/2005/8/layout/arrow3"/>
    <dgm:cxn modelId="{D8417CED-9156-421F-9418-E564AD5784DC}" srcId="{A142F62C-E916-488E-AEC9-FE2975485986}" destId="{CDBF835A-2396-414E-A913-90C48AA588FD}" srcOrd="0" destOrd="0" parTransId="{8BC4ED88-1EBF-4795-9F39-2985F4CF1B20}" sibTransId="{1D284263-1FA9-4A8C-B918-034C91E89808}"/>
    <dgm:cxn modelId="{16F7BC26-3CCD-447D-AB2A-78258903FAFF}" type="presOf" srcId="{A142F62C-E916-488E-AEC9-FE2975485986}" destId="{97632A29-4837-44AD-81DC-AFB89245EAFA}" srcOrd="0" destOrd="0" presId="urn:microsoft.com/office/officeart/2005/8/layout/arrow3"/>
    <dgm:cxn modelId="{483A556B-1D06-48CF-9D85-3DECD03B4BBE}" type="presOf" srcId="{167241DD-0EB5-4D74-8628-E822E33F76FF}" destId="{6AF9C8AD-C05D-4F61-98E9-27D57E62F607}" srcOrd="0" destOrd="0" presId="urn:microsoft.com/office/officeart/2005/8/layout/arrow3"/>
    <dgm:cxn modelId="{1E798DD7-C4CD-4D99-BA9E-D12951983729}" type="presParOf" srcId="{97632A29-4837-44AD-81DC-AFB89245EAFA}" destId="{4D3A86A2-CBA9-405F-9BC8-51D99F9CABE7}" srcOrd="0" destOrd="0" presId="urn:microsoft.com/office/officeart/2005/8/layout/arrow3"/>
    <dgm:cxn modelId="{CBBBEA39-84D4-4482-9662-48384694B8B0}" type="presParOf" srcId="{97632A29-4837-44AD-81DC-AFB89245EAFA}" destId="{0B96D72B-647B-48DD-83B0-108AFBDA2869}" srcOrd="1" destOrd="0" presId="urn:microsoft.com/office/officeart/2005/8/layout/arrow3"/>
    <dgm:cxn modelId="{C91735CA-21D6-49B7-9E2D-701B43D4690B}" type="presParOf" srcId="{97632A29-4837-44AD-81DC-AFB89245EAFA}" destId="{6CA8CC30-2AB2-4120-86C3-C7A3FE55867B}" srcOrd="2" destOrd="0" presId="urn:microsoft.com/office/officeart/2005/8/layout/arrow3"/>
    <dgm:cxn modelId="{E3E27D1E-BA6C-48B5-89CF-1819C059483B}" type="presParOf" srcId="{97632A29-4837-44AD-81DC-AFB89245EAFA}" destId="{BD2634EC-F9EF-4638-9B92-1800F416C1C0}" srcOrd="3" destOrd="0" presId="urn:microsoft.com/office/officeart/2005/8/layout/arrow3"/>
    <dgm:cxn modelId="{9D08CAA2-291D-487D-9B1E-1ED2F63238E3}" type="presParOf" srcId="{97632A29-4837-44AD-81DC-AFB89245EAFA}" destId="{6AF9C8AD-C05D-4F61-98E9-27D57E62F607}" srcOrd="4" destOrd="0" presId="urn:microsoft.com/office/officeart/2005/8/layout/arrow3"/>
  </dgm:cxnLst>
  <dgm:bg/>
  <dgm:whole>
    <a:ln>
      <a:noFill/>
    </a:ln>
  </dgm:whole>
  <dgm:extLst>
    <a:ext uri="http://schemas.microsoft.com/office/drawing/2008/diagram">
      <dsp:dataModelExt xmlns:dsp="http://schemas.microsoft.com/office/drawing/2008/diagram" xmlns=""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59FB0EB-765B-47AD-B139-BB425A40B6E3}" type="doc">
      <dgm:prSet loTypeId="urn:microsoft.com/office/officeart/2005/8/layout/lProcess2" loCatId="list" qsTypeId="urn:microsoft.com/office/officeart/2005/8/quickstyle/simple4" qsCatId="simple" csTypeId="urn:microsoft.com/office/officeart/2005/8/colors/accent3_1" csCatId="accent3" phldr="1"/>
      <dgm:spPr/>
      <dgm:t>
        <a:bodyPr/>
        <a:lstStyle/>
        <a:p>
          <a:endParaRPr lang="en-US"/>
        </a:p>
      </dgm:t>
    </dgm:pt>
    <dgm:pt modelId="{360185E3-76D4-440D-899D-2B4A555D44D0}">
      <dgm:prSet phldrT="[Text]" custT="1"/>
      <dgm:spPr/>
      <dgm:t>
        <a:bodyPr lIns="91440" tIns="91440" rIns="91440" bIns="0" anchor="t" anchorCtr="0"/>
        <a:lstStyle/>
        <a:p>
          <a:pPr algn="ctr"/>
          <a:r>
            <a:rPr lang="en-US" sz="1050" b="1"/>
            <a:t>Institutions and Planning</a:t>
          </a:r>
        </a:p>
      </dgm:t>
    </dgm:pt>
    <dgm:pt modelId="{F5334E7F-B5F1-4179-8662-69B34BB0AC54}" type="parTrans" cxnId="{AB5993A5-585B-45D5-8DDE-007D77BCBD2D}">
      <dgm:prSet/>
      <dgm:spPr/>
      <dgm:t>
        <a:bodyPr/>
        <a:lstStyle/>
        <a:p>
          <a:pPr algn="ctr"/>
          <a:endParaRPr lang="en-US" sz="1000"/>
        </a:p>
      </dgm:t>
    </dgm:pt>
    <dgm:pt modelId="{F5009B6C-C059-4859-886C-4B1DC7CB617F}" type="sibTrans" cxnId="{AB5993A5-585B-45D5-8DDE-007D77BCBD2D}">
      <dgm:prSet/>
      <dgm:spPr/>
      <dgm:t>
        <a:bodyPr/>
        <a:lstStyle/>
        <a:p>
          <a:pPr algn="ctr"/>
          <a:endParaRPr lang="en-US" sz="1000"/>
        </a:p>
      </dgm:t>
    </dgm:pt>
    <dgm:pt modelId="{C12D13A1-F9A6-4B3D-BF93-2D5D7E9FA7AA}">
      <dgm:prSet phldrT="[Text]" custT="1"/>
      <dgm:spPr/>
      <dgm:t>
        <a:bodyPr/>
        <a:lstStyle/>
        <a:p>
          <a:pPr algn="ctr"/>
          <a:r>
            <a:rPr lang="en-US" sz="1000"/>
            <a:t>High-level policy integration</a:t>
          </a:r>
        </a:p>
      </dgm:t>
    </dgm:pt>
    <dgm:pt modelId="{7A738B2D-7F97-478C-8675-C758B0E5C3EC}" type="parTrans" cxnId="{35461858-5838-43B0-8699-FB8BC50A430A}">
      <dgm:prSet/>
      <dgm:spPr/>
      <dgm:t>
        <a:bodyPr/>
        <a:lstStyle/>
        <a:p>
          <a:pPr algn="ctr"/>
          <a:endParaRPr lang="en-US" sz="1000"/>
        </a:p>
      </dgm:t>
    </dgm:pt>
    <dgm:pt modelId="{BA422524-966D-4394-8835-68ECD027B4C1}" type="sibTrans" cxnId="{35461858-5838-43B0-8699-FB8BC50A430A}">
      <dgm:prSet/>
      <dgm:spPr/>
      <dgm:t>
        <a:bodyPr/>
        <a:lstStyle/>
        <a:p>
          <a:pPr algn="ctr"/>
          <a:endParaRPr lang="en-US" sz="1000"/>
        </a:p>
      </dgm:t>
    </dgm:pt>
    <dgm:pt modelId="{C0E3250C-8FF4-4ECB-953E-3AA3B5D53232}">
      <dgm:prSet phldrT="[Text]" custT="1"/>
      <dgm:spPr/>
      <dgm:t>
        <a:bodyPr/>
        <a:lstStyle/>
        <a:p>
          <a:pPr algn="ctr"/>
          <a:r>
            <a:rPr lang="en-US" sz="1000"/>
            <a:t>Spatial planning</a:t>
          </a:r>
        </a:p>
      </dgm:t>
    </dgm:pt>
    <dgm:pt modelId="{D8FB9353-B9BA-4A1B-B4EF-87403054A9F1}" type="parTrans" cxnId="{18B1517A-F826-40F9-94B3-E48FF78235BF}">
      <dgm:prSet/>
      <dgm:spPr/>
      <dgm:t>
        <a:bodyPr/>
        <a:lstStyle/>
        <a:p>
          <a:pPr algn="ctr"/>
          <a:endParaRPr lang="en-US" sz="1000"/>
        </a:p>
      </dgm:t>
    </dgm:pt>
    <dgm:pt modelId="{CED527C7-4483-4C3A-B48F-723174EDC2EA}" type="sibTrans" cxnId="{18B1517A-F826-40F9-94B3-E48FF78235BF}">
      <dgm:prSet/>
      <dgm:spPr/>
      <dgm:t>
        <a:bodyPr/>
        <a:lstStyle/>
        <a:p>
          <a:pPr algn="ctr"/>
          <a:endParaRPr lang="en-US" sz="1000"/>
        </a:p>
      </dgm:t>
    </dgm:pt>
    <dgm:pt modelId="{59715A04-CF7B-46A3-B9FE-2D535BF7E7FD}">
      <dgm:prSet phldrT="[Text]" custT="1"/>
      <dgm:spPr/>
      <dgm:t>
        <a:bodyPr lIns="91440" tIns="91440" rIns="91440" bIns="0" anchor="t" anchorCtr="0"/>
        <a:lstStyle/>
        <a:p>
          <a:pPr algn="ctr"/>
          <a:r>
            <a:rPr lang="en-US" sz="1050" b="1"/>
            <a:t>Regulations</a:t>
          </a:r>
        </a:p>
      </dgm:t>
    </dgm:pt>
    <dgm:pt modelId="{449B0F96-6A0D-43BC-A756-9F2D53D5523F}" type="parTrans" cxnId="{0341A96D-3340-43D5-8359-68C383CAA677}">
      <dgm:prSet/>
      <dgm:spPr/>
      <dgm:t>
        <a:bodyPr/>
        <a:lstStyle/>
        <a:p>
          <a:pPr algn="ctr"/>
          <a:endParaRPr lang="en-US" sz="1000"/>
        </a:p>
      </dgm:t>
    </dgm:pt>
    <dgm:pt modelId="{2DD4699F-494F-4545-A586-527417B318BA}" type="sibTrans" cxnId="{0341A96D-3340-43D5-8359-68C383CAA677}">
      <dgm:prSet/>
      <dgm:spPr/>
      <dgm:t>
        <a:bodyPr/>
        <a:lstStyle/>
        <a:p>
          <a:pPr algn="ctr"/>
          <a:endParaRPr lang="en-US" sz="1000"/>
        </a:p>
      </dgm:t>
    </dgm:pt>
    <dgm:pt modelId="{3FF73514-8385-441D-B530-A950A25AD6A1}">
      <dgm:prSet phldrT="[Text]" custT="1"/>
      <dgm:spPr/>
      <dgm:t>
        <a:bodyPr/>
        <a:lstStyle/>
        <a:p>
          <a:pPr algn="ctr"/>
          <a:r>
            <a:rPr lang="en-US" sz="1000"/>
            <a:t>Fuel quality standards</a:t>
          </a:r>
        </a:p>
      </dgm:t>
    </dgm:pt>
    <dgm:pt modelId="{C9220B71-CE6E-4B3F-B4BB-79DDC08418CE}" type="parTrans" cxnId="{5823C094-DD15-45AB-AEDB-CCB75219CE7D}">
      <dgm:prSet/>
      <dgm:spPr/>
      <dgm:t>
        <a:bodyPr/>
        <a:lstStyle/>
        <a:p>
          <a:pPr algn="ctr"/>
          <a:endParaRPr lang="en-US" sz="1000"/>
        </a:p>
      </dgm:t>
    </dgm:pt>
    <dgm:pt modelId="{940AC0CC-D00F-4ED7-8982-EF35094FD585}" type="sibTrans" cxnId="{5823C094-DD15-45AB-AEDB-CCB75219CE7D}">
      <dgm:prSet/>
      <dgm:spPr/>
      <dgm:t>
        <a:bodyPr/>
        <a:lstStyle/>
        <a:p>
          <a:pPr algn="ctr"/>
          <a:endParaRPr lang="en-US" sz="1000"/>
        </a:p>
      </dgm:t>
    </dgm:pt>
    <dgm:pt modelId="{EE892DD9-3152-4F62-84C0-6F99812C96B2}">
      <dgm:prSet phldrT="[Text]" custT="1"/>
      <dgm:spPr/>
      <dgm:t>
        <a:bodyPr/>
        <a:lstStyle/>
        <a:p>
          <a:pPr algn="ctr"/>
          <a:r>
            <a:rPr lang="en-US" sz="1000"/>
            <a:t>Vehicle technical standards</a:t>
          </a:r>
        </a:p>
      </dgm:t>
    </dgm:pt>
    <dgm:pt modelId="{83B784D1-0613-4F97-A97D-73F62DAE04A3}" type="parTrans" cxnId="{C8E18524-D357-4791-A4BB-98CA5008E271}">
      <dgm:prSet/>
      <dgm:spPr/>
      <dgm:t>
        <a:bodyPr/>
        <a:lstStyle/>
        <a:p>
          <a:pPr algn="ctr"/>
          <a:endParaRPr lang="en-US" sz="1000"/>
        </a:p>
      </dgm:t>
    </dgm:pt>
    <dgm:pt modelId="{82536917-6587-430E-971F-7EA71A564D29}" type="sibTrans" cxnId="{C8E18524-D357-4791-A4BB-98CA5008E271}">
      <dgm:prSet/>
      <dgm:spPr/>
      <dgm:t>
        <a:bodyPr/>
        <a:lstStyle/>
        <a:p>
          <a:pPr algn="ctr"/>
          <a:endParaRPr lang="en-US" sz="1000"/>
        </a:p>
      </dgm:t>
    </dgm:pt>
    <dgm:pt modelId="{A886E49C-E8C9-4D1E-937D-C37546BE8FCC}">
      <dgm:prSet phldrT="[Text]" custT="1"/>
      <dgm:spPr/>
      <dgm:t>
        <a:bodyPr lIns="91440" tIns="91440" rIns="91440" bIns="0" anchor="t" anchorCtr="0"/>
        <a:lstStyle/>
        <a:p>
          <a:pPr algn="ctr"/>
          <a:r>
            <a:rPr lang="en-US" sz="1050" b="1"/>
            <a:t>Fiscal Policy and Pricing</a:t>
          </a:r>
        </a:p>
      </dgm:t>
    </dgm:pt>
    <dgm:pt modelId="{8F6A2BCA-A48B-4DB1-A297-86E5A1CE6EFC}" type="parTrans" cxnId="{F6E93031-4CD0-4652-AEDA-D3F981F08DE1}">
      <dgm:prSet/>
      <dgm:spPr/>
      <dgm:t>
        <a:bodyPr/>
        <a:lstStyle/>
        <a:p>
          <a:pPr algn="ctr"/>
          <a:endParaRPr lang="en-US" sz="1000"/>
        </a:p>
      </dgm:t>
    </dgm:pt>
    <dgm:pt modelId="{884AC5D6-003A-40F8-BA9E-15CD253CA6DB}" type="sibTrans" cxnId="{F6E93031-4CD0-4652-AEDA-D3F981F08DE1}">
      <dgm:prSet/>
      <dgm:spPr/>
      <dgm:t>
        <a:bodyPr/>
        <a:lstStyle/>
        <a:p>
          <a:pPr algn="ctr"/>
          <a:endParaRPr lang="en-US" sz="1000"/>
        </a:p>
      </dgm:t>
    </dgm:pt>
    <dgm:pt modelId="{92D6698C-3E5D-46EB-92D0-B10127CC67EA}">
      <dgm:prSet phldrT="[Text]" custT="1"/>
      <dgm:spPr/>
      <dgm:t>
        <a:bodyPr/>
        <a:lstStyle/>
        <a:p>
          <a:pPr algn="ctr"/>
          <a:r>
            <a:rPr lang="en-US" sz="1000"/>
            <a:t>Taxes and subsidies</a:t>
          </a:r>
        </a:p>
      </dgm:t>
    </dgm:pt>
    <dgm:pt modelId="{ED1F7CAD-A116-4DBD-AC50-816C0A18BCF4}" type="parTrans" cxnId="{F39050EB-4B57-464A-BD0B-34FC7990AA3F}">
      <dgm:prSet/>
      <dgm:spPr/>
      <dgm:t>
        <a:bodyPr/>
        <a:lstStyle/>
        <a:p>
          <a:pPr algn="ctr"/>
          <a:endParaRPr lang="en-US" sz="1000"/>
        </a:p>
      </dgm:t>
    </dgm:pt>
    <dgm:pt modelId="{BDC6225C-6D78-4CF4-9836-98DDD656B6C2}" type="sibTrans" cxnId="{F39050EB-4B57-464A-BD0B-34FC7990AA3F}">
      <dgm:prSet/>
      <dgm:spPr/>
      <dgm:t>
        <a:bodyPr/>
        <a:lstStyle/>
        <a:p>
          <a:pPr algn="ctr"/>
          <a:endParaRPr lang="en-US" sz="1000"/>
        </a:p>
      </dgm:t>
    </dgm:pt>
    <dgm:pt modelId="{AD0E412D-B58E-41F2-AF53-69245E455AF8}">
      <dgm:prSet phldrT="[Text]" custT="1"/>
      <dgm:spPr/>
      <dgm:t>
        <a:bodyPr/>
        <a:lstStyle/>
        <a:p>
          <a:pPr algn="ctr"/>
          <a:r>
            <a:rPr lang="en-US" sz="1000"/>
            <a:t>Explicit pricing of externalities</a:t>
          </a:r>
        </a:p>
      </dgm:t>
    </dgm:pt>
    <dgm:pt modelId="{C967B108-61AC-4CED-B143-398634B2FBAD}" type="parTrans" cxnId="{F3819565-B95E-473B-A274-C0005D3DFCC8}">
      <dgm:prSet/>
      <dgm:spPr/>
      <dgm:t>
        <a:bodyPr/>
        <a:lstStyle/>
        <a:p>
          <a:pPr algn="ctr"/>
          <a:endParaRPr lang="en-US" sz="1000"/>
        </a:p>
      </dgm:t>
    </dgm:pt>
    <dgm:pt modelId="{EB8FCEEB-764C-4872-AE1F-F0A5AC1E8F01}" type="sibTrans" cxnId="{F3819565-B95E-473B-A274-C0005D3DFCC8}">
      <dgm:prSet/>
      <dgm:spPr/>
      <dgm:t>
        <a:bodyPr/>
        <a:lstStyle/>
        <a:p>
          <a:pPr algn="ctr"/>
          <a:endParaRPr lang="en-US" sz="1000"/>
        </a:p>
      </dgm:t>
    </dgm:pt>
    <dgm:pt modelId="{7F26462B-73A7-41E4-9B67-1F565EB9CE8C}">
      <dgm:prSet phldrT="[Text]" custT="1"/>
      <dgm:spPr/>
      <dgm:t>
        <a:bodyPr/>
        <a:lstStyle/>
        <a:p>
          <a:pPr algn="ctr"/>
          <a:r>
            <a:rPr lang="en-US" sz="1000"/>
            <a:t>Strategic transport planning</a:t>
          </a:r>
        </a:p>
      </dgm:t>
    </dgm:pt>
    <dgm:pt modelId="{66A65A09-452F-4D7D-9CAE-9C0B834DEDCC}" type="parTrans" cxnId="{F79D1249-FC84-4C57-995D-5F15D5286CE1}">
      <dgm:prSet/>
      <dgm:spPr/>
      <dgm:t>
        <a:bodyPr/>
        <a:lstStyle/>
        <a:p>
          <a:pPr algn="ctr"/>
          <a:endParaRPr lang="en-US" sz="1000"/>
        </a:p>
      </dgm:t>
    </dgm:pt>
    <dgm:pt modelId="{4DCA2D8E-744A-4894-8660-65B36B6F485A}" type="sibTrans" cxnId="{F79D1249-FC84-4C57-995D-5F15D5286CE1}">
      <dgm:prSet/>
      <dgm:spPr/>
      <dgm:t>
        <a:bodyPr/>
        <a:lstStyle/>
        <a:p>
          <a:pPr algn="ctr"/>
          <a:endParaRPr lang="en-US" sz="1000"/>
        </a:p>
      </dgm:t>
    </dgm:pt>
    <dgm:pt modelId="{7A643646-AA1F-40A8-89E1-D7CF561AE6F2}">
      <dgm:prSet phldrT="[Text]" custT="1"/>
      <dgm:spPr/>
      <dgm:t>
        <a:bodyPr/>
        <a:lstStyle/>
        <a:p>
          <a:pPr algn="ctr"/>
          <a:r>
            <a:rPr lang="en-US" sz="1000"/>
            <a:t>Enforcement</a:t>
          </a:r>
        </a:p>
      </dgm:t>
    </dgm:pt>
    <dgm:pt modelId="{66ED4A67-1B23-4930-8864-4F06ECD87460}" type="parTrans" cxnId="{DC531A98-5943-4D87-88A7-022A0ACAE6B3}">
      <dgm:prSet/>
      <dgm:spPr/>
      <dgm:t>
        <a:bodyPr/>
        <a:lstStyle/>
        <a:p>
          <a:pPr algn="ctr"/>
          <a:endParaRPr lang="en-US" sz="1000"/>
        </a:p>
      </dgm:t>
    </dgm:pt>
    <dgm:pt modelId="{0521902F-B5DE-432B-919B-A265B823EA7A}" type="sibTrans" cxnId="{DC531A98-5943-4D87-88A7-022A0ACAE6B3}">
      <dgm:prSet/>
      <dgm:spPr/>
      <dgm:t>
        <a:bodyPr/>
        <a:lstStyle/>
        <a:p>
          <a:pPr algn="ctr"/>
          <a:endParaRPr lang="en-US" sz="1000"/>
        </a:p>
      </dgm:t>
    </dgm:pt>
    <dgm:pt modelId="{E1AFA6E4-D9B7-4673-B6CA-344BBDD70743}">
      <dgm:prSet phldrT="[Text]" custT="1"/>
      <dgm:spPr/>
      <dgm:t>
        <a:bodyPr lIns="91440" tIns="91440" rIns="91440" bIns="0" anchor="t" anchorCtr="0"/>
        <a:lstStyle/>
        <a:p>
          <a:pPr algn="ctr"/>
          <a:r>
            <a:rPr lang="en-US" sz="1050" b="1"/>
            <a:t>Technology and Infrastructure</a:t>
          </a:r>
        </a:p>
      </dgm:t>
    </dgm:pt>
    <dgm:pt modelId="{5E82A705-6DB1-4452-AC14-93A7183F897E}" type="parTrans" cxnId="{867D07A7-AD7C-45F4-976C-A3C9F9F0C435}">
      <dgm:prSet/>
      <dgm:spPr/>
      <dgm:t>
        <a:bodyPr/>
        <a:lstStyle/>
        <a:p>
          <a:pPr algn="ctr"/>
          <a:endParaRPr lang="en-US" sz="1000"/>
        </a:p>
      </dgm:t>
    </dgm:pt>
    <dgm:pt modelId="{3C48EEC2-64E1-4E54-856F-CC4DAAD8A3FA}" type="sibTrans" cxnId="{867D07A7-AD7C-45F4-976C-A3C9F9F0C435}">
      <dgm:prSet/>
      <dgm:spPr/>
      <dgm:t>
        <a:bodyPr/>
        <a:lstStyle/>
        <a:p>
          <a:pPr algn="ctr"/>
          <a:endParaRPr lang="en-US" sz="1000"/>
        </a:p>
      </dgm:t>
    </dgm:pt>
    <dgm:pt modelId="{368924C8-9F43-4E8B-858E-0413311A62BF}">
      <dgm:prSet phldrT="[Text]" custT="1"/>
      <dgm:spPr/>
      <dgm:t>
        <a:bodyPr/>
        <a:lstStyle/>
        <a:p>
          <a:pPr algn="ctr"/>
          <a:r>
            <a:rPr lang="en-US" sz="1000"/>
            <a:t>Greener modes of transport</a:t>
          </a:r>
        </a:p>
      </dgm:t>
    </dgm:pt>
    <dgm:pt modelId="{EEB1867D-D064-4A14-884E-4DC1B05FBB86}" type="parTrans" cxnId="{214110A2-D6E5-4A90-87CE-81AEADF4AC0A}">
      <dgm:prSet/>
      <dgm:spPr/>
      <dgm:t>
        <a:bodyPr/>
        <a:lstStyle/>
        <a:p>
          <a:pPr algn="ctr"/>
          <a:endParaRPr lang="en-US" sz="1000"/>
        </a:p>
      </dgm:t>
    </dgm:pt>
    <dgm:pt modelId="{F6E05C92-8A6A-416F-A62A-AEB1F79262F6}" type="sibTrans" cxnId="{214110A2-D6E5-4A90-87CE-81AEADF4AC0A}">
      <dgm:prSet/>
      <dgm:spPr/>
      <dgm:t>
        <a:bodyPr/>
        <a:lstStyle/>
        <a:p>
          <a:pPr algn="ctr"/>
          <a:endParaRPr lang="en-US" sz="1000"/>
        </a:p>
      </dgm:t>
    </dgm:pt>
    <dgm:pt modelId="{20219F07-55E9-4DD6-8448-DD0FC16D081A}">
      <dgm:prSet phldrT="[Text]" custT="1"/>
      <dgm:spPr/>
      <dgm:t>
        <a:bodyPr/>
        <a:lstStyle/>
        <a:p>
          <a:pPr algn="ctr"/>
          <a:r>
            <a:rPr lang="en-US" sz="1000"/>
            <a:t>Infrastructure network and connectivity</a:t>
          </a:r>
        </a:p>
      </dgm:t>
    </dgm:pt>
    <dgm:pt modelId="{0E3D2D5B-B5A9-4950-A7F4-6044568755F9}" type="parTrans" cxnId="{7F443A3C-AC1E-4E4C-8ECE-710C1A3E4789}">
      <dgm:prSet/>
      <dgm:spPr/>
      <dgm:t>
        <a:bodyPr/>
        <a:lstStyle/>
        <a:p>
          <a:pPr algn="ctr"/>
          <a:endParaRPr lang="en-US" sz="1000"/>
        </a:p>
      </dgm:t>
    </dgm:pt>
    <dgm:pt modelId="{525B130D-5F0B-494E-8873-170844AD3C33}" type="sibTrans" cxnId="{7F443A3C-AC1E-4E4C-8ECE-710C1A3E4789}">
      <dgm:prSet/>
      <dgm:spPr/>
      <dgm:t>
        <a:bodyPr/>
        <a:lstStyle/>
        <a:p>
          <a:pPr algn="ctr"/>
          <a:endParaRPr lang="en-US" sz="1000"/>
        </a:p>
      </dgm:t>
    </dgm:pt>
    <dgm:pt modelId="{6F9FB6D6-A50B-4124-B2AB-B107400238F7}">
      <dgm:prSet phldrT="[Text]" custT="1"/>
      <dgm:spPr/>
      <dgm:t>
        <a:bodyPr/>
        <a:lstStyle/>
        <a:p>
          <a:pPr algn="ctr"/>
          <a:r>
            <a:rPr lang="en-US" sz="1000"/>
            <a:t>Advanced  vehicle technologies</a:t>
          </a:r>
        </a:p>
      </dgm:t>
    </dgm:pt>
    <dgm:pt modelId="{0AAE6F64-F9BB-4252-96DA-C374603B6FB3}" type="parTrans" cxnId="{8EFB4F50-DC97-451D-8556-35DEDD28C103}">
      <dgm:prSet/>
      <dgm:spPr/>
      <dgm:t>
        <a:bodyPr/>
        <a:lstStyle/>
        <a:p>
          <a:pPr algn="ctr"/>
          <a:endParaRPr lang="en-US" sz="1000"/>
        </a:p>
      </dgm:t>
    </dgm:pt>
    <dgm:pt modelId="{FEA7A480-4A29-4EE5-9D88-F9B512AA4912}" type="sibTrans" cxnId="{8EFB4F50-DC97-451D-8556-35DEDD28C103}">
      <dgm:prSet/>
      <dgm:spPr/>
      <dgm:t>
        <a:bodyPr/>
        <a:lstStyle/>
        <a:p>
          <a:pPr algn="ctr"/>
          <a:endParaRPr lang="en-US" sz="1000"/>
        </a:p>
      </dgm:t>
    </dgm:pt>
    <dgm:pt modelId="{E49D7393-8C19-4D12-A6E1-4D90D5E9A5BE}" type="pres">
      <dgm:prSet presAssocID="{E59FB0EB-765B-47AD-B139-BB425A40B6E3}" presName="theList" presStyleCnt="0">
        <dgm:presLayoutVars>
          <dgm:dir/>
          <dgm:animLvl val="lvl"/>
          <dgm:resizeHandles val="exact"/>
        </dgm:presLayoutVars>
      </dgm:prSet>
      <dgm:spPr/>
      <dgm:t>
        <a:bodyPr/>
        <a:lstStyle/>
        <a:p>
          <a:endParaRPr lang="en-US"/>
        </a:p>
      </dgm:t>
    </dgm:pt>
    <dgm:pt modelId="{3ADC10B8-9D22-4869-919C-0A0419092FC8}" type="pres">
      <dgm:prSet presAssocID="{360185E3-76D4-440D-899D-2B4A555D44D0}" presName="compNode" presStyleCnt="0"/>
      <dgm:spPr/>
    </dgm:pt>
    <dgm:pt modelId="{87E3A24D-7FF5-4FCE-ACD2-702BC9A46589}" type="pres">
      <dgm:prSet presAssocID="{360185E3-76D4-440D-899D-2B4A555D44D0}" presName="aNode" presStyleLbl="bgShp" presStyleIdx="0" presStyleCnt="4" custScaleY="93277"/>
      <dgm:spPr/>
      <dgm:t>
        <a:bodyPr/>
        <a:lstStyle/>
        <a:p>
          <a:endParaRPr lang="en-US"/>
        </a:p>
      </dgm:t>
    </dgm:pt>
    <dgm:pt modelId="{2E559637-7F47-4E88-BC2A-4222B0052200}" type="pres">
      <dgm:prSet presAssocID="{360185E3-76D4-440D-899D-2B4A555D44D0}" presName="textNode" presStyleLbl="bgShp" presStyleIdx="0" presStyleCnt="4"/>
      <dgm:spPr/>
      <dgm:t>
        <a:bodyPr/>
        <a:lstStyle/>
        <a:p>
          <a:endParaRPr lang="en-US"/>
        </a:p>
      </dgm:t>
    </dgm:pt>
    <dgm:pt modelId="{D62E7B71-628E-479F-90E2-D160492B04C6}" type="pres">
      <dgm:prSet presAssocID="{360185E3-76D4-440D-899D-2B4A555D44D0}" presName="compChildNode" presStyleCnt="0"/>
      <dgm:spPr/>
    </dgm:pt>
    <dgm:pt modelId="{CDF97BEE-37A8-48D6-8B26-722A3002B7EF}" type="pres">
      <dgm:prSet presAssocID="{360185E3-76D4-440D-899D-2B4A555D44D0}" presName="theInnerList" presStyleCnt="0"/>
      <dgm:spPr/>
    </dgm:pt>
    <dgm:pt modelId="{D2757543-C87D-47C5-9621-D335CBCB40DB}" type="pres">
      <dgm:prSet presAssocID="{C12D13A1-F9A6-4B3D-BF93-2D5D7E9FA7AA}" presName="childNode" presStyleLbl="node1" presStyleIdx="0" presStyleCnt="11" custScaleX="107334" custLinFactY="-14559" custLinFactNeighborY="-100000">
        <dgm:presLayoutVars>
          <dgm:bulletEnabled val="1"/>
        </dgm:presLayoutVars>
      </dgm:prSet>
      <dgm:spPr/>
      <dgm:t>
        <a:bodyPr/>
        <a:lstStyle/>
        <a:p>
          <a:endParaRPr lang="en-US"/>
        </a:p>
      </dgm:t>
    </dgm:pt>
    <dgm:pt modelId="{E1BA63DC-DDCC-4966-8EC1-8E48E65ADA48}" type="pres">
      <dgm:prSet presAssocID="{C12D13A1-F9A6-4B3D-BF93-2D5D7E9FA7AA}" presName="aSpace2" presStyleCnt="0"/>
      <dgm:spPr/>
    </dgm:pt>
    <dgm:pt modelId="{DE3B2816-8050-4F51-8506-BDB10E425D78}" type="pres">
      <dgm:prSet presAssocID="{C0E3250C-8FF4-4ECB-953E-3AA3B5D53232}" presName="childNode" presStyleLbl="node1" presStyleIdx="1" presStyleCnt="11" custScaleX="107334" custLinFactY="-10281" custLinFactNeighborY="-100000">
        <dgm:presLayoutVars>
          <dgm:bulletEnabled val="1"/>
        </dgm:presLayoutVars>
      </dgm:prSet>
      <dgm:spPr/>
      <dgm:t>
        <a:bodyPr/>
        <a:lstStyle/>
        <a:p>
          <a:endParaRPr lang="en-US"/>
        </a:p>
      </dgm:t>
    </dgm:pt>
    <dgm:pt modelId="{33E9FD6C-ECEE-4C20-BF6D-51824BAF48D9}" type="pres">
      <dgm:prSet presAssocID="{C0E3250C-8FF4-4ECB-953E-3AA3B5D53232}" presName="aSpace2" presStyleCnt="0"/>
      <dgm:spPr/>
    </dgm:pt>
    <dgm:pt modelId="{22A54482-4D8D-4D6A-B7AE-F41F7B0FD287}" type="pres">
      <dgm:prSet presAssocID="{7F26462B-73A7-41E4-9B67-1F565EB9CE8C}" presName="childNode" presStyleLbl="node1" presStyleIdx="2" presStyleCnt="11" custScaleX="107334" custLinFactY="-3864" custLinFactNeighborY="-100000">
        <dgm:presLayoutVars>
          <dgm:bulletEnabled val="1"/>
        </dgm:presLayoutVars>
      </dgm:prSet>
      <dgm:spPr/>
      <dgm:t>
        <a:bodyPr/>
        <a:lstStyle/>
        <a:p>
          <a:endParaRPr lang="en-US"/>
        </a:p>
      </dgm:t>
    </dgm:pt>
    <dgm:pt modelId="{D662AF46-9C85-4367-A619-3E7AA4C106A2}" type="pres">
      <dgm:prSet presAssocID="{360185E3-76D4-440D-899D-2B4A555D44D0}" presName="aSpace" presStyleCnt="0"/>
      <dgm:spPr/>
    </dgm:pt>
    <dgm:pt modelId="{6B11E985-0850-432A-9253-32AFA0DBA0DF}" type="pres">
      <dgm:prSet presAssocID="{59715A04-CF7B-46A3-B9FE-2D535BF7E7FD}" presName="compNode" presStyleCnt="0"/>
      <dgm:spPr/>
    </dgm:pt>
    <dgm:pt modelId="{C8F7AB2A-C099-4FD6-8EA4-112F118687A4}" type="pres">
      <dgm:prSet presAssocID="{59715A04-CF7B-46A3-B9FE-2D535BF7E7FD}" presName="aNode" presStyleLbl="bgShp" presStyleIdx="1" presStyleCnt="4" custScaleY="93277"/>
      <dgm:spPr/>
      <dgm:t>
        <a:bodyPr/>
        <a:lstStyle/>
        <a:p>
          <a:endParaRPr lang="en-US"/>
        </a:p>
      </dgm:t>
    </dgm:pt>
    <dgm:pt modelId="{7315E21C-A3EA-4655-882B-326E0339DA8F}" type="pres">
      <dgm:prSet presAssocID="{59715A04-CF7B-46A3-B9FE-2D535BF7E7FD}" presName="textNode" presStyleLbl="bgShp" presStyleIdx="1" presStyleCnt="4"/>
      <dgm:spPr/>
      <dgm:t>
        <a:bodyPr/>
        <a:lstStyle/>
        <a:p>
          <a:endParaRPr lang="en-US"/>
        </a:p>
      </dgm:t>
    </dgm:pt>
    <dgm:pt modelId="{D9799C8C-A7D5-4E49-A8EB-A79C7D257BB7}" type="pres">
      <dgm:prSet presAssocID="{59715A04-CF7B-46A3-B9FE-2D535BF7E7FD}" presName="compChildNode" presStyleCnt="0"/>
      <dgm:spPr/>
    </dgm:pt>
    <dgm:pt modelId="{2B78E80A-2682-4858-8342-A4F5F0CFD041}" type="pres">
      <dgm:prSet presAssocID="{59715A04-CF7B-46A3-B9FE-2D535BF7E7FD}" presName="theInnerList" presStyleCnt="0"/>
      <dgm:spPr/>
    </dgm:pt>
    <dgm:pt modelId="{C486CD90-557F-41CD-A28F-B88D5E8FDBA7}" type="pres">
      <dgm:prSet presAssocID="{3FF73514-8385-441D-B530-A950A25AD6A1}" presName="childNode" presStyleLbl="node1" presStyleIdx="3" presStyleCnt="11" custScaleX="107334" custLinFactY="-14559" custLinFactNeighborY="-100000">
        <dgm:presLayoutVars>
          <dgm:bulletEnabled val="1"/>
        </dgm:presLayoutVars>
      </dgm:prSet>
      <dgm:spPr/>
      <dgm:t>
        <a:bodyPr/>
        <a:lstStyle/>
        <a:p>
          <a:endParaRPr lang="en-US"/>
        </a:p>
      </dgm:t>
    </dgm:pt>
    <dgm:pt modelId="{EBEC3225-A646-4992-A6EB-2E3F896D00DD}" type="pres">
      <dgm:prSet presAssocID="{3FF73514-8385-441D-B530-A950A25AD6A1}" presName="aSpace2" presStyleCnt="0"/>
      <dgm:spPr/>
    </dgm:pt>
    <dgm:pt modelId="{E22BCBEB-EA1B-4295-A752-C9679A2D6898}" type="pres">
      <dgm:prSet presAssocID="{EE892DD9-3152-4F62-84C0-6F99812C96B2}" presName="childNode" presStyleLbl="node1" presStyleIdx="4" presStyleCnt="11" custScaleX="107334" custLinFactY="-10281" custLinFactNeighborY="-100000">
        <dgm:presLayoutVars>
          <dgm:bulletEnabled val="1"/>
        </dgm:presLayoutVars>
      </dgm:prSet>
      <dgm:spPr/>
      <dgm:t>
        <a:bodyPr/>
        <a:lstStyle/>
        <a:p>
          <a:endParaRPr lang="en-US"/>
        </a:p>
      </dgm:t>
    </dgm:pt>
    <dgm:pt modelId="{3083C4A4-7631-4086-80DE-31F662AF239E}" type="pres">
      <dgm:prSet presAssocID="{EE892DD9-3152-4F62-84C0-6F99812C96B2}" presName="aSpace2" presStyleCnt="0"/>
      <dgm:spPr/>
    </dgm:pt>
    <dgm:pt modelId="{FED2FA12-AA97-478A-A395-C0EFDEB2F7CE}" type="pres">
      <dgm:prSet presAssocID="{7A643646-AA1F-40A8-89E1-D7CF561AE6F2}" presName="childNode" presStyleLbl="node1" presStyleIdx="5" presStyleCnt="11" custScaleX="107334" custLinFactY="-3864" custLinFactNeighborY="-100000">
        <dgm:presLayoutVars>
          <dgm:bulletEnabled val="1"/>
        </dgm:presLayoutVars>
      </dgm:prSet>
      <dgm:spPr/>
      <dgm:t>
        <a:bodyPr/>
        <a:lstStyle/>
        <a:p>
          <a:endParaRPr lang="en-US"/>
        </a:p>
      </dgm:t>
    </dgm:pt>
    <dgm:pt modelId="{090598C0-1005-465A-BE29-3FDEFBFB5CBA}" type="pres">
      <dgm:prSet presAssocID="{59715A04-CF7B-46A3-B9FE-2D535BF7E7FD}" presName="aSpace" presStyleCnt="0"/>
      <dgm:spPr/>
    </dgm:pt>
    <dgm:pt modelId="{96860CC7-4C69-46CC-B99D-AF290D0BD313}" type="pres">
      <dgm:prSet presAssocID="{A886E49C-E8C9-4D1E-937D-C37546BE8FCC}" presName="compNode" presStyleCnt="0"/>
      <dgm:spPr/>
    </dgm:pt>
    <dgm:pt modelId="{E25D5432-3AB9-4A7C-8DF0-420A8042D9A3}" type="pres">
      <dgm:prSet presAssocID="{A886E49C-E8C9-4D1E-937D-C37546BE8FCC}" presName="aNode" presStyleLbl="bgShp" presStyleIdx="2" presStyleCnt="4" custScaleY="93277"/>
      <dgm:spPr/>
      <dgm:t>
        <a:bodyPr/>
        <a:lstStyle/>
        <a:p>
          <a:endParaRPr lang="en-US"/>
        </a:p>
      </dgm:t>
    </dgm:pt>
    <dgm:pt modelId="{6AFF990A-9034-4097-9D4B-084B40953DB8}" type="pres">
      <dgm:prSet presAssocID="{A886E49C-E8C9-4D1E-937D-C37546BE8FCC}" presName="textNode" presStyleLbl="bgShp" presStyleIdx="2" presStyleCnt="4"/>
      <dgm:spPr/>
      <dgm:t>
        <a:bodyPr/>
        <a:lstStyle/>
        <a:p>
          <a:endParaRPr lang="en-US"/>
        </a:p>
      </dgm:t>
    </dgm:pt>
    <dgm:pt modelId="{48954FD2-A175-4652-9264-9FA6FCA783FE}" type="pres">
      <dgm:prSet presAssocID="{A886E49C-E8C9-4D1E-937D-C37546BE8FCC}" presName="compChildNode" presStyleCnt="0"/>
      <dgm:spPr/>
    </dgm:pt>
    <dgm:pt modelId="{8E03EF49-246D-4B8F-AAE7-F0126C5DAC29}" type="pres">
      <dgm:prSet presAssocID="{A886E49C-E8C9-4D1E-937D-C37546BE8FCC}" presName="theInnerList" presStyleCnt="0"/>
      <dgm:spPr/>
    </dgm:pt>
    <dgm:pt modelId="{A3A901CE-92BA-4589-8065-1B2108491325}" type="pres">
      <dgm:prSet presAssocID="{92D6698C-3E5D-46EB-92D0-B10127CC67EA}" presName="childNode" presStyleLbl="node1" presStyleIdx="6" presStyleCnt="11" custScaleX="107334" custLinFactY="-2815" custLinFactNeighborY="-100000">
        <dgm:presLayoutVars>
          <dgm:bulletEnabled val="1"/>
        </dgm:presLayoutVars>
      </dgm:prSet>
      <dgm:spPr/>
      <dgm:t>
        <a:bodyPr/>
        <a:lstStyle/>
        <a:p>
          <a:endParaRPr lang="en-US"/>
        </a:p>
      </dgm:t>
    </dgm:pt>
    <dgm:pt modelId="{4D05DF3C-DB2E-49D2-812A-1A8C1963C484}" type="pres">
      <dgm:prSet presAssocID="{92D6698C-3E5D-46EB-92D0-B10127CC67EA}" presName="aSpace2" presStyleCnt="0"/>
      <dgm:spPr/>
    </dgm:pt>
    <dgm:pt modelId="{3F447DC3-7E94-4348-A632-2EBB638B2785}" type="pres">
      <dgm:prSet presAssocID="{AD0E412D-B58E-41F2-AF53-69245E455AF8}" presName="childNode" presStyleLbl="node1" presStyleIdx="7" presStyleCnt="11" custScaleX="107334" custLinFactNeighborY="-86954">
        <dgm:presLayoutVars>
          <dgm:bulletEnabled val="1"/>
        </dgm:presLayoutVars>
      </dgm:prSet>
      <dgm:spPr/>
      <dgm:t>
        <a:bodyPr/>
        <a:lstStyle/>
        <a:p>
          <a:endParaRPr lang="en-US"/>
        </a:p>
      </dgm:t>
    </dgm:pt>
    <dgm:pt modelId="{120EDC01-1AD2-4C1C-86C3-318DBE45064B}" type="pres">
      <dgm:prSet presAssocID="{A886E49C-E8C9-4D1E-937D-C37546BE8FCC}" presName="aSpace" presStyleCnt="0"/>
      <dgm:spPr/>
    </dgm:pt>
    <dgm:pt modelId="{306B9D5F-98DE-47C5-B4FC-EEF4BD3AB86E}" type="pres">
      <dgm:prSet presAssocID="{E1AFA6E4-D9B7-4673-B6CA-344BBDD70743}" presName="compNode" presStyleCnt="0"/>
      <dgm:spPr/>
    </dgm:pt>
    <dgm:pt modelId="{8463F8B1-919D-45F8-93EF-C103AF938BB9}" type="pres">
      <dgm:prSet presAssocID="{E1AFA6E4-D9B7-4673-B6CA-344BBDD70743}" presName="aNode" presStyleLbl="bgShp" presStyleIdx="3" presStyleCnt="4" custScaleY="93277"/>
      <dgm:spPr/>
      <dgm:t>
        <a:bodyPr/>
        <a:lstStyle/>
        <a:p>
          <a:endParaRPr lang="en-US"/>
        </a:p>
      </dgm:t>
    </dgm:pt>
    <dgm:pt modelId="{D35BDDD2-98CB-47FB-85F2-44D596BC4A45}" type="pres">
      <dgm:prSet presAssocID="{E1AFA6E4-D9B7-4673-B6CA-344BBDD70743}" presName="textNode" presStyleLbl="bgShp" presStyleIdx="3" presStyleCnt="4"/>
      <dgm:spPr/>
      <dgm:t>
        <a:bodyPr/>
        <a:lstStyle/>
        <a:p>
          <a:endParaRPr lang="en-US"/>
        </a:p>
      </dgm:t>
    </dgm:pt>
    <dgm:pt modelId="{6898A88C-1942-475F-A77C-8E20EEB03E61}" type="pres">
      <dgm:prSet presAssocID="{E1AFA6E4-D9B7-4673-B6CA-344BBDD70743}" presName="compChildNode" presStyleCnt="0"/>
      <dgm:spPr/>
    </dgm:pt>
    <dgm:pt modelId="{85CEF55A-4B3C-4B52-959F-1A51B78740BF}" type="pres">
      <dgm:prSet presAssocID="{E1AFA6E4-D9B7-4673-B6CA-344BBDD70743}" presName="theInnerList" presStyleCnt="0"/>
      <dgm:spPr/>
    </dgm:pt>
    <dgm:pt modelId="{692F7E36-445C-4982-8344-B1BBD7C04A43}" type="pres">
      <dgm:prSet presAssocID="{368924C8-9F43-4E8B-858E-0413311A62BF}" presName="childNode" presStyleLbl="node1" presStyleIdx="8" presStyleCnt="11" custScaleX="107334" custLinFactY="-14559" custLinFactNeighborY="-100000">
        <dgm:presLayoutVars>
          <dgm:bulletEnabled val="1"/>
        </dgm:presLayoutVars>
      </dgm:prSet>
      <dgm:spPr/>
      <dgm:t>
        <a:bodyPr/>
        <a:lstStyle/>
        <a:p>
          <a:endParaRPr lang="en-US"/>
        </a:p>
      </dgm:t>
    </dgm:pt>
    <dgm:pt modelId="{A3005E10-C06E-4AA5-B24C-E975CEC268BB}" type="pres">
      <dgm:prSet presAssocID="{368924C8-9F43-4E8B-858E-0413311A62BF}" presName="aSpace2" presStyleCnt="0"/>
      <dgm:spPr/>
    </dgm:pt>
    <dgm:pt modelId="{85F23820-B6FB-49BE-BB36-E7A95FE8A6B3}" type="pres">
      <dgm:prSet presAssocID="{20219F07-55E9-4DD6-8448-DD0FC16D081A}" presName="childNode" presStyleLbl="node1" presStyleIdx="9" presStyleCnt="11" custScaleX="107334" custLinFactY="-10281" custLinFactNeighborY="-100000">
        <dgm:presLayoutVars>
          <dgm:bulletEnabled val="1"/>
        </dgm:presLayoutVars>
      </dgm:prSet>
      <dgm:spPr/>
      <dgm:t>
        <a:bodyPr/>
        <a:lstStyle/>
        <a:p>
          <a:endParaRPr lang="en-US"/>
        </a:p>
      </dgm:t>
    </dgm:pt>
    <dgm:pt modelId="{7BEBBE00-3662-4CE4-9C1C-962E89370235}" type="pres">
      <dgm:prSet presAssocID="{20219F07-55E9-4DD6-8448-DD0FC16D081A}" presName="aSpace2" presStyleCnt="0"/>
      <dgm:spPr/>
    </dgm:pt>
    <dgm:pt modelId="{404FB7B3-4BC9-455A-B71F-8E04325932C8}" type="pres">
      <dgm:prSet presAssocID="{6F9FB6D6-A50B-4124-B2AB-B107400238F7}" presName="childNode" presStyleLbl="node1" presStyleIdx="10" presStyleCnt="11" custScaleX="107334" custLinFactY="-3864" custLinFactNeighborY="-100000">
        <dgm:presLayoutVars>
          <dgm:bulletEnabled val="1"/>
        </dgm:presLayoutVars>
      </dgm:prSet>
      <dgm:spPr/>
      <dgm:t>
        <a:bodyPr/>
        <a:lstStyle/>
        <a:p>
          <a:endParaRPr lang="en-US"/>
        </a:p>
      </dgm:t>
    </dgm:pt>
  </dgm:ptLst>
  <dgm:cxnLst>
    <dgm:cxn modelId="{D58CAF98-9EED-4D39-8254-B3DF74A1216D}" type="presOf" srcId="{E59FB0EB-765B-47AD-B139-BB425A40B6E3}" destId="{E49D7393-8C19-4D12-A6E1-4D90D5E9A5BE}" srcOrd="0" destOrd="0" presId="urn:microsoft.com/office/officeart/2005/8/layout/lProcess2"/>
    <dgm:cxn modelId="{214110A2-D6E5-4A90-87CE-81AEADF4AC0A}" srcId="{E1AFA6E4-D9B7-4673-B6CA-344BBDD70743}" destId="{368924C8-9F43-4E8B-858E-0413311A62BF}" srcOrd="0" destOrd="0" parTransId="{EEB1867D-D064-4A14-884E-4DC1B05FBB86}" sibTransId="{F6E05C92-8A6A-416F-A62A-AEB1F79262F6}"/>
    <dgm:cxn modelId="{0F14C953-C322-4746-99DC-D9D7E8FA70EE}" type="presOf" srcId="{AD0E412D-B58E-41F2-AF53-69245E455AF8}" destId="{3F447DC3-7E94-4348-A632-2EBB638B2785}" srcOrd="0" destOrd="0" presId="urn:microsoft.com/office/officeart/2005/8/layout/lProcess2"/>
    <dgm:cxn modelId="{C8E18524-D357-4791-A4BB-98CA5008E271}" srcId="{59715A04-CF7B-46A3-B9FE-2D535BF7E7FD}" destId="{EE892DD9-3152-4F62-84C0-6F99812C96B2}" srcOrd="1" destOrd="0" parTransId="{83B784D1-0613-4F97-A97D-73F62DAE04A3}" sibTransId="{82536917-6587-430E-971F-7EA71A564D29}"/>
    <dgm:cxn modelId="{F39050EB-4B57-464A-BD0B-34FC7990AA3F}" srcId="{A886E49C-E8C9-4D1E-937D-C37546BE8FCC}" destId="{92D6698C-3E5D-46EB-92D0-B10127CC67EA}" srcOrd="0" destOrd="0" parTransId="{ED1F7CAD-A116-4DBD-AC50-816C0A18BCF4}" sibTransId="{BDC6225C-6D78-4CF4-9836-98DDD656B6C2}"/>
    <dgm:cxn modelId="{464DEFB2-F6EB-45D5-923C-FE7E1E23F0C1}" type="presOf" srcId="{C0E3250C-8FF4-4ECB-953E-3AA3B5D53232}" destId="{DE3B2816-8050-4F51-8506-BDB10E425D78}" srcOrd="0" destOrd="0" presId="urn:microsoft.com/office/officeart/2005/8/layout/lProcess2"/>
    <dgm:cxn modelId="{11EDE90E-9AA4-493A-8CC1-0D37A716E23A}" type="presOf" srcId="{E1AFA6E4-D9B7-4673-B6CA-344BBDD70743}" destId="{D35BDDD2-98CB-47FB-85F2-44D596BC4A45}" srcOrd="1" destOrd="0" presId="urn:microsoft.com/office/officeart/2005/8/layout/lProcess2"/>
    <dgm:cxn modelId="{867D07A7-AD7C-45F4-976C-A3C9F9F0C435}" srcId="{E59FB0EB-765B-47AD-B139-BB425A40B6E3}" destId="{E1AFA6E4-D9B7-4673-B6CA-344BBDD70743}" srcOrd="3" destOrd="0" parTransId="{5E82A705-6DB1-4452-AC14-93A7183F897E}" sibTransId="{3C48EEC2-64E1-4E54-856F-CC4DAAD8A3FA}"/>
    <dgm:cxn modelId="{8DC37956-7D63-4FCF-BEA2-B861A7B2B157}" type="presOf" srcId="{7F26462B-73A7-41E4-9B67-1F565EB9CE8C}" destId="{22A54482-4D8D-4D6A-B7AE-F41F7B0FD287}" srcOrd="0" destOrd="0" presId="urn:microsoft.com/office/officeart/2005/8/layout/lProcess2"/>
    <dgm:cxn modelId="{CE26302F-7884-4649-8742-6116ACC617F2}" type="presOf" srcId="{E1AFA6E4-D9B7-4673-B6CA-344BBDD70743}" destId="{8463F8B1-919D-45F8-93EF-C103AF938BB9}" srcOrd="0" destOrd="0" presId="urn:microsoft.com/office/officeart/2005/8/layout/lProcess2"/>
    <dgm:cxn modelId="{F6E93031-4CD0-4652-AEDA-D3F981F08DE1}" srcId="{E59FB0EB-765B-47AD-B139-BB425A40B6E3}" destId="{A886E49C-E8C9-4D1E-937D-C37546BE8FCC}" srcOrd="2" destOrd="0" parTransId="{8F6A2BCA-A48B-4DB1-A297-86E5A1CE6EFC}" sibTransId="{884AC5D6-003A-40F8-BA9E-15CD253CA6DB}"/>
    <dgm:cxn modelId="{B39C92F2-4A4E-4255-8163-8E795CF7DDF4}" type="presOf" srcId="{6F9FB6D6-A50B-4124-B2AB-B107400238F7}" destId="{404FB7B3-4BC9-455A-B71F-8E04325932C8}" srcOrd="0" destOrd="0" presId="urn:microsoft.com/office/officeart/2005/8/layout/lProcess2"/>
    <dgm:cxn modelId="{35461858-5838-43B0-8699-FB8BC50A430A}" srcId="{360185E3-76D4-440D-899D-2B4A555D44D0}" destId="{C12D13A1-F9A6-4B3D-BF93-2D5D7E9FA7AA}" srcOrd="0" destOrd="0" parTransId="{7A738B2D-7F97-478C-8675-C758B0E5C3EC}" sibTransId="{BA422524-966D-4394-8835-68ECD027B4C1}"/>
    <dgm:cxn modelId="{5823C094-DD15-45AB-AEDB-CCB75219CE7D}" srcId="{59715A04-CF7B-46A3-B9FE-2D535BF7E7FD}" destId="{3FF73514-8385-441D-B530-A950A25AD6A1}" srcOrd="0" destOrd="0" parTransId="{C9220B71-CE6E-4B3F-B4BB-79DDC08418CE}" sibTransId="{940AC0CC-D00F-4ED7-8982-EF35094FD585}"/>
    <dgm:cxn modelId="{8C08DA64-F2F9-4134-9805-D21E0488611A}" type="presOf" srcId="{92D6698C-3E5D-46EB-92D0-B10127CC67EA}" destId="{A3A901CE-92BA-4589-8065-1B2108491325}" srcOrd="0" destOrd="0" presId="urn:microsoft.com/office/officeart/2005/8/layout/lProcess2"/>
    <dgm:cxn modelId="{EA661ECD-0566-44EE-A0EE-DF85B496F846}" type="presOf" srcId="{A886E49C-E8C9-4D1E-937D-C37546BE8FCC}" destId="{E25D5432-3AB9-4A7C-8DF0-420A8042D9A3}" srcOrd="0" destOrd="0" presId="urn:microsoft.com/office/officeart/2005/8/layout/lProcess2"/>
    <dgm:cxn modelId="{DC531A98-5943-4D87-88A7-022A0ACAE6B3}" srcId="{59715A04-CF7B-46A3-B9FE-2D535BF7E7FD}" destId="{7A643646-AA1F-40A8-89E1-D7CF561AE6F2}" srcOrd="2" destOrd="0" parTransId="{66ED4A67-1B23-4930-8864-4F06ECD87460}" sibTransId="{0521902F-B5DE-432B-919B-A265B823EA7A}"/>
    <dgm:cxn modelId="{6B8D92A0-96CE-4E17-9A23-CA96D38BF250}" type="presOf" srcId="{59715A04-CF7B-46A3-B9FE-2D535BF7E7FD}" destId="{7315E21C-A3EA-4655-882B-326E0339DA8F}" srcOrd="1" destOrd="0" presId="urn:microsoft.com/office/officeart/2005/8/layout/lProcess2"/>
    <dgm:cxn modelId="{A8AA3AC4-4F0D-4C00-8911-20F869222C42}" type="presOf" srcId="{3FF73514-8385-441D-B530-A950A25AD6A1}" destId="{C486CD90-557F-41CD-A28F-B88D5E8FDBA7}" srcOrd="0" destOrd="0" presId="urn:microsoft.com/office/officeart/2005/8/layout/lProcess2"/>
    <dgm:cxn modelId="{759DCE64-7DCE-48D3-BED7-2C124D909F7F}" type="presOf" srcId="{C12D13A1-F9A6-4B3D-BF93-2D5D7E9FA7AA}" destId="{D2757543-C87D-47C5-9621-D335CBCB40DB}" srcOrd="0" destOrd="0" presId="urn:microsoft.com/office/officeart/2005/8/layout/lProcess2"/>
    <dgm:cxn modelId="{0341A96D-3340-43D5-8359-68C383CAA677}" srcId="{E59FB0EB-765B-47AD-B139-BB425A40B6E3}" destId="{59715A04-CF7B-46A3-B9FE-2D535BF7E7FD}" srcOrd="1" destOrd="0" parTransId="{449B0F96-6A0D-43BC-A756-9F2D53D5523F}" sibTransId="{2DD4699F-494F-4545-A586-527417B318BA}"/>
    <dgm:cxn modelId="{2AEB1554-C93F-4C28-B89A-98D19C9096A4}" type="presOf" srcId="{360185E3-76D4-440D-899D-2B4A555D44D0}" destId="{2E559637-7F47-4E88-BC2A-4222B0052200}" srcOrd="1" destOrd="0" presId="urn:microsoft.com/office/officeart/2005/8/layout/lProcess2"/>
    <dgm:cxn modelId="{F3819565-B95E-473B-A274-C0005D3DFCC8}" srcId="{A886E49C-E8C9-4D1E-937D-C37546BE8FCC}" destId="{AD0E412D-B58E-41F2-AF53-69245E455AF8}" srcOrd="1" destOrd="0" parTransId="{C967B108-61AC-4CED-B143-398634B2FBAD}" sibTransId="{EB8FCEEB-764C-4872-AE1F-F0A5AC1E8F01}"/>
    <dgm:cxn modelId="{A5E1253C-D100-495B-A531-6128C39D50BC}" type="presOf" srcId="{360185E3-76D4-440D-899D-2B4A555D44D0}" destId="{87E3A24D-7FF5-4FCE-ACD2-702BC9A46589}" srcOrd="0" destOrd="0" presId="urn:microsoft.com/office/officeart/2005/8/layout/lProcess2"/>
    <dgm:cxn modelId="{18B1517A-F826-40F9-94B3-E48FF78235BF}" srcId="{360185E3-76D4-440D-899D-2B4A555D44D0}" destId="{C0E3250C-8FF4-4ECB-953E-3AA3B5D53232}" srcOrd="1" destOrd="0" parTransId="{D8FB9353-B9BA-4A1B-B4EF-87403054A9F1}" sibTransId="{CED527C7-4483-4C3A-B48F-723174EDC2EA}"/>
    <dgm:cxn modelId="{2D2FE0F2-7462-4471-B887-B13D60B0CD35}" type="presOf" srcId="{368924C8-9F43-4E8B-858E-0413311A62BF}" destId="{692F7E36-445C-4982-8344-B1BBD7C04A43}" srcOrd="0" destOrd="0" presId="urn:microsoft.com/office/officeart/2005/8/layout/lProcess2"/>
    <dgm:cxn modelId="{D603B2F8-EB61-446C-B03E-BA402AABC3B8}" type="presOf" srcId="{20219F07-55E9-4DD6-8448-DD0FC16D081A}" destId="{85F23820-B6FB-49BE-BB36-E7A95FE8A6B3}" srcOrd="0" destOrd="0" presId="urn:microsoft.com/office/officeart/2005/8/layout/lProcess2"/>
    <dgm:cxn modelId="{ADBBFB78-1593-4197-A79D-CA71217B685D}" type="presOf" srcId="{A886E49C-E8C9-4D1E-937D-C37546BE8FCC}" destId="{6AFF990A-9034-4097-9D4B-084B40953DB8}" srcOrd="1" destOrd="0" presId="urn:microsoft.com/office/officeart/2005/8/layout/lProcess2"/>
    <dgm:cxn modelId="{D3590F94-CD28-4AE7-BC46-B3C5C3F49C7E}" type="presOf" srcId="{7A643646-AA1F-40A8-89E1-D7CF561AE6F2}" destId="{FED2FA12-AA97-478A-A395-C0EFDEB2F7CE}" srcOrd="0" destOrd="0" presId="urn:microsoft.com/office/officeart/2005/8/layout/lProcess2"/>
    <dgm:cxn modelId="{8EFB4F50-DC97-451D-8556-35DEDD28C103}" srcId="{E1AFA6E4-D9B7-4673-B6CA-344BBDD70743}" destId="{6F9FB6D6-A50B-4124-B2AB-B107400238F7}" srcOrd="2" destOrd="0" parTransId="{0AAE6F64-F9BB-4252-96DA-C374603B6FB3}" sibTransId="{FEA7A480-4A29-4EE5-9D88-F9B512AA4912}"/>
    <dgm:cxn modelId="{AB5993A5-585B-45D5-8DDE-007D77BCBD2D}" srcId="{E59FB0EB-765B-47AD-B139-BB425A40B6E3}" destId="{360185E3-76D4-440D-899D-2B4A555D44D0}" srcOrd="0" destOrd="0" parTransId="{F5334E7F-B5F1-4179-8662-69B34BB0AC54}" sibTransId="{F5009B6C-C059-4859-886C-4B1DC7CB617F}"/>
    <dgm:cxn modelId="{0F108EB6-4C01-46D4-A760-D506DD2DFE86}" type="presOf" srcId="{59715A04-CF7B-46A3-B9FE-2D535BF7E7FD}" destId="{C8F7AB2A-C099-4FD6-8EA4-112F118687A4}" srcOrd="0" destOrd="0" presId="urn:microsoft.com/office/officeart/2005/8/layout/lProcess2"/>
    <dgm:cxn modelId="{F79D1249-FC84-4C57-995D-5F15D5286CE1}" srcId="{360185E3-76D4-440D-899D-2B4A555D44D0}" destId="{7F26462B-73A7-41E4-9B67-1F565EB9CE8C}" srcOrd="2" destOrd="0" parTransId="{66A65A09-452F-4D7D-9CAE-9C0B834DEDCC}" sibTransId="{4DCA2D8E-744A-4894-8660-65B36B6F485A}"/>
    <dgm:cxn modelId="{7F443A3C-AC1E-4E4C-8ECE-710C1A3E4789}" srcId="{E1AFA6E4-D9B7-4673-B6CA-344BBDD70743}" destId="{20219F07-55E9-4DD6-8448-DD0FC16D081A}" srcOrd="1" destOrd="0" parTransId="{0E3D2D5B-B5A9-4950-A7F4-6044568755F9}" sibTransId="{525B130D-5F0B-494E-8873-170844AD3C33}"/>
    <dgm:cxn modelId="{8513F67B-490C-4DB6-A922-8349E310BA11}" type="presOf" srcId="{EE892DD9-3152-4F62-84C0-6F99812C96B2}" destId="{E22BCBEB-EA1B-4295-A752-C9679A2D6898}" srcOrd="0" destOrd="0" presId="urn:microsoft.com/office/officeart/2005/8/layout/lProcess2"/>
    <dgm:cxn modelId="{916FDA83-5B4B-4954-9164-C03548CF73B3}" type="presParOf" srcId="{E49D7393-8C19-4D12-A6E1-4D90D5E9A5BE}" destId="{3ADC10B8-9D22-4869-919C-0A0419092FC8}" srcOrd="0" destOrd="0" presId="urn:microsoft.com/office/officeart/2005/8/layout/lProcess2"/>
    <dgm:cxn modelId="{28C18E35-0D55-444C-9450-C421FBF20FC8}" type="presParOf" srcId="{3ADC10B8-9D22-4869-919C-0A0419092FC8}" destId="{87E3A24D-7FF5-4FCE-ACD2-702BC9A46589}" srcOrd="0" destOrd="0" presId="urn:microsoft.com/office/officeart/2005/8/layout/lProcess2"/>
    <dgm:cxn modelId="{EE03D84B-0653-4374-BF40-8F74A470B2E1}" type="presParOf" srcId="{3ADC10B8-9D22-4869-919C-0A0419092FC8}" destId="{2E559637-7F47-4E88-BC2A-4222B0052200}" srcOrd="1" destOrd="0" presId="urn:microsoft.com/office/officeart/2005/8/layout/lProcess2"/>
    <dgm:cxn modelId="{B343B388-CCD4-4C2C-AB28-ED4ADEE096A7}" type="presParOf" srcId="{3ADC10B8-9D22-4869-919C-0A0419092FC8}" destId="{D62E7B71-628E-479F-90E2-D160492B04C6}" srcOrd="2" destOrd="0" presId="urn:microsoft.com/office/officeart/2005/8/layout/lProcess2"/>
    <dgm:cxn modelId="{E65023E6-9EAF-454E-A776-5907C66DCB9F}" type="presParOf" srcId="{D62E7B71-628E-479F-90E2-D160492B04C6}" destId="{CDF97BEE-37A8-48D6-8B26-722A3002B7EF}" srcOrd="0" destOrd="0" presId="urn:microsoft.com/office/officeart/2005/8/layout/lProcess2"/>
    <dgm:cxn modelId="{2984ABE2-7A89-4AEB-A46B-E77D1D2158D4}" type="presParOf" srcId="{CDF97BEE-37A8-48D6-8B26-722A3002B7EF}" destId="{D2757543-C87D-47C5-9621-D335CBCB40DB}" srcOrd="0" destOrd="0" presId="urn:microsoft.com/office/officeart/2005/8/layout/lProcess2"/>
    <dgm:cxn modelId="{A3DA68AB-366F-4FE0-832A-A8634FA98A08}" type="presParOf" srcId="{CDF97BEE-37A8-48D6-8B26-722A3002B7EF}" destId="{E1BA63DC-DDCC-4966-8EC1-8E48E65ADA48}" srcOrd="1" destOrd="0" presId="urn:microsoft.com/office/officeart/2005/8/layout/lProcess2"/>
    <dgm:cxn modelId="{9877DC72-DB45-4B6E-B15B-B3DEC8552053}" type="presParOf" srcId="{CDF97BEE-37A8-48D6-8B26-722A3002B7EF}" destId="{DE3B2816-8050-4F51-8506-BDB10E425D78}" srcOrd="2" destOrd="0" presId="urn:microsoft.com/office/officeart/2005/8/layout/lProcess2"/>
    <dgm:cxn modelId="{0482F28C-E94F-4F10-A4E6-58DC08A2EEB6}" type="presParOf" srcId="{CDF97BEE-37A8-48D6-8B26-722A3002B7EF}" destId="{33E9FD6C-ECEE-4C20-BF6D-51824BAF48D9}" srcOrd="3" destOrd="0" presId="urn:microsoft.com/office/officeart/2005/8/layout/lProcess2"/>
    <dgm:cxn modelId="{5346B1DC-AF33-46FB-A11D-A9CA82BE8C1B}" type="presParOf" srcId="{CDF97BEE-37A8-48D6-8B26-722A3002B7EF}" destId="{22A54482-4D8D-4D6A-B7AE-F41F7B0FD287}" srcOrd="4" destOrd="0" presId="urn:microsoft.com/office/officeart/2005/8/layout/lProcess2"/>
    <dgm:cxn modelId="{E18A7A7A-305F-47A8-9871-12CEAE8B3BCD}" type="presParOf" srcId="{E49D7393-8C19-4D12-A6E1-4D90D5E9A5BE}" destId="{D662AF46-9C85-4367-A619-3E7AA4C106A2}" srcOrd="1" destOrd="0" presId="urn:microsoft.com/office/officeart/2005/8/layout/lProcess2"/>
    <dgm:cxn modelId="{C5B705D3-A929-46A1-82CF-700B015E1DE4}" type="presParOf" srcId="{E49D7393-8C19-4D12-A6E1-4D90D5E9A5BE}" destId="{6B11E985-0850-432A-9253-32AFA0DBA0DF}" srcOrd="2" destOrd="0" presId="urn:microsoft.com/office/officeart/2005/8/layout/lProcess2"/>
    <dgm:cxn modelId="{40282054-B44C-4039-893C-B333AE19084F}" type="presParOf" srcId="{6B11E985-0850-432A-9253-32AFA0DBA0DF}" destId="{C8F7AB2A-C099-4FD6-8EA4-112F118687A4}" srcOrd="0" destOrd="0" presId="urn:microsoft.com/office/officeart/2005/8/layout/lProcess2"/>
    <dgm:cxn modelId="{6224646F-6954-4362-9921-12452EFEC8B4}" type="presParOf" srcId="{6B11E985-0850-432A-9253-32AFA0DBA0DF}" destId="{7315E21C-A3EA-4655-882B-326E0339DA8F}" srcOrd="1" destOrd="0" presId="urn:microsoft.com/office/officeart/2005/8/layout/lProcess2"/>
    <dgm:cxn modelId="{B006FFBB-42E5-4E00-8FAB-39E8AABF12E7}" type="presParOf" srcId="{6B11E985-0850-432A-9253-32AFA0DBA0DF}" destId="{D9799C8C-A7D5-4E49-A8EB-A79C7D257BB7}" srcOrd="2" destOrd="0" presId="urn:microsoft.com/office/officeart/2005/8/layout/lProcess2"/>
    <dgm:cxn modelId="{A0CF46C0-A9FE-4CBE-B32C-F104023B6A35}" type="presParOf" srcId="{D9799C8C-A7D5-4E49-A8EB-A79C7D257BB7}" destId="{2B78E80A-2682-4858-8342-A4F5F0CFD041}" srcOrd="0" destOrd="0" presId="urn:microsoft.com/office/officeart/2005/8/layout/lProcess2"/>
    <dgm:cxn modelId="{01EC61B9-E6A0-4D82-83E3-619A4D214EB8}" type="presParOf" srcId="{2B78E80A-2682-4858-8342-A4F5F0CFD041}" destId="{C486CD90-557F-41CD-A28F-B88D5E8FDBA7}" srcOrd="0" destOrd="0" presId="urn:microsoft.com/office/officeart/2005/8/layout/lProcess2"/>
    <dgm:cxn modelId="{31604B06-ABD4-47B3-8DE3-48FA021A3F6F}" type="presParOf" srcId="{2B78E80A-2682-4858-8342-A4F5F0CFD041}" destId="{EBEC3225-A646-4992-A6EB-2E3F896D00DD}" srcOrd="1" destOrd="0" presId="urn:microsoft.com/office/officeart/2005/8/layout/lProcess2"/>
    <dgm:cxn modelId="{6193F444-95CC-4247-8EDE-675EF7C31A99}" type="presParOf" srcId="{2B78E80A-2682-4858-8342-A4F5F0CFD041}" destId="{E22BCBEB-EA1B-4295-A752-C9679A2D6898}" srcOrd="2" destOrd="0" presId="urn:microsoft.com/office/officeart/2005/8/layout/lProcess2"/>
    <dgm:cxn modelId="{30347C29-C8C1-4D32-A3EE-BBBF33811506}" type="presParOf" srcId="{2B78E80A-2682-4858-8342-A4F5F0CFD041}" destId="{3083C4A4-7631-4086-80DE-31F662AF239E}" srcOrd="3" destOrd="0" presId="urn:microsoft.com/office/officeart/2005/8/layout/lProcess2"/>
    <dgm:cxn modelId="{06BF26D3-719B-4B21-BA5E-BC28D0FC186D}" type="presParOf" srcId="{2B78E80A-2682-4858-8342-A4F5F0CFD041}" destId="{FED2FA12-AA97-478A-A395-C0EFDEB2F7CE}" srcOrd="4" destOrd="0" presId="urn:microsoft.com/office/officeart/2005/8/layout/lProcess2"/>
    <dgm:cxn modelId="{55C0281B-0DFE-4354-8F38-303C9198CE42}" type="presParOf" srcId="{E49D7393-8C19-4D12-A6E1-4D90D5E9A5BE}" destId="{090598C0-1005-465A-BE29-3FDEFBFB5CBA}" srcOrd="3" destOrd="0" presId="urn:microsoft.com/office/officeart/2005/8/layout/lProcess2"/>
    <dgm:cxn modelId="{DEA2F1CD-4BD5-4A76-AA5F-92ED34D20282}" type="presParOf" srcId="{E49D7393-8C19-4D12-A6E1-4D90D5E9A5BE}" destId="{96860CC7-4C69-46CC-B99D-AF290D0BD313}" srcOrd="4" destOrd="0" presId="urn:microsoft.com/office/officeart/2005/8/layout/lProcess2"/>
    <dgm:cxn modelId="{81B17DAD-445D-4534-8908-F39E3A0CE5FB}" type="presParOf" srcId="{96860CC7-4C69-46CC-B99D-AF290D0BD313}" destId="{E25D5432-3AB9-4A7C-8DF0-420A8042D9A3}" srcOrd="0" destOrd="0" presId="urn:microsoft.com/office/officeart/2005/8/layout/lProcess2"/>
    <dgm:cxn modelId="{14E83A75-AF8B-4295-8A68-55D5C804A8C5}" type="presParOf" srcId="{96860CC7-4C69-46CC-B99D-AF290D0BD313}" destId="{6AFF990A-9034-4097-9D4B-084B40953DB8}" srcOrd="1" destOrd="0" presId="urn:microsoft.com/office/officeart/2005/8/layout/lProcess2"/>
    <dgm:cxn modelId="{454DC80B-F4D4-4374-988E-AED11175214A}" type="presParOf" srcId="{96860CC7-4C69-46CC-B99D-AF290D0BD313}" destId="{48954FD2-A175-4652-9264-9FA6FCA783FE}" srcOrd="2" destOrd="0" presId="urn:microsoft.com/office/officeart/2005/8/layout/lProcess2"/>
    <dgm:cxn modelId="{ACEA8BC1-65C2-4285-BB76-A6428F7BFEF6}" type="presParOf" srcId="{48954FD2-A175-4652-9264-9FA6FCA783FE}" destId="{8E03EF49-246D-4B8F-AAE7-F0126C5DAC29}" srcOrd="0" destOrd="0" presId="urn:microsoft.com/office/officeart/2005/8/layout/lProcess2"/>
    <dgm:cxn modelId="{18A99431-C1D0-4D77-AAB8-DB09AEBE1334}" type="presParOf" srcId="{8E03EF49-246D-4B8F-AAE7-F0126C5DAC29}" destId="{A3A901CE-92BA-4589-8065-1B2108491325}" srcOrd="0" destOrd="0" presId="urn:microsoft.com/office/officeart/2005/8/layout/lProcess2"/>
    <dgm:cxn modelId="{C913E6E8-BB8A-4491-98E7-23452AF5A1CF}" type="presParOf" srcId="{8E03EF49-246D-4B8F-AAE7-F0126C5DAC29}" destId="{4D05DF3C-DB2E-49D2-812A-1A8C1963C484}" srcOrd="1" destOrd="0" presId="urn:microsoft.com/office/officeart/2005/8/layout/lProcess2"/>
    <dgm:cxn modelId="{8E0C5DA5-D085-4CC4-AA8D-281D73547420}" type="presParOf" srcId="{8E03EF49-246D-4B8F-AAE7-F0126C5DAC29}" destId="{3F447DC3-7E94-4348-A632-2EBB638B2785}" srcOrd="2" destOrd="0" presId="urn:microsoft.com/office/officeart/2005/8/layout/lProcess2"/>
    <dgm:cxn modelId="{440247B6-F5AA-4069-B9ED-107D17A34EA6}" type="presParOf" srcId="{E49D7393-8C19-4D12-A6E1-4D90D5E9A5BE}" destId="{120EDC01-1AD2-4C1C-86C3-318DBE45064B}" srcOrd="5" destOrd="0" presId="urn:microsoft.com/office/officeart/2005/8/layout/lProcess2"/>
    <dgm:cxn modelId="{04F511C6-6D0A-4356-973C-D84F72FD7051}" type="presParOf" srcId="{E49D7393-8C19-4D12-A6E1-4D90D5E9A5BE}" destId="{306B9D5F-98DE-47C5-B4FC-EEF4BD3AB86E}" srcOrd="6" destOrd="0" presId="urn:microsoft.com/office/officeart/2005/8/layout/lProcess2"/>
    <dgm:cxn modelId="{0650C4A3-AE91-48F1-8F14-126F4C21249A}" type="presParOf" srcId="{306B9D5F-98DE-47C5-B4FC-EEF4BD3AB86E}" destId="{8463F8B1-919D-45F8-93EF-C103AF938BB9}" srcOrd="0" destOrd="0" presId="urn:microsoft.com/office/officeart/2005/8/layout/lProcess2"/>
    <dgm:cxn modelId="{6E15E3B7-35B7-4F33-8150-423EE4B4713E}" type="presParOf" srcId="{306B9D5F-98DE-47C5-B4FC-EEF4BD3AB86E}" destId="{D35BDDD2-98CB-47FB-85F2-44D596BC4A45}" srcOrd="1" destOrd="0" presId="urn:microsoft.com/office/officeart/2005/8/layout/lProcess2"/>
    <dgm:cxn modelId="{ACBB131F-E574-416E-967B-AE1C6C340D2E}" type="presParOf" srcId="{306B9D5F-98DE-47C5-B4FC-EEF4BD3AB86E}" destId="{6898A88C-1942-475F-A77C-8E20EEB03E61}" srcOrd="2" destOrd="0" presId="urn:microsoft.com/office/officeart/2005/8/layout/lProcess2"/>
    <dgm:cxn modelId="{E65E7FB6-B39B-431C-826F-4350949BABB1}" type="presParOf" srcId="{6898A88C-1942-475F-A77C-8E20EEB03E61}" destId="{85CEF55A-4B3C-4B52-959F-1A51B78740BF}" srcOrd="0" destOrd="0" presId="urn:microsoft.com/office/officeart/2005/8/layout/lProcess2"/>
    <dgm:cxn modelId="{5864B8C5-23EB-4BF1-AC6D-19CC6D940F79}" type="presParOf" srcId="{85CEF55A-4B3C-4B52-959F-1A51B78740BF}" destId="{692F7E36-445C-4982-8344-B1BBD7C04A43}" srcOrd="0" destOrd="0" presId="urn:microsoft.com/office/officeart/2005/8/layout/lProcess2"/>
    <dgm:cxn modelId="{2E61C792-A267-4F2F-8D22-7D879154BBBC}" type="presParOf" srcId="{85CEF55A-4B3C-4B52-959F-1A51B78740BF}" destId="{A3005E10-C06E-4AA5-B24C-E975CEC268BB}" srcOrd="1" destOrd="0" presId="urn:microsoft.com/office/officeart/2005/8/layout/lProcess2"/>
    <dgm:cxn modelId="{63663E0D-74A0-4F43-BAD5-B7A18FA9A97F}" type="presParOf" srcId="{85CEF55A-4B3C-4B52-959F-1A51B78740BF}" destId="{85F23820-B6FB-49BE-BB36-E7A95FE8A6B3}" srcOrd="2" destOrd="0" presId="urn:microsoft.com/office/officeart/2005/8/layout/lProcess2"/>
    <dgm:cxn modelId="{AFA3A792-B69D-45C7-A80B-EBC4E54DC98A}" type="presParOf" srcId="{85CEF55A-4B3C-4B52-959F-1A51B78740BF}" destId="{7BEBBE00-3662-4CE4-9C1C-962E89370235}" srcOrd="3" destOrd="0" presId="urn:microsoft.com/office/officeart/2005/8/layout/lProcess2"/>
    <dgm:cxn modelId="{8FFA9774-4021-4684-A8DA-8A6AB3909F0E}" type="presParOf" srcId="{85CEF55A-4B3C-4B52-959F-1A51B78740BF}" destId="{404FB7B3-4BC9-455A-B71F-8E04325932C8}" srcOrd="4" destOrd="0" presId="urn:microsoft.com/office/officeart/2005/8/layout/lProcess2"/>
  </dgm:cxnLst>
  <dgm:bg/>
  <dgm:whole/>
  <dgm:extLst>
    <a:ext uri="http://schemas.microsoft.com/office/drawing/2008/diagram">
      <dsp:dataModelExt xmlns:dsp="http://schemas.microsoft.com/office/drawing/2008/diagram" xmlns="" relId="rId3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D3A86A2-CBA9-405F-9BC8-51D99F9CABE7}">
      <dsp:nvSpPr>
        <dsp:cNvPr id="0" name=""/>
        <dsp:cNvSpPr/>
      </dsp:nvSpPr>
      <dsp:spPr>
        <a:xfrm rot="21363321">
          <a:off x="7248" y="618051"/>
          <a:ext cx="2347702" cy="268847"/>
        </a:xfrm>
        <a:prstGeom prst="mathMinus">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B96D72B-647B-48DD-83B0-108AFBDA2869}">
      <dsp:nvSpPr>
        <dsp:cNvPr id="0" name=""/>
        <dsp:cNvSpPr/>
      </dsp:nvSpPr>
      <dsp:spPr>
        <a:xfrm>
          <a:off x="283463" y="75247"/>
          <a:ext cx="708660" cy="601980"/>
        </a:xfrm>
        <a:prstGeom prst="downArrow">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CA8CC30-2AB2-4120-86C3-C7A3FE55867B}">
      <dsp:nvSpPr>
        <dsp:cNvPr id="0" name=""/>
        <dsp:cNvSpPr/>
      </dsp:nvSpPr>
      <dsp:spPr>
        <a:xfrm>
          <a:off x="990268" y="0"/>
          <a:ext cx="1279299" cy="6320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en-US" sz="1000" b="1" u="sng" kern="1200"/>
            <a:t>Influencing Choices</a:t>
          </a:r>
        </a:p>
        <a:p>
          <a:pPr lvl="0" algn="ctr" defTabSz="444500">
            <a:lnSpc>
              <a:spcPct val="90000"/>
            </a:lnSpc>
            <a:spcBef>
              <a:spcPct val="0"/>
            </a:spcBef>
            <a:spcAft>
              <a:spcPct val="35000"/>
            </a:spcAft>
          </a:pPr>
          <a:r>
            <a:rPr lang="en-US" sz="1000" kern="1200"/>
            <a:t>Making green transport </a:t>
          </a:r>
          <a:r>
            <a:rPr lang="en-US" sz="1000" b="1" i="1" kern="1200"/>
            <a:t>attractive</a:t>
          </a:r>
          <a:r>
            <a:rPr lang="en-US" sz="1000" kern="1200"/>
            <a:t> to users</a:t>
          </a:r>
        </a:p>
      </dsp:txBody>
      <dsp:txXfrm>
        <a:off x="990268" y="0"/>
        <a:ext cx="1279299" cy="632079"/>
      </dsp:txXfrm>
    </dsp:sp>
    <dsp:sp modelId="{BD2634EC-F9EF-4638-9B92-1800F416C1C0}">
      <dsp:nvSpPr>
        <dsp:cNvPr id="0" name=""/>
        <dsp:cNvSpPr/>
      </dsp:nvSpPr>
      <dsp:spPr>
        <a:xfrm>
          <a:off x="1370075" y="827722"/>
          <a:ext cx="708660" cy="601980"/>
        </a:xfrm>
        <a:prstGeom prst="upArrow">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AF9C8AD-C05D-4F61-98E9-27D57E62F607}">
      <dsp:nvSpPr>
        <dsp:cNvPr id="0" name=""/>
        <dsp:cNvSpPr/>
      </dsp:nvSpPr>
      <dsp:spPr>
        <a:xfrm>
          <a:off x="92632" y="872870"/>
          <a:ext cx="1279299" cy="6320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en-US" sz="1000" b="1" u="sng" kern="1200"/>
            <a:t>Improving Choices</a:t>
          </a:r>
        </a:p>
        <a:p>
          <a:pPr lvl="0" algn="ctr" defTabSz="444500">
            <a:lnSpc>
              <a:spcPct val="90000"/>
            </a:lnSpc>
            <a:spcBef>
              <a:spcPct val="0"/>
            </a:spcBef>
            <a:spcAft>
              <a:spcPct val="35000"/>
            </a:spcAft>
          </a:pPr>
          <a:r>
            <a:rPr lang="en-US" sz="1000" kern="1200"/>
            <a:t>Making green transport </a:t>
          </a:r>
          <a:r>
            <a:rPr lang="en-US" sz="1000" b="1" i="1" kern="1200"/>
            <a:t>available</a:t>
          </a:r>
          <a:r>
            <a:rPr lang="en-US" sz="1000" i="1" kern="1200"/>
            <a:t> </a:t>
          </a:r>
          <a:r>
            <a:rPr lang="en-US" sz="1000" kern="1200"/>
            <a:t>to users</a:t>
          </a:r>
        </a:p>
      </dsp:txBody>
      <dsp:txXfrm>
        <a:off x="92632" y="872870"/>
        <a:ext cx="1279299" cy="632079"/>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7E3A24D-7FF5-4FCE-ACD2-702BC9A46589}">
      <dsp:nvSpPr>
        <dsp:cNvPr id="0" name=""/>
        <dsp:cNvSpPr/>
      </dsp:nvSpPr>
      <dsp:spPr>
        <a:xfrm>
          <a:off x="1430" y="72361"/>
          <a:ext cx="1403837" cy="2007927"/>
        </a:xfrm>
        <a:prstGeom prst="roundRect">
          <a:avLst>
            <a:gd name="adj" fmla="val 10000"/>
          </a:avLst>
        </a:prstGeom>
        <a:solidFill>
          <a:schemeClr val="accent3">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91440" tIns="91440" rIns="91440" bIns="0" numCol="1" spcCol="1270" anchor="t" anchorCtr="0">
          <a:noAutofit/>
        </a:bodyPr>
        <a:lstStyle/>
        <a:p>
          <a:pPr lvl="0" algn="ctr" defTabSz="466725">
            <a:lnSpc>
              <a:spcPct val="90000"/>
            </a:lnSpc>
            <a:spcBef>
              <a:spcPct val="0"/>
            </a:spcBef>
            <a:spcAft>
              <a:spcPct val="35000"/>
            </a:spcAft>
          </a:pPr>
          <a:r>
            <a:rPr lang="en-US" sz="1050" b="1" kern="1200"/>
            <a:t>Institutions and Planning</a:t>
          </a:r>
        </a:p>
      </dsp:txBody>
      <dsp:txXfrm>
        <a:off x="1430" y="72361"/>
        <a:ext cx="1403837" cy="602378"/>
      </dsp:txXfrm>
    </dsp:sp>
    <dsp:sp modelId="{D2757543-C87D-47C5-9621-D335CBCB40DB}">
      <dsp:nvSpPr>
        <dsp:cNvPr id="0" name=""/>
        <dsp:cNvSpPr/>
      </dsp:nvSpPr>
      <dsp:spPr>
        <a:xfrm>
          <a:off x="100631" y="519344"/>
          <a:ext cx="1205436" cy="422909"/>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kern="1200"/>
            <a:t>High-level policy integration</a:t>
          </a:r>
        </a:p>
      </dsp:txBody>
      <dsp:txXfrm>
        <a:off x="100631" y="519344"/>
        <a:ext cx="1205436" cy="422909"/>
      </dsp:txXfrm>
    </dsp:sp>
    <dsp:sp modelId="{DE3B2816-8050-4F51-8506-BDB10E425D78}">
      <dsp:nvSpPr>
        <dsp:cNvPr id="0" name=""/>
        <dsp:cNvSpPr/>
      </dsp:nvSpPr>
      <dsp:spPr>
        <a:xfrm>
          <a:off x="100631" y="1025409"/>
          <a:ext cx="1205436" cy="422909"/>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kern="1200"/>
            <a:t>Spatial planning</a:t>
          </a:r>
        </a:p>
      </dsp:txBody>
      <dsp:txXfrm>
        <a:off x="100631" y="1025409"/>
        <a:ext cx="1205436" cy="422909"/>
      </dsp:txXfrm>
    </dsp:sp>
    <dsp:sp modelId="{22A54482-4D8D-4D6A-B7AE-F41F7B0FD287}">
      <dsp:nvSpPr>
        <dsp:cNvPr id="0" name=""/>
        <dsp:cNvSpPr/>
      </dsp:nvSpPr>
      <dsp:spPr>
        <a:xfrm>
          <a:off x="100631" y="1540519"/>
          <a:ext cx="1205436" cy="422909"/>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kern="1200"/>
            <a:t>Strategic transport planning</a:t>
          </a:r>
        </a:p>
      </dsp:txBody>
      <dsp:txXfrm>
        <a:off x="100631" y="1540519"/>
        <a:ext cx="1205436" cy="422909"/>
      </dsp:txXfrm>
    </dsp:sp>
    <dsp:sp modelId="{C8F7AB2A-C099-4FD6-8EA4-112F118687A4}">
      <dsp:nvSpPr>
        <dsp:cNvPr id="0" name=""/>
        <dsp:cNvSpPr/>
      </dsp:nvSpPr>
      <dsp:spPr>
        <a:xfrm>
          <a:off x="1510556" y="72361"/>
          <a:ext cx="1403837" cy="2007927"/>
        </a:xfrm>
        <a:prstGeom prst="roundRect">
          <a:avLst>
            <a:gd name="adj" fmla="val 10000"/>
          </a:avLst>
        </a:prstGeom>
        <a:solidFill>
          <a:schemeClr val="accent3">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91440" tIns="91440" rIns="91440" bIns="0" numCol="1" spcCol="1270" anchor="t" anchorCtr="0">
          <a:noAutofit/>
        </a:bodyPr>
        <a:lstStyle/>
        <a:p>
          <a:pPr lvl="0" algn="ctr" defTabSz="466725">
            <a:lnSpc>
              <a:spcPct val="90000"/>
            </a:lnSpc>
            <a:spcBef>
              <a:spcPct val="0"/>
            </a:spcBef>
            <a:spcAft>
              <a:spcPct val="35000"/>
            </a:spcAft>
          </a:pPr>
          <a:r>
            <a:rPr lang="en-US" sz="1050" b="1" kern="1200"/>
            <a:t>Regulations</a:t>
          </a:r>
        </a:p>
      </dsp:txBody>
      <dsp:txXfrm>
        <a:off x="1510556" y="72361"/>
        <a:ext cx="1403837" cy="602378"/>
      </dsp:txXfrm>
    </dsp:sp>
    <dsp:sp modelId="{C486CD90-557F-41CD-A28F-B88D5E8FDBA7}">
      <dsp:nvSpPr>
        <dsp:cNvPr id="0" name=""/>
        <dsp:cNvSpPr/>
      </dsp:nvSpPr>
      <dsp:spPr>
        <a:xfrm>
          <a:off x="1609756" y="519344"/>
          <a:ext cx="1205436" cy="422909"/>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kern="1200"/>
            <a:t>Fuel quality standards</a:t>
          </a:r>
        </a:p>
      </dsp:txBody>
      <dsp:txXfrm>
        <a:off x="1609756" y="519344"/>
        <a:ext cx="1205436" cy="422909"/>
      </dsp:txXfrm>
    </dsp:sp>
    <dsp:sp modelId="{E22BCBEB-EA1B-4295-A752-C9679A2D6898}">
      <dsp:nvSpPr>
        <dsp:cNvPr id="0" name=""/>
        <dsp:cNvSpPr/>
      </dsp:nvSpPr>
      <dsp:spPr>
        <a:xfrm>
          <a:off x="1609756" y="1025409"/>
          <a:ext cx="1205436" cy="422909"/>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kern="1200"/>
            <a:t>Vehicle technical standards</a:t>
          </a:r>
        </a:p>
      </dsp:txBody>
      <dsp:txXfrm>
        <a:off x="1609756" y="1025409"/>
        <a:ext cx="1205436" cy="422909"/>
      </dsp:txXfrm>
    </dsp:sp>
    <dsp:sp modelId="{FED2FA12-AA97-478A-A395-C0EFDEB2F7CE}">
      <dsp:nvSpPr>
        <dsp:cNvPr id="0" name=""/>
        <dsp:cNvSpPr/>
      </dsp:nvSpPr>
      <dsp:spPr>
        <a:xfrm>
          <a:off x="1609756" y="1540519"/>
          <a:ext cx="1205436" cy="422909"/>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kern="1200"/>
            <a:t>Enforcement</a:t>
          </a:r>
        </a:p>
      </dsp:txBody>
      <dsp:txXfrm>
        <a:off x="1609756" y="1540519"/>
        <a:ext cx="1205436" cy="422909"/>
      </dsp:txXfrm>
    </dsp:sp>
    <dsp:sp modelId="{E25D5432-3AB9-4A7C-8DF0-420A8042D9A3}">
      <dsp:nvSpPr>
        <dsp:cNvPr id="0" name=""/>
        <dsp:cNvSpPr/>
      </dsp:nvSpPr>
      <dsp:spPr>
        <a:xfrm>
          <a:off x="3019681" y="72361"/>
          <a:ext cx="1403837" cy="2007927"/>
        </a:xfrm>
        <a:prstGeom prst="roundRect">
          <a:avLst>
            <a:gd name="adj" fmla="val 10000"/>
          </a:avLst>
        </a:prstGeom>
        <a:solidFill>
          <a:schemeClr val="accent3">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91440" tIns="91440" rIns="91440" bIns="0" numCol="1" spcCol="1270" anchor="t" anchorCtr="0">
          <a:noAutofit/>
        </a:bodyPr>
        <a:lstStyle/>
        <a:p>
          <a:pPr lvl="0" algn="ctr" defTabSz="466725">
            <a:lnSpc>
              <a:spcPct val="90000"/>
            </a:lnSpc>
            <a:spcBef>
              <a:spcPct val="0"/>
            </a:spcBef>
            <a:spcAft>
              <a:spcPct val="35000"/>
            </a:spcAft>
          </a:pPr>
          <a:r>
            <a:rPr lang="en-US" sz="1050" b="1" kern="1200"/>
            <a:t>Fiscal Policy and Pricing</a:t>
          </a:r>
        </a:p>
      </dsp:txBody>
      <dsp:txXfrm>
        <a:off x="3019681" y="72361"/>
        <a:ext cx="1403837" cy="602378"/>
      </dsp:txXfrm>
    </dsp:sp>
    <dsp:sp modelId="{A3A901CE-92BA-4589-8065-1B2108491325}">
      <dsp:nvSpPr>
        <dsp:cNvPr id="0" name=""/>
        <dsp:cNvSpPr/>
      </dsp:nvSpPr>
      <dsp:spPr>
        <a:xfrm>
          <a:off x="3118882" y="528300"/>
          <a:ext cx="1205436" cy="649053"/>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kern="1200"/>
            <a:t>Taxes and subsidies</a:t>
          </a:r>
        </a:p>
      </dsp:txBody>
      <dsp:txXfrm>
        <a:off x="3118882" y="528300"/>
        <a:ext cx="1205436" cy="649053"/>
      </dsp:txXfrm>
    </dsp:sp>
    <dsp:sp modelId="{3F447DC3-7E94-4348-A632-2EBB638B2785}">
      <dsp:nvSpPr>
        <dsp:cNvPr id="0" name=""/>
        <dsp:cNvSpPr/>
      </dsp:nvSpPr>
      <dsp:spPr>
        <a:xfrm>
          <a:off x="3118882" y="1308506"/>
          <a:ext cx="1205436" cy="649053"/>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kern="1200"/>
            <a:t>Explicit pricing of externalities</a:t>
          </a:r>
        </a:p>
      </dsp:txBody>
      <dsp:txXfrm>
        <a:off x="3118882" y="1308506"/>
        <a:ext cx="1205436" cy="649053"/>
      </dsp:txXfrm>
    </dsp:sp>
    <dsp:sp modelId="{8463F8B1-919D-45F8-93EF-C103AF938BB9}">
      <dsp:nvSpPr>
        <dsp:cNvPr id="0" name=""/>
        <dsp:cNvSpPr/>
      </dsp:nvSpPr>
      <dsp:spPr>
        <a:xfrm>
          <a:off x="4528806" y="72361"/>
          <a:ext cx="1403837" cy="2007927"/>
        </a:xfrm>
        <a:prstGeom prst="roundRect">
          <a:avLst>
            <a:gd name="adj" fmla="val 10000"/>
          </a:avLst>
        </a:prstGeom>
        <a:solidFill>
          <a:schemeClr val="accent3">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91440" tIns="91440" rIns="91440" bIns="0" numCol="1" spcCol="1270" anchor="t" anchorCtr="0">
          <a:noAutofit/>
        </a:bodyPr>
        <a:lstStyle/>
        <a:p>
          <a:pPr lvl="0" algn="ctr" defTabSz="466725">
            <a:lnSpc>
              <a:spcPct val="90000"/>
            </a:lnSpc>
            <a:spcBef>
              <a:spcPct val="0"/>
            </a:spcBef>
            <a:spcAft>
              <a:spcPct val="35000"/>
            </a:spcAft>
          </a:pPr>
          <a:r>
            <a:rPr lang="en-US" sz="1050" b="1" kern="1200"/>
            <a:t>Technology and Infrastructure</a:t>
          </a:r>
        </a:p>
      </dsp:txBody>
      <dsp:txXfrm>
        <a:off x="4528806" y="72361"/>
        <a:ext cx="1403837" cy="602378"/>
      </dsp:txXfrm>
    </dsp:sp>
    <dsp:sp modelId="{692F7E36-445C-4982-8344-B1BBD7C04A43}">
      <dsp:nvSpPr>
        <dsp:cNvPr id="0" name=""/>
        <dsp:cNvSpPr/>
      </dsp:nvSpPr>
      <dsp:spPr>
        <a:xfrm>
          <a:off x="4628007" y="519344"/>
          <a:ext cx="1205436" cy="422909"/>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kern="1200"/>
            <a:t>Greener modes of transport</a:t>
          </a:r>
        </a:p>
      </dsp:txBody>
      <dsp:txXfrm>
        <a:off x="4628007" y="519344"/>
        <a:ext cx="1205436" cy="422909"/>
      </dsp:txXfrm>
    </dsp:sp>
    <dsp:sp modelId="{85F23820-B6FB-49BE-BB36-E7A95FE8A6B3}">
      <dsp:nvSpPr>
        <dsp:cNvPr id="0" name=""/>
        <dsp:cNvSpPr/>
      </dsp:nvSpPr>
      <dsp:spPr>
        <a:xfrm>
          <a:off x="4628007" y="1025409"/>
          <a:ext cx="1205436" cy="422909"/>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kern="1200"/>
            <a:t>Infrastructure network and connectivity</a:t>
          </a:r>
        </a:p>
      </dsp:txBody>
      <dsp:txXfrm>
        <a:off x="4628007" y="1025409"/>
        <a:ext cx="1205436" cy="422909"/>
      </dsp:txXfrm>
    </dsp:sp>
    <dsp:sp modelId="{404FB7B3-4BC9-455A-B71F-8E04325932C8}">
      <dsp:nvSpPr>
        <dsp:cNvPr id="0" name=""/>
        <dsp:cNvSpPr/>
      </dsp:nvSpPr>
      <dsp:spPr>
        <a:xfrm>
          <a:off x="4628007" y="1540519"/>
          <a:ext cx="1205436" cy="422909"/>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kern="1200"/>
            <a:t>Advanced  vehicle technologies</a:t>
          </a:r>
        </a:p>
      </dsp:txBody>
      <dsp:txXfrm>
        <a:off x="4628007" y="1540519"/>
        <a:ext cx="1205436" cy="422909"/>
      </dsp:txXfrm>
    </dsp:sp>
  </dsp:spTree>
</dsp:drawing>
</file>

<file path=word/diagrams/layout1.xml><?xml version="1.0" encoding="utf-8"?>
<dgm:layoutDef xmlns:dgm="http://schemas.openxmlformats.org/drawingml/2006/diagram" xmlns:a="http://schemas.openxmlformats.org/drawingml/2006/main" uniqueId="urn:microsoft.com/office/officeart/2005/8/layout/arrow3">
  <dgm:title val=""/>
  <dgm:desc val=""/>
  <dgm:catLst>
    <dgm:cat type="relationship" pri="5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param type="horzAlign" val="none"/>
      <dgm:param type="vertAlign" val="none"/>
    </dgm:alg>
    <dgm:shape xmlns:r="http://schemas.openxmlformats.org/officeDocument/2006/relationships" r:blip="">
      <dgm:adjLst/>
    </dgm:shape>
    <dgm:presOf/>
    <dgm:choose name="Name0">
      <dgm:if name="Name1" func="var" arg="dir" op="equ" val="norm">
        <dgm:choose name="Name2">
          <dgm:if name="Name3"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l" for="ch" forName="downArrow" refType="w" fact="0.1"/>
              <dgm:constr type="t" for="ch" forName="downArrow" refType="h" fact="0.05"/>
              <dgm:constr type="lOff" for="ch" forName="downArrow" refType="w" fact="0.02"/>
              <dgm:constr type="w" for="ch" forName="downArrowText" refType="w" fact="0.32"/>
              <dgm:constr type="h" for="ch" forName="downArrowText" refType="h" fact="0.42"/>
              <dgm:constr type="t" for="ch" forName="downArrowText"/>
              <dgm:constr type="r" for="ch" forName="downArrowText" refType="w" fact="0.85"/>
              <dgm:constr type="w" for="ch" forName="upArrow" refType="w" fact="0.3"/>
              <dgm:constr type="h" for="ch" forName="upArrow" refType="h" fact="0.4"/>
              <dgm:constr type="b" for="ch" forName="upArrow" refType="h" fact="0.95"/>
              <dgm:constr type="r" for="ch" forName="upArrow" refType="w" fact="0.9"/>
              <dgm:constr type="rOff" for="ch" forName="upArrow" refType="w" fact="-0.02"/>
              <dgm:constr type="w" for="ch" forName="upArrowText" refType="w" fact="0.32"/>
              <dgm:constr type="h" for="ch" forName="upArrowText" refType="h" fact="0.42"/>
              <dgm:constr type="b" for="ch" forName="upArrowText" refType="h"/>
              <dgm:constr type="l" for="ch" forName="upArrowText" refType="w" fact="0.15"/>
              <dgm:constr type="primFontSz" for="ch" ptType="node" op="equ" val="65"/>
            </dgm:constrLst>
          </dgm:if>
          <dgm:else name="Name4">
            <dgm:constrLst>
              <dgm:constr type="w" for="ch" forName="downArrow" refType="w" fact="0.4"/>
              <dgm:constr type="h" for="ch" forName="downArrow" refType="h" fact="0.8"/>
              <dgm:constr type="l" for="ch" forName="downArrow" refType="w" fact="0.02"/>
              <dgm:constr type="t" for="ch" forName="downArrow" refType="h" fact="0.05"/>
              <dgm:constr type="lOff" for="ch" forName="downArrow" refType="w" fact="0.02"/>
              <dgm:constr type="w" for="ch" forName="downArrowText" refType="w" fact="0.5"/>
              <dgm:constr type="h" for="ch" forName="downArrowText" refType="h"/>
              <dgm:constr type="t" for="ch" forName="downArrowText"/>
              <dgm:constr type="r" for="ch" forName="downArrowText" refType="w"/>
              <dgm:constr type="primFontSz" for="ch" ptType="node" op="equ" val="65"/>
            </dgm:constrLst>
          </dgm:else>
        </dgm:choose>
      </dgm:if>
      <dgm:else name="Name5">
        <dgm:choose name="Name6">
          <dgm:if name="Name7"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r" for="ch" forName="downArrow" refType="w" fact="0.9"/>
              <dgm:constr type="t" for="ch" forName="downArrow" refType="h" fact="0.05"/>
              <dgm:constr type="rOff" for="ch" forName="downArrow" refType="w" fact="-0.02"/>
              <dgm:constr type="w" for="ch" forName="downArrowText" refType="w" fact="0.32"/>
              <dgm:constr type="h" for="ch" forName="downArrowText" refType="h" fact="0.42"/>
              <dgm:constr type="t" for="ch" forName="downArrowText"/>
              <dgm:constr type="l" for="ch" forName="downArrowText" refType="w" fact="0.15"/>
              <dgm:constr type="w" for="ch" forName="upArrow" refType="w" fact="0.3"/>
              <dgm:constr type="h" for="ch" forName="upArrow" refType="h" fact="0.4"/>
              <dgm:constr type="b" for="ch" forName="upArrow" refType="h" fact="0.95"/>
              <dgm:constr type="l" for="ch" forName="upArrow" refType="w" fact="0.1"/>
              <dgm:constr type="lOff" for="ch" forName="upArrow" refType="w" fact="0.02"/>
              <dgm:constr type="w" for="ch" forName="upArrowText" refType="w" fact="0.32"/>
              <dgm:constr type="h" for="ch" forName="upArrowText" refType="h" fact="0.42"/>
              <dgm:constr type="b" for="ch" forName="upArrowText" refType="h"/>
              <dgm:constr type="r" for="ch" forName="upArrowText" refType="w" fact="0.85"/>
              <dgm:constr type="primFontSz" for="ch" ptType="node" op="equ" val="65"/>
            </dgm:constrLst>
          </dgm:if>
          <dgm:else name="Name8">
            <dgm:constrLst>
              <dgm:constr type="w" for="ch" forName="downArrow" refType="w" fact="0.4"/>
              <dgm:constr type="h" for="ch" forName="downArrow" refType="h" fact="0.8"/>
              <dgm:constr type="r" for="ch" forName="downArrow" refType="w" fact="0.98"/>
              <dgm:constr type="t" for="ch" forName="downArrow" refType="h" fact="0.05"/>
              <dgm:constr type="rOff" for="ch" forName="downArrow" refType="w" fact="-0.02"/>
              <dgm:constr type="w" for="ch" forName="downArrowText" refType="w" fact="0.5"/>
              <dgm:constr type="h" for="ch" forName="downArrowText" refType="h"/>
              <dgm:constr type="t" for="ch" forName="downArrowText"/>
              <dgm:constr type="l" for="ch" forName="downArrowText"/>
              <dgm:constr type="primFontSz" for="ch" ptType="node" op="equ" val="65"/>
            </dgm:constrLst>
          </dgm:else>
        </dgm:choose>
      </dgm:else>
    </dgm:choose>
    <dgm:ruleLst/>
    <dgm:choose name="Name9">
      <dgm:if name="Name10" axis="ch" ptType="node" func="cnt" op="gte" val="2">
        <dgm:layoutNode name="divider" styleLbl="fgShp">
          <dgm:alg type="sp"/>
          <dgm:choose name="Name11">
            <dgm:if name="Name12" func="var" arg="dir" op="equ" val="norm">
              <dgm:shape xmlns:r="http://schemas.openxmlformats.org/officeDocument/2006/relationships" rot="-5" type="mathMinus" r:blip="">
                <dgm:adjLst/>
              </dgm:shape>
            </dgm:if>
            <dgm:else name="Name13">
              <dgm:shape xmlns:r="http://schemas.openxmlformats.org/officeDocument/2006/relationships" rot="5" type="mathMinus" r:blip="">
                <dgm:adjLst/>
              </dgm:shape>
            </dgm:else>
          </dgm:choose>
          <dgm:presOf/>
          <dgm:constrLst/>
          <dgm:ruleLst/>
        </dgm:layoutNode>
      </dgm:if>
      <dgm:else name="Name14"/>
    </dgm:choose>
    <dgm:forEach name="Name15" axis="ch" ptType="node"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forEach name="Name16" axis="ch" ptType="node" st="2" cnt="1">
      <dgm:layoutNode name="upArrow" styleLbl="node1">
        <dgm:alg type="sp"/>
        <dgm:shape xmlns:r="http://schemas.openxmlformats.org/officeDocument/2006/relationships" type="upArrow" r:blip="">
          <dgm:adjLst/>
        </dgm:shape>
        <dgm:presOf/>
        <dgm:constrLst/>
        <dgm:ruleLst/>
      </dgm:layoutNode>
      <dgm:layoutNode name="up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0.77981</cdr:x>
      <cdr:y>0</cdr:y>
    </cdr:from>
    <cdr:to>
      <cdr:x>0.97329</cdr:x>
      <cdr:y>0.06086</cdr:y>
    </cdr:to>
    <cdr:sp macro="" textlink="">
      <cdr:nvSpPr>
        <cdr:cNvPr id="2" name="TextBox 1"/>
        <cdr:cNvSpPr txBox="1"/>
      </cdr:nvSpPr>
      <cdr:spPr>
        <a:xfrm xmlns:a="http://schemas.openxmlformats.org/drawingml/2006/main">
          <a:off x="2503133" y="0"/>
          <a:ext cx="621067" cy="140872"/>
        </a:xfrm>
        <a:prstGeom xmlns:a="http://schemas.openxmlformats.org/drawingml/2006/main" prst="rect">
          <a:avLst/>
        </a:prstGeom>
      </cdr:spPr>
      <cdr:txBody>
        <a:bodyPr xmlns:a="http://schemas.openxmlformats.org/drawingml/2006/main" vertOverflow="clip" wrap="none" lIns="0" tIns="0" rIns="0" bIns="0" rtlCol="0" anchor="ctr" anchorCtr="0">
          <a:spAutoFit/>
        </a:bodyPr>
        <a:lstStyle xmlns:a="http://schemas.openxmlformats.org/drawingml/2006/main"/>
        <a:p xmlns:a="http://schemas.openxmlformats.org/drawingml/2006/main">
          <a:r>
            <a:rPr lang="en-US" sz="900"/>
            <a:t>(million tons)</a:t>
          </a:r>
        </a:p>
      </cdr:txBody>
    </cdr:sp>
  </cdr:relSizeAnchor>
  <cdr:relSizeAnchor xmlns:cdr="http://schemas.openxmlformats.org/drawingml/2006/chartDrawing">
    <cdr:from>
      <cdr:x>0</cdr:x>
      <cdr:y>0</cdr:y>
    </cdr:from>
    <cdr:to>
      <cdr:x>0.16138</cdr:x>
      <cdr:y>0.07819</cdr:y>
    </cdr:to>
    <cdr:sp macro="" textlink="">
      <cdr:nvSpPr>
        <cdr:cNvPr id="3" name="TextBox 1"/>
        <cdr:cNvSpPr txBox="1"/>
      </cdr:nvSpPr>
      <cdr:spPr>
        <a:xfrm xmlns:a="http://schemas.openxmlformats.org/drawingml/2006/main">
          <a:off x="0" y="0"/>
          <a:ext cx="533400" cy="180975"/>
        </a:xfrm>
        <a:prstGeom xmlns:a="http://schemas.openxmlformats.org/drawingml/2006/main" prst="rect">
          <a:avLst/>
        </a:prstGeom>
      </cdr:spPr>
      <cdr:txBody>
        <a:bodyPr xmlns:a="http://schemas.openxmlformats.org/drawingml/2006/main" wrap="none" lIns="0" tIns="0" rIns="0" bIns="0" rtlCol="0" anchor="ctr" anchorCtr="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900"/>
            <a:t>($</a:t>
          </a:r>
          <a:r>
            <a:rPr lang="en-US" sz="900" baseline="0"/>
            <a:t> billion)</a:t>
          </a:r>
          <a:endParaRPr lang="en-US" sz="900"/>
        </a:p>
      </cdr:txBody>
    </cdr:sp>
  </cdr:relSizeAnchor>
</c:userShapes>
</file>

<file path=word/drawings/drawing2.xml><?xml version="1.0" encoding="utf-8"?>
<c:userShapes xmlns:c="http://schemas.openxmlformats.org/drawingml/2006/chart">
  <cdr:relSizeAnchor xmlns:cdr="http://schemas.openxmlformats.org/drawingml/2006/chartDrawing">
    <cdr:from>
      <cdr:x>0.01807</cdr:x>
      <cdr:y>4.41121E-7</cdr:y>
    </cdr:from>
    <cdr:to>
      <cdr:x>0.62048</cdr:x>
      <cdr:y>0.09244</cdr:y>
    </cdr:to>
    <cdr:sp macro="" textlink="">
      <cdr:nvSpPr>
        <cdr:cNvPr id="2" name="TextBox 1"/>
        <cdr:cNvSpPr txBox="1"/>
      </cdr:nvSpPr>
      <cdr:spPr>
        <a:xfrm xmlns:a="http://schemas.openxmlformats.org/drawingml/2006/main">
          <a:off x="57150" y="1"/>
          <a:ext cx="1905000" cy="209549"/>
        </a:xfrm>
        <a:prstGeom xmlns:a="http://schemas.openxmlformats.org/drawingml/2006/main" prst="rect">
          <a:avLst/>
        </a:prstGeom>
      </cdr:spPr>
      <cdr:txBody>
        <a:bodyPr xmlns:a="http://schemas.openxmlformats.org/drawingml/2006/main" vertOverflow="clip" wrap="none" lIns="45720" tIns="0" rIns="45720" bIns="0" rtlCol="0" anchor="ctr" anchorCtr="0"/>
        <a:lstStyle xmlns:a="http://schemas.openxmlformats.org/drawingml/2006/main"/>
        <a:p xmlns:a="http://schemas.openxmlformats.org/drawingml/2006/main">
          <a:r>
            <a:rPr lang="en-US" sz="900"/>
            <a:t>Private Car</a:t>
          </a:r>
          <a:r>
            <a:rPr lang="en-US" sz="900" baseline="0"/>
            <a:t> ownership per 1000 persons</a:t>
          </a:r>
          <a:endParaRPr lang="en-US" sz="900"/>
        </a:p>
      </cdr:txBody>
    </cdr:sp>
  </cdr:relSizeAnchor>
  <cdr:relSizeAnchor xmlns:cdr="http://schemas.openxmlformats.org/drawingml/2006/chartDrawing">
    <cdr:from>
      <cdr:x>0.75799</cdr:x>
      <cdr:y>0.17266</cdr:y>
    </cdr:from>
    <cdr:to>
      <cdr:x>0.95857</cdr:x>
      <cdr:y>0.24193</cdr:y>
    </cdr:to>
    <cdr:sp macro="" textlink="">
      <cdr:nvSpPr>
        <cdr:cNvPr id="3" name="TextBox 1"/>
        <cdr:cNvSpPr txBox="1"/>
      </cdr:nvSpPr>
      <cdr:spPr>
        <a:xfrm xmlns:a="http://schemas.openxmlformats.org/drawingml/2006/main">
          <a:off x="2049467" y="351099"/>
          <a:ext cx="542328" cy="140872"/>
        </a:xfrm>
        <a:prstGeom xmlns:a="http://schemas.openxmlformats.org/drawingml/2006/main" prst="rect">
          <a:avLst/>
        </a:prstGeom>
      </cdr:spPr>
      <cdr:txBody>
        <a:bodyPr xmlns:a="http://schemas.openxmlformats.org/drawingml/2006/main" wrap="none" lIns="0" tIns="0" rIns="0" bIns="0" rtlCol="0" anchor="ctr" anchorCtr="0">
          <a:sp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900"/>
            <a:t>High (&gt;250)</a:t>
          </a:r>
        </a:p>
      </cdr:txBody>
    </cdr:sp>
  </cdr:relSizeAnchor>
  <cdr:relSizeAnchor xmlns:cdr="http://schemas.openxmlformats.org/drawingml/2006/chartDrawing">
    <cdr:from>
      <cdr:x>0.81066</cdr:x>
      <cdr:y>0.2965</cdr:y>
    </cdr:from>
    <cdr:to>
      <cdr:x>0.95857</cdr:x>
      <cdr:y>0.43505</cdr:y>
    </cdr:to>
    <cdr:sp macro="" textlink="">
      <cdr:nvSpPr>
        <cdr:cNvPr id="4" name="TextBox 1"/>
        <cdr:cNvSpPr txBox="1"/>
      </cdr:nvSpPr>
      <cdr:spPr>
        <a:xfrm xmlns:a="http://schemas.openxmlformats.org/drawingml/2006/main">
          <a:off x="2191887" y="602931"/>
          <a:ext cx="399908" cy="281744"/>
        </a:xfrm>
        <a:prstGeom xmlns:a="http://schemas.openxmlformats.org/drawingml/2006/main" prst="rect">
          <a:avLst/>
        </a:prstGeom>
      </cdr:spPr>
      <cdr:txBody>
        <a:bodyPr xmlns:a="http://schemas.openxmlformats.org/drawingml/2006/main" wrap="square" lIns="0" tIns="0" rIns="0" bIns="0" rtlCol="0" anchor="ctr" anchorCtr="0">
          <a:sp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900"/>
            <a:t>Medium (</a:t>
          </a:r>
          <a:r>
            <a:rPr lang="en-US" sz="900">
              <a:latin typeface="Calibri"/>
            </a:rPr>
            <a:t>≈</a:t>
          </a:r>
          <a:r>
            <a:rPr lang="en-US" sz="900"/>
            <a:t>220)</a:t>
          </a:r>
        </a:p>
      </cdr:txBody>
    </cdr:sp>
  </cdr:relSizeAnchor>
  <cdr:relSizeAnchor xmlns:cdr="http://schemas.openxmlformats.org/drawingml/2006/chartDrawing">
    <cdr:from>
      <cdr:x>0.77556</cdr:x>
      <cdr:y>0.44966</cdr:y>
    </cdr:from>
    <cdr:to>
      <cdr:x>0.95857</cdr:x>
      <cdr:y>0.51894</cdr:y>
    </cdr:to>
    <cdr:sp macro="" textlink="">
      <cdr:nvSpPr>
        <cdr:cNvPr id="5" name="TextBox 1"/>
        <cdr:cNvSpPr txBox="1"/>
      </cdr:nvSpPr>
      <cdr:spPr>
        <a:xfrm xmlns:a="http://schemas.openxmlformats.org/drawingml/2006/main">
          <a:off x="2096980" y="914399"/>
          <a:ext cx="494815" cy="140872"/>
        </a:xfrm>
        <a:prstGeom xmlns:a="http://schemas.openxmlformats.org/drawingml/2006/main" prst="rect">
          <a:avLst/>
        </a:prstGeom>
      </cdr:spPr>
      <cdr:txBody>
        <a:bodyPr xmlns:a="http://schemas.openxmlformats.org/drawingml/2006/main" wrap="none" lIns="0" tIns="0" rIns="0" bIns="0" rtlCol="0" anchor="ctr" anchorCtr="0">
          <a:sp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900"/>
            <a:t>Low(&lt;200)</a:t>
          </a:r>
        </a:p>
      </cdr:txBody>
    </cdr:sp>
  </cdr:relSizeAnchor>
</c:userShapes>
</file>

<file path=word/drawings/drawing3.xml><?xml version="1.0" encoding="utf-8"?>
<c:userShapes xmlns:c="http://schemas.openxmlformats.org/drawingml/2006/chart">
  <cdr:relSizeAnchor xmlns:cdr="http://schemas.openxmlformats.org/drawingml/2006/chartDrawing">
    <cdr:from>
      <cdr:x>0.55986</cdr:x>
      <cdr:y>0.64039</cdr:y>
    </cdr:from>
    <cdr:to>
      <cdr:x>0.60152</cdr:x>
      <cdr:y>0.72026</cdr:y>
    </cdr:to>
    <cdr:sp macro="" textlink="">
      <cdr:nvSpPr>
        <cdr:cNvPr id="3" name="Straight Connector 2"/>
        <cdr:cNvSpPr/>
      </cdr:nvSpPr>
      <cdr:spPr>
        <a:xfrm xmlns:a="http://schemas.openxmlformats.org/drawingml/2006/main" flipH="1">
          <a:off x="1647805" y="1421240"/>
          <a:ext cx="122615" cy="177258"/>
        </a:xfrm>
        <a:prstGeom xmlns:a="http://schemas.openxmlformats.org/drawingml/2006/main" prst="line">
          <a:avLst/>
        </a:prstGeom>
        <a:ln xmlns:a="http://schemas.openxmlformats.org/drawingml/2006/main">
          <a:headEnd type="triangle"/>
          <a:tailEnd type="non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0.65997</cdr:x>
      <cdr:y>0.62191</cdr:y>
    </cdr:from>
    <cdr:to>
      <cdr:x>0.66205</cdr:x>
      <cdr:y>0.70177</cdr:y>
    </cdr:to>
    <cdr:sp macro="" textlink="">
      <cdr:nvSpPr>
        <cdr:cNvPr id="4" name="Straight Connector 3"/>
        <cdr:cNvSpPr/>
      </cdr:nvSpPr>
      <cdr:spPr>
        <a:xfrm xmlns:a="http://schemas.openxmlformats.org/drawingml/2006/main">
          <a:off x="1942429" y="1350609"/>
          <a:ext cx="6122" cy="173432"/>
        </a:xfrm>
        <a:prstGeom xmlns:a="http://schemas.openxmlformats.org/drawingml/2006/main" prst="line">
          <a:avLst/>
        </a:prstGeom>
        <a:noFill xmlns:a="http://schemas.openxmlformats.org/drawingml/2006/main"/>
        <a:ln xmlns:a="http://schemas.openxmlformats.org/drawingml/2006/main" w="9525" cap="flat" cmpd="sng" algn="ctr">
          <a:solidFill>
            <a:srgbClr val="4F81BD">
              <a:shade val="95000"/>
              <a:satMod val="105000"/>
            </a:srgbClr>
          </a:solidFill>
          <a:prstDash val="solid"/>
          <a:headEnd type="triangle"/>
          <a:tailEnd type="none"/>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en-US"/>
        </a:p>
      </cdr:txBody>
    </cdr:sp>
  </cdr:relSizeAnchor>
  <cdr:relSizeAnchor xmlns:cdr="http://schemas.openxmlformats.org/drawingml/2006/chartDrawing">
    <cdr:from>
      <cdr:x>0.71099</cdr:x>
      <cdr:y>0.57153</cdr:y>
    </cdr:from>
    <cdr:to>
      <cdr:x>0.76744</cdr:x>
      <cdr:y>0.62396</cdr:y>
    </cdr:to>
    <cdr:sp macro="" textlink="">
      <cdr:nvSpPr>
        <cdr:cNvPr id="5" name="Straight Connector 4"/>
        <cdr:cNvSpPr/>
      </cdr:nvSpPr>
      <cdr:spPr>
        <a:xfrm xmlns:a="http://schemas.openxmlformats.org/drawingml/2006/main">
          <a:off x="2092596" y="1268409"/>
          <a:ext cx="166145" cy="116359"/>
        </a:xfrm>
        <a:prstGeom xmlns:a="http://schemas.openxmlformats.org/drawingml/2006/main" prst="line">
          <a:avLst/>
        </a:prstGeom>
        <a:noFill xmlns:a="http://schemas.openxmlformats.org/drawingml/2006/main"/>
        <a:ln xmlns:a="http://schemas.openxmlformats.org/drawingml/2006/main" w="9525" cap="flat" cmpd="sng" algn="ctr">
          <a:solidFill>
            <a:srgbClr val="4F81BD">
              <a:shade val="95000"/>
              <a:satMod val="105000"/>
            </a:srgbClr>
          </a:solidFill>
          <a:prstDash val="solid"/>
          <a:headEnd type="triangle"/>
          <a:tailEnd type="none"/>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en-US"/>
        </a:p>
      </cdr:txBody>
    </cdr:sp>
  </cdr:relSizeAnchor>
  <cdr:relSizeAnchor xmlns:cdr="http://schemas.openxmlformats.org/drawingml/2006/chartDrawing">
    <cdr:from>
      <cdr:x>0.63972</cdr:x>
      <cdr:y>0.42182</cdr:y>
    </cdr:from>
    <cdr:to>
      <cdr:x>0.6418</cdr:x>
      <cdr:y>0.54683</cdr:y>
    </cdr:to>
    <cdr:sp macro="" textlink="">
      <cdr:nvSpPr>
        <cdr:cNvPr id="6" name="Straight Connector 5"/>
        <cdr:cNvSpPr/>
      </cdr:nvSpPr>
      <cdr:spPr>
        <a:xfrm xmlns:a="http://schemas.openxmlformats.org/drawingml/2006/main" flipV="1">
          <a:off x="1882833" y="916077"/>
          <a:ext cx="6121" cy="271463"/>
        </a:xfrm>
        <a:prstGeom xmlns:a="http://schemas.openxmlformats.org/drawingml/2006/main" prst="line">
          <a:avLst/>
        </a:prstGeom>
        <a:noFill xmlns:a="http://schemas.openxmlformats.org/drawingml/2006/main"/>
        <a:ln xmlns:a="http://schemas.openxmlformats.org/drawingml/2006/main" w="9525" cap="flat" cmpd="sng" algn="ctr">
          <a:solidFill>
            <a:srgbClr val="4F81BD">
              <a:shade val="95000"/>
              <a:satMod val="105000"/>
            </a:srgbClr>
          </a:solidFill>
          <a:prstDash val="solid"/>
          <a:headEnd type="triangle"/>
          <a:tailEnd type="none"/>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en-US"/>
        </a:p>
      </cdr:txBody>
    </cdr:sp>
  </cdr:relSizeAnchor>
  <cdr:relSizeAnchor xmlns:cdr="http://schemas.openxmlformats.org/drawingml/2006/chartDrawing">
    <cdr:from>
      <cdr:x>0.70631</cdr:x>
      <cdr:y>0.62071</cdr:y>
    </cdr:from>
    <cdr:to>
      <cdr:x>0.77083</cdr:x>
      <cdr:y>0.68813</cdr:y>
    </cdr:to>
    <cdr:sp macro="" textlink="">
      <cdr:nvSpPr>
        <cdr:cNvPr id="7" name="Straight Connector 6"/>
        <cdr:cNvSpPr/>
      </cdr:nvSpPr>
      <cdr:spPr>
        <a:xfrm xmlns:a="http://schemas.openxmlformats.org/drawingml/2006/main">
          <a:off x="2078818" y="1377556"/>
          <a:ext cx="189897" cy="149626"/>
        </a:xfrm>
        <a:prstGeom xmlns:a="http://schemas.openxmlformats.org/drawingml/2006/main" prst="line">
          <a:avLst/>
        </a:prstGeom>
        <a:noFill xmlns:a="http://schemas.openxmlformats.org/drawingml/2006/main"/>
        <a:ln xmlns:a="http://schemas.openxmlformats.org/drawingml/2006/main" w="9525" cap="flat" cmpd="sng" algn="ctr">
          <a:solidFill>
            <a:srgbClr val="4F81BD">
              <a:shade val="95000"/>
              <a:satMod val="105000"/>
            </a:srgbClr>
          </a:solidFill>
          <a:prstDash val="solid"/>
          <a:headEnd type="triangle"/>
          <a:tailEnd type="none"/>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en-US"/>
        </a:p>
      </cdr:txBody>
    </cdr:sp>
  </cdr:relSizeAnchor>
</c:userShapes>
</file>

<file path=word/drawings/drawing4.xml><?xml version="1.0" encoding="utf-8"?>
<c:userShapes xmlns:c="http://schemas.openxmlformats.org/drawingml/2006/chart">
  <cdr:relSizeAnchor xmlns:cdr="http://schemas.openxmlformats.org/drawingml/2006/chartDrawing">
    <cdr:from>
      <cdr:x>0.08517</cdr:x>
      <cdr:y>0.08856</cdr:y>
    </cdr:from>
    <cdr:to>
      <cdr:x>0.60568</cdr:x>
      <cdr:y>0.21402</cdr:y>
    </cdr:to>
    <cdr:sp macro="" textlink="">
      <cdr:nvSpPr>
        <cdr:cNvPr id="2" name="TextBox 1"/>
        <cdr:cNvSpPr txBox="1"/>
      </cdr:nvSpPr>
      <cdr:spPr>
        <a:xfrm xmlns:a="http://schemas.openxmlformats.org/drawingml/2006/main">
          <a:off x="257176" y="228600"/>
          <a:ext cx="1571624" cy="323850"/>
        </a:xfrm>
        <a:prstGeom xmlns:a="http://schemas.openxmlformats.org/drawingml/2006/main" prst="rect">
          <a:avLst/>
        </a:prstGeom>
      </cdr:spPr>
      <cdr:txBody>
        <a:bodyPr xmlns:a="http://schemas.openxmlformats.org/drawingml/2006/main" wrap="square" rtlCol="0">
          <a:no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900" b="1">
              <a:solidFill>
                <a:schemeClr val="accent2">
                  <a:lumMod val="75000"/>
                </a:schemeClr>
              </a:solidFill>
            </a:rPr>
            <a:t>Share of transit</a:t>
          </a:r>
          <a:r>
            <a:rPr lang="en-US" sz="900" b="1" baseline="0">
              <a:solidFill>
                <a:schemeClr val="accent2">
                  <a:lumMod val="75000"/>
                </a:schemeClr>
              </a:solidFill>
            </a:rPr>
            <a:t> cargo of the total road transport</a:t>
          </a:r>
          <a:endParaRPr lang="en-US" sz="900" b="1">
            <a:solidFill>
              <a:schemeClr val="accent2">
                <a:lumMod val="75000"/>
              </a:schemeClr>
            </a:solidFill>
          </a:endParaRPr>
        </a:p>
      </cdr:txBody>
    </cdr:sp>
  </cdr:relSizeAnchor>
  <cdr:relSizeAnchor xmlns:cdr="http://schemas.openxmlformats.org/drawingml/2006/chartDrawing">
    <cdr:from>
      <cdr:x>0</cdr:x>
      <cdr:y>0</cdr:y>
    </cdr:from>
    <cdr:to>
      <cdr:x>0.67508</cdr:x>
      <cdr:y>0.07749</cdr:y>
    </cdr:to>
    <cdr:sp macro="" textlink="">
      <cdr:nvSpPr>
        <cdr:cNvPr id="3" name="TextBox 1"/>
        <cdr:cNvSpPr txBox="1"/>
      </cdr:nvSpPr>
      <cdr:spPr>
        <a:xfrm xmlns:a="http://schemas.openxmlformats.org/drawingml/2006/main">
          <a:off x="0" y="0"/>
          <a:ext cx="2038350" cy="200025"/>
        </a:xfrm>
        <a:prstGeom xmlns:a="http://schemas.openxmlformats.org/drawingml/2006/main" prst="rect">
          <a:avLst/>
        </a:prstGeom>
      </cdr:spPr>
      <cdr:txBody>
        <a:bodyPr xmlns:a="http://schemas.openxmlformats.org/drawingml/2006/main" wrap="none" lIns="45720" tIns="0" rIns="45720" bIns="0" rtlCol="0" anchor="ctr" anchorCtr="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r>
            <a:rPr lang="en-US" sz="900" b="1">
              <a:solidFill>
                <a:sysClr val="windowText" lastClr="000000"/>
              </a:solidFill>
            </a:rPr>
            <a:t>Cargo</a:t>
          </a:r>
          <a:r>
            <a:rPr lang="en-US" sz="900" b="1" baseline="0">
              <a:solidFill>
                <a:sysClr val="windowText" lastClr="000000"/>
              </a:solidFill>
            </a:rPr>
            <a:t> Transport by Road (million tons)</a:t>
          </a:r>
          <a:endParaRPr lang="en-US" sz="900" b="1">
            <a:solidFill>
              <a:sysClr val="windowText" lastClr="000000"/>
            </a:solidFill>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cdr:y>
    </cdr:from>
    <cdr:to>
      <cdr:x>0.56579</cdr:x>
      <cdr:y>0.07782</cdr:y>
    </cdr:to>
    <cdr:sp macro="" textlink="">
      <cdr:nvSpPr>
        <cdr:cNvPr id="2" name="TextBox 1"/>
        <cdr:cNvSpPr txBox="1"/>
      </cdr:nvSpPr>
      <cdr:spPr>
        <a:xfrm xmlns:a="http://schemas.openxmlformats.org/drawingml/2006/main">
          <a:off x="0" y="0"/>
          <a:ext cx="1638300" cy="190501"/>
        </a:xfrm>
        <a:prstGeom xmlns:a="http://schemas.openxmlformats.org/drawingml/2006/main" prst="rect">
          <a:avLst/>
        </a:prstGeom>
      </cdr:spPr>
      <cdr:txBody>
        <a:bodyPr xmlns:a="http://schemas.openxmlformats.org/drawingml/2006/main" vertOverflow="clip" wrap="none" lIns="45720" tIns="0" rIns="45720" bIns="0" rtlCol="0" anchor="ctr" anchorCtr="0"/>
        <a:lstStyle xmlns:a="http://schemas.openxmlformats.org/drawingml/2006/main"/>
        <a:p xmlns:a="http://schemas.openxmlformats.org/drawingml/2006/main">
          <a:pPr marL="0" marR="0" indent="0" algn="l" defTabSz="914400" rtl="0" eaLnBrk="1" fontAlgn="auto" latinLnBrk="0" hangingPunct="1">
            <a:lnSpc>
              <a:spcPct val="100000"/>
            </a:lnSpc>
            <a:spcBef>
              <a:spcPts val="0"/>
            </a:spcBef>
            <a:spcAft>
              <a:spcPts val="0"/>
            </a:spcAft>
            <a:buClrTx/>
            <a:buSzTx/>
            <a:buFontTx/>
            <a:buNone/>
            <a:tabLst/>
            <a:defRPr/>
          </a:pPr>
          <a:r>
            <a:rPr lang="en-US" sz="900" b="1"/>
            <a:t>Cargo Transport (million tons)</a:t>
          </a:r>
        </a:p>
      </cdr:txBody>
    </cdr:sp>
  </cdr:relSizeAnchor>
  <cdr:relSizeAnchor xmlns:cdr="http://schemas.openxmlformats.org/drawingml/2006/chartDrawing">
    <cdr:from>
      <cdr:x>0.5209</cdr:x>
      <cdr:y>0.09963</cdr:y>
    </cdr:from>
    <cdr:to>
      <cdr:x>0.89711</cdr:x>
      <cdr:y>0.22509</cdr:y>
    </cdr:to>
    <cdr:sp macro="" textlink="">
      <cdr:nvSpPr>
        <cdr:cNvPr id="3" name="TextBox 1"/>
        <cdr:cNvSpPr txBox="1"/>
      </cdr:nvSpPr>
      <cdr:spPr>
        <a:xfrm xmlns:a="http://schemas.openxmlformats.org/drawingml/2006/main">
          <a:off x="1543050" y="257175"/>
          <a:ext cx="1114425" cy="3238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900" b="1">
              <a:solidFill>
                <a:schemeClr val="accent6">
                  <a:lumMod val="50000"/>
                </a:schemeClr>
              </a:solidFill>
            </a:rPr>
            <a:t>Share of rail of the total transit cargo</a:t>
          </a:r>
        </a:p>
      </cdr:txBody>
    </cdr:sp>
  </cdr:relSizeAnchor>
</c:userShapes>
</file>

<file path=word/drawings/drawing6.xml><?xml version="1.0" encoding="utf-8"?>
<c:userShapes xmlns:c="http://schemas.openxmlformats.org/drawingml/2006/chart">
  <cdr:relSizeAnchor xmlns:cdr="http://schemas.openxmlformats.org/drawingml/2006/chartDrawing">
    <cdr:from>
      <cdr:x>0.74138</cdr:x>
      <cdr:y>0.00639</cdr:y>
    </cdr:from>
    <cdr:to>
      <cdr:x>1</cdr:x>
      <cdr:y>0.07393</cdr:y>
    </cdr:to>
    <cdr:sp macro="" textlink="">
      <cdr:nvSpPr>
        <cdr:cNvPr id="2" name="TextBox 1"/>
        <cdr:cNvSpPr txBox="1"/>
      </cdr:nvSpPr>
      <cdr:spPr>
        <a:xfrm xmlns:a="http://schemas.openxmlformats.org/drawingml/2006/main">
          <a:off x="2087957" y="13337"/>
          <a:ext cx="714363" cy="140872"/>
        </a:xfrm>
        <a:prstGeom xmlns:a="http://schemas.openxmlformats.org/drawingml/2006/main" prst="rect">
          <a:avLst/>
        </a:prstGeom>
      </cdr:spPr>
      <cdr:txBody>
        <a:bodyPr xmlns:a="http://schemas.openxmlformats.org/drawingml/2006/main" vertOverflow="clip" wrap="none" lIns="0" tIns="0" rIns="0" bIns="0" rtlCol="0" anchor="ctr" anchorCtr="0">
          <a:spAutoFit/>
        </a:bodyPr>
        <a:lstStyle xmlns:a="http://schemas.openxmlformats.org/drawingml/2006/main"/>
        <a:p xmlns:a="http://schemas.openxmlformats.org/drawingml/2006/main">
          <a:r>
            <a:rPr lang="en-US" sz="900" b="1"/>
            <a:t>(</a:t>
          </a:r>
          <a:r>
            <a:rPr lang="en-US" sz="850" b="1"/>
            <a:t>thousand</a:t>
          </a:r>
          <a:r>
            <a:rPr lang="en-US" sz="900" b="1"/>
            <a:t> TEU)</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193131-DA32-41F9-947A-2EB4DCB53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85</Pages>
  <Words>41046</Words>
  <Characters>233966</Characters>
  <Application>Microsoft Office Word</Application>
  <DocSecurity>0</DocSecurity>
  <Lines>1949</Lines>
  <Paragraphs>548</Paragraphs>
  <ScaleCrop>false</ScaleCrop>
  <HeadingPairs>
    <vt:vector size="2" baseType="variant">
      <vt:variant>
        <vt:lpstr>Title</vt:lpstr>
      </vt:variant>
      <vt:variant>
        <vt:i4>1</vt:i4>
      </vt:variant>
    </vt:vector>
  </HeadingPairs>
  <TitlesOfParts>
    <vt:vector size="1" baseType="lpstr">
      <vt:lpstr/>
    </vt:vector>
  </TitlesOfParts>
  <Company>The World Bank Group</Company>
  <LinksUpToDate>false</LinksUpToDate>
  <CharactersWithSpaces>274464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wb350881</cp:lastModifiedBy>
  <cp:revision>2</cp:revision>
  <cp:lastPrinted>2012-05-23T21:11:00Z</cp:lastPrinted>
  <dcterms:created xsi:type="dcterms:W3CDTF">2012-07-05T14:20:00Z</dcterms:created>
  <dcterms:modified xsi:type="dcterms:W3CDTF">2012-07-05T14:20:00Z</dcterms:modified>
</cp:coreProperties>
</file>