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FF2" w:rsidRPr="00B9386C" w:rsidRDefault="00E85FF2" w:rsidP="00E85FF2">
      <w:pPr>
        <w:jc w:val="center"/>
        <w:rPr>
          <w:b/>
          <w:bCs/>
          <w:lang w:val="fr-FR"/>
        </w:rPr>
      </w:pPr>
      <w:r w:rsidRPr="00B9386C">
        <w:rPr>
          <w:b/>
          <w:bCs/>
          <w:lang w:val="fr-FR"/>
        </w:rPr>
        <w:t>DOCUMENT D</w:t>
      </w:r>
      <w:r w:rsidR="003258B5">
        <w:rPr>
          <w:b/>
          <w:bCs/>
          <w:lang w:val="fr-FR"/>
        </w:rPr>
        <w:t>’</w:t>
      </w:r>
      <w:r w:rsidRPr="00B9386C">
        <w:rPr>
          <w:b/>
          <w:bCs/>
          <w:lang w:val="fr-FR"/>
        </w:rPr>
        <w:t>INFORMATION SUR LE PROJET (PID)</w:t>
      </w:r>
    </w:p>
    <w:p w:rsidR="00A706FA" w:rsidRPr="00B9386C" w:rsidRDefault="00E85FF2">
      <w:pPr>
        <w:jc w:val="center"/>
        <w:rPr>
          <w:b/>
          <w:bCs/>
          <w:lang w:val="fr-FR"/>
        </w:rPr>
      </w:pPr>
      <w:r w:rsidRPr="00006301">
        <w:rPr>
          <w:b/>
          <w:bCs/>
          <w:lang w:val="fr-FR"/>
        </w:rPr>
        <w:t>PHASE D</w:t>
      </w:r>
      <w:r w:rsidR="003258B5">
        <w:rPr>
          <w:b/>
          <w:bCs/>
          <w:lang w:val="fr-FR"/>
        </w:rPr>
        <w:t>’</w:t>
      </w:r>
      <w:r w:rsidRPr="00006301">
        <w:rPr>
          <w:b/>
          <w:bCs/>
          <w:lang w:val="fr-FR"/>
        </w:rPr>
        <w:t>ÉVALUATION</w:t>
      </w:r>
    </w:p>
    <w:p w:rsidR="00C82216" w:rsidRPr="00B9386C" w:rsidRDefault="00E85FF2">
      <w:pPr>
        <w:jc w:val="right"/>
        <w:rPr>
          <w:lang w:val="fr-FR"/>
        </w:rPr>
      </w:pPr>
      <w:r w:rsidRPr="00B9386C">
        <w:rPr>
          <w:lang w:val="fr-FR"/>
        </w:rPr>
        <w:t xml:space="preserve">Rapport n° : </w:t>
      </w:r>
      <w:r w:rsidR="005A1B61">
        <w:rPr>
          <w:lang w:val="fr-FR"/>
        </w:rPr>
        <w:t>80881</w:t>
      </w:r>
      <w:bookmarkStart w:id="0" w:name="_GoBack"/>
      <w:bookmarkEnd w:id="0"/>
    </w:p>
    <w:p w:rsidR="00A706FA" w:rsidRPr="00B9386C" w:rsidRDefault="00A706FA" w:rsidP="00C233D7">
      <w:pPr>
        <w:rPr>
          <w:lang w:val="fr-FR"/>
        </w:rPr>
      </w:pPr>
      <w:r w:rsidRPr="00B9386C">
        <w:rPr>
          <w:lang w:val="fr-FR"/>
        </w:rPr>
        <w:t xml:space="preserve">  </w:t>
      </w:r>
      <w:bookmarkStart w:id="1" w:name="ReportNo"/>
      <w:bookmarkEnd w:id="1"/>
    </w:p>
    <w:tbl>
      <w:tblPr>
        <w:tblW w:w="954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90"/>
        <w:gridCol w:w="5850"/>
      </w:tblGrid>
      <w:tr w:rsidR="00E85FF2" w:rsidRPr="00B9386C" w:rsidTr="00BB1BF3">
        <w:tc>
          <w:tcPr>
            <w:tcW w:w="3690" w:type="dxa"/>
            <w:tcBorders>
              <w:top w:val="single" w:sz="4" w:space="0" w:color="auto"/>
              <w:left w:val="single" w:sz="4" w:space="0" w:color="auto"/>
              <w:bottom w:val="single" w:sz="4" w:space="0" w:color="auto"/>
              <w:right w:val="single" w:sz="4" w:space="0" w:color="auto"/>
            </w:tcBorders>
          </w:tcPr>
          <w:p w:rsidR="00E85FF2" w:rsidRPr="00B9386C" w:rsidRDefault="00E85FF2" w:rsidP="00B9386C">
            <w:pPr>
              <w:rPr>
                <w:b/>
                <w:bCs/>
                <w:lang w:val="fr-FR"/>
              </w:rPr>
            </w:pPr>
            <w:r w:rsidRPr="00B9386C">
              <w:rPr>
                <w:b/>
                <w:bCs/>
                <w:lang w:val="fr-FR"/>
              </w:rPr>
              <w:t>Intitulé du projet </w:t>
            </w:r>
          </w:p>
        </w:tc>
        <w:tc>
          <w:tcPr>
            <w:tcW w:w="5850" w:type="dxa"/>
            <w:tcBorders>
              <w:top w:val="single" w:sz="4" w:space="0" w:color="auto"/>
              <w:left w:val="single" w:sz="4" w:space="0" w:color="auto"/>
              <w:bottom w:val="single" w:sz="4" w:space="0" w:color="auto"/>
              <w:right w:val="single" w:sz="4" w:space="0" w:color="auto"/>
            </w:tcBorders>
          </w:tcPr>
          <w:p w:rsidR="00E85FF2" w:rsidRPr="00B9386C" w:rsidRDefault="00E85FF2" w:rsidP="00B9386C">
            <w:pPr>
              <w:rPr>
                <w:lang w:val="fr-FR"/>
              </w:rPr>
            </w:pPr>
            <w:r w:rsidRPr="00B9386C">
              <w:rPr>
                <w:lang w:val="fr-FR"/>
              </w:rPr>
              <w:t>Projet de développement de la microfinance au Maroc</w:t>
            </w:r>
          </w:p>
        </w:tc>
      </w:tr>
      <w:tr w:rsidR="00E85FF2" w:rsidRPr="00B9386C" w:rsidTr="00BB1BF3">
        <w:tc>
          <w:tcPr>
            <w:tcW w:w="3690" w:type="dxa"/>
            <w:tcBorders>
              <w:top w:val="single" w:sz="4" w:space="0" w:color="auto"/>
              <w:left w:val="single" w:sz="4" w:space="0" w:color="auto"/>
              <w:bottom w:val="single" w:sz="4" w:space="0" w:color="auto"/>
              <w:right w:val="single" w:sz="4" w:space="0" w:color="auto"/>
            </w:tcBorders>
          </w:tcPr>
          <w:p w:rsidR="00E85FF2" w:rsidRPr="00B9386C" w:rsidRDefault="00E85FF2" w:rsidP="00B9386C">
            <w:pPr>
              <w:rPr>
                <w:b/>
                <w:bCs/>
                <w:lang w:val="fr-FR"/>
              </w:rPr>
            </w:pPr>
            <w:r w:rsidRPr="00B9386C">
              <w:rPr>
                <w:b/>
                <w:bCs/>
                <w:lang w:val="fr-FR"/>
              </w:rPr>
              <w:t>Région</w:t>
            </w:r>
          </w:p>
        </w:tc>
        <w:tc>
          <w:tcPr>
            <w:tcW w:w="5850" w:type="dxa"/>
            <w:tcBorders>
              <w:top w:val="single" w:sz="4" w:space="0" w:color="auto"/>
              <w:left w:val="single" w:sz="4" w:space="0" w:color="auto"/>
              <w:bottom w:val="single" w:sz="4" w:space="0" w:color="auto"/>
              <w:right w:val="single" w:sz="4" w:space="0" w:color="auto"/>
            </w:tcBorders>
          </w:tcPr>
          <w:p w:rsidR="00E85FF2" w:rsidRPr="00B9386C" w:rsidRDefault="00FA236A" w:rsidP="00B9386C">
            <w:pPr>
              <w:rPr>
                <w:lang w:val="fr-FR"/>
              </w:rPr>
            </w:pPr>
            <w:r>
              <w:rPr>
                <w:lang w:val="fr-FR"/>
              </w:rPr>
              <w:t>Moyen-Orient</w:t>
            </w:r>
            <w:r w:rsidR="00E85FF2" w:rsidRPr="00B9386C">
              <w:rPr>
                <w:lang w:val="fr-FR"/>
              </w:rPr>
              <w:t xml:space="preserve"> et Afrique du Nord</w:t>
            </w:r>
          </w:p>
        </w:tc>
      </w:tr>
      <w:tr w:rsidR="00E85FF2" w:rsidRPr="00B9386C" w:rsidTr="00BB1BF3">
        <w:tc>
          <w:tcPr>
            <w:tcW w:w="3690" w:type="dxa"/>
            <w:tcBorders>
              <w:top w:val="single" w:sz="4" w:space="0" w:color="auto"/>
              <w:left w:val="single" w:sz="4" w:space="0" w:color="auto"/>
              <w:bottom w:val="single" w:sz="4" w:space="0" w:color="auto"/>
              <w:right w:val="single" w:sz="4" w:space="0" w:color="auto"/>
            </w:tcBorders>
          </w:tcPr>
          <w:p w:rsidR="00E85FF2" w:rsidRPr="00B9386C" w:rsidRDefault="00E85FF2" w:rsidP="00B9386C">
            <w:pPr>
              <w:rPr>
                <w:b/>
                <w:bCs/>
                <w:lang w:val="fr-FR"/>
              </w:rPr>
            </w:pPr>
            <w:r w:rsidRPr="00B9386C">
              <w:rPr>
                <w:b/>
                <w:bCs/>
                <w:lang w:val="fr-FR"/>
              </w:rPr>
              <w:t>Pays</w:t>
            </w:r>
          </w:p>
        </w:tc>
        <w:tc>
          <w:tcPr>
            <w:tcW w:w="5850" w:type="dxa"/>
            <w:tcBorders>
              <w:top w:val="single" w:sz="4" w:space="0" w:color="auto"/>
              <w:left w:val="single" w:sz="4" w:space="0" w:color="auto"/>
              <w:bottom w:val="single" w:sz="4" w:space="0" w:color="auto"/>
              <w:right w:val="single" w:sz="4" w:space="0" w:color="auto"/>
            </w:tcBorders>
          </w:tcPr>
          <w:p w:rsidR="00E85FF2" w:rsidRPr="00B9386C" w:rsidRDefault="00E85FF2" w:rsidP="00B9386C">
            <w:pPr>
              <w:rPr>
                <w:lang w:val="fr-FR"/>
              </w:rPr>
            </w:pPr>
            <w:r w:rsidRPr="00006301">
              <w:rPr>
                <w:lang w:val="fr-FR"/>
              </w:rPr>
              <w:t>Royaume du Maroc</w:t>
            </w:r>
          </w:p>
        </w:tc>
      </w:tr>
      <w:tr w:rsidR="00E85FF2" w:rsidRPr="00B9386C" w:rsidTr="00BB1BF3">
        <w:tc>
          <w:tcPr>
            <w:tcW w:w="3690" w:type="dxa"/>
            <w:tcBorders>
              <w:top w:val="single" w:sz="4" w:space="0" w:color="auto"/>
              <w:left w:val="single" w:sz="4" w:space="0" w:color="auto"/>
              <w:bottom w:val="single" w:sz="4" w:space="0" w:color="auto"/>
              <w:right w:val="single" w:sz="4" w:space="0" w:color="auto"/>
            </w:tcBorders>
          </w:tcPr>
          <w:p w:rsidR="00E85FF2" w:rsidRPr="00B9386C" w:rsidRDefault="00E85FF2" w:rsidP="00B9386C">
            <w:pPr>
              <w:rPr>
                <w:b/>
                <w:bCs/>
                <w:lang w:val="fr-FR"/>
              </w:rPr>
            </w:pPr>
            <w:r w:rsidRPr="00B9386C">
              <w:rPr>
                <w:b/>
                <w:bCs/>
                <w:lang w:val="fr-FR"/>
              </w:rPr>
              <w:t>Secteur</w:t>
            </w:r>
          </w:p>
        </w:tc>
        <w:tc>
          <w:tcPr>
            <w:tcW w:w="5850" w:type="dxa"/>
            <w:tcBorders>
              <w:top w:val="single" w:sz="4" w:space="0" w:color="auto"/>
              <w:left w:val="single" w:sz="4" w:space="0" w:color="auto"/>
              <w:bottom w:val="single" w:sz="4" w:space="0" w:color="auto"/>
              <w:right w:val="single" w:sz="4" w:space="0" w:color="auto"/>
            </w:tcBorders>
          </w:tcPr>
          <w:p w:rsidR="00E85FF2" w:rsidRPr="00B9386C" w:rsidRDefault="00E85FF2" w:rsidP="00B9386C">
            <w:pPr>
              <w:rPr>
                <w:lang w:val="fr-FR"/>
              </w:rPr>
            </w:pPr>
            <w:r w:rsidRPr="00B9386C">
              <w:rPr>
                <w:lang w:val="fr-FR"/>
              </w:rPr>
              <w:t>Développement du secteur privé (100 %)</w:t>
            </w:r>
          </w:p>
        </w:tc>
      </w:tr>
      <w:tr w:rsidR="00E85FF2" w:rsidRPr="00B9386C" w:rsidTr="004A72C5">
        <w:tc>
          <w:tcPr>
            <w:tcW w:w="3690" w:type="dxa"/>
            <w:tcBorders>
              <w:top w:val="single" w:sz="4" w:space="0" w:color="auto"/>
              <w:left w:val="single" w:sz="4" w:space="0" w:color="auto"/>
              <w:bottom w:val="single" w:sz="4" w:space="0" w:color="auto"/>
              <w:right w:val="single" w:sz="4" w:space="0" w:color="auto"/>
            </w:tcBorders>
          </w:tcPr>
          <w:p w:rsidR="00E85FF2" w:rsidRPr="00B9386C" w:rsidRDefault="00E85FF2" w:rsidP="00B9386C">
            <w:pPr>
              <w:rPr>
                <w:b/>
                <w:bCs/>
                <w:lang w:val="fr-FR"/>
              </w:rPr>
            </w:pPr>
            <w:r w:rsidRPr="00B9386C">
              <w:rPr>
                <w:b/>
                <w:bCs/>
                <w:lang w:val="fr-FR"/>
              </w:rPr>
              <w:t>Instrument de prêt </w:t>
            </w:r>
          </w:p>
        </w:tc>
        <w:tc>
          <w:tcPr>
            <w:tcW w:w="5850" w:type="dxa"/>
            <w:tcBorders>
              <w:top w:val="single" w:sz="4" w:space="0" w:color="auto"/>
              <w:left w:val="single" w:sz="4" w:space="0" w:color="auto"/>
              <w:bottom w:val="single" w:sz="4" w:space="0" w:color="auto"/>
              <w:right w:val="single" w:sz="4" w:space="0" w:color="auto"/>
            </w:tcBorders>
          </w:tcPr>
          <w:p w:rsidR="00E85FF2" w:rsidRPr="00B9386C" w:rsidRDefault="00E85FF2" w:rsidP="00B9386C">
            <w:pPr>
              <w:rPr>
                <w:lang w:val="fr-FR"/>
              </w:rPr>
            </w:pPr>
            <w:r w:rsidRPr="00B9386C">
              <w:rPr>
                <w:lang w:val="fr-FR"/>
              </w:rPr>
              <w:t>Don d</w:t>
            </w:r>
            <w:r w:rsidR="003258B5">
              <w:rPr>
                <w:lang w:val="fr-FR"/>
              </w:rPr>
              <w:t>’</w:t>
            </w:r>
            <w:r w:rsidRPr="00B9386C">
              <w:rPr>
                <w:lang w:val="fr-FR"/>
              </w:rPr>
              <w:t>investissement spécifique</w:t>
            </w:r>
          </w:p>
        </w:tc>
      </w:tr>
      <w:tr w:rsidR="00D34D9F" w:rsidRPr="00B9386C" w:rsidTr="00BB1BF3">
        <w:tc>
          <w:tcPr>
            <w:tcW w:w="3690" w:type="dxa"/>
            <w:tcBorders>
              <w:top w:val="single" w:sz="4" w:space="0" w:color="auto"/>
              <w:left w:val="single" w:sz="4" w:space="0" w:color="auto"/>
              <w:bottom w:val="single" w:sz="4" w:space="0" w:color="auto"/>
              <w:right w:val="single" w:sz="4" w:space="0" w:color="auto"/>
            </w:tcBorders>
          </w:tcPr>
          <w:p w:rsidR="00D34D9F" w:rsidRPr="00B9386C" w:rsidRDefault="00D34D9F" w:rsidP="00B9386C">
            <w:pPr>
              <w:rPr>
                <w:lang w:val="fr-FR"/>
              </w:rPr>
            </w:pPr>
            <w:r w:rsidRPr="00006301">
              <w:rPr>
                <w:b/>
                <w:bCs/>
                <w:lang w:val="fr-FR"/>
              </w:rPr>
              <w:t>N° d</w:t>
            </w:r>
            <w:r w:rsidR="003258B5">
              <w:rPr>
                <w:b/>
                <w:bCs/>
                <w:lang w:val="fr-FR"/>
              </w:rPr>
              <w:t>’</w:t>
            </w:r>
            <w:r w:rsidRPr="00006301">
              <w:rPr>
                <w:b/>
                <w:bCs/>
                <w:lang w:val="fr-FR"/>
              </w:rPr>
              <w:t>identification du projet</w:t>
            </w:r>
          </w:p>
        </w:tc>
        <w:tc>
          <w:tcPr>
            <w:tcW w:w="5850" w:type="dxa"/>
            <w:tcBorders>
              <w:top w:val="single" w:sz="4" w:space="0" w:color="auto"/>
              <w:left w:val="single" w:sz="4" w:space="0" w:color="auto"/>
              <w:bottom w:val="single" w:sz="4" w:space="0" w:color="auto"/>
              <w:right w:val="single" w:sz="4" w:space="0" w:color="auto"/>
            </w:tcBorders>
          </w:tcPr>
          <w:p w:rsidR="00D34D9F" w:rsidRPr="00B9386C" w:rsidRDefault="00D34D9F" w:rsidP="00B9386C">
            <w:pPr>
              <w:rPr>
                <w:lang w:val="fr-FR"/>
              </w:rPr>
            </w:pPr>
            <w:bookmarkStart w:id="2" w:name="PROJECTCODE"/>
            <w:bookmarkEnd w:id="2"/>
            <w:r w:rsidRPr="00B9386C">
              <w:rPr>
                <w:lang w:val="fr-FR"/>
              </w:rPr>
              <w:t>P144500</w:t>
            </w:r>
          </w:p>
        </w:tc>
      </w:tr>
      <w:tr w:rsidR="00E85FF2" w:rsidRPr="00B9386C" w:rsidTr="00B9386C">
        <w:tc>
          <w:tcPr>
            <w:tcW w:w="3690" w:type="dxa"/>
            <w:tcBorders>
              <w:top w:val="single" w:sz="4" w:space="0" w:color="auto"/>
              <w:left w:val="single" w:sz="4" w:space="0" w:color="auto"/>
              <w:bottom w:val="single" w:sz="4" w:space="0" w:color="auto"/>
              <w:right w:val="single" w:sz="4" w:space="0" w:color="auto"/>
            </w:tcBorders>
          </w:tcPr>
          <w:p w:rsidR="00E85FF2" w:rsidRPr="00B9386C" w:rsidRDefault="00D34D9F">
            <w:pPr>
              <w:rPr>
                <w:b/>
                <w:bCs/>
                <w:lang w:val="fr-FR"/>
              </w:rPr>
            </w:pPr>
            <w:r w:rsidRPr="00B9386C">
              <w:rPr>
                <w:b/>
                <w:bCs/>
                <w:lang w:val="fr-FR"/>
              </w:rPr>
              <w:t>Emprunteur</w:t>
            </w:r>
            <w:r w:rsidR="00E85FF2" w:rsidRPr="00B9386C">
              <w:rPr>
                <w:b/>
                <w:bCs/>
                <w:lang w:val="fr-FR"/>
              </w:rPr>
              <w:t>(s)</w:t>
            </w:r>
          </w:p>
        </w:tc>
        <w:tc>
          <w:tcPr>
            <w:tcW w:w="5850" w:type="dxa"/>
            <w:tcBorders>
              <w:top w:val="single" w:sz="4" w:space="0" w:color="auto"/>
              <w:left w:val="single" w:sz="4" w:space="0" w:color="auto"/>
              <w:bottom w:val="single" w:sz="4" w:space="0" w:color="auto"/>
              <w:right w:val="single" w:sz="4" w:space="0" w:color="auto"/>
            </w:tcBorders>
          </w:tcPr>
          <w:p w:rsidR="00E85FF2" w:rsidRPr="00B9386C" w:rsidRDefault="00E85FF2" w:rsidP="00B9386C">
            <w:pPr>
              <w:rPr>
                <w:lang w:val="fr-FR"/>
              </w:rPr>
            </w:pPr>
            <w:bookmarkStart w:id="3" w:name="BORROWERNAME"/>
            <w:bookmarkEnd w:id="3"/>
            <w:r w:rsidRPr="00B9386C">
              <w:rPr>
                <w:lang w:val="fr-FR"/>
              </w:rPr>
              <w:t>Ministère de l</w:t>
            </w:r>
            <w:r w:rsidR="003258B5">
              <w:rPr>
                <w:lang w:val="fr-FR"/>
              </w:rPr>
              <w:t>’</w:t>
            </w:r>
            <w:r w:rsidRPr="00B9386C">
              <w:rPr>
                <w:lang w:val="fr-FR"/>
              </w:rPr>
              <w:t>Économie et des Finances</w:t>
            </w:r>
          </w:p>
        </w:tc>
      </w:tr>
      <w:tr w:rsidR="00D34D9F" w:rsidRPr="00B9386C" w:rsidTr="00B9386C">
        <w:trPr>
          <w:trHeight w:val="140"/>
        </w:trPr>
        <w:tc>
          <w:tcPr>
            <w:tcW w:w="3690" w:type="dxa"/>
            <w:tcBorders>
              <w:top w:val="single" w:sz="4" w:space="0" w:color="auto"/>
              <w:left w:val="single" w:sz="4" w:space="0" w:color="auto"/>
              <w:bottom w:val="nil"/>
              <w:right w:val="single" w:sz="4" w:space="0" w:color="auto"/>
            </w:tcBorders>
          </w:tcPr>
          <w:p w:rsidR="00D34D9F" w:rsidRPr="00B9386C" w:rsidRDefault="00D34D9F" w:rsidP="00B9386C">
            <w:pPr>
              <w:rPr>
                <w:b/>
                <w:bCs/>
                <w:lang w:val="fr-FR"/>
              </w:rPr>
            </w:pPr>
            <w:r w:rsidRPr="00B9386C">
              <w:rPr>
                <w:b/>
                <w:bCs/>
                <w:lang w:val="fr-FR"/>
              </w:rPr>
              <w:t>Organisme d</w:t>
            </w:r>
            <w:r w:rsidR="003258B5">
              <w:rPr>
                <w:b/>
                <w:bCs/>
                <w:lang w:val="fr-FR"/>
              </w:rPr>
              <w:t>’</w:t>
            </w:r>
            <w:r w:rsidRPr="00B9386C">
              <w:rPr>
                <w:b/>
                <w:bCs/>
                <w:lang w:val="fr-FR"/>
              </w:rPr>
              <w:t>exécution</w:t>
            </w:r>
          </w:p>
        </w:tc>
        <w:tc>
          <w:tcPr>
            <w:tcW w:w="5850" w:type="dxa"/>
            <w:tcBorders>
              <w:top w:val="single" w:sz="4" w:space="0" w:color="auto"/>
              <w:left w:val="single" w:sz="4" w:space="0" w:color="auto"/>
              <w:bottom w:val="nil"/>
              <w:right w:val="single" w:sz="4" w:space="0" w:color="auto"/>
            </w:tcBorders>
          </w:tcPr>
          <w:p w:rsidR="00D34D9F" w:rsidRPr="00B9386C" w:rsidRDefault="00D34D9F" w:rsidP="00B9386C">
            <w:pPr>
              <w:rPr>
                <w:lang w:val="fr-FR"/>
              </w:rPr>
            </w:pPr>
            <w:bookmarkStart w:id="4" w:name="IMPLEMENTINGAGENCY"/>
            <w:bookmarkEnd w:id="4"/>
            <w:r w:rsidRPr="00B9386C">
              <w:rPr>
                <w:lang w:val="fr-FR"/>
              </w:rPr>
              <w:t>Ministère de l</w:t>
            </w:r>
            <w:r w:rsidR="003258B5">
              <w:rPr>
                <w:lang w:val="fr-FR"/>
              </w:rPr>
              <w:t>’</w:t>
            </w:r>
            <w:r w:rsidRPr="00B9386C">
              <w:rPr>
                <w:lang w:val="fr-FR"/>
              </w:rPr>
              <w:t>Économie et des Finances</w:t>
            </w:r>
          </w:p>
        </w:tc>
      </w:tr>
      <w:tr w:rsidR="00E85FF2" w:rsidRPr="00B9386C" w:rsidTr="00BB1BF3">
        <w:trPr>
          <w:trHeight w:val="285"/>
        </w:trPr>
        <w:tc>
          <w:tcPr>
            <w:tcW w:w="3690" w:type="dxa"/>
            <w:tcBorders>
              <w:top w:val="single" w:sz="4" w:space="0" w:color="auto"/>
              <w:left w:val="single" w:sz="4" w:space="0" w:color="auto"/>
              <w:bottom w:val="single" w:sz="4" w:space="0" w:color="auto"/>
              <w:right w:val="single" w:sz="4" w:space="0" w:color="auto"/>
            </w:tcBorders>
          </w:tcPr>
          <w:p w:rsidR="00E85FF2" w:rsidRPr="00B9386C" w:rsidRDefault="00E85FF2" w:rsidP="004219A3">
            <w:pPr>
              <w:rPr>
                <w:b/>
                <w:bCs/>
                <w:lang w:val="fr-FR"/>
              </w:rPr>
            </w:pPr>
            <w:r w:rsidRPr="00B9386C">
              <w:rPr>
                <w:b/>
                <w:bCs/>
                <w:lang w:val="fr-FR"/>
              </w:rPr>
              <w:t xml:space="preserve">Catégorie </w:t>
            </w:r>
            <w:r w:rsidR="00D34D9F" w:rsidRPr="00B9386C">
              <w:rPr>
                <w:b/>
                <w:bCs/>
                <w:lang w:val="fr-FR"/>
              </w:rPr>
              <w:t>d</w:t>
            </w:r>
            <w:r w:rsidR="003258B5">
              <w:rPr>
                <w:b/>
                <w:bCs/>
                <w:lang w:val="fr-FR"/>
              </w:rPr>
              <w:t>’</w:t>
            </w:r>
            <w:r w:rsidR="004219A3" w:rsidRPr="00B9386C">
              <w:rPr>
                <w:b/>
                <w:bCs/>
                <w:lang w:val="fr-FR"/>
              </w:rPr>
              <w:t>examen</w:t>
            </w:r>
            <w:r w:rsidR="00D34D9F" w:rsidRPr="00B9386C">
              <w:rPr>
                <w:b/>
                <w:bCs/>
                <w:lang w:val="fr-FR"/>
              </w:rPr>
              <w:t xml:space="preserve"> </w:t>
            </w:r>
            <w:r w:rsidRPr="00B9386C">
              <w:rPr>
                <w:b/>
                <w:bCs/>
                <w:lang w:val="fr-FR"/>
              </w:rPr>
              <w:t>environnemental</w:t>
            </w:r>
          </w:p>
        </w:tc>
        <w:tc>
          <w:tcPr>
            <w:tcW w:w="5850" w:type="dxa"/>
            <w:tcBorders>
              <w:top w:val="single" w:sz="4" w:space="0" w:color="auto"/>
              <w:left w:val="single" w:sz="4" w:space="0" w:color="auto"/>
              <w:bottom w:val="single" w:sz="4" w:space="0" w:color="auto"/>
              <w:right w:val="single" w:sz="4" w:space="0" w:color="auto"/>
            </w:tcBorders>
          </w:tcPr>
          <w:p w:rsidR="00E85FF2" w:rsidRPr="00B9386C" w:rsidRDefault="00E85FF2" w:rsidP="00B50132">
            <w:pPr>
              <w:rPr>
                <w:lang w:val="fr-FR"/>
              </w:rPr>
            </w:pPr>
            <w:r w:rsidRPr="00B9386C">
              <w:rPr>
                <w:lang w:val="fr-FR"/>
              </w:rPr>
              <w:t>{</w:t>
            </w:r>
            <w:bookmarkStart w:id="5" w:name="ENVCAT_A"/>
            <w:r w:rsidRPr="00B9386C">
              <w:rPr>
                <w:lang w:val="fr-FR"/>
              </w:rPr>
              <w:t xml:space="preserve"> </w:t>
            </w:r>
            <w:bookmarkEnd w:id="5"/>
            <w:r w:rsidRPr="00B9386C">
              <w:rPr>
                <w:lang w:val="fr-FR"/>
              </w:rPr>
              <w:t xml:space="preserve"> }A   {</w:t>
            </w:r>
            <w:bookmarkStart w:id="6" w:name="ENVCAT_B"/>
            <w:r w:rsidRPr="00B9386C">
              <w:rPr>
                <w:lang w:val="fr-FR"/>
              </w:rPr>
              <w:t xml:space="preserve"> </w:t>
            </w:r>
            <w:bookmarkEnd w:id="6"/>
            <w:r w:rsidRPr="00B9386C">
              <w:rPr>
                <w:lang w:val="fr-FR"/>
              </w:rPr>
              <w:t xml:space="preserve"> }B   {</w:t>
            </w:r>
            <w:bookmarkStart w:id="7" w:name="ENVCAT_C"/>
            <w:r w:rsidRPr="00B9386C">
              <w:rPr>
                <w:lang w:val="fr-FR"/>
              </w:rPr>
              <w:t xml:space="preserve"> </w:t>
            </w:r>
            <w:bookmarkEnd w:id="7"/>
            <w:r w:rsidRPr="00B9386C">
              <w:rPr>
                <w:lang w:val="fr-FR"/>
              </w:rPr>
              <w:t>X }C   {</w:t>
            </w:r>
            <w:bookmarkStart w:id="8" w:name="ENVCAT_FI"/>
            <w:r w:rsidRPr="00B9386C">
              <w:rPr>
                <w:lang w:val="fr-FR"/>
              </w:rPr>
              <w:t xml:space="preserve"> </w:t>
            </w:r>
            <w:bookmarkEnd w:id="8"/>
            <w:r w:rsidRPr="00B9386C">
              <w:rPr>
                <w:lang w:val="fr-FR"/>
              </w:rPr>
              <w:t xml:space="preserve"> }FI</w:t>
            </w:r>
          </w:p>
        </w:tc>
      </w:tr>
      <w:tr w:rsidR="00E85FF2" w:rsidRPr="00B9386C" w:rsidTr="00B9386C">
        <w:tc>
          <w:tcPr>
            <w:tcW w:w="3690" w:type="dxa"/>
            <w:tcBorders>
              <w:top w:val="single" w:sz="4" w:space="0" w:color="auto"/>
              <w:left w:val="single" w:sz="4" w:space="0" w:color="auto"/>
              <w:bottom w:val="single" w:sz="4" w:space="0" w:color="auto"/>
              <w:right w:val="single" w:sz="4" w:space="0" w:color="auto"/>
            </w:tcBorders>
          </w:tcPr>
          <w:p w:rsidR="00E85FF2" w:rsidRPr="00B9386C" w:rsidRDefault="00E85FF2" w:rsidP="00B9386C">
            <w:pPr>
              <w:rPr>
                <w:b/>
                <w:bCs/>
                <w:lang w:val="fr-FR"/>
              </w:rPr>
            </w:pPr>
            <w:r w:rsidRPr="00B9386C">
              <w:rPr>
                <w:b/>
                <w:bCs/>
                <w:lang w:val="fr-FR"/>
              </w:rPr>
              <w:t>Date d</w:t>
            </w:r>
            <w:r w:rsidR="003258B5">
              <w:rPr>
                <w:b/>
                <w:bCs/>
                <w:lang w:val="fr-FR"/>
              </w:rPr>
              <w:t>’</w:t>
            </w:r>
            <w:r w:rsidRPr="00B9386C">
              <w:rPr>
                <w:b/>
                <w:bCs/>
                <w:lang w:val="fr-FR"/>
              </w:rPr>
              <w:t>établissement du PID</w:t>
            </w:r>
          </w:p>
        </w:tc>
        <w:tc>
          <w:tcPr>
            <w:tcW w:w="5850" w:type="dxa"/>
            <w:tcBorders>
              <w:top w:val="single" w:sz="4" w:space="0" w:color="auto"/>
              <w:left w:val="single" w:sz="4" w:space="0" w:color="auto"/>
              <w:bottom w:val="single" w:sz="4" w:space="0" w:color="auto"/>
              <w:right w:val="single" w:sz="4" w:space="0" w:color="auto"/>
            </w:tcBorders>
            <w:vAlign w:val="center"/>
          </w:tcPr>
          <w:p w:rsidR="00E85FF2" w:rsidRPr="00B9386C" w:rsidRDefault="00E85FF2" w:rsidP="00E85FF2">
            <w:pPr>
              <w:rPr>
                <w:lang w:val="fr-FR"/>
              </w:rPr>
            </w:pPr>
            <w:bookmarkStart w:id="9" w:name="DATEPREPARED"/>
            <w:bookmarkEnd w:id="9"/>
            <w:r w:rsidRPr="00B9386C">
              <w:rPr>
                <w:lang w:val="fr-FR"/>
              </w:rPr>
              <w:t>25 janvier 2013</w:t>
            </w:r>
          </w:p>
        </w:tc>
      </w:tr>
      <w:tr w:rsidR="00E85FF2" w:rsidRPr="00B9386C" w:rsidTr="00B9386C">
        <w:tc>
          <w:tcPr>
            <w:tcW w:w="3690" w:type="dxa"/>
            <w:tcBorders>
              <w:top w:val="single" w:sz="4" w:space="0" w:color="auto"/>
              <w:left w:val="single" w:sz="4" w:space="0" w:color="auto"/>
              <w:bottom w:val="single" w:sz="4" w:space="0" w:color="auto"/>
              <w:right w:val="single" w:sz="4" w:space="0" w:color="auto"/>
            </w:tcBorders>
          </w:tcPr>
          <w:p w:rsidR="00E85FF2" w:rsidRPr="00B9386C" w:rsidRDefault="00E85FF2" w:rsidP="00B9386C">
            <w:pPr>
              <w:rPr>
                <w:b/>
                <w:bCs/>
                <w:lang w:val="fr-FR"/>
              </w:rPr>
            </w:pPr>
            <w:r w:rsidRPr="00B9386C">
              <w:rPr>
                <w:b/>
                <w:bCs/>
                <w:lang w:val="fr-FR"/>
              </w:rPr>
              <w:t>Date estimative d</w:t>
            </w:r>
            <w:r w:rsidR="003258B5">
              <w:rPr>
                <w:b/>
                <w:bCs/>
                <w:lang w:val="fr-FR"/>
              </w:rPr>
              <w:t>’</w:t>
            </w:r>
            <w:r w:rsidRPr="00B9386C">
              <w:rPr>
                <w:b/>
                <w:bCs/>
                <w:lang w:val="fr-FR"/>
              </w:rPr>
              <w:t>achèvement de l</w:t>
            </w:r>
            <w:r w:rsidR="003258B5">
              <w:rPr>
                <w:b/>
                <w:bCs/>
                <w:lang w:val="fr-FR"/>
              </w:rPr>
              <w:t>’</w:t>
            </w:r>
            <w:r w:rsidRPr="00B9386C">
              <w:rPr>
                <w:b/>
                <w:bCs/>
                <w:lang w:val="fr-FR"/>
              </w:rPr>
              <w:t>évaluation</w:t>
            </w:r>
          </w:p>
        </w:tc>
        <w:tc>
          <w:tcPr>
            <w:tcW w:w="5850" w:type="dxa"/>
            <w:tcBorders>
              <w:top w:val="single" w:sz="4" w:space="0" w:color="auto"/>
              <w:left w:val="single" w:sz="4" w:space="0" w:color="auto"/>
              <w:bottom w:val="single" w:sz="4" w:space="0" w:color="auto"/>
              <w:right w:val="single" w:sz="4" w:space="0" w:color="auto"/>
            </w:tcBorders>
            <w:vAlign w:val="center"/>
          </w:tcPr>
          <w:p w:rsidR="00E85FF2" w:rsidRPr="00B9386C" w:rsidRDefault="00E85FF2" w:rsidP="00E85FF2">
            <w:pPr>
              <w:rPr>
                <w:lang w:val="fr-FR"/>
              </w:rPr>
            </w:pPr>
            <w:r w:rsidRPr="00B9386C">
              <w:rPr>
                <w:lang w:val="fr-FR"/>
              </w:rPr>
              <w:t>25 janvier 2012</w:t>
            </w:r>
          </w:p>
        </w:tc>
      </w:tr>
      <w:tr w:rsidR="00E85FF2" w:rsidRPr="00B9386C" w:rsidTr="00B9386C">
        <w:tc>
          <w:tcPr>
            <w:tcW w:w="3690" w:type="dxa"/>
            <w:tcBorders>
              <w:top w:val="single" w:sz="4" w:space="0" w:color="auto"/>
              <w:left w:val="single" w:sz="4" w:space="0" w:color="auto"/>
              <w:bottom w:val="single" w:sz="4" w:space="0" w:color="auto"/>
              <w:right w:val="single" w:sz="4" w:space="0" w:color="auto"/>
            </w:tcBorders>
          </w:tcPr>
          <w:p w:rsidR="00E85FF2" w:rsidRPr="00B9386C" w:rsidRDefault="00E85FF2" w:rsidP="00B9386C">
            <w:pPr>
              <w:rPr>
                <w:b/>
                <w:bCs/>
                <w:lang w:val="fr-FR"/>
              </w:rPr>
            </w:pPr>
            <w:r w:rsidRPr="00B9386C">
              <w:rPr>
                <w:b/>
                <w:bCs/>
                <w:lang w:val="fr-FR"/>
              </w:rPr>
              <w:t>Date estimative d</w:t>
            </w:r>
            <w:r w:rsidR="003258B5">
              <w:rPr>
                <w:b/>
                <w:bCs/>
                <w:lang w:val="fr-FR"/>
              </w:rPr>
              <w:t>’</w:t>
            </w:r>
            <w:r w:rsidRPr="00B9386C">
              <w:rPr>
                <w:b/>
                <w:bCs/>
                <w:lang w:val="fr-FR"/>
              </w:rPr>
              <w:t>approbation par le Conseil</w:t>
            </w:r>
          </w:p>
        </w:tc>
        <w:tc>
          <w:tcPr>
            <w:tcW w:w="5850" w:type="dxa"/>
            <w:tcBorders>
              <w:top w:val="single" w:sz="4" w:space="0" w:color="auto"/>
              <w:left w:val="single" w:sz="4" w:space="0" w:color="auto"/>
              <w:bottom w:val="single" w:sz="4" w:space="0" w:color="auto"/>
              <w:right w:val="single" w:sz="4" w:space="0" w:color="auto"/>
            </w:tcBorders>
            <w:vAlign w:val="center"/>
          </w:tcPr>
          <w:p w:rsidR="00E85FF2" w:rsidRPr="00B9386C" w:rsidRDefault="00FA236A" w:rsidP="00E85FF2">
            <w:pPr>
              <w:rPr>
                <w:lang w:val="fr-FR"/>
              </w:rPr>
            </w:pPr>
            <w:bookmarkStart w:id="10" w:name="BOARDAPPROVALDATE"/>
            <w:bookmarkEnd w:id="10"/>
            <w:r>
              <w:rPr>
                <w:lang w:val="fr-FR"/>
              </w:rPr>
              <w:t>S. O.</w:t>
            </w:r>
            <w:r w:rsidR="00E85FF2" w:rsidRPr="00B9386C">
              <w:rPr>
                <w:lang w:val="fr-FR"/>
              </w:rPr>
              <w:t xml:space="preserve"> (présentation au comité directeur du Fonds de transition de MENA en février 2013, soumission pour approbation par VPR prévue pour mai 2013)</w:t>
            </w:r>
          </w:p>
        </w:tc>
      </w:tr>
      <w:tr w:rsidR="00C233D7" w:rsidRPr="00B9386C" w:rsidTr="00BB1BF3">
        <w:tc>
          <w:tcPr>
            <w:tcW w:w="3690" w:type="dxa"/>
            <w:tcBorders>
              <w:top w:val="single" w:sz="4" w:space="0" w:color="auto"/>
              <w:left w:val="single" w:sz="4" w:space="0" w:color="auto"/>
              <w:bottom w:val="single" w:sz="4" w:space="0" w:color="auto"/>
              <w:right w:val="single" w:sz="4" w:space="0" w:color="auto"/>
            </w:tcBorders>
          </w:tcPr>
          <w:p w:rsidR="00C233D7" w:rsidRPr="00B9386C" w:rsidRDefault="00E85FF2" w:rsidP="00772D88">
            <w:pPr>
              <w:rPr>
                <w:b/>
                <w:bCs/>
                <w:lang w:val="fr-FR"/>
              </w:rPr>
            </w:pPr>
            <w:r w:rsidRPr="00B9386C">
              <w:rPr>
                <w:b/>
                <w:bCs/>
                <w:lang w:val="fr-FR"/>
              </w:rPr>
              <w:t>Dé</w:t>
            </w:r>
            <w:r w:rsidR="00C233D7" w:rsidRPr="00B9386C">
              <w:rPr>
                <w:b/>
                <w:bCs/>
                <w:lang w:val="fr-FR"/>
              </w:rPr>
              <w:t>cision</w:t>
            </w:r>
          </w:p>
        </w:tc>
        <w:tc>
          <w:tcPr>
            <w:tcW w:w="5850" w:type="dxa"/>
            <w:tcBorders>
              <w:top w:val="single" w:sz="4" w:space="0" w:color="auto"/>
              <w:left w:val="single" w:sz="4" w:space="0" w:color="auto"/>
              <w:bottom w:val="single" w:sz="4" w:space="0" w:color="auto"/>
              <w:right w:val="single" w:sz="4" w:space="0" w:color="auto"/>
            </w:tcBorders>
          </w:tcPr>
          <w:p w:rsidR="00C233D7" w:rsidRPr="00B9386C" w:rsidRDefault="00D34D9F" w:rsidP="009909C7">
            <w:pPr>
              <w:rPr>
                <w:lang w:val="fr-FR"/>
              </w:rPr>
            </w:pPr>
            <w:r w:rsidRPr="00B9386C">
              <w:rPr>
                <w:lang w:val="fr-FR"/>
              </w:rPr>
              <w:t>Projet autorisé à passer au stade des négociations après accord sur toute condition et/ou évaluation en instance</w:t>
            </w:r>
            <w:r w:rsidR="00C233D7" w:rsidRPr="00B9386C">
              <w:rPr>
                <w:lang w:val="fr-FR"/>
              </w:rPr>
              <w:t>.</w:t>
            </w:r>
            <w:r w:rsidR="00C233D7" w:rsidRPr="00B9386C">
              <w:rPr>
                <w:i/>
                <w:u w:val="single"/>
                <w:lang w:val="fr-FR"/>
              </w:rPr>
              <w:t xml:space="preserve"> </w:t>
            </w:r>
          </w:p>
        </w:tc>
      </w:tr>
    </w:tbl>
    <w:p w:rsidR="00FD3A2E" w:rsidRPr="00B9386C" w:rsidRDefault="00FD3A2E">
      <w:pPr>
        <w:rPr>
          <w:lang w:val="fr-FR"/>
        </w:rPr>
      </w:pPr>
    </w:p>
    <w:p w:rsidR="00A706FA" w:rsidRPr="009B5C3B" w:rsidRDefault="00006301" w:rsidP="00D84FCA">
      <w:pPr>
        <w:numPr>
          <w:ilvl w:val="0"/>
          <w:numId w:val="7"/>
        </w:numPr>
        <w:tabs>
          <w:tab w:val="clear" w:pos="360"/>
        </w:tabs>
        <w:rPr>
          <w:b/>
          <w:lang w:val="fr-FR"/>
        </w:rPr>
      </w:pPr>
      <w:bookmarkStart w:id="11" w:name="CountrySectorBackground"/>
      <w:r w:rsidRPr="009B5C3B">
        <w:rPr>
          <w:b/>
          <w:lang w:val="fr-FR"/>
        </w:rPr>
        <w:t xml:space="preserve">Contexte </w:t>
      </w:r>
      <w:r w:rsidR="001740EB" w:rsidRPr="009B5C3B">
        <w:rPr>
          <w:b/>
          <w:lang w:val="fr-FR"/>
        </w:rPr>
        <w:t>général</w:t>
      </w:r>
    </w:p>
    <w:p w:rsidR="009909C7" w:rsidRPr="00B9386C" w:rsidRDefault="009909C7" w:rsidP="009909C7">
      <w:pPr>
        <w:ind w:left="360"/>
        <w:rPr>
          <w:b/>
          <w:lang w:val="fr-FR"/>
        </w:rPr>
      </w:pPr>
    </w:p>
    <w:p w:rsidR="00596A22" w:rsidRPr="009B5C3B" w:rsidRDefault="00F17604" w:rsidP="00BF65EC">
      <w:pPr>
        <w:pStyle w:val="PDSHeading2"/>
        <w:tabs>
          <w:tab w:val="clear" w:pos="360"/>
          <w:tab w:val="num" w:pos="720"/>
        </w:tabs>
        <w:spacing w:after="240"/>
        <w:ind w:left="360"/>
        <w:rPr>
          <w:bCs/>
          <w:lang w:val="fr-FR"/>
        </w:rPr>
      </w:pPr>
      <w:bookmarkStart w:id="12" w:name="_Toc295296808"/>
      <w:bookmarkStart w:id="13" w:name="_Toc341776830"/>
      <w:r w:rsidRPr="009B5C3B">
        <w:rPr>
          <w:bCs/>
          <w:lang w:val="fr-FR"/>
        </w:rPr>
        <w:t>Context</w:t>
      </w:r>
      <w:bookmarkEnd w:id="12"/>
      <w:bookmarkEnd w:id="13"/>
      <w:r w:rsidR="00006301" w:rsidRPr="009B5C3B">
        <w:rPr>
          <w:bCs/>
          <w:lang w:val="fr-FR"/>
        </w:rPr>
        <w:t>e national</w:t>
      </w:r>
      <w:r w:rsidRPr="009B5C3B">
        <w:rPr>
          <w:bCs/>
          <w:lang w:val="fr-FR"/>
        </w:rPr>
        <w:t xml:space="preserve"> </w:t>
      </w:r>
    </w:p>
    <w:p w:rsidR="00596A22" w:rsidRPr="00B9386C" w:rsidRDefault="00006301" w:rsidP="00596A22">
      <w:pPr>
        <w:pStyle w:val="ListParagraph"/>
        <w:widowControl w:val="0"/>
        <w:numPr>
          <w:ilvl w:val="0"/>
          <w:numId w:val="10"/>
        </w:numPr>
        <w:tabs>
          <w:tab w:val="clear" w:pos="360"/>
          <w:tab w:val="left" w:pos="720"/>
        </w:tabs>
        <w:autoSpaceDE w:val="0"/>
        <w:autoSpaceDN w:val="0"/>
        <w:adjustRightInd w:val="0"/>
        <w:jc w:val="both"/>
        <w:rPr>
          <w:rFonts w:asciiTheme="majorBidi" w:hAnsiTheme="majorBidi" w:cstheme="majorBidi"/>
          <w:lang w:val="fr-FR"/>
        </w:rPr>
      </w:pPr>
      <w:r w:rsidRPr="003D2FED">
        <w:rPr>
          <w:rFonts w:asciiTheme="majorBidi" w:hAnsiTheme="majorBidi" w:cstheme="majorBidi"/>
          <w:lang w:val="fr-FR"/>
        </w:rPr>
        <w:t xml:space="preserve">Le Maroc a accompli </w:t>
      </w:r>
      <w:r>
        <w:rPr>
          <w:rFonts w:asciiTheme="majorBidi" w:hAnsiTheme="majorBidi" w:cstheme="majorBidi"/>
          <w:lang w:val="fr-FR"/>
        </w:rPr>
        <w:t>des progrès économiques importants durant la décennie qui a précédé le Printemps arabe et a relativement bien traversé la première phase de la crise financière mondiale (le pays conserve une cote élevée de solvabilité depuis 2007)</w:t>
      </w:r>
      <w:r w:rsidRPr="003D2FED">
        <w:rPr>
          <w:rFonts w:asciiTheme="majorBidi" w:hAnsiTheme="majorBidi" w:cstheme="majorBidi"/>
          <w:lang w:val="fr-FR"/>
        </w:rPr>
        <w:t>.</w:t>
      </w:r>
      <w:r>
        <w:rPr>
          <w:rFonts w:asciiTheme="majorBidi" w:hAnsiTheme="majorBidi" w:cstheme="majorBidi"/>
          <w:lang w:val="fr-FR"/>
        </w:rPr>
        <w:t xml:space="preserve"> Cette situation est le résultat des efforts poursuivis de façon soutenue pour mettre en œuvre des politiques macroéconomiques judicieuses ainsi que d</w:t>
      </w:r>
      <w:r w:rsidR="003258B5">
        <w:rPr>
          <w:rFonts w:asciiTheme="majorBidi" w:hAnsiTheme="majorBidi" w:cstheme="majorBidi"/>
          <w:lang w:val="fr-FR"/>
        </w:rPr>
        <w:t>’</w:t>
      </w:r>
      <w:r>
        <w:rPr>
          <w:rFonts w:asciiTheme="majorBidi" w:hAnsiTheme="majorBidi" w:cstheme="majorBidi"/>
          <w:lang w:val="fr-FR"/>
        </w:rPr>
        <w:t>ambitieuses réformes structurelles. Le secteur financier a été renforcé pour soutenir le nouvel élan du secteur non agricole et (même s</w:t>
      </w:r>
      <w:r w:rsidR="003258B5">
        <w:rPr>
          <w:rFonts w:asciiTheme="majorBidi" w:hAnsiTheme="majorBidi" w:cstheme="majorBidi"/>
          <w:lang w:val="fr-FR"/>
        </w:rPr>
        <w:t>’</w:t>
      </w:r>
      <w:r>
        <w:rPr>
          <w:rFonts w:asciiTheme="majorBidi" w:hAnsiTheme="majorBidi" w:cstheme="majorBidi"/>
          <w:lang w:val="fr-FR"/>
        </w:rPr>
        <w:t>il reste beaucoup à faire) le segment de la microfinance est l</w:t>
      </w:r>
      <w:r w:rsidR="003258B5">
        <w:rPr>
          <w:rFonts w:asciiTheme="majorBidi" w:hAnsiTheme="majorBidi" w:cstheme="majorBidi"/>
          <w:lang w:val="fr-FR"/>
        </w:rPr>
        <w:t>’</w:t>
      </w:r>
      <w:r>
        <w:rPr>
          <w:rFonts w:asciiTheme="majorBidi" w:hAnsiTheme="majorBidi" w:cstheme="majorBidi"/>
          <w:lang w:val="fr-FR"/>
        </w:rPr>
        <w:t>un des plus développés de la région</w:t>
      </w:r>
      <w:r w:rsidRPr="003D2FED">
        <w:rPr>
          <w:rFonts w:asciiTheme="majorBidi" w:hAnsiTheme="majorBidi" w:cstheme="majorBidi"/>
          <w:lang w:val="fr-FR"/>
        </w:rPr>
        <w:t xml:space="preserve"> MENA</w:t>
      </w:r>
      <w:r w:rsidR="00596A22" w:rsidRPr="00B9386C">
        <w:rPr>
          <w:rFonts w:asciiTheme="majorBidi" w:hAnsiTheme="majorBidi" w:cstheme="majorBidi"/>
          <w:lang w:val="fr-FR"/>
        </w:rPr>
        <w:t xml:space="preserve">. </w:t>
      </w:r>
    </w:p>
    <w:p w:rsidR="00596A22" w:rsidRPr="00B9386C" w:rsidRDefault="00596A22" w:rsidP="00596A22">
      <w:pPr>
        <w:pStyle w:val="ListParagraph"/>
        <w:widowControl w:val="0"/>
        <w:tabs>
          <w:tab w:val="left" w:pos="720"/>
        </w:tabs>
        <w:autoSpaceDE w:val="0"/>
        <w:autoSpaceDN w:val="0"/>
        <w:adjustRightInd w:val="0"/>
        <w:ind w:left="0"/>
        <w:jc w:val="both"/>
        <w:rPr>
          <w:rFonts w:asciiTheme="majorBidi" w:hAnsiTheme="majorBidi" w:cstheme="majorBidi"/>
          <w:lang w:val="fr-FR"/>
        </w:rPr>
      </w:pPr>
    </w:p>
    <w:p w:rsidR="00167327" w:rsidRPr="00B9386C" w:rsidRDefault="00006301" w:rsidP="00596A22">
      <w:pPr>
        <w:pStyle w:val="ListParagraph"/>
        <w:widowControl w:val="0"/>
        <w:numPr>
          <w:ilvl w:val="0"/>
          <w:numId w:val="10"/>
        </w:numPr>
        <w:tabs>
          <w:tab w:val="clear" w:pos="360"/>
          <w:tab w:val="left" w:pos="720"/>
        </w:tabs>
        <w:autoSpaceDE w:val="0"/>
        <w:autoSpaceDN w:val="0"/>
        <w:adjustRightInd w:val="0"/>
        <w:jc w:val="both"/>
        <w:rPr>
          <w:rFonts w:asciiTheme="majorBidi" w:hAnsiTheme="majorBidi" w:cstheme="majorBidi"/>
          <w:lang w:val="fr-FR"/>
        </w:rPr>
      </w:pPr>
      <w:r>
        <w:rPr>
          <w:rFonts w:asciiTheme="majorBidi" w:hAnsiTheme="majorBidi" w:cstheme="majorBidi"/>
          <w:lang w:val="fr-FR"/>
        </w:rPr>
        <w:t>Le Maroc s</w:t>
      </w:r>
      <w:r w:rsidR="003258B5">
        <w:rPr>
          <w:rFonts w:asciiTheme="majorBidi" w:hAnsiTheme="majorBidi" w:cstheme="majorBidi"/>
          <w:lang w:val="fr-FR"/>
        </w:rPr>
        <w:t>’</w:t>
      </w:r>
      <w:r>
        <w:rPr>
          <w:rFonts w:asciiTheme="majorBidi" w:hAnsiTheme="majorBidi" w:cstheme="majorBidi"/>
          <w:lang w:val="fr-FR"/>
        </w:rPr>
        <w:t>est toutefois heurté à des difficultés économiques croissantes durant la seconde phase de la crise financière mondiale. L</w:t>
      </w:r>
      <w:r w:rsidR="003258B5">
        <w:rPr>
          <w:rFonts w:asciiTheme="majorBidi" w:hAnsiTheme="majorBidi" w:cstheme="majorBidi"/>
          <w:lang w:val="fr-FR"/>
        </w:rPr>
        <w:t>’</w:t>
      </w:r>
      <w:r>
        <w:rPr>
          <w:rFonts w:asciiTheme="majorBidi" w:hAnsiTheme="majorBidi" w:cstheme="majorBidi"/>
          <w:lang w:val="fr-FR"/>
        </w:rPr>
        <w:t>évolution de la situation de la zone euro et la persistance des prix élevés des combustibles et des importations de produits alimentaires devraient continuer de peser sur les finances publiques et le solde extérieur du pays</w:t>
      </w:r>
      <w:r w:rsidRPr="003D2FED">
        <w:rPr>
          <w:rFonts w:asciiTheme="majorBidi" w:hAnsiTheme="majorBidi" w:cstheme="majorBidi"/>
          <w:lang w:val="fr-FR"/>
        </w:rPr>
        <w:t>.</w:t>
      </w:r>
      <w:r>
        <w:rPr>
          <w:rFonts w:asciiTheme="majorBidi" w:hAnsiTheme="majorBidi" w:cstheme="majorBidi"/>
          <w:lang w:val="fr-FR"/>
        </w:rPr>
        <w:t xml:space="preserve"> Les chocs récents ont considérablement réduit la marge de manœuvre du gouvernement alors que les attentes de la population se sont accrues en matière de création d</w:t>
      </w:r>
      <w:r w:rsidR="003258B5">
        <w:rPr>
          <w:rFonts w:asciiTheme="majorBidi" w:hAnsiTheme="majorBidi" w:cstheme="majorBidi"/>
          <w:lang w:val="fr-FR"/>
        </w:rPr>
        <w:t>’</w:t>
      </w:r>
      <w:r>
        <w:rPr>
          <w:rFonts w:asciiTheme="majorBidi" w:hAnsiTheme="majorBidi" w:cstheme="majorBidi"/>
          <w:lang w:val="fr-FR"/>
        </w:rPr>
        <w:t>emplois et de réduction de la pauvreté</w:t>
      </w:r>
      <w:r w:rsidRPr="003D2FED">
        <w:rPr>
          <w:rFonts w:asciiTheme="majorBidi" w:hAnsiTheme="majorBidi" w:cstheme="majorBidi"/>
          <w:lang w:val="fr-FR"/>
        </w:rPr>
        <w:t xml:space="preserve">. </w:t>
      </w:r>
      <w:r>
        <w:rPr>
          <w:rFonts w:asciiTheme="majorBidi" w:hAnsiTheme="majorBidi" w:cstheme="majorBidi"/>
          <w:lang w:val="fr-FR"/>
        </w:rPr>
        <w:t>Le chômage reste élevé (9 %), surtout parmi les jeunes citadins</w:t>
      </w:r>
      <w:r w:rsidRPr="003D2FED">
        <w:rPr>
          <w:rFonts w:asciiTheme="majorBidi" w:hAnsiTheme="majorBidi" w:cstheme="majorBidi"/>
          <w:lang w:val="fr-FR"/>
        </w:rPr>
        <w:t>,</w:t>
      </w:r>
      <w:r>
        <w:rPr>
          <w:rFonts w:asciiTheme="majorBidi" w:hAnsiTheme="majorBidi" w:cstheme="majorBidi"/>
          <w:lang w:val="fr-FR"/>
        </w:rPr>
        <w:t xml:space="preserve"> en dépit d</w:t>
      </w:r>
      <w:r w:rsidR="003258B5">
        <w:rPr>
          <w:rFonts w:asciiTheme="majorBidi" w:hAnsiTheme="majorBidi" w:cstheme="majorBidi"/>
          <w:lang w:val="fr-FR"/>
        </w:rPr>
        <w:t>’</w:t>
      </w:r>
      <w:r>
        <w:rPr>
          <w:rFonts w:asciiTheme="majorBidi" w:hAnsiTheme="majorBidi" w:cstheme="majorBidi"/>
          <w:lang w:val="fr-FR"/>
        </w:rPr>
        <w:t>un des taux de participation (49 %) les moins élevés enregistrés dans un groupe de pays de référence</w:t>
      </w:r>
      <w:r w:rsidRPr="003D2FED">
        <w:rPr>
          <w:rFonts w:asciiTheme="majorBidi" w:hAnsiTheme="majorBidi" w:cstheme="majorBidi"/>
          <w:lang w:val="fr-FR"/>
        </w:rPr>
        <w:t>.</w:t>
      </w:r>
      <w:r>
        <w:rPr>
          <w:rFonts w:asciiTheme="majorBidi" w:hAnsiTheme="majorBidi" w:cstheme="majorBidi"/>
          <w:lang w:val="fr-FR"/>
        </w:rPr>
        <w:t xml:space="preserve"> Environ quatre jeunes chômeurs sur cinq vivent en zone urbaine, deux sur trois sont âgés de 15 à 29 ans et un sur quatre est titulaire d</w:t>
      </w:r>
      <w:r w:rsidR="003258B5">
        <w:rPr>
          <w:rFonts w:asciiTheme="majorBidi" w:hAnsiTheme="majorBidi" w:cstheme="majorBidi"/>
          <w:lang w:val="fr-FR"/>
        </w:rPr>
        <w:t>’</w:t>
      </w:r>
      <w:r>
        <w:rPr>
          <w:rFonts w:asciiTheme="majorBidi" w:hAnsiTheme="majorBidi" w:cstheme="majorBidi"/>
          <w:lang w:val="fr-FR"/>
        </w:rPr>
        <w:t>un diplôme universitaire</w:t>
      </w:r>
      <w:r w:rsidR="00596A22" w:rsidRPr="00B9386C">
        <w:rPr>
          <w:rFonts w:asciiTheme="majorBidi" w:hAnsiTheme="majorBidi" w:cstheme="majorBidi"/>
          <w:lang w:val="fr-FR"/>
        </w:rPr>
        <w:t xml:space="preserve">. </w:t>
      </w:r>
      <w:r w:rsidR="00167327" w:rsidRPr="00B9386C">
        <w:rPr>
          <w:rFonts w:asciiTheme="majorBidi" w:hAnsiTheme="majorBidi" w:cstheme="majorBidi"/>
          <w:lang w:val="fr-FR"/>
        </w:rPr>
        <w:t xml:space="preserve"> </w:t>
      </w:r>
    </w:p>
    <w:p w:rsidR="00167327" w:rsidRPr="00B9386C" w:rsidRDefault="00167327" w:rsidP="00B67CA0">
      <w:pPr>
        <w:pStyle w:val="ListParagraph"/>
        <w:rPr>
          <w:rFonts w:asciiTheme="majorBidi" w:hAnsiTheme="majorBidi" w:cstheme="majorBidi"/>
          <w:lang w:val="fr-FR"/>
        </w:rPr>
      </w:pPr>
    </w:p>
    <w:p w:rsidR="00596A22" w:rsidRPr="00B9386C" w:rsidRDefault="00006301" w:rsidP="00596A22">
      <w:pPr>
        <w:pStyle w:val="ListParagraph"/>
        <w:widowControl w:val="0"/>
        <w:numPr>
          <w:ilvl w:val="0"/>
          <w:numId w:val="10"/>
        </w:numPr>
        <w:tabs>
          <w:tab w:val="clear" w:pos="360"/>
          <w:tab w:val="left" w:pos="720"/>
        </w:tabs>
        <w:autoSpaceDE w:val="0"/>
        <w:autoSpaceDN w:val="0"/>
        <w:adjustRightInd w:val="0"/>
        <w:jc w:val="both"/>
        <w:rPr>
          <w:rFonts w:asciiTheme="majorBidi" w:hAnsiTheme="majorBidi" w:cstheme="majorBidi"/>
          <w:lang w:val="fr-FR"/>
        </w:rPr>
      </w:pPr>
      <w:r>
        <w:rPr>
          <w:rFonts w:asciiTheme="majorBidi" w:hAnsiTheme="majorBidi" w:cstheme="majorBidi"/>
          <w:lang w:val="fr-FR"/>
        </w:rPr>
        <w:t>La pauvreté est un autre défi persistant auquel est confronté le Maroc. Environ 8 millions d</w:t>
      </w:r>
      <w:r w:rsidR="003258B5">
        <w:rPr>
          <w:rFonts w:asciiTheme="majorBidi" w:hAnsiTheme="majorBidi" w:cstheme="majorBidi"/>
          <w:lang w:val="fr-FR"/>
        </w:rPr>
        <w:t>’</w:t>
      </w:r>
      <w:r>
        <w:rPr>
          <w:rFonts w:asciiTheme="majorBidi" w:hAnsiTheme="majorBidi" w:cstheme="majorBidi"/>
          <w:lang w:val="fr-FR"/>
        </w:rPr>
        <w:t>habitants, soit le quart de la population marocaine, se trouvent en situation de pauvreté absolue ou courent en permanence le risque de retomber dans la pauvreté</w:t>
      </w:r>
      <w:r w:rsidRPr="003D2FED">
        <w:rPr>
          <w:rFonts w:asciiTheme="majorBidi" w:hAnsiTheme="majorBidi" w:cstheme="majorBidi"/>
          <w:lang w:val="fr-FR"/>
        </w:rPr>
        <w:t>.</w:t>
      </w:r>
      <w:r>
        <w:rPr>
          <w:rFonts w:asciiTheme="majorBidi" w:hAnsiTheme="majorBidi" w:cstheme="majorBidi"/>
          <w:lang w:val="fr-FR"/>
        </w:rPr>
        <w:t xml:space="preserve"> Soixante-dix pour cent des pauvres vivent en milieu rural, où, en 2007, le taux de pauvreté était de 14,5 % contre 4,8 % en zone urbaine</w:t>
      </w:r>
      <w:r w:rsidRPr="003D2FED">
        <w:rPr>
          <w:rFonts w:asciiTheme="majorBidi" w:hAnsiTheme="majorBidi" w:cstheme="majorBidi"/>
          <w:lang w:val="fr-FR"/>
        </w:rPr>
        <w:t>.</w:t>
      </w:r>
      <w:r>
        <w:rPr>
          <w:rFonts w:asciiTheme="majorBidi" w:hAnsiTheme="majorBidi" w:cstheme="majorBidi"/>
          <w:lang w:val="fr-FR"/>
        </w:rPr>
        <w:t xml:space="preserve"> Les revenus des pauvres augmentent plus lentement que le revenu moyen</w:t>
      </w:r>
      <w:r w:rsidR="00596A22" w:rsidRPr="00B9386C">
        <w:rPr>
          <w:rFonts w:asciiTheme="majorBidi" w:hAnsiTheme="majorBidi" w:cstheme="majorBidi"/>
          <w:lang w:val="fr-FR"/>
        </w:rPr>
        <w:t>.</w:t>
      </w:r>
    </w:p>
    <w:p w:rsidR="00596A22" w:rsidRPr="00B9386C" w:rsidRDefault="00596A22" w:rsidP="00596A22">
      <w:pPr>
        <w:pStyle w:val="ListParagraph"/>
        <w:widowControl w:val="0"/>
        <w:tabs>
          <w:tab w:val="left" w:pos="720"/>
        </w:tabs>
        <w:autoSpaceDE w:val="0"/>
        <w:autoSpaceDN w:val="0"/>
        <w:adjustRightInd w:val="0"/>
        <w:ind w:left="0"/>
        <w:jc w:val="both"/>
        <w:rPr>
          <w:rFonts w:asciiTheme="majorBidi" w:hAnsiTheme="majorBidi" w:cstheme="majorBidi"/>
          <w:lang w:val="fr-FR"/>
        </w:rPr>
      </w:pPr>
    </w:p>
    <w:p w:rsidR="00F17604" w:rsidRPr="00B9386C" w:rsidRDefault="00006301" w:rsidP="00596A22">
      <w:pPr>
        <w:pStyle w:val="ListParagraph"/>
        <w:widowControl w:val="0"/>
        <w:numPr>
          <w:ilvl w:val="0"/>
          <w:numId w:val="10"/>
        </w:numPr>
        <w:tabs>
          <w:tab w:val="clear" w:pos="360"/>
          <w:tab w:val="left" w:pos="720"/>
        </w:tabs>
        <w:autoSpaceDE w:val="0"/>
        <w:autoSpaceDN w:val="0"/>
        <w:adjustRightInd w:val="0"/>
        <w:jc w:val="both"/>
        <w:rPr>
          <w:rFonts w:asciiTheme="majorBidi" w:hAnsiTheme="majorBidi" w:cstheme="majorBidi"/>
          <w:lang w:val="fr-FR"/>
        </w:rPr>
      </w:pPr>
      <w:r>
        <w:rPr>
          <w:rFonts w:asciiTheme="majorBidi" w:hAnsiTheme="majorBidi" w:cstheme="majorBidi"/>
          <w:lang w:val="fr-FR"/>
        </w:rPr>
        <w:t>Dans le contexte politique et économique actuel, la croissance solidaire et la création d</w:t>
      </w:r>
      <w:r w:rsidR="003258B5">
        <w:rPr>
          <w:rFonts w:asciiTheme="majorBidi" w:hAnsiTheme="majorBidi" w:cstheme="majorBidi"/>
          <w:lang w:val="fr-FR"/>
        </w:rPr>
        <w:t>’</w:t>
      </w:r>
      <w:r>
        <w:rPr>
          <w:rFonts w:asciiTheme="majorBidi" w:hAnsiTheme="majorBidi" w:cstheme="majorBidi"/>
          <w:lang w:val="fr-FR"/>
        </w:rPr>
        <w:t>emplois par le secteur privé dominent le débat sur l</w:t>
      </w:r>
      <w:r w:rsidR="003258B5">
        <w:rPr>
          <w:rFonts w:asciiTheme="majorBidi" w:hAnsiTheme="majorBidi" w:cstheme="majorBidi"/>
          <w:lang w:val="fr-FR"/>
        </w:rPr>
        <w:t>’</w:t>
      </w:r>
      <w:r>
        <w:rPr>
          <w:rFonts w:asciiTheme="majorBidi" w:hAnsiTheme="majorBidi" w:cstheme="majorBidi"/>
          <w:lang w:val="fr-FR"/>
        </w:rPr>
        <w:t>action à mener</w:t>
      </w:r>
      <w:r w:rsidRPr="003D2FED">
        <w:rPr>
          <w:rFonts w:asciiTheme="majorBidi" w:hAnsiTheme="majorBidi" w:cstheme="majorBidi"/>
          <w:lang w:val="fr-FR"/>
        </w:rPr>
        <w:t>.</w:t>
      </w:r>
      <w:r>
        <w:rPr>
          <w:rFonts w:asciiTheme="majorBidi" w:hAnsiTheme="majorBidi" w:cstheme="majorBidi"/>
          <w:lang w:val="fr-FR"/>
        </w:rPr>
        <w:t xml:space="preserve"> L</w:t>
      </w:r>
      <w:r w:rsidR="003258B5">
        <w:rPr>
          <w:rFonts w:asciiTheme="majorBidi" w:hAnsiTheme="majorBidi" w:cstheme="majorBidi"/>
          <w:lang w:val="fr-FR"/>
        </w:rPr>
        <w:t>’</w:t>
      </w:r>
      <w:r>
        <w:rPr>
          <w:rFonts w:asciiTheme="majorBidi" w:hAnsiTheme="majorBidi" w:cstheme="majorBidi"/>
          <w:lang w:val="fr-FR"/>
        </w:rPr>
        <w:t>État étant confronté à des contraintes financières croissantes, on espère beaucoup que les PME et les micro-entreprises p</w:t>
      </w:r>
      <w:r w:rsidR="00FA236A">
        <w:rPr>
          <w:rFonts w:asciiTheme="majorBidi" w:hAnsiTheme="majorBidi" w:cstheme="majorBidi"/>
          <w:lang w:val="fr-FR"/>
        </w:rPr>
        <w:t>ourront</w:t>
      </w:r>
      <w:r>
        <w:rPr>
          <w:rFonts w:asciiTheme="majorBidi" w:hAnsiTheme="majorBidi" w:cstheme="majorBidi"/>
          <w:lang w:val="fr-FR"/>
        </w:rPr>
        <w:t xml:space="preserve"> contribuer de plus en plus à la création d</w:t>
      </w:r>
      <w:r w:rsidR="003258B5">
        <w:rPr>
          <w:rFonts w:asciiTheme="majorBidi" w:hAnsiTheme="majorBidi" w:cstheme="majorBidi"/>
          <w:lang w:val="fr-FR"/>
        </w:rPr>
        <w:t>’</w:t>
      </w:r>
      <w:r>
        <w:rPr>
          <w:rFonts w:asciiTheme="majorBidi" w:hAnsiTheme="majorBidi" w:cstheme="majorBidi"/>
          <w:lang w:val="fr-FR"/>
        </w:rPr>
        <w:t>emplois dans le secteur privé</w:t>
      </w:r>
      <w:r w:rsidRPr="003D2FED">
        <w:rPr>
          <w:rFonts w:asciiTheme="majorBidi" w:hAnsiTheme="majorBidi" w:cstheme="majorBidi"/>
          <w:lang w:val="fr-FR"/>
        </w:rPr>
        <w:t>.</w:t>
      </w:r>
      <w:r>
        <w:rPr>
          <w:rFonts w:asciiTheme="majorBidi" w:hAnsiTheme="majorBidi" w:cstheme="majorBidi"/>
          <w:lang w:val="fr-FR"/>
        </w:rPr>
        <w:t xml:space="preserve"> Selon une étude sur le secteur financier publiée en 2011 par la Banque mondiale, l</w:t>
      </w:r>
      <w:r w:rsidR="003258B5">
        <w:rPr>
          <w:rFonts w:asciiTheme="majorBidi" w:hAnsiTheme="majorBidi" w:cstheme="majorBidi"/>
          <w:lang w:val="fr-FR"/>
        </w:rPr>
        <w:t>’</w:t>
      </w:r>
      <w:r>
        <w:rPr>
          <w:rFonts w:asciiTheme="majorBidi" w:hAnsiTheme="majorBidi" w:cstheme="majorBidi"/>
          <w:lang w:val="fr-FR"/>
        </w:rPr>
        <w:t>accès aux financements est un obstacle majeur pour les catégories de revenus et les secteurs, tels que le secteur informel, mal desservis par les banques classiques</w:t>
      </w:r>
      <w:r w:rsidR="00596A22" w:rsidRPr="00B9386C">
        <w:rPr>
          <w:rFonts w:asciiTheme="majorBidi" w:hAnsiTheme="majorBidi" w:cstheme="majorBidi"/>
          <w:lang w:val="fr-FR"/>
        </w:rPr>
        <w:t>.</w:t>
      </w:r>
    </w:p>
    <w:p w:rsidR="00795977" w:rsidRPr="00B9386C" w:rsidRDefault="00795977">
      <w:pPr>
        <w:rPr>
          <w:lang w:val="fr-FR"/>
        </w:rPr>
      </w:pPr>
    </w:p>
    <w:p w:rsidR="006A375B" w:rsidRPr="009B5C3B" w:rsidRDefault="001740EB" w:rsidP="00D84FCA">
      <w:pPr>
        <w:numPr>
          <w:ilvl w:val="0"/>
          <w:numId w:val="7"/>
        </w:numPr>
        <w:rPr>
          <w:b/>
          <w:lang w:val="fr-FR"/>
        </w:rPr>
      </w:pPr>
      <w:r w:rsidRPr="001740EB">
        <w:rPr>
          <w:b/>
          <w:lang w:val="fr-FR"/>
        </w:rPr>
        <w:t>Contexte sectoriel et institutionnel</w:t>
      </w:r>
    </w:p>
    <w:p w:rsidR="00795977" w:rsidRPr="00B9386C" w:rsidRDefault="00795977">
      <w:pPr>
        <w:rPr>
          <w:lang w:val="fr-FR"/>
        </w:rPr>
      </w:pPr>
    </w:p>
    <w:p w:rsidR="00596A22" w:rsidRPr="00B9386C" w:rsidRDefault="001740EB" w:rsidP="00596A22">
      <w:pPr>
        <w:pStyle w:val="ListParagraph"/>
        <w:widowControl w:val="0"/>
        <w:numPr>
          <w:ilvl w:val="0"/>
          <w:numId w:val="10"/>
        </w:numPr>
        <w:tabs>
          <w:tab w:val="clear" w:pos="360"/>
          <w:tab w:val="left" w:pos="720"/>
        </w:tabs>
        <w:autoSpaceDE w:val="0"/>
        <w:autoSpaceDN w:val="0"/>
        <w:adjustRightInd w:val="0"/>
        <w:jc w:val="both"/>
        <w:rPr>
          <w:rFonts w:asciiTheme="majorBidi" w:hAnsiTheme="majorBidi" w:cstheme="majorBidi"/>
          <w:lang w:val="fr-FR"/>
        </w:rPr>
      </w:pPr>
      <w:r>
        <w:rPr>
          <w:rFonts w:asciiTheme="majorBidi" w:hAnsiTheme="majorBidi" w:cstheme="majorBidi"/>
          <w:lang w:val="fr-FR"/>
        </w:rPr>
        <w:t>Les institutions de microfinance (IMF) marocaines ont enregistré de bons résultats en ce qui concerne l</w:t>
      </w:r>
      <w:r w:rsidR="003258B5">
        <w:rPr>
          <w:rFonts w:asciiTheme="majorBidi" w:hAnsiTheme="majorBidi" w:cstheme="majorBidi"/>
          <w:lang w:val="fr-FR"/>
        </w:rPr>
        <w:t>’</w:t>
      </w:r>
      <w:r>
        <w:rPr>
          <w:rFonts w:asciiTheme="majorBidi" w:hAnsiTheme="majorBidi" w:cstheme="majorBidi"/>
          <w:lang w:val="fr-FR"/>
        </w:rPr>
        <w:t>élargissement de l</w:t>
      </w:r>
      <w:r w:rsidR="003258B5">
        <w:rPr>
          <w:rFonts w:asciiTheme="majorBidi" w:hAnsiTheme="majorBidi" w:cstheme="majorBidi"/>
          <w:lang w:val="fr-FR"/>
        </w:rPr>
        <w:t>’</w:t>
      </w:r>
      <w:r>
        <w:rPr>
          <w:rFonts w:asciiTheme="majorBidi" w:hAnsiTheme="majorBidi" w:cstheme="majorBidi"/>
          <w:lang w:val="fr-FR"/>
        </w:rPr>
        <w:t>accès au profit du secteur informel en dépit des problèmes apparus durant une période initiale de forte croissance et en l</w:t>
      </w:r>
      <w:r w:rsidR="003258B5">
        <w:rPr>
          <w:rFonts w:asciiTheme="majorBidi" w:hAnsiTheme="majorBidi" w:cstheme="majorBidi"/>
          <w:lang w:val="fr-FR"/>
        </w:rPr>
        <w:t>’</w:t>
      </w:r>
      <w:r>
        <w:rPr>
          <w:rFonts w:asciiTheme="majorBidi" w:hAnsiTheme="majorBidi" w:cstheme="majorBidi"/>
          <w:lang w:val="fr-FR"/>
        </w:rPr>
        <w:t>absence d</w:t>
      </w:r>
      <w:r w:rsidR="003258B5">
        <w:rPr>
          <w:rFonts w:asciiTheme="majorBidi" w:hAnsiTheme="majorBidi" w:cstheme="majorBidi"/>
          <w:lang w:val="fr-FR"/>
        </w:rPr>
        <w:t>’</w:t>
      </w:r>
      <w:r>
        <w:rPr>
          <w:rFonts w:asciiTheme="majorBidi" w:hAnsiTheme="majorBidi" w:cstheme="majorBidi"/>
          <w:lang w:val="fr-FR"/>
        </w:rPr>
        <w:t>un cadre institutionnel et d</w:t>
      </w:r>
      <w:r w:rsidR="003258B5">
        <w:rPr>
          <w:rFonts w:asciiTheme="majorBidi" w:hAnsiTheme="majorBidi" w:cstheme="majorBidi"/>
          <w:lang w:val="fr-FR"/>
        </w:rPr>
        <w:t>’</w:t>
      </w:r>
      <w:r>
        <w:rPr>
          <w:rFonts w:asciiTheme="majorBidi" w:hAnsiTheme="majorBidi" w:cstheme="majorBidi"/>
          <w:lang w:val="fr-FR"/>
        </w:rPr>
        <w:t>un cadre de gouvernance appropriés</w:t>
      </w:r>
      <w:r w:rsidR="00596A22" w:rsidRPr="00B9386C">
        <w:rPr>
          <w:rFonts w:asciiTheme="majorBidi" w:hAnsiTheme="majorBidi" w:cstheme="majorBidi"/>
          <w:lang w:val="fr-FR"/>
        </w:rPr>
        <w:t>.</w:t>
      </w:r>
      <w:r>
        <w:rPr>
          <w:rFonts w:asciiTheme="majorBidi" w:hAnsiTheme="majorBidi" w:cstheme="majorBidi"/>
          <w:lang w:val="fr-FR"/>
        </w:rPr>
        <w:t xml:space="preserve"> Une crise récente a interrompu le développement du secteur. Le regroupement qui en a résulté au sein du secteur et les mesures prises par la banque centrale pour améliorer la gouvernance, la </w:t>
      </w:r>
      <w:r w:rsidR="007445CD">
        <w:rPr>
          <w:rFonts w:asciiTheme="majorBidi" w:hAnsiTheme="majorBidi" w:cstheme="majorBidi"/>
          <w:lang w:val="fr-FR"/>
        </w:rPr>
        <w:t>surveillance</w:t>
      </w:r>
      <w:r>
        <w:rPr>
          <w:rFonts w:asciiTheme="majorBidi" w:hAnsiTheme="majorBidi" w:cstheme="majorBidi"/>
          <w:lang w:val="fr-FR"/>
        </w:rPr>
        <w:t xml:space="preserve"> et les échanges d</w:t>
      </w:r>
      <w:r w:rsidR="003258B5">
        <w:rPr>
          <w:rFonts w:asciiTheme="majorBidi" w:hAnsiTheme="majorBidi" w:cstheme="majorBidi"/>
          <w:lang w:val="fr-FR"/>
        </w:rPr>
        <w:t>’</w:t>
      </w:r>
      <w:r>
        <w:rPr>
          <w:rFonts w:asciiTheme="majorBidi" w:hAnsiTheme="majorBidi" w:cstheme="majorBidi"/>
          <w:lang w:val="fr-FR"/>
        </w:rPr>
        <w:t>informations sur les micro-emprunteurs a contribué à jeter les bases de la poursuite du développement de l</w:t>
      </w:r>
      <w:r w:rsidR="003258B5">
        <w:rPr>
          <w:rFonts w:asciiTheme="majorBidi" w:hAnsiTheme="majorBidi" w:cstheme="majorBidi"/>
          <w:lang w:val="fr-FR"/>
        </w:rPr>
        <w:t>’</w:t>
      </w:r>
      <w:r>
        <w:rPr>
          <w:rFonts w:asciiTheme="majorBidi" w:hAnsiTheme="majorBidi" w:cstheme="majorBidi"/>
          <w:lang w:val="fr-FR"/>
        </w:rPr>
        <w:t>accès à la microfinance à un rythme plus durable</w:t>
      </w:r>
      <w:r w:rsidR="00596A22" w:rsidRPr="00B9386C">
        <w:rPr>
          <w:rFonts w:asciiTheme="majorBidi" w:hAnsiTheme="majorBidi" w:cstheme="majorBidi"/>
          <w:lang w:val="fr-FR"/>
        </w:rPr>
        <w:t>.</w:t>
      </w:r>
    </w:p>
    <w:p w:rsidR="00596A22" w:rsidRPr="00B9386C" w:rsidRDefault="00596A22" w:rsidP="00596A22">
      <w:pPr>
        <w:pStyle w:val="ListParagraph"/>
        <w:widowControl w:val="0"/>
        <w:tabs>
          <w:tab w:val="left" w:pos="720"/>
        </w:tabs>
        <w:autoSpaceDE w:val="0"/>
        <w:autoSpaceDN w:val="0"/>
        <w:adjustRightInd w:val="0"/>
        <w:ind w:left="0"/>
        <w:jc w:val="both"/>
        <w:rPr>
          <w:rFonts w:asciiTheme="majorBidi" w:hAnsiTheme="majorBidi" w:cstheme="majorBidi"/>
          <w:lang w:val="fr-FR"/>
        </w:rPr>
      </w:pPr>
    </w:p>
    <w:p w:rsidR="00596A22" w:rsidRPr="00B9386C" w:rsidRDefault="001740EB" w:rsidP="00596A22">
      <w:pPr>
        <w:pStyle w:val="ListParagraph"/>
        <w:widowControl w:val="0"/>
        <w:numPr>
          <w:ilvl w:val="0"/>
          <w:numId w:val="10"/>
        </w:numPr>
        <w:tabs>
          <w:tab w:val="clear" w:pos="360"/>
          <w:tab w:val="left" w:pos="720"/>
        </w:tabs>
        <w:autoSpaceDE w:val="0"/>
        <w:autoSpaceDN w:val="0"/>
        <w:adjustRightInd w:val="0"/>
        <w:jc w:val="both"/>
        <w:rPr>
          <w:rFonts w:asciiTheme="majorBidi" w:hAnsiTheme="majorBidi" w:cstheme="majorBidi"/>
          <w:lang w:val="fr-FR"/>
        </w:rPr>
      </w:pPr>
      <w:r>
        <w:rPr>
          <w:rFonts w:asciiTheme="majorBidi" w:hAnsiTheme="majorBidi" w:cstheme="majorBidi"/>
          <w:lang w:val="fr-FR"/>
        </w:rPr>
        <w:t>Le secteur marocain du microcrédit a obtenu des résultats remarquables ces dix dernières années, mais il a la possibilité de faire davantage pour atteindre les ménages à faible revenu ainsi que les PME et les micro-entreprises</w:t>
      </w:r>
      <w:r w:rsidR="00596A22" w:rsidRPr="00B9386C">
        <w:rPr>
          <w:rFonts w:asciiTheme="majorBidi" w:hAnsiTheme="majorBidi" w:cstheme="majorBidi"/>
          <w:lang w:val="fr-FR"/>
        </w:rPr>
        <w:t>.</w:t>
      </w:r>
      <w:r w:rsidR="00336CE4">
        <w:rPr>
          <w:rFonts w:asciiTheme="majorBidi" w:hAnsiTheme="majorBidi" w:cstheme="majorBidi"/>
          <w:lang w:val="fr-FR"/>
        </w:rPr>
        <w:t xml:space="preserve"> En raison de la crise, le</w:t>
      </w:r>
      <w:r>
        <w:rPr>
          <w:rFonts w:asciiTheme="majorBidi" w:hAnsiTheme="majorBidi" w:cstheme="majorBidi"/>
          <w:lang w:val="fr-FR"/>
        </w:rPr>
        <w:t xml:space="preserve"> cadre juridi</w:t>
      </w:r>
      <w:r w:rsidR="007445CD">
        <w:rPr>
          <w:rFonts w:asciiTheme="majorBidi" w:hAnsiTheme="majorBidi" w:cstheme="majorBidi"/>
          <w:lang w:val="fr-FR"/>
        </w:rPr>
        <w:t xml:space="preserve">co-réglementaire et </w:t>
      </w:r>
      <w:r>
        <w:rPr>
          <w:rFonts w:asciiTheme="majorBidi" w:hAnsiTheme="majorBidi" w:cstheme="majorBidi"/>
          <w:lang w:val="fr-FR"/>
        </w:rPr>
        <w:t xml:space="preserve">le cadre de </w:t>
      </w:r>
      <w:r w:rsidR="00336CE4">
        <w:rPr>
          <w:rFonts w:asciiTheme="majorBidi" w:hAnsiTheme="majorBidi" w:cstheme="majorBidi"/>
          <w:lang w:val="fr-FR"/>
        </w:rPr>
        <w:t>surveillance</w:t>
      </w:r>
      <w:r>
        <w:rPr>
          <w:rFonts w:asciiTheme="majorBidi" w:hAnsiTheme="majorBidi" w:cstheme="majorBidi"/>
          <w:lang w:val="fr-FR"/>
        </w:rPr>
        <w:t xml:space="preserve"> ont </w:t>
      </w:r>
      <w:r w:rsidR="007445CD">
        <w:rPr>
          <w:rFonts w:asciiTheme="majorBidi" w:hAnsiTheme="majorBidi" w:cstheme="majorBidi"/>
          <w:lang w:val="fr-FR"/>
        </w:rPr>
        <w:t>été axés sur</w:t>
      </w:r>
      <w:r w:rsidR="00336CE4">
        <w:rPr>
          <w:rFonts w:asciiTheme="majorBidi" w:hAnsiTheme="majorBidi" w:cstheme="majorBidi"/>
          <w:lang w:val="fr-FR"/>
        </w:rPr>
        <w:t xml:space="preserve"> la question de</w:t>
      </w:r>
      <w:r>
        <w:rPr>
          <w:rFonts w:asciiTheme="majorBidi" w:hAnsiTheme="majorBidi" w:cstheme="majorBidi"/>
          <w:lang w:val="fr-FR"/>
        </w:rPr>
        <w:t xml:space="preserve"> la stabilité du secteur et </w:t>
      </w:r>
      <w:r w:rsidR="00336CE4">
        <w:rPr>
          <w:rFonts w:asciiTheme="majorBidi" w:hAnsiTheme="majorBidi" w:cstheme="majorBidi"/>
          <w:lang w:val="fr-FR"/>
        </w:rPr>
        <w:t>il faudra les développer et les renforcer</w:t>
      </w:r>
      <w:r>
        <w:rPr>
          <w:rFonts w:asciiTheme="majorBidi" w:hAnsiTheme="majorBidi" w:cstheme="majorBidi"/>
          <w:lang w:val="fr-FR"/>
        </w:rPr>
        <w:t xml:space="preserve"> </w:t>
      </w:r>
      <w:r w:rsidR="00336CE4">
        <w:rPr>
          <w:rFonts w:asciiTheme="majorBidi" w:hAnsiTheme="majorBidi" w:cstheme="majorBidi"/>
          <w:lang w:val="fr-FR"/>
        </w:rPr>
        <w:t>pour</w:t>
      </w:r>
      <w:r>
        <w:rPr>
          <w:rFonts w:asciiTheme="majorBidi" w:hAnsiTheme="majorBidi" w:cstheme="majorBidi"/>
          <w:lang w:val="fr-FR"/>
        </w:rPr>
        <w:t xml:space="preserve"> favoriser la croissance du secteur et la diversification de ses sources de financement</w:t>
      </w:r>
      <w:r w:rsidR="00596A22" w:rsidRPr="00B9386C">
        <w:rPr>
          <w:rFonts w:asciiTheme="majorBidi" w:hAnsiTheme="majorBidi" w:cstheme="majorBidi"/>
          <w:lang w:val="fr-FR"/>
        </w:rPr>
        <w:t>.</w:t>
      </w:r>
      <w:r>
        <w:rPr>
          <w:rFonts w:asciiTheme="majorBidi" w:hAnsiTheme="majorBidi" w:cstheme="majorBidi"/>
          <w:lang w:val="fr-FR"/>
        </w:rPr>
        <w:t xml:space="preserve"> L</w:t>
      </w:r>
      <w:r w:rsidRPr="001740EB">
        <w:rPr>
          <w:rFonts w:asciiTheme="majorBidi" w:hAnsiTheme="majorBidi" w:cstheme="majorBidi"/>
          <w:lang w:val="fr-FR"/>
        </w:rPr>
        <w:t>a Fédération nationale des associations de microcrédit (FNAM)</w:t>
      </w:r>
      <w:r w:rsidR="00336CE4">
        <w:rPr>
          <w:rFonts w:asciiTheme="majorBidi" w:hAnsiTheme="majorBidi" w:cstheme="majorBidi"/>
          <w:lang w:val="fr-FR"/>
        </w:rPr>
        <w:t xml:space="preserve"> — organisme</w:t>
      </w:r>
      <w:r>
        <w:rPr>
          <w:rFonts w:asciiTheme="majorBidi" w:hAnsiTheme="majorBidi" w:cstheme="majorBidi"/>
          <w:lang w:val="fr-FR"/>
        </w:rPr>
        <w:t xml:space="preserve"> représentant les IMF marocaine</w:t>
      </w:r>
      <w:r w:rsidR="00336CE4">
        <w:rPr>
          <w:rFonts w:asciiTheme="majorBidi" w:hAnsiTheme="majorBidi" w:cstheme="majorBidi"/>
          <w:lang w:val="fr-FR"/>
        </w:rPr>
        <w:t>s</w:t>
      </w:r>
      <w:r>
        <w:rPr>
          <w:rFonts w:asciiTheme="majorBidi" w:hAnsiTheme="majorBidi" w:cstheme="majorBidi"/>
          <w:lang w:val="fr-FR"/>
        </w:rPr>
        <w:t xml:space="preserve"> — ne dispose pas des capacités nécessaires </w:t>
      </w:r>
      <w:r w:rsidR="00FA236A">
        <w:rPr>
          <w:rFonts w:asciiTheme="majorBidi" w:hAnsiTheme="majorBidi" w:cstheme="majorBidi"/>
          <w:lang w:val="fr-FR"/>
        </w:rPr>
        <w:t xml:space="preserve">pour </w:t>
      </w:r>
      <w:r>
        <w:rPr>
          <w:rFonts w:asciiTheme="majorBidi" w:hAnsiTheme="majorBidi" w:cstheme="majorBidi"/>
          <w:lang w:val="fr-FR"/>
        </w:rPr>
        <w:t>jouer le rôle d</w:t>
      </w:r>
      <w:r w:rsidR="003258B5">
        <w:rPr>
          <w:rFonts w:asciiTheme="majorBidi" w:hAnsiTheme="majorBidi" w:cstheme="majorBidi"/>
          <w:lang w:val="fr-FR"/>
        </w:rPr>
        <w:t>’</w:t>
      </w:r>
      <w:r>
        <w:rPr>
          <w:rFonts w:asciiTheme="majorBidi" w:hAnsiTheme="majorBidi" w:cstheme="majorBidi"/>
          <w:lang w:val="fr-FR"/>
        </w:rPr>
        <w:t xml:space="preserve">une organisation professionnelle solide et volontariste </w:t>
      </w:r>
      <w:r w:rsidR="00336CE4">
        <w:rPr>
          <w:rFonts w:asciiTheme="majorBidi" w:hAnsiTheme="majorBidi" w:cstheme="majorBidi"/>
          <w:lang w:val="fr-FR"/>
        </w:rPr>
        <w:t xml:space="preserve">à même de </w:t>
      </w:r>
      <w:r>
        <w:rPr>
          <w:rFonts w:asciiTheme="majorBidi" w:hAnsiTheme="majorBidi" w:cstheme="majorBidi"/>
          <w:lang w:val="fr-FR"/>
        </w:rPr>
        <w:t>représent</w:t>
      </w:r>
      <w:r w:rsidR="00336CE4">
        <w:rPr>
          <w:rFonts w:asciiTheme="majorBidi" w:hAnsiTheme="majorBidi" w:cstheme="majorBidi"/>
          <w:lang w:val="fr-FR"/>
        </w:rPr>
        <w:t>er</w:t>
      </w:r>
      <w:r>
        <w:rPr>
          <w:rFonts w:asciiTheme="majorBidi" w:hAnsiTheme="majorBidi" w:cstheme="majorBidi"/>
          <w:lang w:val="fr-FR"/>
        </w:rPr>
        <w:t xml:space="preserve"> les intérêts du secteur auprès des organismes de réglementation et des responsables de l</w:t>
      </w:r>
      <w:r w:rsidR="003258B5">
        <w:rPr>
          <w:rFonts w:asciiTheme="majorBidi" w:hAnsiTheme="majorBidi" w:cstheme="majorBidi"/>
          <w:lang w:val="fr-FR"/>
        </w:rPr>
        <w:t>’</w:t>
      </w:r>
      <w:r>
        <w:rPr>
          <w:rFonts w:asciiTheme="majorBidi" w:hAnsiTheme="majorBidi" w:cstheme="majorBidi"/>
          <w:lang w:val="fr-FR"/>
        </w:rPr>
        <w:t xml:space="preserve">action publique tout en fournissant </w:t>
      </w:r>
      <w:r w:rsidR="00336CE4">
        <w:rPr>
          <w:rFonts w:asciiTheme="majorBidi" w:hAnsiTheme="majorBidi" w:cstheme="majorBidi"/>
          <w:lang w:val="fr-FR"/>
        </w:rPr>
        <w:t xml:space="preserve">à ses membres </w:t>
      </w:r>
      <w:r>
        <w:rPr>
          <w:rFonts w:asciiTheme="majorBidi" w:hAnsiTheme="majorBidi" w:cstheme="majorBidi"/>
          <w:lang w:val="fr-FR"/>
        </w:rPr>
        <w:t>des services de qualité répond</w:t>
      </w:r>
      <w:r w:rsidR="00336CE4">
        <w:rPr>
          <w:rFonts w:asciiTheme="majorBidi" w:hAnsiTheme="majorBidi" w:cstheme="majorBidi"/>
          <w:lang w:val="fr-FR"/>
        </w:rPr>
        <w:t>ant à leurs besoins</w:t>
      </w:r>
      <w:r>
        <w:rPr>
          <w:rFonts w:asciiTheme="majorBidi" w:hAnsiTheme="majorBidi" w:cstheme="majorBidi"/>
          <w:lang w:val="fr-FR"/>
        </w:rPr>
        <w:t>. À la suite de la crise, les IMF se sont concentrées sur l</w:t>
      </w:r>
      <w:r w:rsidR="003258B5">
        <w:rPr>
          <w:rFonts w:asciiTheme="majorBidi" w:hAnsiTheme="majorBidi" w:cstheme="majorBidi"/>
          <w:lang w:val="fr-FR"/>
        </w:rPr>
        <w:t>’</w:t>
      </w:r>
      <w:r>
        <w:rPr>
          <w:rFonts w:asciiTheme="majorBidi" w:hAnsiTheme="majorBidi" w:cstheme="majorBidi"/>
          <w:lang w:val="fr-FR"/>
        </w:rPr>
        <w:t xml:space="preserve">amélioration de leurs mécanismes de gouvernance et de gestion des risques au détriment de leur expansion et du développement de leur gamme de produits. Il faudra les </w:t>
      </w:r>
      <w:r w:rsidR="00336CE4">
        <w:rPr>
          <w:rFonts w:asciiTheme="majorBidi" w:hAnsiTheme="majorBidi" w:cstheme="majorBidi"/>
          <w:lang w:val="fr-FR"/>
        </w:rPr>
        <w:t>ai</w:t>
      </w:r>
      <w:r>
        <w:rPr>
          <w:rFonts w:asciiTheme="majorBidi" w:hAnsiTheme="majorBidi" w:cstheme="majorBidi"/>
          <w:lang w:val="fr-FR"/>
        </w:rPr>
        <w:t>der à accroître leur</w:t>
      </w:r>
      <w:r w:rsidR="00BB5586">
        <w:rPr>
          <w:rFonts w:asciiTheme="majorBidi" w:hAnsiTheme="majorBidi" w:cstheme="majorBidi"/>
          <w:lang w:val="fr-FR"/>
        </w:rPr>
        <w:t xml:space="preserve"> champ d’action</w:t>
      </w:r>
      <w:r w:rsidR="00336CE4">
        <w:rPr>
          <w:rFonts w:asciiTheme="majorBidi" w:hAnsiTheme="majorBidi" w:cstheme="majorBidi"/>
          <w:lang w:val="fr-FR"/>
        </w:rPr>
        <w:t>, à innover et à diversifier</w:t>
      </w:r>
      <w:r>
        <w:rPr>
          <w:rFonts w:asciiTheme="majorBidi" w:hAnsiTheme="majorBidi" w:cstheme="majorBidi"/>
          <w:lang w:val="fr-FR"/>
        </w:rPr>
        <w:t xml:space="preserve"> leurs produits pour répondre aux besoins de financement, vastes et insatisfaits, de la population marocaine à faible revenu</w:t>
      </w:r>
      <w:r w:rsidR="00596A22" w:rsidRPr="00B9386C">
        <w:rPr>
          <w:rFonts w:asciiTheme="majorBidi" w:hAnsiTheme="majorBidi" w:cstheme="majorBidi"/>
          <w:lang w:val="fr-FR"/>
        </w:rPr>
        <w:t>.</w:t>
      </w:r>
    </w:p>
    <w:p w:rsidR="00596A22" w:rsidRPr="00B9386C" w:rsidRDefault="00596A22" w:rsidP="00596A22">
      <w:pPr>
        <w:pStyle w:val="ListParagraph"/>
        <w:rPr>
          <w:rFonts w:asciiTheme="majorBidi" w:hAnsiTheme="majorBidi" w:cstheme="majorBidi"/>
          <w:lang w:val="fr-FR"/>
        </w:rPr>
      </w:pPr>
    </w:p>
    <w:p w:rsidR="00BF65EC" w:rsidRPr="00B9386C" w:rsidRDefault="00815F95" w:rsidP="00BF65EC">
      <w:pPr>
        <w:pStyle w:val="ListParagraph"/>
        <w:widowControl w:val="0"/>
        <w:numPr>
          <w:ilvl w:val="0"/>
          <w:numId w:val="10"/>
        </w:numPr>
        <w:tabs>
          <w:tab w:val="clear" w:pos="360"/>
          <w:tab w:val="left" w:pos="720"/>
        </w:tabs>
        <w:autoSpaceDE w:val="0"/>
        <w:autoSpaceDN w:val="0"/>
        <w:adjustRightInd w:val="0"/>
        <w:jc w:val="both"/>
        <w:rPr>
          <w:rFonts w:asciiTheme="majorBidi" w:hAnsiTheme="majorBidi" w:cstheme="majorBidi"/>
          <w:lang w:val="fr-FR"/>
        </w:rPr>
      </w:pPr>
      <w:r>
        <w:rPr>
          <w:rFonts w:asciiTheme="majorBidi" w:hAnsiTheme="majorBidi" w:cstheme="majorBidi"/>
          <w:lang w:val="fr-FR"/>
        </w:rPr>
        <w:t>L</w:t>
      </w:r>
      <w:r w:rsidR="003258B5">
        <w:rPr>
          <w:rFonts w:asciiTheme="majorBidi" w:hAnsiTheme="majorBidi" w:cstheme="majorBidi"/>
          <w:lang w:val="fr-FR"/>
        </w:rPr>
        <w:t>’</w:t>
      </w:r>
      <w:r>
        <w:rPr>
          <w:rFonts w:asciiTheme="majorBidi" w:hAnsiTheme="majorBidi" w:cstheme="majorBidi"/>
          <w:lang w:val="fr-FR"/>
        </w:rPr>
        <w:t>opération proposée vise à appuyer la transformation du secteur marocain de la microfinance</w:t>
      </w:r>
      <w:r w:rsidR="000E15E3">
        <w:rPr>
          <w:rFonts w:asciiTheme="majorBidi" w:hAnsiTheme="majorBidi" w:cstheme="majorBidi"/>
          <w:lang w:val="fr-FR"/>
        </w:rPr>
        <w:t xml:space="preserve"> afin de renforcer son impact, s</w:t>
      </w:r>
      <w:r>
        <w:rPr>
          <w:rFonts w:asciiTheme="majorBidi" w:hAnsiTheme="majorBidi" w:cstheme="majorBidi"/>
          <w:lang w:val="fr-FR"/>
        </w:rPr>
        <w:t xml:space="preserve">a résilience et sa viabilité </w:t>
      </w:r>
      <w:r w:rsidR="00694021">
        <w:rPr>
          <w:rFonts w:asciiTheme="majorBidi" w:hAnsiTheme="majorBidi" w:cstheme="majorBidi"/>
          <w:lang w:val="fr-FR"/>
        </w:rPr>
        <w:t>pour faciliter l</w:t>
      </w:r>
      <w:r>
        <w:rPr>
          <w:rFonts w:asciiTheme="majorBidi" w:hAnsiTheme="majorBidi" w:cstheme="majorBidi"/>
          <w:lang w:val="fr-FR"/>
        </w:rPr>
        <w:t>es prêts aux entreprises et aux ménages</w:t>
      </w:r>
      <w:r w:rsidR="00694021">
        <w:rPr>
          <w:rFonts w:asciiTheme="majorBidi" w:hAnsiTheme="majorBidi" w:cstheme="majorBidi"/>
          <w:lang w:val="fr-FR"/>
        </w:rPr>
        <w:t xml:space="preserve"> à des fins d’investissement</w:t>
      </w:r>
      <w:r>
        <w:rPr>
          <w:rFonts w:asciiTheme="majorBidi" w:hAnsiTheme="majorBidi" w:cstheme="majorBidi"/>
          <w:lang w:val="fr-FR"/>
        </w:rPr>
        <w:t xml:space="preserve">. Le projet a pour objectif de pallier les lacunes qui continuent de </w:t>
      </w:r>
      <w:r w:rsidR="005B3282">
        <w:rPr>
          <w:rFonts w:asciiTheme="majorBidi" w:hAnsiTheme="majorBidi" w:cstheme="majorBidi"/>
          <w:lang w:val="fr-FR"/>
        </w:rPr>
        <w:t>retarder</w:t>
      </w:r>
      <w:r>
        <w:rPr>
          <w:rFonts w:asciiTheme="majorBidi" w:hAnsiTheme="majorBidi" w:cstheme="majorBidi"/>
          <w:lang w:val="fr-FR"/>
        </w:rPr>
        <w:t xml:space="preserve"> </w:t>
      </w:r>
      <w:r w:rsidR="000E15E3">
        <w:rPr>
          <w:rFonts w:asciiTheme="majorBidi" w:hAnsiTheme="majorBidi" w:cstheme="majorBidi"/>
          <w:lang w:val="fr-FR"/>
        </w:rPr>
        <w:t>la métamorphose</w:t>
      </w:r>
      <w:r>
        <w:rPr>
          <w:rFonts w:asciiTheme="majorBidi" w:hAnsiTheme="majorBidi" w:cstheme="majorBidi"/>
          <w:lang w:val="fr-FR"/>
        </w:rPr>
        <w:t xml:space="preserve"> </w:t>
      </w:r>
      <w:r w:rsidR="000E15E3">
        <w:rPr>
          <w:rFonts w:asciiTheme="majorBidi" w:hAnsiTheme="majorBidi" w:cstheme="majorBidi"/>
          <w:lang w:val="fr-FR"/>
        </w:rPr>
        <w:t xml:space="preserve">qui permettrait au secteur de passer de son </w:t>
      </w:r>
      <w:r w:rsidR="000E15E3">
        <w:rPr>
          <w:rFonts w:asciiTheme="majorBidi" w:hAnsiTheme="majorBidi" w:cstheme="majorBidi"/>
          <w:lang w:val="fr-FR"/>
        </w:rPr>
        <w:lastRenderedPageBreak/>
        <w:t>état actuel — étroitement axé sur le microcrédit</w:t>
      </w:r>
      <w:r w:rsidR="000E15E3" w:rsidRPr="000E15E3">
        <w:rPr>
          <w:rFonts w:asciiTheme="majorBidi" w:hAnsiTheme="majorBidi" w:cstheme="majorBidi"/>
          <w:lang w:val="fr-FR"/>
        </w:rPr>
        <w:t xml:space="preserve"> —</w:t>
      </w:r>
      <w:r w:rsidR="000E15E3">
        <w:rPr>
          <w:rFonts w:asciiTheme="majorBidi" w:hAnsiTheme="majorBidi" w:cstheme="majorBidi"/>
          <w:lang w:val="fr-FR"/>
        </w:rPr>
        <w:t xml:space="preserve"> à un système de microfinance solide, durable et novateur</w:t>
      </w:r>
      <w:r w:rsidR="005B3282">
        <w:rPr>
          <w:rFonts w:asciiTheme="majorBidi" w:hAnsiTheme="majorBidi" w:cstheme="majorBidi"/>
          <w:lang w:val="fr-FR"/>
        </w:rPr>
        <w:t>,</w:t>
      </w:r>
      <w:r w:rsidR="000E15E3">
        <w:rPr>
          <w:rFonts w:asciiTheme="majorBidi" w:hAnsiTheme="majorBidi" w:cstheme="majorBidi"/>
          <w:lang w:val="fr-FR"/>
        </w:rPr>
        <w:t xml:space="preserve"> capable d</w:t>
      </w:r>
      <w:r w:rsidR="003258B5">
        <w:rPr>
          <w:rFonts w:asciiTheme="majorBidi" w:hAnsiTheme="majorBidi" w:cstheme="majorBidi"/>
          <w:lang w:val="fr-FR"/>
        </w:rPr>
        <w:t>’</w:t>
      </w:r>
      <w:r w:rsidR="000E15E3">
        <w:rPr>
          <w:rFonts w:asciiTheme="majorBidi" w:hAnsiTheme="majorBidi" w:cstheme="majorBidi"/>
          <w:lang w:val="fr-FR"/>
        </w:rPr>
        <w:t>offrir une gamme complète de services financiers répond</w:t>
      </w:r>
      <w:r w:rsidR="005B3282">
        <w:rPr>
          <w:rFonts w:asciiTheme="majorBidi" w:hAnsiTheme="majorBidi" w:cstheme="majorBidi"/>
          <w:lang w:val="fr-FR"/>
        </w:rPr>
        <w:t>ant</w:t>
      </w:r>
      <w:r w:rsidR="000E15E3">
        <w:rPr>
          <w:rFonts w:asciiTheme="majorBidi" w:hAnsiTheme="majorBidi" w:cstheme="majorBidi"/>
          <w:lang w:val="fr-FR"/>
        </w:rPr>
        <w:t xml:space="preserve"> à une demande de financement en grande partie insatisfaite</w:t>
      </w:r>
      <w:r w:rsidR="00596A22" w:rsidRPr="00B9386C">
        <w:rPr>
          <w:rFonts w:asciiTheme="majorBidi" w:hAnsiTheme="majorBidi" w:cstheme="majorBidi"/>
          <w:lang w:val="fr-FR"/>
        </w:rPr>
        <w:t>.</w:t>
      </w:r>
      <w:r w:rsidR="000E15E3">
        <w:rPr>
          <w:rFonts w:asciiTheme="majorBidi" w:hAnsiTheme="majorBidi" w:cstheme="majorBidi"/>
          <w:lang w:val="fr-FR"/>
        </w:rPr>
        <w:t xml:space="preserve"> Le programme vise à renforcer le </w:t>
      </w:r>
      <w:r w:rsidR="000E15E3" w:rsidRPr="000E15E3">
        <w:rPr>
          <w:rFonts w:asciiTheme="majorBidi" w:hAnsiTheme="majorBidi" w:cstheme="majorBidi"/>
          <w:lang w:val="fr-FR"/>
        </w:rPr>
        <w:t xml:space="preserve">cadre </w:t>
      </w:r>
      <w:r w:rsidR="000E15E3">
        <w:rPr>
          <w:rFonts w:asciiTheme="majorBidi" w:hAnsiTheme="majorBidi" w:cstheme="majorBidi"/>
          <w:lang w:val="fr-FR"/>
        </w:rPr>
        <w:t xml:space="preserve">institutionnel, </w:t>
      </w:r>
      <w:r w:rsidR="000E15E3" w:rsidRPr="000E15E3">
        <w:rPr>
          <w:rFonts w:asciiTheme="majorBidi" w:hAnsiTheme="majorBidi" w:cstheme="majorBidi"/>
          <w:lang w:val="fr-FR"/>
        </w:rPr>
        <w:t>juridique</w:t>
      </w:r>
      <w:r w:rsidR="000E15E3">
        <w:rPr>
          <w:rFonts w:asciiTheme="majorBidi" w:hAnsiTheme="majorBidi" w:cstheme="majorBidi"/>
          <w:lang w:val="fr-FR"/>
        </w:rPr>
        <w:t>,</w:t>
      </w:r>
      <w:r w:rsidR="000E15E3" w:rsidRPr="000E15E3">
        <w:rPr>
          <w:rFonts w:asciiTheme="majorBidi" w:hAnsiTheme="majorBidi" w:cstheme="majorBidi"/>
          <w:lang w:val="fr-FR"/>
        </w:rPr>
        <w:t xml:space="preserve"> réglementaire </w:t>
      </w:r>
      <w:r w:rsidR="000E15E3">
        <w:rPr>
          <w:rFonts w:asciiTheme="majorBidi" w:hAnsiTheme="majorBidi" w:cstheme="majorBidi"/>
          <w:lang w:val="fr-FR"/>
        </w:rPr>
        <w:t xml:space="preserve">et fiscal </w:t>
      </w:r>
      <w:r w:rsidR="000E15E3" w:rsidRPr="000E15E3">
        <w:rPr>
          <w:rFonts w:asciiTheme="majorBidi" w:hAnsiTheme="majorBidi" w:cstheme="majorBidi"/>
          <w:lang w:val="fr-FR"/>
        </w:rPr>
        <w:t>du secteur de la microfinance</w:t>
      </w:r>
      <w:r w:rsidR="000E15E3">
        <w:rPr>
          <w:rFonts w:asciiTheme="majorBidi" w:hAnsiTheme="majorBidi" w:cstheme="majorBidi"/>
          <w:lang w:val="fr-FR"/>
        </w:rPr>
        <w:t xml:space="preserve">, ainsi que </w:t>
      </w:r>
      <w:r w:rsidR="005B3282">
        <w:rPr>
          <w:rFonts w:asciiTheme="majorBidi" w:hAnsiTheme="majorBidi" w:cstheme="majorBidi"/>
          <w:lang w:val="fr-FR"/>
        </w:rPr>
        <w:t>le</w:t>
      </w:r>
      <w:r w:rsidR="000E15E3" w:rsidRPr="000E15E3">
        <w:rPr>
          <w:rFonts w:asciiTheme="majorBidi" w:hAnsiTheme="majorBidi" w:cstheme="majorBidi"/>
          <w:lang w:val="fr-FR"/>
        </w:rPr>
        <w:t xml:space="preserve"> cadre de gouvernance</w:t>
      </w:r>
      <w:r w:rsidR="000E15E3">
        <w:rPr>
          <w:rFonts w:asciiTheme="majorBidi" w:hAnsiTheme="majorBidi" w:cstheme="majorBidi"/>
          <w:lang w:val="fr-FR"/>
        </w:rPr>
        <w:t>,</w:t>
      </w:r>
      <w:r w:rsidR="00265A73">
        <w:rPr>
          <w:rFonts w:asciiTheme="majorBidi" w:hAnsiTheme="majorBidi" w:cstheme="majorBidi"/>
          <w:lang w:val="fr-FR"/>
        </w:rPr>
        <w:t xml:space="preserve"> afin de</w:t>
      </w:r>
      <w:r w:rsidR="00694021">
        <w:rPr>
          <w:rFonts w:asciiTheme="majorBidi" w:hAnsiTheme="majorBidi" w:cstheme="majorBidi"/>
          <w:lang w:val="fr-FR"/>
        </w:rPr>
        <w:t xml:space="preserve"> mettre en place l’ossature</w:t>
      </w:r>
      <w:r w:rsidR="00724CE4">
        <w:rPr>
          <w:rFonts w:asciiTheme="majorBidi" w:hAnsiTheme="majorBidi" w:cstheme="majorBidi"/>
          <w:lang w:val="fr-FR"/>
        </w:rPr>
        <w:t xml:space="preserve"> </w:t>
      </w:r>
      <w:r w:rsidR="005B3282">
        <w:rPr>
          <w:rFonts w:asciiTheme="majorBidi" w:hAnsiTheme="majorBidi" w:cstheme="majorBidi"/>
          <w:lang w:val="fr-FR"/>
        </w:rPr>
        <w:t>de l</w:t>
      </w:r>
      <w:r w:rsidR="003258B5">
        <w:rPr>
          <w:rFonts w:asciiTheme="majorBidi" w:hAnsiTheme="majorBidi" w:cstheme="majorBidi"/>
          <w:lang w:val="fr-FR"/>
        </w:rPr>
        <w:t>’</w:t>
      </w:r>
      <w:r w:rsidR="005B3282">
        <w:rPr>
          <w:rFonts w:asciiTheme="majorBidi" w:hAnsiTheme="majorBidi" w:cstheme="majorBidi"/>
          <w:lang w:val="fr-FR"/>
        </w:rPr>
        <w:t>expansion du secteur</w:t>
      </w:r>
      <w:r w:rsidR="00265A73">
        <w:rPr>
          <w:rFonts w:asciiTheme="majorBidi" w:hAnsiTheme="majorBidi" w:cstheme="majorBidi"/>
          <w:lang w:val="fr-FR"/>
        </w:rPr>
        <w:t xml:space="preserve">. </w:t>
      </w:r>
      <w:r w:rsidR="00724CE4">
        <w:rPr>
          <w:rFonts w:asciiTheme="majorBidi" w:hAnsiTheme="majorBidi" w:cstheme="majorBidi"/>
          <w:lang w:val="fr-FR"/>
        </w:rPr>
        <w:t>Au-</w:t>
      </w:r>
      <w:r w:rsidR="005B3282">
        <w:rPr>
          <w:rFonts w:asciiTheme="majorBidi" w:hAnsiTheme="majorBidi" w:cstheme="majorBidi"/>
          <w:lang w:val="fr-FR"/>
        </w:rPr>
        <w:t>delà d</w:t>
      </w:r>
      <w:r w:rsidR="00265A73">
        <w:rPr>
          <w:rFonts w:asciiTheme="majorBidi" w:hAnsiTheme="majorBidi" w:cstheme="majorBidi"/>
          <w:lang w:val="fr-FR"/>
        </w:rPr>
        <w:t xml:space="preserve">es réformes institutionnelles, le programme propose </w:t>
      </w:r>
      <w:r w:rsidR="00724CE4">
        <w:rPr>
          <w:rFonts w:asciiTheme="majorBidi" w:hAnsiTheme="majorBidi" w:cstheme="majorBidi"/>
          <w:lang w:val="fr-FR"/>
        </w:rPr>
        <w:t>d</w:t>
      </w:r>
      <w:r w:rsidR="003258B5">
        <w:rPr>
          <w:rFonts w:asciiTheme="majorBidi" w:hAnsiTheme="majorBidi" w:cstheme="majorBidi"/>
          <w:lang w:val="fr-FR"/>
        </w:rPr>
        <w:t>’</w:t>
      </w:r>
      <w:r w:rsidR="00724CE4">
        <w:rPr>
          <w:rFonts w:asciiTheme="majorBidi" w:hAnsiTheme="majorBidi" w:cstheme="majorBidi"/>
          <w:lang w:val="fr-FR"/>
        </w:rPr>
        <w:t>améliorer</w:t>
      </w:r>
      <w:r w:rsidR="00265A73">
        <w:rPr>
          <w:rFonts w:asciiTheme="majorBidi" w:hAnsiTheme="majorBidi" w:cstheme="majorBidi"/>
          <w:lang w:val="fr-FR"/>
        </w:rPr>
        <w:t xml:space="preserve"> l</w:t>
      </w:r>
      <w:r w:rsidR="003258B5">
        <w:rPr>
          <w:rFonts w:asciiTheme="majorBidi" w:hAnsiTheme="majorBidi" w:cstheme="majorBidi"/>
          <w:lang w:val="fr-FR"/>
        </w:rPr>
        <w:t>’</w:t>
      </w:r>
      <w:r w:rsidR="00265A73">
        <w:rPr>
          <w:rFonts w:asciiTheme="majorBidi" w:hAnsiTheme="majorBidi" w:cstheme="majorBidi"/>
          <w:lang w:val="fr-FR"/>
        </w:rPr>
        <w:t xml:space="preserve">infrastructure de marché, </w:t>
      </w:r>
      <w:r w:rsidR="005B3282">
        <w:rPr>
          <w:rFonts w:asciiTheme="majorBidi" w:hAnsiTheme="majorBidi" w:cstheme="majorBidi"/>
          <w:lang w:val="fr-FR"/>
        </w:rPr>
        <w:t>d</w:t>
      </w:r>
      <w:r w:rsidR="003258B5">
        <w:rPr>
          <w:rFonts w:asciiTheme="majorBidi" w:hAnsiTheme="majorBidi" w:cstheme="majorBidi"/>
          <w:lang w:val="fr-FR"/>
        </w:rPr>
        <w:t>’</w:t>
      </w:r>
      <w:r w:rsidR="005B3282">
        <w:rPr>
          <w:rFonts w:asciiTheme="majorBidi" w:hAnsiTheme="majorBidi" w:cstheme="majorBidi"/>
          <w:lang w:val="fr-FR"/>
        </w:rPr>
        <w:t xml:space="preserve">encourager </w:t>
      </w:r>
      <w:r w:rsidR="00724CE4">
        <w:rPr>
          <w:rFonts w:asciiTheme="majorBidi" w:hAnsiTheme="majorBidi" w:cstheme="majorBidi"/>
          <w:lang w:val="fr-FR"/>
        </w:rPr>
        <w:t>la création de nouveaux</w:t>
      </w:r>
      <w:r w:rsidR="00265A73">
        <w:rPr>
          <w:rFonts w:asciiTheme="majorBidi" w:hAnsiTheme="majorBidi" w:cstheme="majorBidi"/>
          <w:lang w:val="fr-FR"/>
        </w:rPr>
        <w:t xml:space="preserve"> produits et </w:t>
      </w:r>
      <w:r w:rsidR="005B3282">
        <w:rPr>
          <w:rFonts w:asciiTheme="majorBidi" w:hAnsiTheme="majorBidi" w:cstheme="majorBidi"/>
          <w:lang w:val="fr-FR"/>
        </w:rPr>
        <w:t xml:space="preserve">de développer </w:t>
      </w:r>
      <w:r w:rsidR="00265A73">
        <w:rPr>
          <w:rFonts w:asciiTheme="majorBidi" w:hAnsiTheme="majorBidi" w:cstheme="majorBidi"/>
          <w:lang w:val="fr-FR"/>
        </w:rPr>
        <w:t xml:space="preserve">les sources de financement </w:t>
      </w:r>
      <w:r w:rsidR="00724CE4">
        <w:rPr>
          <w:rFonts w:asciiTheme="majorBidi" w:hAnsiTheme="majorBidi" w:cstheme="majorBidi"/>
          <w:lang w:val="fr-FR"/>
        </w:rPr>
        <w:t>des IMF pour les aider à élargir leur</w:t>
      </w:r>
      <w:r w:rsidR="005B3282">
        <w:rPr>
          <w:rFonts w:asciiTheme="majorBidi" w:hAnsiTheme="majorBidi" w:cstheme="majorBidi"/>
          <w:lang w:val="fr-FR"/>
        </w:rPr>
        <w:t xml:space="preserve"> gamme de produits, </w:t>
      </w:r>
      <w:r w:rsidR="00724CE4">
        <w:rPr>
          <w:rFonts w:asciiTheme="majorBidi" w:hAnsiTheme="majorBidi" w:cstheme="majorBidi"/>
          <w:lang w:val="fr-FR"/>
        </w:rPr>
        <w:t>réduire le coût de leurs prestations</w:t>
      </w:r>
      <w:r w:rsidR="005B3282">
        <w:rPr>
          <w:rFonts w:asciiTheme="majorBidi" w:hAnsiTheme="majorBidi" w:cstheme="majorBidi"/>
          <w:lang w:val="fr-FR"/>
        </w:rPr>
        <w:t xml:space="preserve"> et </w:t>
      </w:r>
      <w:r w:rsidR="00724CE4">
        <w:rPr>
          <w:rFonts w:asciiTheme="majorBidi" w:hAnsiTheme="majorBidi" w:cstheme="majorBidi"/>
          <w:lang w:val="fr-FR"/>
        </w:rPr>
        <w:t>renforcer leurs sources de financement. Enfin, le projet a pour objectif d</w:t>
      </w:r>
      <w:r w:rsidR="003258B5">
        <w:rPr>
          <w:rFonts w:asciiTheme="majorBidi" w:hAnsiTheme="majorBidi" w:cstheme="majorBidi"/>
          <w:lang w:val="fr-FR"/>
        </w:rPr>
        <w:t>’</w:t>
      </w:r>
      <w:r w:rsidR="00724CE4">
        <w:rPr>
          <w:rFonts w:asciiTheme="majorBidi" w:hAnsiTheme="majorBidi" w:cstheme="majorBidi"/>
          <w:lang w:val="fr-FR"/>
        </w:rPr>
        <w:t>intégrer le secteur de la microfinance dans une vaste stratégie nationale d</w:t>
      </w:r>
      <w:r w:rsidR="003258B5">
        <w:rPr>
          <w:rFonts w:asciiTheme="majorBidi" w:hAnsiTheme="majorBidi" w:cstheme="majorBidi"/>
          <w:lang w:val="fr-FR"/>
        </w:rPr>
        <w:t>’</w:t>
      </w:r>
      <w:r w:rsidR="00724CE4">
        <w:rPr>
          <w:rFonts w:asciiTheme="majorBidi" w:hAnsiTheme="majorBidi" w:cstheme="majorBidi"/>
          <w:lang w:val="fr-FR"/>
        </w:rPr>
        <w:t xml:space="preserve">inclusion financière </w:t>
      </w:r>
      <w:r w:rsidR="005B3282">
        <w:rPr>
          <w:rFonts w:asciiTheme="majorBidi" w:hAnsiTheme="majorBidi" w:cstheme="majorBidi"/>
          <w:lang w:val="fr-FR"/>
        </w:rPr>
        <w:t>qui lui permett</w:t>
      </w:r>
      <w:r w:rsidR="00724CE4">
        <w:rPr>
          <w:rFonts w:asciiTheme="majorBidi" w:hAnsiTheme="majorBidi" w:cstheme="majorBidi"/>
          <w:lang w:val="fr-FR"/>
        </w:rPr>
        <w:t>e d</w:t>
      </w:r>
      <w:r w:rsidR="003258B5">
        <w:rPr>
          <w:rFonts w:asciiTheme="majorBidi" w:hAnsiTheme="majorBidi" w:cstheme="majorBidi"/>
          <w:lang w:val="fr-FR"/>
        </w:rPr>
        <w:t>’</w:t>
      </w:r>
      <w:r w:rsidR="00724CE4">
        <w:rPr>
          <w:rFonts w:asciiTheme="majorBidi" w:hAnsiTheme="majorBidi" w:cstheme="majorBidi"/>
          <w:lang w:val="fr-FR"/>
        </w:rPr>
        <w:t xml:space="preserve">atteindre ses objectifs de développement </w:t>
      </w:r>
      <w:r w:rsidR="005B3282">
        <w:rPr>
          <w:rFonts w:asciiTheme="majorBidi" w:hAnsiTheme="majorBidi" w:cstheme="majorBidi"/>
          <w:lang w:val="fr-FR"/>
        </w:rPr>
        <w:t>en symbiose</w:t>
      </w:r>
      <w:r w:rsidR="00724CE4">
        <w:rPr>
          <w:rFonts w:asciiTheme="majorBidi" w:hAnsiTheme="majorBidi" w:cstheme="majorBidi"/>
          <w:lang w:val="fr-FR"/>
        </w:rPr>
        <w:t xml:space="preserve"> avec </w:t>
      </w:r>
      <w:r w:rsidR="005B3282">
        <w:rPr>
          <w:rFonts w:asciiTheme="majorBidi" w:hAnsiTheme="majorBidi" w:cstheme="majorBidi"/>
          <w:lang w:val="fr-FR"/>
        </w:rPr>
        <w:t>l</w:t>
      </w:r>
      <w:r w:rsidR="00724CE4">
        <w:rPr>
          <w:rFonts w:asciiTheme="majorBidi" w:hAnsiTheme="majorBidi" w:cstheme="majorBidi"/>
          <w:lang w:val="fr-FR"/>
        </w:rPr>
        <w:t xml:space="preserve">es </w:t>
      </w:r>
      <w:r w:rsidR="00694021">
        <w:rPr>
          <w:rFonts w:asciiTheme="majorBidi" w:hAnsiTheme="majorBidi" w:cstheme="majorBidi"/>
          <w:lang w:val="fr-FR"/>
        </w:rPr>
        <w:t xml:space="preserve">autres </w:t>
      </w:r>
      <w:r w:rsidR="00724CE4">
        <w:rPr>
          <w:rFonts w:asciiTheme="majorBidi" w:hAnsiTheme="majorBidi" w:cstheme="majorBidi"/>
          <w:lang w:val="fr-FR"/>
        </w:rPr>
        <w:t xml:space="preserve">politiques </w:t>
      </w:r>
      <w:r w:rsidR="00694021">
        <w:rPr>
          <w:rFonts w:asciiTheme="majorBidi" w:hAnsiTheme="majorBidi" w:cstheme="majorBidi"/>
          <w:lang w:val="fr-FR"/>
        </w:rPr>
        <w:t xml:space="preserve">conçues pour </w:t>
      </w:r>
      <w:r w:rsidR="00724CE4">
        <w:rPr>
          <w:rFonts w:asciiTheme="majorBidi" w:hAnsiTheme="majorBidi" w:cstheme="majorBidi"/>
          <w:lang w:val="fr-FR"/>
        </w:rPr>
        <w:t>accroître l</w:t>
      </w:r>
      <w:r w:rsidR="003258B5">
        <w:rPr>
          <w:rFonts w:asciiTheme="majorBidi" w:hAnsiTheme="majorBidi" w:cstheme="majorBidi"/>
          <w:lang w:val="fr-FR"/>
        </w:rPr>
        <w:t>’</w:t>
      </w:r>
      <w:r w:rsidR="00724CE4">
        <w:rPr>
          <w:rFonts w:asciiTheme="majorBidi" w:hAnsiTheme="majorBidi" w:cstheme="majorBidi"/>
          <w:lang w:val="fr-FR"/>
        </w:rPr>
        <w:t>accès des pauvres aux financements</w:t>
      </w:r>
      <w:r w:rsidR="00596A22" w:rsidRPr="00B9386C">
        <w:rPr>
          <w:rFonts w:asciiTheme="majorBidi" w:hAnsiTheme="majorBidi" w:cstheme="majorBidi"/>
          <w:lang w:val="fr-FR"/>
        </w:rPr>
        <w:t>.</w:t>
      </w:r>
      <w:r w:rsidR="00724CE4">
        <w:rPr>
          <w:rFonts w:asciiTheme="majorBidi" w:hAnsiTheme="majorBidi" w:cstheme="majorBidi"/>
          <w:lang w:val="fr-FR"/>
        </w:rPr>
        <w:t xml:space="preserve"> Un secteur de la microfinance solide et viable sera particulièrement utile aux femmes</w:t>
      </w:r>
      <w:r w:rsidR="00694021">
        <w:rPr>
          <w:rFonts w:asciiTheme="majorBidi" w:hAnsiTheme="majorBidi" w:cstheme="majorBidi"/>
          <w:lang w:val="fr-FR"/>
        </w:rPr>
        <w:t xml:space="preserve"> et aux jeunes, qui sont parmi s</w:t>
      </w:r>
      <w:r w:rsidR="00724CE4">
        <w:rPr>
          <w:rFonts w:asciiTheme="majorBidi" w:hAnsiTheme="majorBidi" w:cstheme="majorBidi"/>
          <w:lang w:val="fr-FR"/>
        </w:rPr>
        <w:t>es principaux bénéficiaires</w:t>
      </w:r>
      <w:r w:rsidR="00694021">
        <w:rPr>
          <w:rFonts w:asciiTheme="majorBidi" w:hAnsiTheme="majorBidi" w:cstheme="majorBidi"/>
          <w:lang w:val="fr-FR"/>
        </w:rPr>
        <w:t> </w:t>
      </w:r>
      <w:r w:rsidR="00BF65EC" w:rsidRPr="00B9386C">
        <w:rPr>
          <w:rFonts w:asciiTheme="majorBidi" w:hAnsiTheme="majorBidi" w:cstheme="majorBidi"/>
          <w:lang w:val="fr-FR"/>
        </w:rPr>
        <w:t>:</w:t>
      </w:r>
      <w:r w:rsidR="00724CE4">
        <w:rPr>
          <w:rFonts w:asciiTheme="majorBidi" w:hAnsiTheme="majorBidi" w:cstheme="majorBidi"/>
          <w:lang w:val="fr-FR"/>
        </w:rPr>
        <w:t xml:space="preserve"> sur la totalité des microfinancement</w:t>
      </w:r>
      <w:r w:rsidR="005B3282">
        <w:rPr>
          <w:rFonts w:asciiTheme="majorBidi" w:hAnsiTheme="majorBidi" w:cstheme="majorBidi"/>
          <w:lang w:val="fr-FR"/>
        </w:rPr>
        <w:t xml:space="preserve">s réalisés </w:t>
      </w:r>
      <w:r w:rsidR="00724CE4">
        <w:rPr>
          <w:rFonts w:asciiTheme="majorBidi" w:hAnsiTheme="majorBidi" w:cstheme="majorBidi"/>
          <w:lang w:val="fr-FR"/>
        </w:rPr>
        <w:t>au Maroc, 55,</w:t>
      </w:r>
      <w:r w:rsidR="00BF65EC" w:rsidRPr="00B9386C">
        <w:rPr>
          <w:rFonts w:asciiTheme="majorBidi" w:hAnsiTheme="majorBidi" w:cstheme="majorBidi"/>
          <w:lang w:val="fr-FR"/>
        </w:rPr>
        <w:t>3</w:t>
      </w:r>
      <w:r w:rsidR="00724CE4">
        <w:rPr>
          <w:rFonts w:asciiTheme="majorBidi" w:hAnsiTheme="majorBidi" w:cstheme="majorBidi"/>
          <w:lang w:val="fr-FR"/>
        </w:rPr>
        <w:t> </w:t>
      </w:r>
      <w:r w:rsidR="00BF65EC" w:rsidRPr="00B9386C">
        <w:rPr>
          <w:rFonts w:asciiTheme="majorBidi" w:hAnsiTheme="majorBidi" w:cstheme="majorBidi"/>
          <w:lang w:val="fr-FR"/>
        </w:rPr>
        <w:t>%</w:t>
      </w:r>
      <w:r w:rsidR="005B3282">
        <w:rPr>
          <w:rFonts w:asciiTheme="majorBidi" w:hAnsiTheme="majorBidi" w:cstheme="majorBidi"/>
          <w:lang w:val="fr-FR"/>
        </w:rPr>
        <w:t xml:space="preserve"> ont profité aux femmes et 46,</w:t>
      </w:r>
      <w:r w:rsidR="00BF65EC" w:rsidRPr="00B9386C">
        <w:rPr>
          <w:rFonts w:asciiTheme="majorBidi" w:hAnsiTheme="majorBidi" w:cstheme="majorBidi"/>
          <w:lang w:val="fr-FR"/>
        </w:rPr>
        <w:t>9</w:t>
      </w:r>
      <w:r w:rsidR="005B3282">
        <w:rPr>
          <w:rFonts w:asciiTheme="majorBidi" w:hAnsiTheme="majorBidi" w:cstheme="majorBidi"/>
          <w:lang w:val="fr-FR"/>
        </w:rPr>
        <w:t> </w:t>
      </w:r>
      <w:r w:rsidR="00BF65EC" w:rsidRPr="00B9386C">
        <w:rPr>
          <w:rFonts w:asciiTheme="majorBidi" w:hAnsiTheme="majorBidi" w:cstheme="majorBidi"/>
          <w:lang w:val="fr-FR"/>
        </w:rPr>
        <w:t>%</w:t>
      </w:r>
      <w:r w:rsidR="005B3282">
        <w:rPr>
          <w:rFonts w:asciiTheme="majorBidi" w:hAnsiTheme="majorBidi" w:cstheme="majorBidi"/>
          <w:lang w:val="fr-FR"/>
        </w:rPr>
        <w:t xml:space="preserve"> à la tranche d</w:t>
      </w:r>
      <w:r w:rsidR="003258B5">
        <w:rPr>
          <w:rFonts w:asciiTheme="majorBidi" w:hAnsiTheme="majorBidi" w:cstheme="majorBidi"/>
          <w:lang w:val="fr-FR"/>
        </w:rPr>
        <w:t>’</w:t>
      </w:r>
      <w:r w:rsidR="005B3282">
        <w:rPr>
          <w:rFonts w:asciiTheme="majorBidi" w:hAnsiTheme="majorBidi" w:cstheme="majorBidi"/>
          <w:lang w:val="fr-FR"/>
        </w:rPr>
        <w:t xml:space="preserve">âge </w:t>
      </w:r>
      <w:r w:rsidR="00BF65EC" w:rsidRPr="005B3282">
        <w:rPr>
          <w:rFonts w:asciiTheme="majorBidi" w:hAnsiTheme="majorBidi" w:cstheme="majorBidi"/>
          <w:lang w:val="fr-FR"/>
        </w:rPr>
        <w:t>30</w:t>
      </w:r>
      <w:r w:rsidR="005B3282" w:rsidRPr="005B3282">
        <w:rPr>
          <w:rFonts w:asciiTheme="majorBidi" w:hAnsiTheme="majorBidi" w:cstheme="majorBidi"/>
          <w:lang w:val="fr-FR"/>
        </w:rPr>
        <w:t>-</w:t>
      </w:r>
      <w:r w:rsidR="00BF65EC" w:rsidRPr="005B3282">
        <w:rPr>
          <w:rFonts w:asciiTheme="majorBidi" w:hAnsiTheme="majorBidi" w:cstheme="majorBidi"/>
          <w:lang w:val="fr-FR"/>
        </w:rPr>
        <w:t xml:space="preserve">49 </w:t>
      </w:r>
      <w:r w:rsidR="005B3282">
        <w:rPr>
          <w:rFonts w:asciiTheme="majorBidi" w:hAnsiTheme="majorBidi" w:cstheme="majorBidi"/>
          <w:lang w:val="fr-FR"/>
        </w:rPr>
        <w:t>ans</w:t>
      </w:r>
      <w:r w:rsidR="00BF65EC" w:rsidRPr="00B9386C">
        <w:rPr>
          <w:rFonts w:asciiTheme="majorBidi" w:hAnsiTheme="majorBidi" w:cstheme="majorBidi"/>
          <w:lang w:val="fr-FR"/>
        </w:rPr>
        <w:t>.</w:t>
      </w:r>
    </w:p>
    <w:p w:rsidR="00DE4730" w:rsidRPr="00B9386C" w:rsidRDefault="00DE4730">
      <w:pPr>
        <w:rPr>
          <w:lang w:val="fr-FR"/>
        </w:rPr>
      </w:pPr>
    </w:p>
    <w:p w:rsidR="00A706FA" w:rsidRPr="009B5C3B" w:rsidRDefault="005B3282" w:rsidP="00D84FCA">
      <w:pPr>
        <w:numPr>
          <w:ilvl w:val="0"/>
          <w:numId w:val="7"/>
        </w:numPr>
        <w:rPr>
          <w:b/>
          <w:lang w:val="fr-FR"/>
        </w:rPr>
      </w:pPr>
      <w:bookmarkStart w:id="14" w:name="Objectives"/>
      <w:bookmarkEnd w:id="11"/>
      <w:r w:rsidRPr="009B5C3B">
        <w:rPr>
          <w:b/>
          <w:lang w:val="fr-FR"/>
        </w:rPr>
        <w:t>Objectifs de développement du projet</w:t>
      </w:r>
    </w:p>
    <w:p w:rsidR="00795977" w:rsidRPr="00B9386C" w:rsidRDefault="00795977">
      <w:pPr>
        <w:rPr>
          <w:lang w:val="fr-FR"/>
        </w:rPr>
      </w:pPr>
      <w:bookmarkStart w:id="15" w:name="RationaleBankInvolvement"/>
      <w:bookmarkEnd w:id="14"/>
    </w:p>
    <w:p w:rsidR="00F17604" w:rsidRPr="005B3282" w:rsidRDefault="001A54D1" w:rsidP="001A54D1">
      <w:pPr>
        <w:pStyle w:val="ListParagraph"/>
        <w:widowControl w:val="0"/>
        <w:numPr>
          <w:ilvl w:val="0"/>
          <w:numId w:val="10"/>
        </w:numPr>
        <w:tabs>
          <w:tab w:val="clear" w:pos="360"/>
          <w:tab w:val="left" w:pos="720"/>
        </w:tabs>
        <w:autoSpaceDE w:val="0"/>
        <w:autoSpaceDN w:val="0"/>
        <w:adjustRightInd w:val="0"/>
        <w:jc w:val="both"/>
        <w:rPr>
          <w:rFonts w:asciiTheme="majorBidi" w:hAnsiTheme="majorBidi" w:cstheme="majorBidi"/>
          <w:lang w:val="fr-FR"/>
        </w:rPr>
      </w:pPr>
      <w:r w:rsidRPr="005B3282">
        <w:rPr>
          <w:rFonts w:asciiTheme="majorBidi" w:hAnsiTheme="majorBidi" w:cstheme="majorBidi"/>
          <w:lang w:val="fr-FR"/>
        </w:rPr>
        <w:t>Le projet</w:t>
      </w:r>
      <w:r w:rsidRPr="00B9386C">
        <w:rPr>
          <w:rFonts w:asciiTheme="majorBidi" w:hAnsiTheme="majorBidi" w:cstheme="majorBidi"/>
          <w:lang w:val="fr-FR"/>
        </w:rPr>
        <w:t xml:space="preserve"> </w:t>
      </w:r>
      <w:r w:rsidRPr="005B3282">
        <w:rPr>
          <w:rFonts w:asciiTheme="majorBidi" w:hAnsiTheme="majorBidi" w:cstheme="majorBidi"/>
          <w:lang w:val="fr-FR"/>
        </w:rPr>
        <w:t>vise à</w:t>
      </w:r>
      <w:r w:rsidRPr="00B9386C">
        <w:rPr>
          <w:rFonts w:asciiTheme="majorBidi" w:hAnsiTheme="majorBidi" w:cstheme="majorBidi"/>
          <w:lang w:val="fr-FR"/>
        </w:rPr>
        <w:t xml:space="preserve"> améliorer l</w:t>
      </w:r>
      <w:r w:rsidR="003258B5">
        <w:rPr>
          <w:rFonts w:asciiTheme="majorBidi" w:hAnsiTheme="majorBidi" w:cstheme="majorBidi"/>
          <w:lang w:val="fr-FR"/>
        </w:rPr>
        <w:t>’</w:t>
      </w:r>
      <w:r w:rsidRPr="00B9386C">
        <w:rPr>
          <w:rFonts w:asciiTheme="majorBidi" w:hAnsiTheme="majorBidi" w:cstheme="majorBidi"/>
          <w:lang w:val="fr-FR"/>
        </w:rPr>
        <w:t xml:space="preserve">accès </w:t>
      </w:r>
      <w:r w:rsidRPr="005B3282">
        <w:rPr>
          <w:rFonts w:asciiTheme="majorBidi" w:hAnsiTheme="majorBidi" w:cstheme="majorBidi"/>
          <w:lang w:val="fr-FR"/>
        </w:rPr>
        <w:t>au financement</w:t>
      </w:r>
      <w:r w:rsidRPr="00B9386C">
        <w:rPr>
          <w:rFonts w:asciiTheme="majorBidi" w:hAnsiTheme="majorBidi" w:cstheme="majorBidi"/>
          <w:lang w:val="fr-FR"/>
        </w:rPr>
        <w:t xml:space="preserve"> </w:t>
      </w:r>
      <w:r w:rsidRPr="005B3282">
        <w:rPr>
          <w:rFonts w:asciiTheme="majorBidi" w:hAnsiTheme="majorBidi" w:cstheme="majorBidi"/>
          <w:lang w:val="fr-FR"/>
        </w:rPr>
        <w:t>pour les</w:t>
      </w:r>
      <w:r w:rsidRPr="00B9386C">
        <w:rPr>
          <w:rFonts w:asciiTheme="majorBidi" w:hAnsiTheme="majorBidi" w:cstheme="majorBidi"/>
          <w:lang w:val="fr-FR"/>
        </w:rPr>
        <w:t xml:space="preserve"> ménages </w:t>
      </w:r>
      <w:r w:rsidRPr="005B3282">
        <w:rPr>
          <w:rFonts w:asciiTheme="majorBidi" w:hAnsiTheme="majorBidi" w:cstheme="majorBidi"/>
          <w:lang w:val="fr-FR"/>
        </w:rPr>
        <w:t>à faible revenu</w:t>
      </w:r>
      <w:r w:rsidRPr="00B9386C">
        <w:rPr>
          <w:rFonts w:asciiTheme="majorBidi" w:hAnsiTheme="majorBidi" w:cstheme="majorBidi"/>
          <w:lang w:val="fr-FR"/>
        </w:rPr>
        <w:t xml:space="preserve"> </w:t>
      </w:r>
      <w:r w:rsidRPr="005B3282">
        <w:rPr>
          <w:rFonts w:asciiTheme="majorBidi" w:hAnsiTheme="majorBidi" w:cstheme="majorBidi"/>
          <w:lang w:val="fr-FR"/>
        </w:rPr>
        <w:t>et les</w:t>
      </w:r>
      <w:r w:rsidRPr="00B9386C">
        <w:rPr>
          <w:rFonts w:asciiTheme="majorBidi" w:hAnsiTheme="majorBidi" w:cstheme="majorBidi"/>
          <w:lang w:val="fr-FR"/>
        </w:rPr>
        <w:t xml:space="preserve"> </w:t>
      </w:r>
      <w:r w:rsidRPr="005B3282">
        <w:rPr>
          <w:rFonts w:asciiTheme="majorBidi" w:hAnsiTheme="majorBidi" w:cstheme="majorBidi"/>
          <w:lang w:val="fr-FR"/>
        </w:rPr>
        <w:t>micros et petites entreprises</w:t>
      </w:r>
      <w:r w:rsidRPr="00B9386C">
        <w:rPr>
          <w:rFonts w:asciiTheme="majorBidi" w:hAnsiTheme="majorBidi" w:cstheme="majorBidi"/>
          <w:lang w:val="fr-FR"/>
        </w:rPr>
        <w:t xml:space="preserve"> grâce </w:t>
      </w:r>
      <w:r w:rsidRPr="005B3282">
        <w:rPr>
          <w:rFonts w:asciiTheme="majorBidi" w:hAnsiTheme="majorBidi" w:cstheme="majorBidi"/>
          <w:lang w:val="fr-FR"/>
        </w:rPr>
        <w:t>à la promotion</w:t>
      </w:r>
      <w:r w:rsidRPr="00B9386C">
        <w:rPr>
          <w:rFonts w:asciiTheme="majorBidi" w:hAnsiTheme="majorBidi" w:cstheme="majorBidi"/>
          <w:lang w:val="fr-FR"/>
        </w:rPr>
        <w:t xml:space="preserve"> </w:t>
      </w:r>
      <w:r w:rsidRPr="005B3282">
        <w:rPr>
          <w:rFonts w:asciiTheme="majorBidi" w:hAnsiTheme="majorBidi" w:cstheme="majorBidi"/>
          <w:lang w:val="fr-FR"/>
        </w:rPr>
        <w:t>d</w:t>
      </w:r>
      <w:r w:rsidR="003258B5">
        <w:rPr>
          <w:rFonts w:asciiTheme="majorBidi" w:hAnsiTheme="majorBidi" w:cstheme="majorBidi"/>
          <w:lang w:val="fr-FR"/>
        </w:rPr>
        <w:t>’</w:t>
      </w:r>
      <w:r w:rsidRPr="005B3282">
        <w:rPr>
          <w:rFonts w:asciiTheme="majorBidi" w:hAnsiTheme="majorBidi" w:cstheme="majorBidi"/>
          <w:lang w:val="fr-FR"/>
        </w:rPr>
        <w:t>un secteur</w:t>
      </w:r>
      <w:r w:rsidRPr="00B9386C">
        <w:rPr>
          <w:rFonts w:asciiTheme="majorBidi" w:hAnsiTheme="majorBidi" w:cstheme="majorBidi"/>
          <w:lang w:val="fr-FR"/>
        </w:rPr>
        <w:t xml:space="preserve"> </w:t>
      </w:r>
      <w:r w:rsidRPr="005B3282">
        <w:rPr>
          <w:rFonts w:asciiTheme="majorBidi" w:hAnsiTheme="majorBidi" w:cstheme="majorBidi"/>
          <w:lang w:val="fr-FR"/>
        </w:rPr>
        <w:t>de la</w:t>
      </w:r>
      <w:r w:rsidRPr="00B9386C">
        <w:rPr>
          <w:rFonts w:asciiTheme="majorBidi" w:hAnsiTheme="majorBidi" w:cstheme="majorBidi"/>
          <w:lang w:val="fr-FR"/>
        </w:rPr>
        <w:t xml:space="preserve"> microfinance </w:t>
      </w:r>
      <w:r w:rsidR="00EB1D5B">
        <w:rPr>
          <w:rFonts w:asciiTheme="majorBidi" w:hAnsiTheme="majorBidi" w:cstheme="majorBidi"/>
          <w:lang w:val="fr-FR"/>
        </w:rPr>
        <w:t>viable</w:t>
      </w:r>
      <w:r w:rsidRPr="00B9386C">
        <w:rPr>
          <w:rFonts w:asciiTheme="majorBidi" w:hAnsiTheme="majorBidi" w:cstheme="majorBidi"/>
          <w:lang w:val="fr-FR"/>
        </w:rPr>
        <w:t xml:space="preserve"> et inclusif. Cet objectif sera atteint </w:t>
      </w:r>
      <w:r w:rsidRPr="005B3282">
        <w:rPr>
          <w:rFonts w:asciiTheme="majorBidi" w:hAnsiTheme="majorBidi" w:cstheme="majorBidi"/>
          <w:lang w:val="fr-FR"/>
        </w:rPr>
        <w:t>au moyen</w:t>
      </w:r>
      <w:r w:rsidRPr="00B9386C">
        <w:rPr>
          <w:rFonts w:asciiTheme="majorBidi" w:hAnsiTheme="majorBidi" w:cstheme="majorBidi"/>
          <w:lang w:val="fr-FR"/>
        </w:rPr>
        <w:t xml:space="preserve"> d</w:t>
      </w:r>
      <w:r w:rsidR="003258B5">
        <w:rPr>
          <w:rFonts w:asciiTheme="majorBidi" w:hAnsiTheme="majorBidi" w:cstheme="majorBidi"/>
          <w:lang w:val="fr-FR"/>
        </w:rPr>
        <w:t>’</w:t>
      </w:r>
      <w:r w:rsidRPr="00B9386C">
        <w:rPr>
          <w:rFonts w:asciiTheme="majorBidi" w:hAnsiTheme="majorBidi" w:cstheme="majorBidi"/>
          <w:lang w:val="fr-FR"/>
        </w:rPr>
        <w:t xml:space="preserve">un ensemble complet </w:t>
      </w:r>
      <w:r w:rsidRPr="005B3282">
        <w:rPr>
          <w:rFonts w:asciiTheme="majorBidi" w:hAnsiTheme="majorBidi" w:cstheme="majorBidi"/>
          <w:lang w:val="fr-FR"/>
        </w:rPr>
        <w:t>de travaux</w:t>
      </w:r>
      <w:r w:rsidRPr="00B9386C">
        <w:rPr>
          <w:rFonts w:asciiTheme="majorBidi" w:hAnsiTheme="majorBidi" w:cstheme="majorBidi"/>
          <w:lang w:val="fr-FR"/>
        </w:rPr>
        <w:t xml:space="preserve"> d</w:t>
      </w:r>
      <w:r w:rsidR="003258B5">
        <w:rPr>
          <w:rFonts w:asciiTheme="majorBidi" w:hAnsiTheme="majorBidi" w:cstheme="majorBidi"/>
          <w:lang w:val="fr-FR"/>
        </w:rPr>
        <w:t>’</w:t>
      </w:r>
      <w:r w:rsidRPr="00B9386C">
        <w:rPr>
          <w:rFonts w:asciiTheme="majorBidi" w:hAnsiTheme="majorBidi" w:cstheme="majorBidi"/>
          <w:lang w:val="fr-FR"/>
        </w:rPr>
        <w:t xml:space="preserve">analyse </w:t>
      </w:r>
      <w:r w:rsidRPr="005B3282">
        <w:rPr>
          <w:rFonts w:asciiTheme="majorBidi" w:hAnsiTheme="majorBidi" w:cstheme="majorBidi"/>
          <w:lang w:val="fr-FR"/>
        </w:rPr>
        <w:t>et de</w:t>
      </w:r>
      <w:r w:rsidRPr="00B9386C">
        <w:rPr>
          <w:rFonts w:asciiTheme="majorBidi" w:hAnsiTheme="majorBidi" w:cstheme="majorBidi"/>
          <w:lang w:val="fr-FR"/>
        </w:rPr>
        <w:t xml:space="preserve"> </w:t>
      </w:r>
      <w:r w:rsidRPr="005B3282">
        <w:rPr>
          <w:rFonts w:asciiTheme="majorBidi" w:hAnsiTheme="majorBidi" w:cstheme="majorBidi"/>
          <w:lang w:val="fr-FR"/>
        </w:rPr>
        <w:t>d</w:t>
      </w:r>
      <w:r w:rsidR="003258B5">
        <w:rPr>
          <w:rFonts w:asciiTheme="majorBidi" w:hAnsiTheme="majorBidi" w:cstheme="majorBidi"/>
          <w:lang w:val="fr-FR"/>
        </w:rPr>
        <w:t>’</w:t>
      </w:r>
      <w:r w:rsidRPr="005B3282">
        <w:rPr>
          <w:rFonts w:asciiTheme="majorBidi" w:hAnsiTheme="majorBidi" w:cstheme="majorBidi"/>
          <w:lang w:val="fr-FR"/>
        </w:rPr>
        <w:t>assistance technique</w:t>
      </w:r>
      <w:r w:rsidRPr="00B9386C">
        <w:rPr>
          <w:rFonts w:asciiTheme="majorBidi" w:hAnsiTheme="majorBidi" w:cstheme="majorBidi"/>
          <w:lang w:val="fr-FR"/>
        </w:rPr>
        <w:t xml:space="preserve"> </w:t>
      </w:r>
      <w:r w:rsidRPr="005B3282">
        <w:rPr>
          <w:rFonts w:asciiTheme="majorBidi" w:hAnsiTheme="majorBidi" w:cstheme="majorBidi"/>
          <w:lang w:val="fr-FR"/>
        </w:rPr>
        <w:t>visant à</w:t>
      </w:r>
      <w:r w:rsidRPr="00B9386C">
        <w:rPr>
          <w:rFonts w:asciiTheme="majorBidi" w:hAnsiTheme="majorBidi" w:cstheme="majorBidi"/>
          <w:lang w:val="fr-FR"/>
        </w:rPr>
        <w:t xml:space="preserve"> soutenir </w:t>
      </w:r>
      <w:r w:rsidRPr="005B3282">
        <w:rPr>
          <w:rFonts w:asciiTheme="majorBidi" w:hAnsiTheme="majorBidi" w:cstheme="majorBidi"/>
          <w:lang w:val="fr-FR"/>
        </w:rPr>
        <w:t>un environnement</w:t>
      </w:r>
      <w:r w:rsidRPr="00B9386C">
        <w:rPr>
          <w:rFonts w:asciiTheme="majorBidi" w:hAnsiTheme="majorBidi" w:cstheme="majorBidi"/>
          <w:lang w:val="fr-FR"/>
        </w:rPr>
        <w:t xml:space="preserve"> propice </w:t>
      </w:r>
      <w:r w:rsidRPr="005B3282">
        <w:rPr>
          <w:rFonts w:asciiTheme="majorBidi" w:hAnsiTheme="majorBidi" w:cstheme="majorBidi"/>
          <w:lang w:val="fr-FR"/>
        </w:rPr>
        <w:t>à la</w:t>
      </w:r>
      <w:r w:rsidRPr="00B9386C">
        <w:rPr>
          <w:rFonts w:asciiTheme="majorBidi" w:hAnsiTheme="majorBidi" w:cstheme="majorBidi"/>
          <w:lang w:val="fr-FR"/>
        </w:rPr>
        <w:t xml:space="preserve"> microfinance </w:t>
      </w:r>
      <w:r w:rsidRPr="005B3282">
        <w:rPr>
          <w:rFonts w:asciiTheme="majorBidi" w:hAnsiTheme="majorBidi" w:cstheme="majorBidi"/>
          <w:lang w:val="fr-FR"/>
        </w:rPr>
        <w:t>et à</w:t>
      </w:r>
      <w:r w:rsidRPr="00B9386C">
        <w:rPr>
          <w:rFonts w:asciiTheme="majorBidi" w:hAnsiTheme="majorBidi" w:cstheme="majorBidi"/>
          <w:lang w:val="fr-FR"/>
        </w:rPr>
        <w:t xml:space="preserve"> l</w:t>
      </w:r>
      <w:r w:rsidR="003258B5">
        <w:rPr>
          <w:rFonts w:asciiTheme="majorBidi" w:hAnsiTheme="majorBidi" w:cstheme="majorBidi"/>
          <w:lang w:val="fr-FR"/>
        </w:rPr>
        <w:t>’</w:t>
      </w:r>
      <w:r w:rsidRPr="00B9386C">
        <w:rPr>
          <w:rFonts w:asciiTheme="majorBidi" w:hAnsiTheme="majorBidi" w:cstheme="majorBidi"/>
          <w:lang w:val="fr-FR"/>
        </w:rPr>
        <w:t xml:space="preserve">inclusion </w:t>
      </w:r>
      <w:r w:rsidRPr="005B3282">
        <w:rPr>
          <w:rFonts w:asciiTheme="majorBidi" w:hAnsiTheme="majorBidi" w:cstheme="majorBidi"/>
          <w:lang w:val="fr-FR"/>
        </w:rPr>
        <w:t>financière et</w:t>
      </w:r>
      <w:r w:rsidRPr="00B9386C">
        <w:rPr>
          <w:rFonts w:asciiTheme="majorBidi" w:hAnsiTheme="majorBidi" w:cstheme="majorBidi"/>
          <w:lang w:val="fr-FR"/>
        </w:rPr>
        <w:t xml:space="preserve"> contribuant </w:t>
      </w:r>
      <w:r w:rsidRPr="005B3282">
        <w:rPr>
          <w:rFonts w:asciiTheme="majorBidi" w:hAnsiTheme="majorBidi" w:cstheme="majorBidi"/>
          <w:lang w:val="fr-FR"/>
        </w:rPr>
        <w:t>ainsi à</w:t>
      </w:r>
      <w:r w:rsidRPr="00B9386C">
        <w:rPr>
          <w:rFonts w:asciiTheme="majorBidi" w:hAnsiTheme="majorBidi" w:cstheme="majorBidi"/>
          <w:lang w:val="fr-FR"/>
        </w:rPr>
        <w:t xml:space="preserve"> mettre </w:t>
      </w:r>
      <w:r w:rsidRPr="005B3282">
        <w:rPr>
          <w:rFonts w:asciiTheme="majorBidi" w:hAnsiTheme="majorBidi" w:cstheme="majorBidi"/>
          <w:lang w:val="fr-FR"/>
        </w:rPr>
        <w:t>les services</w:t>
      </w:r>
      <w:r w:rsidRPr="00B9386C">
        <w:rPr>
          <w:rFonts w:asciiTheme="majorBidi" w:hAnsiTheme="majorBidi" w:cstheme="majorBidi"/>
          <w:lang w:val="fr-FR"/>
        </w:rPr>
        <w:t xml:space="preserve"> financiers </w:t>
      </w:r>
      <w:r w:rsidRPr="005B3282">
        <w:rPr>
          <w:rFonts w:asciiTheme="majorBidi" w:hAnsiTheme="majorBidi" w:cstheme="majorBidi"/>
          <w:lang w:val="fr-FR"/>
        </w:rPr>
        <w:t>à la disposition</w:t>
      </w:r>
      <w:r w:rsidRPr="00B9386C">
        <w:rPr>
          <w:rFonts w:asciiTheme="majorBidi" w:hAnsiTheme="majorBidi" w:cstheme="majorBidi"/>
          <w:lang w:val="fr-FR"/>
        </w:rPr>
        <w:t xml:space="preserve"> d</w:t>
      </w:r>
      <w:r w:rsidR="003258B5">
        <w:rPr>
          <w:rFonts w:asciiTheme="majorBidi" w:hAnsiTheme="majorBidi" w:cstheme="majorBidi"/>
          <w:lang w:val="fr-FR"/>
        </w:rPr>
        <w:t>’</w:t>
      </w:r>
      <w:r w:rsidRPr="00B9386C">
        <w:rPr>
          <w:rFonts w:asciiTheme="majorBidi" w:hAnsiTheme="majorBidi" w:cstheme="majorBidi"/>
          <w:lang w:val="fr-FR"/>
        </w:rPr>
        <w:t xml:space="preserve">une </w:t>
      </w:r>
      <w:r w:rsidRPr="005B3282">
        <w:rPr>
          <w:rFonts w:asciiTheme="majorBidi" w:hAnsiTheme="majorBidi" w:cstheme="majorBidi"/>
          <w:lang w:val="fr-FR"/>
        </w:rPr>
        <w:t>plus grande partie</w:t>
      </w:r>
      <w:r w:rsidRPr="00B9386C">
        <w:rPr>
          <w:rFonts w:asciiTheme="majorBidi" w:hAnsiTheme="majorBidi" w:cstheme="majorBidi"/>
          <w:lang w:val="fr-FR"/>
        </w:rPr>
        <w:t xml:space="preserve"> </w:t>
      </w:r>
      <w:r w:rsidRPr="005B3282">
        <w:rPr>
          <w:rFonts w:asciiTheme="majorBidi" w:hAnsiTheme="majorBidi" w:cstheme="majorBidi"/>
          <w:lang w:val="fr-FR"/>
        </w:rPr>
        <w:t>de la population</w:t>
      </w:r>
      <w:r w:rsidRPr="00B9386C">
        <w:rPr>
          <w:rFonts w:asciiTheme="majorBidi" w:hAnsiTheme="majorBidi" w:cstheme="majorBidi"/>
          <w:lang w:val="fr-FR"/>
        </w:rPr>
        <w:t>.</w:t>
      </w:r>
    </w:p>
    <w:p w:rsidR="00F17604" w:rsidRPr="00B9386C" w:rsidRDefault="00F17604">
      <w:pPr>
        <w:rPr>
          <w:lang w:val="fr-FR"/>
        </w:rPr>
      </w:pPr>
    </w:p>
    <w:p w:rsidR="00A706FA" w:rsidRPr="009B5C3B" w:rsidRDefault="001A54D1" w:rsidP="00D84FCA">
      <w:pPr>
        <w:numPr>
          <w:ilvl w:val="0"/>
          <w:numId w:val="7"/>
        </w:numPr>
        <w:rPr>
          <w:b/>
          <w:lang w:val="fr-FR"/>
        </w:rPr>
      </w:pPr>
      <w:bookmarkStart w:id="16" w:name="Description"/>
      <w:bookmarkEnd w:id="15"/>
      <w:r w:rsidRPr="009B5C3B">
        <w:rPr>
          <w:b/>
          <w:bCs/>
          <w:lang w:val="fr-FR"/>
        </w:rPr>
        <w:t>Description du projet</w:t>
      </w:r>
    </w:p>
    <w:p w:rsidR="00795977" w:rsidRPr="00B9386C" w:rsidRDefault="00795977">
      <w:pPr>
        <w:rPr>
          <w:i/>
          <w:lang w:val="fr-FR"/>
        </w:rPr>
      </w:pPr>
    </w:p>
    <w:p w:rsidR="00F17604" w:rsidRPr="005B3282" w:rsidRDefault="001A54D1" w:rsidP="005B3282">
      <w:pPr>
        <w:pStyle w:val="ListParagraph"/>
        <w:widowControl w:val="0"/>
        <w:numPr>
          <w:ilvl w:val="0"/>
          <w:numId w:val="10"/>
        </w:numPr>
        <w:tabs>
          <w:tab w:val="clear" w:pos="360"/>
          <w:tab w:val="left" w:pos="720"/>
        </w:tabs>
        <w:autoSpaceDE w:val="0"/>
        <w:autoSpaceDN w:val="0"/>
        <w:adjustRightInd w:val="0"/>
        <w:jc w:val="both"/>
        <w:rPr>
          <w:rFonts w:asciiTheme="majorBidi" w:hAnsiTheme="majorBidi" w:cstheme="majorBidi"/>
          <w:lang w:val="fr-FR"/>
        </w:rPr>
      </w:pPr>
      <w:r w:rsidRPr="005B3282">
        <w:rPr>
          <w:rFonts w:asciiTheme="majorBidi" w:hAnsiTheme="majorBidi" w:cstheme="majorBidi"/>
          <w:lang w:val="fr-FR"/>
        </w:rPr>
        <w:t>Le projet</w:t>
      </w:r>
      <w:r w:rsidRPr="00B9386C">
        <w:rPr>
          <w:rFonts w:asciiTheme="majorBidi" w:hAnsiTheme="majorBidi" w:cstheme="majorBidi"/>
          <w:lang w:val="fr-FR"/>
        </w:rPr>
        <w:t xml:space="preserve"> </w:t>
      </w:r>
      <w:r w:rsidRPr="005B3282">
        <w:rPr>
          <w:rFonts w:asciiTheme="majorBidi" w:hAnsiTheme="majorBidi" w:cstheme="majorBidi"/>
          <w:lang w:val="fr-FR"/>
        </w:rPr>
        <w:t>vise à</w:t>
      </w:r>
      <w:r w:rsidRPr="00B9386C">
        <w:rPr>
          <w:rFonts w:asciiTheme="majorBidi" w:hAnsiTheme="majorBidi" w:cstheme="majorBidi"/>
          <w:lang w:val="fr-FR"/>
        </w:rPr>
        <w:t xml:space="preserve"> améliorer l</w:t>
      </w:r>
      <w:r w:rsidR="003258B5">
        <w:rPr>
          <w:rFonts w:asciiTheme="majorBidi" w:hAnsiTheme="majorBidi" w:cstheme="majorBidi"/>
          <w:lang w:val="fr-FR"/>
        </w:rPr>
        <w:t>’</w:t>
      </w:r>
      <w:r w:rsidRPr="00B9386C">
        <w:rPr>
          <w:rFonts w:asciiTheme="majorBidi" w:hAnsiTheme="majorBidi" w:cstheme="majorBidi"/>
          <w:lang w:val="fr-FR"/>
        </w:rPr>
        <w:t xml:space="preserve">accès </w:t>
      </w:r>
      <w:r w:rsidRPr="005B3282">
        <w:rPr>
          <w:rFonts w:asciiTheme="majorBidi" w:hAnsiTheme="majorBidi" w:cstheme="majorBidi"/>
          <w:lang w:val="fr-FR"/>
        </w:rPr>
        <w:t>au financement</w:t>
      </w:r>
      <w:r w:rsidRPr="00B9386C">
        <w:rPr>
          <w:rFonts w:asciiTheme="majorBidi" w:hAnsiTheme="majorBidi" w:cstheme="majorBidi"/>
          <w:lang w:val="fr-FR"/>
        </w:rPr>
        <w:t xml:space="preserve"> </w:t>
      </w:r>
      <w:r w:rsidRPr="005B3282">
        <w:rPr>
          <w:rFonts w:asciiTheme="majorBidi" w:hAnsiTheme="majorBidi" w:cstheme="majorBidi"/>
          <w:lang w:val="fr-FR"/>
        </w:rPr>
        <w:t>pour les</w:t>
      </w:r>
      <w:r w:rsidRPr="00B9386C">
        <w:rPr>
          <w:rFonts w:asciiTheme="majorBidi" w:hAnsiTheme="majorBidi" w:cstheme="majorBidi"/>
          <w:lang w:val="fr-FR"/>
        </w:rPr>
        <w:t xml:space="preserve"> ménages </w:t>
      </w:r>
      <w:r w:rsidRPr="005B3282">
        <w:rPr>
          <w:rFonts w:asciiTheme="majorBidi" w:hAnsiTheme="majorBidi" w:cstheme="majorBidi"/>
          <w:lang w:val="fr-FR"/>
        </w:rPr>
        <w:t>à faible revenu</w:t>
      </w:r>
      <w:r w:rsidR="005B3282">
        <w:rPr>
          <w:rFonts w:asciiTheme="majorBidi" w:hAnsiTheme="majorBidi" w:cstheme="majorBidi"/>
          <w:lang w:val="fr-FR"/>
        </w:rPr>
        <w:t>,</w:t>
      </w:r>
      <w:r w:rsidRPr="005B3282">
        <w:rPr>
          <w:rFonts w:asciiTheme="majorBidi" w:hAnsiTheme="majorBidi" w:cstheme="majorBidi"/>
          <w:lang w:val="fr-FR"/>
        </w:rPr>
        <w:t xml:space="preserve"> </w:t>
      </w:r>
      <w:r w:rsidR="005B3282">
        <w:rPr>
          <w:rFonts w:asciiTheme="majorBidi" w:hAnsiTheme="majorBidi" w:cstheme="majorBidi"/>
          <w:lang w:val="fr-FR"/>
        </w:rPr>
        <w:t>les micro-entreprises</w:t>
      </w:r>
      <w:r w:rsidRPr="005B3282">
        <w:rPr>
          <w:rFonts w:asciiTheme="majorBidi" w:hAnsiTheme="majorBidi" w:cstheme="majorBidi"/>
          <w:lang w:val="fr-FR"/>
        </w:rPr>
        <w:t xml:space="preserve"> et </w:t>
      </w:r>
      <w:r w:rsidR="005B3282">
        <w:rPr>
          <w:rFonts w:asciiTheme="majorBidi" w:hAnsiTheme="majorBidi" w:cstheme="majorBidi"/>
          <w:lang w:val="fr-FR"/>
        </w:rPr>
        <w:t xml:space="preserve">les </w:t>
      </w:r>
      <w:r w:rsidRPr="005B3282">
        <w:rPr>
          <w:rFonts w:asciiTheme="majorBidi" w:hAnsiTheme="majorBidi" w:cstheme="majorBidi"/>
          <w:lang w:val="fr-FR"/>
        </w:rPr>
        <w:t>petites entreprises</w:t>
      </w:r>
      <w:r w:rsidRPr="00B9386C">
        <w:rPr>
          <w:rFonts w:asciiTheme="majorBidi" w:hAnsiTheme="majorBidi" w:cstheme="majorBidi"/>
          <w:lang w:val="fr-FR"/>
        </w:rPr>
        <w:t xml:space="preserve"> grâce </w:t>
      </w:r>
      <w:r w:rsidRPr="005B3282">
        <w:rPr>
          <w:rFonts w:asciiTheme="majorBidi" w:hAnsiTheme="majorBidi" w:cstheme="majorBidi"/>
          <w:lang w:val="fr-FR"/>
        </w:rPr>
        <w:t>à la promotion</w:t>
      </w:r>
      <w:r w:rsidRPr="00B9386C">
        <w:rPr>
          <w:rFonts w:asciiTheme="majorBidi" w:hAnsiTheme="majorBidi" w:cstheme="majorBidi"/>
          <w:lang w:val="fr-FR"/>
        </w:rPr>
        <w:t xml:space="preserve"> </w:t>
      </w:r>
      <w:r w:rsidRPr="005B3282">
        <w:rPr>
          <w:rFonts w:asciiTheme="majorBidi" w:hAnsiTheme="majorBidi" w:cstheme="majorBidi"/>
          <w:lang w:val="fr-FR"/>
        </w:rPr>
        <w:t>d</w:t>
      </w:r>
      <w:r w:rsidR="003258B5">
        <w:rPr>
          <w:rFonts w:asciiTheme="majorBidi" w:hAnsiTheme="majorBidi" w:cstheme="majorBidi"/>
          <w:lang w:val="fr-FR"/>
        </w:rPr>
        <w:t>’</w:t>
      </w:r>
      <w:r w:rsidRPr="005B3282">
        <w:rPr>
          <w:rFonts w:asciiTheme="majorBidi" w:hAnsiTheme="majorBidi" w:cstheme="majorBidi"/>
          <w:lang w:val="fr-FR"/>
        </w:rPr>
        <w:t>un secteur</w:t>
      </w:r>
      <w:r w:rsidRPr="00B9386C">
        <w:rPr>
          <w:rFonts w:asciiTheme="majorBidi" w:hAnsiTheme="majorBidi" w:cstheme="majorBidi"/>
          <w:lang w:val="fr-FR"/>
        </w:rPr>
        <w:t xml:space="preserve"> </w:t>
      </w:r>
      <w:r w:rsidRPr="005B3282">
        <w:rPr>
          <w:rFonts w:asciiTheme="majorBidi" w:hAnsiTheme="majorBidi" w:cstheme="majorBidi"/>
          <w:lang w:val="fr-FR"/>
        </w:rPr>
        <w:t>de la</w:t>
      </w:r>
      <w:r w:rsidRPr="00B9386C">
        <w:rPr>
          <w:rFonts w:asciiTheme="majorBidi" w:hAnsiTheme="majorBidi" w:cstheme="majorBidi"/>
          <w:lang w:val="fr-FR"/>
        </w:rPr>
        <w:t xml:space="preserve"> microfinance </w:t>
      </w:r>
      <w:r w:rsidR="005B3282">
        <w:rPr>
          <w:rFonts w:asciiTheme="majorBidi" w:hAnsiTheme="majorBidi" w:cstheme="majorBidi"/>
          <w:lang w:val="fr-FR"/>
        </w:rPr>
        <w:t>viable</w:t>
      </w:r>
      <w:r w:rsidRPr="00B9386C">
        <w:rPr>
          <w:rFonts w:asciiTheme="majorBidi" w:hAnsiTheme="majorBidi" w:cstheme="majorBidi"/>
          <w:lang w:val="fr-FR"/>
        </w:rPr>
        <w:t xml:space="preserve"> et inclusif. Cet objectif sera atteint </w:t>
      </w:r>
      <w:r w:rsidRPr="005B3282">
        <w:rPr>
          <w:rFonts w:asciiTheme="majorBidi" w:hAnsiTheme="majorBidi" w:cstheme="majorBidi"/>
          <w:lang w:val="fr-FR"/>
        </w:rPr>
        <w:t>au moyen</w:t>
      </w:r>
      <w:r w:rsidRPr="00B9386C">
        <w:rPr>
          <w:rFonts w:asciiTheme="majorBidi" w:hAnsiTheme="majorBidi" w:cstheme="majorBidi"/>
          <w:lang w:val="fr-FR"/>
        </w:rPr>
        <w:t xml:space="preserve"> d</w:t>
      </w:r>
      <w:r w:rsidR="003258B5">
        <w:rPr>
          <w:rFonts w:asciiTheme="majorBidi" w:hAnsiTheme="majorBidi" w:cstheme="majorBidi"/>
          <w:lang w:val="fr-FR"/>
        </w:rPr>
        <w:t>’</w:t>
      </w:r>
      <w:r w:rsidRPr="00B9386C">
        <w:rPr>
          <w:rFonts w:asciiTheme="majorBidi" w:hAnsiTheme="majorBidi" w:cstheme="majorBidi"/>
          <w:lang w:val="fr-FR"/>
        </w:rPr>
        <w:t xml:space="preserve">un ensemble complet </w:t>
      </w:r>
      <w:r w:rsidRPr="005B3282">
        <w:rPr>
          <w:rFonts w:asciiTheme="majorBidi" w:hAnsiTheme="majorBidi" w:cstheme="majorBidi"/>
          <w:lang w:val="fr-FR"/>
        </w:rPr>
        <w:t>de travaux</w:t>
      </w:r>
      <w:r w:rsidRPr="00B9386C">
        <w:rPr>
          <w:rFonts w:asciiTheme="majorBidi" w:hAnsiTheme="majorBidi" w:cstheme="majorBidi"/>
          <w:lang w:val="fr-FR"/>
        </w:rPr>
        <w:t xml:space="preserve"> d</w:t>
      </w:r>
      <w:r w:rsidR="003258B5">
        <w:rPr>
          <w:rFonts w:asciiTheme="majorBidi" w:hAnsiTheme="majorBidi" w:cstheme="majorBidi"/>
          <w:lang w:val="fr-FR"/>
        </w:rPr>
        <w:t>’</w:t>
      </w:r>
      <w:r w:rsidRPr="00B9386C">
        <w:rPr>
          <w:rFonts w:asciiTheme="majorBidi" w:hAnsiTheme="majorBidi" w:cstheme="majorBidi"/>
          <w:lang w:val="fr-FR"/>
        </w:rPr>
        <w:t xml:space="preserve">analyse </w:t>
      </w:r>
      <w:r w:rsidR="003258B5">
        <w:rPr>
          <w:rFonts w:asciiTheme="majorBidi" w:hAnsiTheme="majorBidi" w:cstheme="majorBidi"/>
          <w:lang w:val="fr-FR"/>
        </w:rPr>
        <w:t xml:space="preserve">et </w:t>
      </w:r>
      <w:r w:rsidRPr="005B3282">
        <w:rPr>
          <w:rFonts w:asciiTheme="majorBidi" w:hAnsiTheme="majorBidi" w:cstheme="majorBidi"/>
          <w:lang w:val="fr-FR"/>
        </w:rPr>
        <w:t>d</w:t>
      </w:r>
      <w:r w:rsidR="003258B5">
        <w:rPr>
          <w:rFonts w:asciiTheme="majorBidi" w:hAnsiTheme="majorBidi" w:cstheme="majorBidi"/>
          <w:lang w:val="fr-FR"/>
        </w:rPr>
        <w:t>’</w:t>
      </w:r>
      <w:r w:rsidRPr="005B3282">
        <w:rPr>
          <w:rFonts w:asciiTheme="majorBidi" w:hAnsiTheme="majorBidi" w:cstheme="majorBidi"/>
          <w:lang w:val="fr-FR"/>
        </w:rPr>
        <w:t>assistance technique</w:t>
      </w:r>
      <w:r w:rsidRPr="00B9386C">
        <w:rPr>
          <w:rFonts w:asciiTheme="majorBidi" w:hAnsiTheme="majorBidi" w:cstheme="majorBidi"/>
          <w:lang w:val="fr-FR"/>
        </w:rPr>
        <w:t xml:space="preserve"> </w:t>
      </w:r>
      <w:r w:rsidRPr="005B3282">
        <w:rPr>
          <w:rFonts w:asciiTheme="majorBidi" w:hAnsiTheme="majorBidi" w:cstheme="majorBidi"/>
          <w:lang w:val="fr-FR"/>
        </w:rPr>
        <w:t>visant à</w:t>
      </w:r>
      <w:r w:rsidRPr="00B9386C">
        <w:rPr>
          <w:rFonts w:asciiTheme="majorBidi" w:hAnsiTheme="majorBidi" w:cstheme="majorBidi"/>
          <w:lang w:val="fr-FR"/>
        </w:rPr>
        <w:t xml:space="preserve"> soutenir </w:t>
      </w:r>
      <w:r w:rsidRPr="005B3282">
        <w:rPr>
          <w:rFonts w:asciiTheme="majorBidi" w:hAnsiTheme="majorBidi" w:cstheme="majorBidi"/>
          <w:lang w:val="fr-FR"/>
        </w:rPr>
        <w:t>un environnement</w:t>
      </w:r>
      <w:r w:rsidRPr="00B9386C">
        <w:rPr>
          <w:rFonts w:asciiTheme="majorBidi" w:hAnsiTheme="majorBidi" w:cstheme="majorBidi"/>
          <w:lang w:val="fr-FR"/>
        </w:rPr>
        <w:t xml:space="preserve"> propice </w:t>
      </w:r>
      <w:r w:rsidRPr="005B3282">
        <w:rPr>
          <w:rFonts w:asciiTheme="majorBidi" w:hAnsiTheme="majorBidi" w:cstheme="majorBidi"/>
          <w:lang w:val="fr-FR"/>
        </w:rPr>
        <w:t>à la</w:t>
      </w:r>
      <w:r w:rsidRPr="00B9386C">
        <w:rPr>
          <w:rFonts w:asciiTheme="majorBidi" w:hAnsiTheme="majorBidi" w:cstheme="majorBidi"/>
          <w:lang w:val="fr-FR"/>
        </w:rPr>
        <w:t xml:space="preserve"> microfinance </w:t>
      </w:r>
      <w:r w:rsidRPr="005B3282">
        <w:rPr>
          <w:rFonts w:asciiTheme="majorBidi" w:hAnsiTheme="majorBidi" w:cstheme="majorBidi"/>
          <w:lang w:val="fr-FR"/>
        </w:rPr>
        <w:t>et à</w:t>
      </w:r>
      <w:r w:rsidRPr="00B9386C">
        <w:rPr>
          <w:rFonts w:asciiTheme="majorBidi" w:hAnsiTheme="majorBidi" w:cstheme="majorBidi"/>
          <w:lang w:val="fr-FR"/>
        </w:rPr>
        <w:t xml:space="preserve"> l</w:t>
      </w:r>
      <w:r w:rsidR="003258B5">
        <w:rPr>
          <w:rFonts w:asciiTheme="majorBidi" w:hAnsiTheme="majorBidi" w:cstheme="majorBidi"/>
          <w:lang w:val="fr-FR"/>
        </w:rPr>
        <w:t>’</w:t>
      </w:r>
      <w:r w:rsidRPr="00B9386C">
        <w:rPr>
          <w:rFonts w:asciiTheme="majorBidi" w:hAnsiTheme="majorBidi" w:cstheme="majorBidi"/>
          <w:lang w:val="fr-FR"/>
        </w:rPr>
        <w:t xml:space="preserve">inclusion financière. </w:t>
      </w:r>
      <w:r w:rsidRPr="005B3282">
        <w:rPr>
          <w:rFonts w:asciiTheme="majorBidi" w:hAnsiTheme="majorBidi" w:cstheme="majorBidi"/>
          <w:lang w:val="fr-FR"/>
        </w:rPr>
        <w:t>Le programme</w:t>
      </w:r>
      <w:r w:rsidRPr="00B9386C">
        <w:rPr>
          <w:rFonts w:asciiTheme="majorBidi" w:hAnsiTheme="majorBidi" w:cstheme="majorBidi"/>
          <w:lang w:val="fr-FR"/>
        </w:rPr>
        <w:t xml:space="preserve"> est structuré autour </w:t>
      </w:r>
      <w:r w:rsidRPr="005B3282">
        <w:rPr>
          <w:rFonts w:asciiTheme="majorBidi" w:hAnsiTheme="majorBidi" w:cstheme="majorBidi"/>
          <w:lang w:val="fr-FR"/>
        </w:rPr>
        <w:t>de trois</w:t>
      </w:r>
      <w:r w:rsidRPr="00B9386C">
        <w:rPr>
          <w:rFonts w:asciiTheme="majorBidi" w:hAnsiTheme="majorBidi" w:cstheme="majorBidi"/>
          <w:lang w:val="fr-FR"/>
        </w:rPr>
        <w:t xml:space="preserve"> composantes principales : 1) </w:t>
      </w:r>
      <w:r w:rsidRPr="005B3282">
        <w:rPr>
          <w:rFonts w:asciiTheme="majorBidi" w:hAnsiTheme="majorBidi" w:cstheme="majorBidi"/>
          <w:lang w:val="fr-FR"/>
        </w:rPr>
        <w:t>renforcement du</w:t>
      </w:r>
      <w:r w:rsidRPr="00B9386C">
        <w:rPr>
          <w:rFonts w:asciiTheme="majorBidi" w:hAnsiTheme="majorBidi" w:cstheme="majorBidi"/>
          <w:lang w:val="fr-FR"/>
        </w:rPr>
        <w:t xml:space="preserve"> </w:t>
      </w:r>
      <w:r w:rsidRPr="005B3282">
        <w:rPr>
          <w:rFonts w:asciiTheme="majorBidi" w:hAnsiTheme="majorBidi" w:cstheme="majorBidi"/>
          <w:lang w:val="fr-FR"/>
        </w:rPr>
        <w:t>cadre institutionnel</w:t>
      </w:r>
      <w:r w:rsidRPr="00B9386C">
        <w:rPr>
          <w:rFonts w:asciiTheme="majorBidi" w:hAnsiTheme="majorBidi" w:cstheme="majorBidi"/>
          <w:lang w:val="fr-FR"/>
        </w:rPr>
        <w:t xml:space="preserve">, </w:t>
      </w:r>
      <w:r w:rsidRPr="005B3282">
        <w:rPr>
          <w:rFonts w:asciiTheme="majorBidi" w:hAnsiTheme="majorBidi" w:cstheme="majorBidi"/>
          <w:lang w:val="fr-FR"/>
        </w:rPr>
        <w:t>juridique, réglementaire et</w:t>
      </w:r>
      <w:r w:rsidRPr="00B9386C">
        <w:rPr>
          <w:rFonts w:asciiTheme="majorBidi" w:hAnsiTheme="majorBidi" w:cstheme="majorBidi"/>
          <w:lang w:val="fr-FR"/>
        </w:rPr>
        <w:t xml:space="preserve"> fiscal </w:t>
      </w:r>
      <w:r w:rsidRPr="005B3282">
        <w:rPr>
          <w:rFonts w:asciiTheme="majorBidi" w:hAnsiTheme="majorBidi" w:cstheme="majorBidi"/>
          <w:lang w:val="fr-FR"/>
        </w:rPr>
        <w:t>et du</w:t>
      </w:r>
      <w:r w:rsidRPr="00B9386C">
        <w:rPr>
          <w:rFonts w:asciiTheme="majorBidi" w:hAnsiTheme="majorBidi" w:cstheme="majorBidi"/>
          <w:lang w:val="fr-FR"/>
        </w:rPr>
        <w:t xml:space="preserve"> </w:t>
      </w:r>
      <w:r w:rsidRPr="005B3282">
        <w:rPr>
          <w:rFonts w:asciiTheme="majorBidi" w:hAnsiTheme="majorBidi" w:cstheme="majorBidi"/>
          <w:lang w:val="fr-FR"/>
        </w:rPr>
        <w:t>cadre de</w:t>
      </w:r>
      <w:r w:rsidRPr="00B9386C">
        <w:rPr>
          <w:rFonts w:asciiTheme="majorBidi" w:hAnsiTheme="majorBidi" w:cstheme="majorBidi"/>
          <w:lang w:val="fr-FR"/>
        </w:rPr>
        <w:t xml:space="preserve"> </w:t>
      </w:r>
      <w:r w:rsidRPr="005B3282">
        <w:rPr>
          <w:rFonts w:asciiTheme="majorBidi" w:hAnsiTheme="majorBidi" w:cstheme="majorBidi"/>
          <w:lang w:val="fr-FR"/>
        </w:rPr>
        <w:t>gouvernance de</w:t>
      </w:r>
      <w:r w:rsidRPr="00B9386C">
        <w:rPr>
          <w:rFonts w:asciiTheme="majorBidi" w:hAnsiTheme="majorBidi" w:cstheme="majorBidi"/>
          <w:lang w:val="fr-FR"/>
        </w:rPr>
        <w:t xml:space="preserve"> la </w:t>
      </w:r>
      <w:r w:rsidRPr="005B3282">
        <w:rPr>
          <w:rFonts w:asciiTheme="majorBidi" w:hAnsiTheme="majorBidi" w:cstheme="majorBidi"/>
          <w:lang w:val="fr-FR"/>
        </w:rPr>
        <w:t>microfinance, 2</w:t>
      </w:r>
      <w:r w:rsidRPr="00B9386C">
        <w:rPr>
          <w:rFonts w:asciiTheme="majorBidi" w:hAnsiTheme="majorBidi" w:cstheme="majorBidi"/>
          <w:lang w:val="fr-FR"/>
        </w:rPr>
        <w:t xml:space="preserve">) </w:t>
      </w:r>
      <w:r w:rsidRPr="005B3282">
        <w:rPr>
          <w:rFonts w:asciiTheme="majorBidi" w:hAnsiTheme="majorBidi" w:cstheme="majorBidi"/>
          <w:lang w:val="fr-FR"/>
        </w:rPr>
        <w:t>renforcement de</w:t>
      </w:r>
      <w:r w:rsidRPr="00B9386C">
        <w:rPr>
          <w:rFonts w:asciiTheme="majorBidi" w:hAnsiTheme="majorBidi" w:cstheme="majorBidi"/>
          <w:lang w:val="fr-FR"/>
        </w:rPr>
        <w:t xml:space="preserve"> l</w:t>
      </w:r>
      <w:r w:rsidR="003258B5">
        <w:rPr>
          <w:rFonts w:asciiTheme="majorBidi" w:hAnsiTheme="majorBidi" w:cstheme="majorBidi"/>
          <w:lang w:val="fr-FR"/>
        </w:rPr>
        <w:t>’</w:t>
      </w:r>
      <w:r w:rsidRPr="00B9386C">
        <w:rPr>
          <w:rFonts w:asciiTheme="majorBidi" w:hAnsiTheme="majorBidi" w:cstheme="majorBidi"/>
          <w:lang w:val="fr-FR"/>
        </w:rPr>
        <w:t xml:space="preserve">infrastructure </w:t>
      </w:r>
      <w:r w:rsidRPr="005B3282">
        <w:rPr>
          <w:rFonts w:asciiTheme="majorBidi" w:hAnsiTheme="majorBidi" w:cstheme="majorBidi"/>
          <w:lang w:val="fr-FR"/>
        </w:rPr>
        <w:t>de marché</w:t>
      </w:r>
      <w:r w:rsidRPr="00B9386C">
        <w:rPr>
          <w:rFonts w:asciiTheme="majorBidi" w:hAnsiTheme="majorBidi" w:cstheme="majorBidi"/>
          <w:lang w:val="fr-FR"/>
        </w:rPr>
        <w:t xml:space="preserve">, </w:t>
      </w:r>
      <w:r w:rsidR="005B3282">
        <w:rPr>
          <w:rFonts w:asciiTheme="majorBidi" w:hAnsiTheme="majorBidi" w:cstheme="majorBidi"/>
          <w:lang w:val="fr-FR"/>
        </w:rPr>
        <w:t>création de nouveaux produits</w:t>
      </w:r>
      <w:r w:rsidRPr="00B9386C">
        <w:rPr>
          <w:rFonts w:asciiTheme="majorBidi" w:hAnsiTheme="majorBidi" w:cstheme="majorBidi"/>
          <w:lang w:val="fr-FR"/>
        </w:rPr>
        <w:t xml:space="preserve"> et diversification des sources </w:t>
      </w:r>
      <w:r w:rsidRPr="005B3282">
        <w:rPr>
          <w:rFonts w:asciiTheme="majorBidi" w:hAnsiTheme="majorBidi" w:cstheme="majorBidi"/>
          <w:lang w:val="fr-FR"/>
        </w:rPr>
        <w:t>de financement</w:t>
      </w:r>
      <w:r w:rsidRPr="00B9386C">
        <w:rPr>
          <w:rFonts w:asciiTheme="majorBidi" w:hAnsiTheme="majorBidi" w:cstheme="majorBidi"/>
          <w:lang w:val="fr-FR"/>
        </w:rPr>
        <w:t xml:space="preserve"> de la microfinance, </w:t>
      </w:r>
      <w:r w:rsidRPr="005B3282">
        <w:rPr>
          <w:rFonts w:asciiTheme="majorBidi" w:hAnsiTheme="majorBidi" w:cstheme="majorBidi"/>
          <w:lang w:val="fr-FR"/>
        </w:rPr>
        <w:t>et 3</w:t>
      </w:r>
      <w:r w:rsidRPr="00B9386C">
        <w:rPr>
          <w:rFonts w:asciiTheme="majorBidi" w:hAnsiTheme="majorBidi" w:cstheme="majorBidi"/>
          <w:lang w:val="fr-FR"/>
        </w:rPr>
        <w:t>) </w:t>
      </w:r>
      <w:r w:rsidRPr="005B3282">
        <w:rPr>
          <w:rFonts w:asciiTheme="majorBidi" w:hAnsiTheme="majorBidi" w:cstheme="majorBidi"/>
          <w:lang w:val="fr-FR"/>
        </w:rPr>
        <w:t>intégration de la</w:t>
      </w:r>
      <w:r w:rsidRPr="00B9386C">
        <w:rPr>
          <w:rFonts w:asciiTheme="majorBidi" w:hAnsiTheme="majorBidi" w:cstheme="majorBidi"/>
          <w:lang w:val="fr-FR"/>
        </w:rPr>
        <w:t xml:space="preserve"> microfinance </w:t>
      </w:r>
      <w:r w:rsidRPr="005B3282">
        <w:rPr>
          <w:rFonts w:asciiTheme="majorBidi" w:hAnsiTheme="majorBidi" w:cstheme="majorBidi"/>
          <w:lang w:val="fr-FR"/>
        </w:rPr>
        <w:t>dans une</w:t>
      </w:r>
      <w:r w:rsidRPr="00B9386C">
        <w:rPr>
          <w:rFonts w:asciiTheme="majorBidi" w:hAnsiTheme="majorBidi" w:cstheme="majorBidi"/>
          <w:lang w:val="fr-FR"/>
        </w:rPr>
        <w:t xml:space="preserve"> </w:t>
      </w:r>
      <w:r w:rsidRPr="005B3282">
        <w:rPr>
          <w:rFonts w:asciiTheme="majorBidi" w:hAnsiTheme="majorBidi" w:cstheme="majorBidi"/>
          <w:lang w:val="fr-FR"/>
        </w:rPr>
        <w:t>stratégie nationale</w:t>
      </w:r>
      <w:r w:rsidRPr="00B9386C">
        <w:rPr>
          <w:rFonts w:asciiTheme="majorBidi" w:hAnsiTheme="majorBidi" w:cstheme="majorBidi"/>
          <w:lang w:val="fr-FR"/>
        </w:rPr>
        <w:t xml:space="preserve"> d</w:t>
      </w:r>
      <w:r w:rsidR="003258B5">
        <w:rPr>
          <w:rFonts w:asciiTheme="majorBidi" w:hAnsiTheme="majorBidi" w:cstheme="majorBidi"/>
          <w:lang w:val="fr-FR"/>
        </w:rPr>
        <w:t>’</w:t>
      </w:r>
      <w:r w:rsidRPr="00B9386C">
        <w:rPr>
          <w:rFonts w:asciiTheme="majorBidi" w:hAnsiTheme="majorBidi" w:cstheme="majorBidi"/>
          <w:lang w:val="fr-FR"/>
        </w:rPr>
        <w:t xml:space="preserve">inclusion financière. Ces composantes sont brièvement décrites </w:t>
      </w:r>
      <w:r w:rsidRPr="005B3282">
        <w:rPr>
          <w:rFonts w:asciiTheme="majorBidi" w:hAnsiTheme="majorBidi" w:cstheme="majorBidi"/>
          <w:lang w:val="fr-FR"/>
        </w:rPr>
        <w:t>ci-dessous</w:t>
      </w:r>
      <w:r w:rsidR="00F17604" w:rsidRPr="00B9386C">
        <w:rPr>
          <w:rFonts w:asciiTheme="majorBidi" w:hAnsiTheme="majorBidi" w:cstheme="majorBidi"/>
          <w:lang w:val="fr-FR"/>
        </w:rPr>
        <w:t>.</w:t>
      </w:r>
      <w:r w:rsidR="00F17604" w:rsidRPr="005B3282">
        <w:rPr>
          <w:rFonts w:asciiTheme="majorBidi" w:hAnsiTheme="majorBidi" w:cstheme="majorBidi"/>
          <w:lang w:val="fr-FR"/>
        </w:rPr>
        <w:t xml:space="preserve"> </w:t>
      </w:r>
    </w:p>
    <w:p w:rsidR="00F17604" w:rsidRPr="00B9386C" w:rsidRDefault="00F17604" w:rsidP="00F17604">
      <w:pPr>
        <w:rPr>
          <w:lang w:val="fr-FR"/>
        </w:rPr>
      </w:pPr>
    </w:p>
    <w:p w:rsidR="00F17604" w:rsidRPr="009B5C3B" w:rsidRDefault="005B3282" w:rsidP="00F17604">
      <w:pPr>
        <w:rPr>
          <w:rFonts w:asciiTheme="majorBidi" w:hAnsiTheme="majorBidi" w:cstheme="majorBidi"/>
          <w:b/>
          <w:bCs/>
          <w:lang w:val="fr-FR"/>
        </w:rPr>
      </w:pPr>
      <w:r w:rsidRPr="009B5C3B">
        <w:rPr>
          <w:rFonts w:asciiTheme="majorBidi" w:hAnsiTheme="majorBidi" w:cstheme="majorBidi"/>
          <w:b/>
          <w:bCs/>
          <w:lang w:val="fr-FR"/>
        </w:rPr>
        <w:t>Composantes du projet</w:t>
      </w:r>
    </w:p>
    <w:p w:rsidR="00F17604" w:rsidRPr="00B9386C" w:rsidRDefault="00F17604" w:rsidP="00F17604">
      <w:pPr>
        <w:widowControl w:val="0"/>
        <w:autoSpaceDE w:val="0"/>
        <w:autoSpaceDN w:val="0"/>
        <w:adjustRightInd w:val="0"/>
        <w:rPr>
          <w:u w:val="single"/>
          <w:lang w:val="fr-FR"/>
        </w:rPr>
      </w:pPr>
    </w:p>
    <w:p w:rsidR="00F17604" w:rsidRPr="00B9386C" w:rsidRDefault="005B3282" w:rsidP="00F17604">
      <w:pPr>
        <w:widowControl w:val="0"/>
        <w:autoSpaceDE w:val="0"/>
        <w:autoSpaceDN w:val="0"/>
        <w:adjustRightInd w:val="0"/>
        <w:rPr>
          <w:b/>
          <w:lang w:val="fr-FR"/>
        </w:rPr>
      </w:pPr>
      <w:r w:rsidRPr="005B3282">
        <w:rPr>
          <w:b/>
          <w:lang w:val="fr-FR"/>
        </w:rPr>
        <w:t>Composante 1. Renforcement du cadre institutionnel, juridique, réglementaire et fiscal et du cadre de gouvernance de la microfinance</w:t>
      </w:r>
      <w:r w:rsidRPr="00B9386C">
        <w:rPr>
          <w:b/>
          <w:lang w:val="fr-FR"/>
        </w:rPr>
        <w:t xml:space="preserve"> </w:t>
      </w:r>
      <w:r w:rsidR="00F17604" w:rsidRPr="005B3282">
        <w:rPr>
          <w:b/>
          <w:lang w:val="fr-FR"/>
        </w:rPr>
        <w:t>(</w:t>
      </w:r>
      <w:r w:rsidRPr="005B3282">
        <w:rPr>
          <w:b/>
          <w:lang w:val="fr-FR"/>
        </w:rPr>
        <w:t xml:space="preserve">1, </w:t>
      </w:r>
      <w:r w:rsidR="00F17604" w:rsidRPr="005B3282">
        <w:rPr>
          <w:b/>
          <w:lang w:val="fr-FR"/>
        </w:rPr>
        <w:t>9 million</w:t>
      </w:r>
      <w:r>
        <w:rPr>
          <w:b/>
          <w:lang w:val="fr-FR"/>
        </w:rPr>
        <w:t xml:space="preserve"> de dollars</w:t>
      </w:r>
      <w:r w:rsidR="00F17604" w:rsidRPr="00B9386C">
        <w:rPr>
          <w:b/>
          <w:lang w:val="fr-FR"/>
        </w:rPr>
        <w:t>)</w:t>
      </w:r>
    </w:p>
    <w:p w:rsidR="00F17604" w:rsidRPr="00B9386C" w:rsidRDefault="00F17604" w:rsidP="00F17604">
      <w:pPr>
        <w:pStyle w:val="ListParagraph"/>
        <w:rPr>
          <w:lang w:val="fr-FR"/>
        </w:rPr>
      </w:pPr>
    </w:p>
    <w:p w:rsidR="00F17604" w:rsidRPr="00B9386C" w:rsidRDefault="005B3282" w:rsidP="00F17604">
      <w:pPr>
        <w:numPr>
          <w:ilvl w:val="0"/>
          <w:numId w:val="10"/>
        </w:numPr>
        <w:tabs>
          <w:tab w:val="clear" w:pos="360"/>
          <w:tab w:val="num" w:pos="0"/>
        </w:tabs>
        <w:jc w:val="both"/>
        <w:rPr>
          <w:lang w:val="fr-FR"/>
        </w:rPr>
      </w:pPr>
      <w:r w:rsidRPr="005B3282">
        <w:rPr>
          <w:lang w:val="fr-FR"/>
        </w:rPr>
        <w:t>Cette composante vise à appuyer les activités qui contribuent</w:t>
      </w:r>
      <w:r>
        <w:rPr>
          <w:lang w:val="fr-FR"/>
        </w:rPr>
        <w:t xml:space="preserve"> au </w:t>
      </w:r>
      <w:r w:rsidRPr="005B3282">
        <w:rPr>
          <w:lang w:val="fr-FR"/>
        </w:rPr>
        <w:t xml:space="preserve">renforcement du cadre institutionnel, juridique et réglementaire et du cadre de gouvernance </w:t>
      </w:r>
      <w:r w:rsidR="00EB1D5B">
        <w:rPr>
          <w:lang w:val="fr-FR"/>
        </w:rPr>
        <w:t xml:space="preserve">du secteur </w:t>
      </w:r>
      <w:r w:rsidRPr="005B3282">
        <w:rPr>
          <w:lang w:val="fr-FR"/>
        </w:rPr>
        <w:t>de la microfinance</w:t>
      </w:r>
      <w:r w:rsidR="00F17604" w:rsidRPr="00B9386C">
        <w:rPr>
          <w:lang w:val="fr-FR"/>
        </w:rPr>
        <w:t xml:space="preserve">. </w:t>
      </w:r>
      <w:r>
        <w:rPr>
          <w:lang w:val="fr-FR"/>
        </w:rPr>
        <w:t>Elle a pour objectif a) d</w:t>
      </w:r>
      <w:r w:rsidR="003258B5">
        <w:rPr>
          <w:lang w:val="fr-FR"/>
        </w:rPr>
        <w:t>’</w:t>
      </w:r>
      <w:r>
        <w:rPr>
          <w:lang w:val="fr-FR"/>
        </w:rPr>
        <w:t>évaluer et de</w:t>
      </w:r>
      <w:r w:rsidRPr="005B3282">
        <w:rPr>
          <w:lang w:val="fr-FR"/>
        </w:rPr>
        <w:t xml:space="preserve"> renforcer les capacités de la Fédération </w:t>
      </w:r>
      <w:r w:rsidRPr="005B3282">
        <w:rPr>
          <w:lang w:val="fr-FR"/>
        </w:rPr>
        <w:lastRenderedPageBreak/>
        <w:t>nationale des associations de microcrédit du Maroc</w:t>
      </w:r>
      <w:r w:rsidR="00F17604" w:rsidRPr="009B5524">
        <w:rPr>
          <w:lang w:val="fr-FR"/>
        </w:rPr>
        <w:t xml:space="preserve"> (FNAM</w:t>
      </w:r>
      <w:r w:rsidR="00F17604" w:rsidRPr="00B9386C">
        <w:rPr>
          <w:lang w:val="fr-FR"/>
        </w:rPr>
        <w:t xml:space="preserve">) </w:t>
      </w:r>
      <w:r w:rsidRPr="009B5524">
        <w:rPr>
          <w:lang w:val="fr-FR"/>
        </w:rPr>
        <w:t>et</w:t>
      </w:r>
      <w:r w:rsidR="00F17604" w:rsidRPr="009B5524">
        <w:rPr>
          <w:lang w:val="fr-FR"/>
        </w:rPr>
        <w:t xml:space="preserve"> b) </w:t>
      </w:r>
      <w:r>
        <w:rPr>
          <w:lang w:val="fr-FR"/>
        </w:rPr>
        <w:t>d</w:t>
      </w:r>
      <w:r w:rsidR="003258B5">
        <w:rPr>
          <w:lang w:val="fr-FR"/>
        </w:rPr>
        <w:t>’</w:t>
      </w:r>
      <w:r w:rsidRPr="005B3282">
        <w:rPr>
          <w:lang w:val="fr-FR"/>
        </w:rPr>
        <w:t>appuyer les activités qui contribuent</w:t>
      </w:r>
      <w:r>
        <w:rPr>
          <w:lang w:val="fr-FR"/>
        </w:rPr>
        <w:t xml:space="preserve"> au </w:t>
      </w:r>
      <w:r w:rsidRPr="005B3282">
        <w:rPr>
          <w:lang w:val="fr-FR"/>
        </w:rPr>
        <w:t>renforcement du cadre juridique</w:t>
      </w:r>
      <w:r>
        <w:rPr>
          <w:lang w:val="fr-FR"/>
        </w:rPr>
        <w:t>,</w:t>
      </w:r>
      <w:r w:rsidRPr="005B3282">
        <w:rPr>
          <w:lang w:val="fr-FR"/>
        </w:rPr>
        <w:t xml:space="preserve"> réglementaire </w:t>
      </w:r>
      <w:r>
        <w:rPr>
          <w:lang w:val="fr-FR"/>
        </w:rPr>
        <w:t xml:space="preserve">et fiscal </w:t>
      </w:r>
      <w:r w:rsidRPr="005B3282">
        <w:rPr>
          <w:lang w:val="fr-FR"/>
        </w:rPr>
        <w:t>et du cadre de gouvernance de la microfinance</w:t>
      </w:r>
      <w:r w:rsidR="00F17604" w:rsidRPr="00B9386C">
        <w:rPr>
          <w:lang w:val="fr-FR"/>
        </w:rPr>
        <w:t xml:space="preserve">. </w:t>
      </w:r>
      <w:r>
        <w:rPr>
          <w:lang w:val="fr-FR"/>
        </w:rPr>
        <w:t xml:space="preserve">Cette composante prévoit également le financement de </w:t>
      </w:r>
      <w:r w:rsidR="009B5524">
        <w:rPr>
          <w:lang w:val="fr-FR"/>
        </w:rPr>
        <w:t xml:space="preserve">la fourniture de </w:t>
      </w:r>
      <w:r>
        <w:rPr>
          <w:lang w:val="fr-FR"/>
        </w:rPr>
        <w:t>biens</w:t>
      </w:r>
      <w:r w:rsidR="009B5524">
        <w:rPr>
          <w:lang w:val="fr-FR"/>
        </w:rPr>
        <w:t xml:space="preserve"> et</w:t>
      </w:r>
      <w:r>
        <w:rPr>
          <w:lang w:val="fr-FR"/>
        </w:rPr>
        <w:t xml:space="preserve"> de services, de déplacement</w:t>
      </w:r>
      <w:r w:rsidR="009B5524">
        <w:rPr>
          <w:lang w:val="fr-FR"/>
        </w:rPr>
        <w:t>s</w:t>
      </w:r>
      <w:r>
        <w:rPr>
          <w:lang w:val="fr-FR"/>
        </w:rPr>
        <w:t xml:space="preserve"> et de</w:t>
      </w:r>
      <w:r w:rsidR="009B5524">
        <w:rPr>
          <w:lang w:val="fr-FR"/>
        </w:rPr>
        <w:t>s</w:t>
      </w:r>
      <w:r>
        <w:rPr>
          <w:lang w:val="fr-FR"/>
        </w:rPr>
        <w:t xml:space="preserve"> dépenses de fonctionnement supplémentaires encouru</w:t>
      </w:r>
      <w:r w:rsidR="003258B5">
        <w:rPr>
          <w:lang w:val="fr-FR"/>
        </w:rPr>
        <w:t>e</w:t>
      </w:r>
      <w:r>
        <w:rPr>
          <w:lang w:val="fr-FR"/>
        </w:rPr>
        <w:t>s par l</w:t>
      </w:r>
      <w:r w:rsidR="003258B5">
        <w:rPr>
          <w:lang w:val="fr-FR"/>
        </w:rPr>
        <w:t>’</w:t>
      </w:r>
      <w:r>
        <w:rPr>
          <w:lang w:val="fr-FR"/>
        </w:rPr>
        <w:t xml:space="preserve">UGP dans le cadre de la mise en œuvre </w:t>
      </w:r>
      <w:r w:rsidR="004428AB">
        <w:rPr>
          <w:lang w:val="fr-FR"/>
        </w:rPr>
        <w:t xml:space="preserve">et </w:t>
      </w:r>
      <w:r>
        <w:rPr>
          <w:lang w:val="fr-FR"/>
        </w:rPr>
        <w:t>de la gestion du projet</w:t>
      </w:r>
      <w:r w:rsidR="00F17604" w:rsidRPr="00B9386C">
        <w:rPr>
          <w:lang w:val="fr-FR"/>
        </w:rPr>
        <w:t>.</w:t>
      </w:r>
    </w:p>
    <w:p w:rsidR="00F17604" w:rsidRPr="00B9386C" w:rsidRDefault="00F17604" w:rsidP="00F17604">
      <w:pPr>
        <w:jc w:val="both"/>
        <w:rPr>
          <w:lang w:val="fr-FR"/>
        </w:rPr>
      </w:pPr>
    </w:p>
    <w:p w:rsidR="00F17604" w:rsidRPr="00B9386C" w:rsidRDefault="009B5524" w:rsidP="00F17604">
      <w:pPr>
        <w:pStyle w:val="ListParagraph"/>
        <w:numPr>
          <w:ilvl w:val="0"/>
          <w:numId w:val="16"/>
        </w:numPr>
        <w:jc w:val="both"/>
        <w:rPr>
          <w:lang w:val="fr-FR"/>
        </w:rPr>
      </w:pPr>
      <w:r>
        <w:rPr>
          <w:i/>
          <w:lang w:val="fr-FR"/>
        </w:rPr>
        <w:t>Évaluer et</w:t>
      </w:r>
      <w:r w:rsidRPr="009B5524">
        <w:t xml:space="preserve"> </w:t>
      </w:r>
      <w:r w:rsidRPr="009B5524">
        <w:rPr>
          <w:i/>
          <w:lang w:val="fr-FR"/>
        </w:rPr>
        <w:t>renforcer les capacités de la Fédération nationale des associations de microcrédit du Maroc</w:t>
      </w:r>
      <w:r>
        <w:rPr>
          <w:i/>
          <w:lang w:val="fr-FR"/>
        </w:rPr>
        <w:t> </w:t>
      </w:r>
      <w:r w:rsidR="00F17604" w:rsidRPr="00B9386C">
        <w:rPr>
          <w:i/>
          <w:lang w:val="fr-FR"/>
        </w:rPr>
        <w:t>:</w:t>
      </w:r>
      <w:r w:rsidR="00F17604" w:rsidRPr="00B9386C">
        <w:rPr>
          <w:lang w:val="fr-FR"/>
        </w:rPr>
        <w:t xml:space="preserve"> </w:t>
      </w:r>
      <w:r>
        <w:rPr>
          <w:lang w:val="fr-FR"/>
        </w:rPr>
        <w:t>Principale association professionnelle responsable du développement du secteur de la microf</w:t>
      </w:r>
      <w:r w:rsidR="004428AB">
        <w:rPr>
          <w:lang w:val="fr-FR"/>
        </w:rPr>
        <w:t>inance au Maroc, la FNAM formule</w:t>
      </w:r>
      <w:r>
        <w:rPr>
          <w:lang w:val="fr-FR"/>
        </w:rPr>
        <w:t xml:space="preserve"> des orientations stratégiques, coordonne les activités des IMF et collabore avec les principales parties prenantes, notamment les bailleurs de fonds et les organismes de réglementation</w:t>
      </w:r>
      <w:r w:rsidR="00F17604" w:rsidRPr="00B9386C">
        <w:rPr>
          <w:lang w:val="fr-FR"/>
        </w:rPr>
        <w:t>.</w:t>
      </w:r>
      <w:r>
        <w:rPr>
          <w:lang w:val="fr-FR"/>
        </w:rPr>
        <w:t xml:space="preserve"> Il est nécessaire de renforcer les capacités institutionnelles de la</w:t>
      </w:r>
      <w:r w:rsidR="00F17604" w:rsidRPr="00B9386C">
        <w:rPr>
          <w:lang w:val="fr-FR"/>
        </w:rPr>
        <w:t xml:space="preserve"> </w:t>
      </w:r>
      <w:r w:rsidR="00F17604" w:rsidRPr="00B7089C">
        <w:rPr>
          <w:lang w:val="fr-FR"/>
        </w:rPr>
        <w:t xml:space="preserve">FNAM </w:t>
      </w:r>
      <w:r w:rsidR="003258B5">
        <w:rPr>
          <w:lang w:val="fr-FR"/>
        </w:rPr>
        <w:t xml:space="preserve">pour </w:t>
      </w:r>
      <w:r>
        <w:rPr>
          <w:lang w:val="fr-FR"/>
        </w:rPr>
        <w:t xml:space="preserve">permettre </w:t>
      </w:r>
      <w:r w:rsidR="003258B5">
        <w:rPr>
          <w:lang w:val="fr-FR"/>
        </w:rPr>
        <w:t xml:space="preserve">au </w:t>
      </w:r>
      <w:r>
        <w:rPr>
          <w:lang w:val="fr-FR"/>
        </w:rPr>
        <w:t>secteur de se restructurer efficacement, de se développer et de s</w:t>
      </w:r>
      <w:r w:rsidR="003258B5">
        <w:rPr>
          <w:lang w:val="fr-FR"/>
        </w:rPr>
        <w:t>’</w:t>
      </w:r>
      <w:r>
        <w:rPr>
          <w:lang w:val="fr-FR"/>
        </w:rPr>
        <w:t>adapter à l</w:t>
      </w:r>
      <w:r w:rsidR="003258B5">
        <w:rPr>
          <w:lang w:val="fr-FR"/>
        </w:rPr>
        <w:t>’</w:t>
      </w:r>
      <w:r>
        <w:rPr>
          <w:lang w:val="fr-FR"/>
        </w:rPr>
        <w:t>évolution de la réglementation et du marché</w:t>
      </w:r>
      <w:r w:rsidR="00F17604" w:rsidRPr="00B9386C">
        <w:rPr>
          <w:lang w:val="fr-FR"/>
        </w:rPr>
        <w:t>.</w:t>
      </w:r>
      <w:r>
        <w:rPr>
          <w:lang w:val="fr-FR"/>
        </w:rPr>
        <w:t xml:space="preserve"> Le projet aidera la</w:t>
      </w:r>
      <w:r w:rsidR="00F17604" w:rsidRPr="00B9386C">
        <w:rPr>
          <w:lang w:val="fr-FR"/>
        </w:rPr>
        <w:t xml:space="preserve"> </w:t>
      </w:r>
      <w:r w:rsidR="00F17604" w:rsidRPr="00B7089C">
        <w:rPr>
          <w:lang w:val="fr-FR"/>
        </w:rPr>
        <w:t xml:space="preserve">FNAM </w:t>
      </w:r>
      <w:r>
        <w:rPr>
          <w:lang w:val="fr-FR"/>
        </w:rPr>
        <w:t>à remplir sa mission fondamentale, à savoir : jouer le rôle d</w:t>
      </w:r>
      <w:r w:rsidR="003258B5">
        <w:rPr>
          <w:lang w:val="fr-FR"/>
        </w:rPr>
        <w:t>’</w:t>
      </w:r>
      <w:r w:rsidRPr="009B5524">
        <w:rPr>
          <w:lang w:val="fr-FR"/>
        </w:rPr>
        <w:t xml:space="preserve">organe directeur </w:t>
      </w:r>
      <w:r w:rsidR="004428AB">
        <w:rPr>
          <w:lang w:val="fr-FR"/>
        </w:rPr>
        <w:t xml:space="preserve">du secteur, </w:t>
      </w:r>
      <w:r w:rsidR="00B7089C">
        <w:rPr>
          <w:lang w:val="fr-FR"/>
        </w:rPr>
        <w:t>chargé de centraliser</w:t>
      </w:r>
      <w:r w:rsidRPr="009B5524">
        <w:rPr>
          <w:lang w:val="fr-FR"/>
        </w:rPr>
        <w:t xml:space="preserve"> l</w:t>
      </w:r>
      <w:r w:rsidR="003258B5">
        <w:rPr>
          <w:lang w:val="fr-FR"/>
        </w:rPr>
        <w:t>’</w:t>
      </w:r>
      <w:r w:rsidRPr="009B5524">
        <w:rPr>
          <w:lang w:val="fr-FR"/>
        </w:rPr>
        <w:t xml:space="preserve">information et </w:t>
      </w:r>
      <w:r w:rsidR="00B7089C">
        <w:rPr>
          <w:lang w:val="fr-FR"/>
        </w:rPr>
        <w:t>de diffuser</w:t>
      </w:r>
      <w:r w:rsidRPr="009B5524">
        <w:rPr>
          <w:lang w:val="fr-FR"/>
        </w:rPr>
        <w:t xml:space="preserve"> les études ; </w:t>
      </w:r>
      <w:r w:rsidR="00B7089C">
        <w:rPr>
          <w:lang w:val="fr-FR"/>
        </w:rPr>
        <w:t>servir</w:t>
      </w:r>
      <w:r w:rsidRPr="009B5524">
        <w:rPr>
          <w:lang w:val="fr-FR"/>
        </w:rPr>
        <w:t xml:space="preserve"> d</w:t>
      </w:r>
      <w:r w:rsidR="003258B5">
        <w:rPr>
          <w:lang w:val="fr-FR"/>
        </w:rPr>
        <w:t>’</w:t>
      </w:r>
      <w:r w:rsidRPr="009B5524">
        <w:rPr>
          <w:lang w:val="fr-FR"/>
        </w:rPr>
        <w:t xml:space="preserve">intermédiaire entre les organismes publics de réglementation et les institutions de microfinance ; </w:t>
      </w:r>
      <w:r w:rsidR="00B7089C">
        <w:rPr>
          <w:lang w:val="fr-FR"/>
        </w:rPr>
        <w:t>créer et fournir</w:t>
      </w:r>
      <w:r w:rsidRPr="009B5524">
        <w:rPr>
          <w:lang w:val="fr-FR"/>
        </w:rPr>
        <w:t xml:space="preserve"> des services à même de répondre aux besoins et </w:t>
      </w:r>
      <w:r w:rsidR="00B7089C">
        <w:rPr>
          <w:lang w:val="fr-FR"/>
        </w:rPr>
        <w:t xml:space="preserve">aux </w:t>
      </w:r>
      <w:r w:rsidR="00B537A5">
        <w:rPr>
          <w:lang w:val="fr-FR"/>
        </w:rPr>
        <w:t xml:space="preserve">problèmes de ses membres ; </w:t>
      </w:r>
      <w:r w:rsidRPr="009B5524">
        <w:rPr>
          <w:lang w:val="fr-FR"/>
        </w:rPr>
        <w:t>offr</w:t>
      </w:r>
      <w:r w:rsidR="00B7089C">
        <w:rPr>
          <w:lang w:val="fr-FR"/>
        </w:rPr>
        <w:t>ir</w:t>
      </w:r>
      <w:r w:rsidRPr="009B5524">
        <w:rPr>
          <w:lang w:val="fr-FR"/>
        </w:rPr>
        <w:t xml:space="preserve"> des services de soutien à tous les niveaux et dans tous les districts et régions du pays</w:t>
      </w:r>
      <w:r w:rsidR="00F17604" w:rsidRPr="00B9386C">
        <w:rPr>
          <w:lang w:val="fr-FR"/>
        </w:rPr>
        <w:t xml:space="preserve">. </w:t>
      </w:r>
      <w:r w:rsidR="00B7089C" w:rsidRPr="00B7089C">
        <w:rPr>
          <w:lang w:val="fr-FR"/>
        </w:rPr>
        <w:t xml:space="preserve">La FNAM joue </w:t>
      </w:r>
      <w:r w:rsidR="00B7089C">
        <w:rPr>
          <w:lang w:val="fr-FR"/>
        </w:rPr>
        <w:t xml:space="preserve">aussi </w:t>
      </w:r>
      <w:r w:rsidR="00B7089C" w:rsidRPr="00B7089C">
        <w:rPr>
          <w:lang w:val="fr-FR"/>
        </w:rPr>
        <w:t>un rôle d</w:t>
      </w:r>
      <w:r w:rsidR="003258B5">
        <w:rPr>
          <w:lang w:val="fr-FR"/>
        </w:rPr>
        <w:t>’</w:t>
      </w:r>
      <w:r w:rsidR="00B7089C" w:rsidRPr="00B7089C">
        <w:rPr>
          <w:lang w:val="fr-FR"/>
        </w:rPr>
        <w:t>intermédiaire entre les institutions de microfinance et les principales parties prenantes du secteur marocain de la microfinance : gouvernement, banque centrale, bailleurs de fonds, partenaires du développement, financiers, investisseurs et clients des services de microfinance.</w:t>
      </w:r>
      <w:r w:rsidR="00F17604" w:rsidRPr="00B9386C">
        <w:rPr>
          <w:lang w:val="fr-FR"/>
        </w:rPr>
        <w:t xml:space="preserve"> </w:t>
      </w:r>
    </w:p>
    <w:p w:rsidR="00F17604" w:rsidRPr="00B9386C" w:rsidRDefault="00F17604" w:rsidP="00F17604">
      <w:pPr>
        <w:pStyle w:val="ListParagraph"/>
        <w:jc w:val="both"/>
        <w:rPr>
          <w:lang w:val="fr-FR"/>
        </w:rPr>
      </w:pPr>
    </w:p>
    <w:p w:rsidR="00F17604" w:rsidRPr="00B9386C" w:rsidRDefault="00B7089C" w:rsidP="00F17604">
      <w:pPr>
        <w:pStyle w:val="ListParagraph"/>
        <w:jc w:val="both"/>
        <w:rPr>
          <w:lang w:val="fr-FR"/>
        </w:rPr>
      </w:pPr>
      <w:r>
        <w:rPr>
          <w:lang w:val="fr-FR"/>
        </w:rPr>
        <w:t>Cette composante sera mise en œuvre en deux étapes. Dans un premier temps, on procédera à un diagnostic exhaustif pour évaluer le rôle, la structure de financement, les statuts, la gouvernance et les capacités de la</w:t>
      </w:r>
      <w:r w:rsidR="00F17604" w:rsidRPr="00B9386C">
        <w:rPr>
          <w:lang w:val="fr-FR"/>
        </w:rPr>
        <w:t xml:space="preserve"> FNAM</w:t>
      </w:r>
      <w:r>
        <w:rPr>
          <w:lang w:val="fr-FR"/>
        </w:rPr>
        <w:t xml:space="preserve"> à l</w:t>
      </w:r>
      <w:r w:rsidR="003258B5">
        <w:rPr>
          <w:lang w:val="fr-FR"/>
        </w:rPr>
        <w:t>’</w:t>
      </w:r>
      <w:r>
        <w:rPr>
          <w:lang w:val="fr-FR"/>
        </w:rPr>
        <w:t>heure actuelle</w:t>
      </w:r>
      <w:r w:rsidR="004428AB">
        <w:rPr>
          <w:lang w:val="fr-FR"/>
        </w:rPr>
        <w:t xml:space="preserve"> et</w:t>
      </w:r>
      <w:r>
        <w:rPr>
          <w:lang w:val="fr-FR"/>
        </w:rPr>
        <w:t xml:space="preserve"> mesur</w:t>
      </w:r>
      <w:r w:rsidR="004428AB">
        <w:rPr>
          <w:lang w:val="fr-FR"/>
        </w:rPr>
        <w:t>er</w:t>
      </w:r>
      <w:r>
        <w:rPr>
          <w:lang w:val="fr-FR"/>
        </w:rPr>
        <w:t xml:space="preserve"> l</w:t>
      </w:r>
      <w:r w:rsidR="003258B5">
        <w:rPr>
          <w:lang w:val="fr-FR"/>
        </w:rPr>
        <w:t>’</w:t>
      </w:r>
      <w:r>
        <w:rPr>
          <w:lang w:val="fr-FR"/>
        </w:rPr>
        <w:t>écart entre cette situation et</w:t>
      </w:r>
      <w:r w:rsidR="00F17604" w:rsidRPr="00B9386C">
        <w:rPr>
          <w:lang w:val="fr-FR"/>
        </w:rPr>
        <w:t xml:space="preserve"> </w:t>
      </w:r>
      <w:r>
        <w:rPr>
          <w:lang w:val="fr-FR"/>
        </w:rPr>
        <w:t>le rôle attendu de la fédération à l</w:t>
      </w:r>
      <w:r w:rsidR="003258B5">
        <w:rPr>
          <w:lang w:val="fr-FR"/>
        </w:rPr>
        <w:t>’</w:t>
      </w:r>
      <w:r w:rsidR="00C11C70">
        <w:rPr>
          <w:lang w:val="fr-FR"/>
        </w:rPr>
        <w:t xml:space="preserve">avenir </w:t>
      </w:r>
      <w:r>
        <w:rPr>
          <w:lang w:val="fr-FR"/>
        </w:rPr>
        <w:t xml:space="preserve">en procédant à une comparaison avec </w:t>
      </w:r>
      <w:r w:rsidR="00C11C70">
        <w:rPr>
          <w:lang w:val="fr-FR"/>
        </w:rPr>
        <w:t>l</w:t>
      </w:r>
      <w:r>
        <w:rPr>
          <w:lang w:val="fr-FR"/>
        </w:rPr>
        <w:t xml:space="preserve">es </w:t>
      </w:r>
      <w:r w:rsidR="00C11C70">
        <w:rPr>
          <w:lang w:val="fr-FR"/>
        </w:rPr>
        <w:t xml:space="preserve">pratiques </w:t>
      </w:r>
      <w:r>
        <w:rPr>
          <w:lang w:val="fr-FR"/>
        </w:rPr>
        <w:t>optimales observé</w:t>
      </w:r>
      <w:r w:rsidR="00C11C70">
        <w:rPr>
          <w:lang w:val="fr-FR"/>
        </w:rPr>
        <w:t>e</w:t>
      </w:r>
      <w:r>
        <w:rPr>
          <w:lang w:val="fr-FR"/>
        </w:rPr>
        <w:t xml:space="preserve">s </w:t>
      </w:r>
      <w:r w:rsidR="00C11C70">
        <w:rPr>
          <w:lang w:val="fr-FR"/>
        </w:rPr>
        <w:t>dans le mond</w:t>
      </w:r>
      <w:r>
        <w:rPr>
          <w:lang w:val="fr-FR"/>
        </w:rPr>
        <w:t>e. Dans un deuxième temps, on préparera un programme d</w:t>
      </w:r>
      <w:r w:rsidR="003258B5">
        <w:rPr>
          <w:lang w:val="fr-FR"/>
        </w:rPr>
        <w:t>’</w:t>
      </w:r>
      <w:r>
        <w:rPr>
          <w:lang w:val="fr-FR"/>
        </w:rPr>
        <w:t>assistance technique</w:t>
      </w:r>
      <w:r w:rsidR="00C11C70">
        <w:rPr>
          <w:lang w:val="fr-FR"/>
        </w:rPr>
        <w:t>, inspiré des</w:t>
      </w:r>
      <w:r>
        <w:rPr>
          <w:lang w:val="fr-FR"/>
        </w:rPr>
        <w:t xml:space="preserve"> recommandations </w:t>
      </w:r>
      <w:r w:rsidR="00C11C70">
        <w:rPr>
          <w:lang w:val="fr-FR"/>
        </w:rPr>
        <w:t xml:space="preserve">issues du </w:t>
      </w:r>
      <w:r>
        <w:rPr>
          <w:lang w:val="fr-FR"/>
        </w:rPr>
        <w:t>diagnostic</w:t>
      </w:r>
      <w:r w:rsidR="00C11C70">
        <w:rPr>
          <w:lang w:val="fr-FR"/>
        </w:rPr>
        <w:t>,</w:t>
      </w:r>
      <w:r>
        <w:rPr>
          <w:lang w:val="fr-FR"/>
        </w:rPr>
        <w:t xml:space="preserve"> en vue de transformer la</w:t>
      </w:r>
      <w:r w:rsidR="00F17604" w:rsidRPr="00B9386C">
        <w:rPr>
          <w:lang w:val="fr-FR"/>
        </w:rPr>
        <w:t xml:space="preserve"> FNAM</w:t>
      </w:r>
      <w:r>
        <w:rPr>
          <w:lang w:val="fr-FR"/>
        </w:rPr>
        <w:t xml:space="preserve"> en une organisation professionnelle volontariste et faire d</w:t>
      </w:r>
      <w:r w:rsidR="003258B5">
        <w:rPr>
          <w:lang w:val="fr-FR"/>
        </w:rPr>
        <w:t>’</w:t>
      </w:r>
      <w:r>
        <w:rPr>
          <w:lang w:val="fr-FR"/>
        </w:rPr>
        <w:t>elle la plateforme de connaissances du secteur marocain de la microfinance</w:t>
      </w:r>
      <w:r w:rsidR="00F17604" w:rsidRPr="00B9386C">
        <w:rPr>
          <w:lang w:val="fr-FR"/>
        </w:rPr>
        <w:t>.</w:t>
      </w:r>
    </w:p>
    <w:p w:rsidR="00F17604" w:rsidRPr="00B9386C" w:rsidRDefault="00F17604" w:rsidP="00F17604">
      <w:pPr>
        <w:pStyle w:val="ListParagraph"/>
        <w:jc w:val="both"/>
        <w:rPr>
          <w:lang w:val="fr-FR"/>
        </w:rPr>
      </w:pPr>
    </w:p>
    <w:p w:rsidR="00F17604" w:rsidRPr="00B9386C" w:rsidRDefault="00B7089C" w:rsidP="00F17604">
      <w:pPr>
        <w:pStyle w:val="ListParagraph"/>
        <w:numPr>
          <w:ilvl w:val="0"/>
          <w:numId w:val="16"/>
        </w:numPr>
        <w:jc w:val="both"/>
        <w:rPr>
          <w:lang w:val="fr-FR"/>
        </w:rPr>
      </w:pPr>
      <w:r>
        <w:rPr>
          <w:i/>
          <w:lang w:val="fr-FR"/>
        </w:rPr>
        <w:t>Renforcer le</w:t>
      </w:r>
      <w:r w:rsidRPr="00B7089C">
        <w:t xml:space="preserve"> </w:t>
      </w:r>
      <w:r w:rsidRPr="00B7089C">
        <w:rPr>
          <w:i/>
          <w:lang w:val="fr-FR"/>
        </w:rPr>
        <w:t xml:space="preserve">cadre </w:t>
      </w:r>
      <w:r>
        <w:rPr>
          <w:i/>
          <w:lang w:val="fr-FR"/>
        </w:rPr>
        <w:t>juridique et réglementaire et le</w:t>
      </w:r>
      <w:r w:rsidRPr="00B7089C">
        <w:rPr>
          <w:i/>
          <w:lang w:val="fr-FR"/>
        </w:rPr>
        <w:t xml:space="preserve"> cadre de gouvernance du secteur de la microfinance</w:t>
      </w:r>
      <w:r>
        <w:rPr>
          <w:i/>
          <w:lang w:val="fr-FR"/>
        </w:rPr>
        <w:t> </w:t>
      </w:r>
      <w:r w:rsidR="00F17604" w:rsidRPr="00B9386C">
        <w:rPr>
          <w:i/>
          <w:lang w:val="fr-FR"/>
        </w:rPr>
        <w:t>:</w:t>
      </w:r>
      <w:r w:rsidR="00F17604" w:rsidRPr="00B9386C">
        <w:rPr>
          <w:lang w:val="fr-FR"/>
        </w:rPr>
        <w:t xml:space="preserve"> </w:t>
      </w:r>
      <w:r w:rsidRPr="00B7089C">
        <w:rPr>
          <w:lang w:val="fr-FR"/>
        </w:rPr>
        <w:t>Cette sous-composante vise à appuyer les activités contribuant à la modernisation du cadre juridique</w:t>
      </w:r>
      <w:r>
        <w:rPr>
          <w:lang w:val="fr-FR"/>
        </w:rPr>
        <w:t xml:space="preserve">, </w:t>
      </w:r>
      <w:r w:rsidRPr="00B7089C">
        <w:rPr>
          <w:lang w:val="fr-FR"/>
        </w:rPr>
        <w:t>réglementaire</w:t>
      </w:r>
      <w:r>
        <w:rPr>
          <w:lang w:val="fr-FR"/>
        </w:rPr>
        <w:t xml:space="preserve"> et </w:t>
      </w:r>
      <w:r w:rsidR="003258B5">
        <w:rPr>
          <w:lang w:val="fr-FR"/>
        </w:rPr>
        <w:t>fiscal</w:t>
      </w:r>
      <w:r w:rsidRPr="00B7089C">
        <w:rPr>
          <w:lang w:val="fr-FR"/>
        </w:rPr>
        <w:t xml:space="preserve"> de la microfinance, ainsi que l</w:t>
      </w:r>
      <w:r w:rsidR="003258B5">
        <w:rPr>
          <w:lang w:val="fr-FR"/>
        </w:rPr>
        <w:t>’</w:t>
      </w:r>
      <w:r w:rsidRPr="00B7089C">
        <w:rPr>
          <w:lang w:val="fr-FR"/>
        </w:rPr>
        <w:t>élaboration de normes de gouvernance et de gestion des risques à l</w:t>
      </w:r>
      <w:r w:rsidR="003258B5">
        <w:rPr>
          <w:lang w:val="fr-FR"/>
        </w:rPr>
        <w:t>’</w:t>
      </w:r>
      <w:r w:rsidRPr="00B7089C">
        <w:rPr>
          <w:lang w:val="fr-FR"/>
        </w:rPr>
        <w:t>usage du secteur du microcrédit</w:t>
      </w:r>
      <w:r>
        <w:rPr>
          <w:lang w:val="fr-FR"/>
        </w:rPr>
        <w:t>. Les activités incluront entre autres des études visant à guider l</w:t>
      </w:r>
      <w:r w:rsidR="003258B5">
        <w:rPr>
          <w:lang w:val="fr-FR"/>
        </w:rPr>
        <w:t>’</w:t>
      </w:r>
      <w:r>
        <w:rPr>
          <w:lang w:val="fr-FR"/>
        </w:rPr>
        <w:t>élaboration</w:t>
      </w:r>
      <w:r w:rsidRPr="00B7089C">
        <w:rPr>
          <w:lang w:val="fr-FR"/>
        </w:rPr>
        <w:t xml:space="preserve"> d</w:t>
      </w:r>
      <w:r w:rsidR="003258B5">
        <w:rPr>
          <w:lang w:val="fr-FR"/>
        </w:rPr>
        <w:t>’</w:t>
      </w:r>
      <w:r w:rsidRPr="00B7089C">
        <w:rPr>
          <w:lang w:val="fr-FR"/>
        </w:rPr>
        <w:t>une politique fiscale adaptée aux besoins propres des IMF</w:t>
      </w:r>
      <w:r>
        <w:rPr>
          <w:lang w:val="fr-FR"/>
        </w:rPr>
        <w:t xml:space="preserve">, le </w:t>
      </w:r>
      <w:r w:rsidRPr="00B7089C">
        <w:rPr>
          <w:lang w:val="fr-FR"/>
        </w:rPr>
        <w:t>réexamen du plafonnement des emprunts des clients des IMF</w:t>
      </w:r>
      <w:r>
        <w:rPr>
          <w:lang w:val="fr-FR"/>
        </w:rPr>
        <w:t>, la réglementation de la rémunération du crédit, l</w:t>
      </w:r>
      <w:r w:rsidR="003258B5">
        <w:rPr>
          <w:lang w:val="fr-FR"/>
        </w:rPr>
        <w:t>’</w:t>
      </w:r>
      <w:r>
        <w:rPr>
          <w:lang w:val="fr-FR"/>
        </w:rPr>
        <w:t>examen et l</w:t>
      </w:r>
      <w:r w:rsidR="003258B5">
        <w:rPr>
          <w:lang w:val="fr-FR"/>
        </w:rPr>
        <w:t>’</w:t>
      </w:r>
      <w:r>
        <w:rPr>
          <w:lang w:val="fr-FR"/>
        </w:rPr>
        <w:t>ajustement</w:t>
      </w:r>
      <w:r w:rsidRPr="00B7089C">
        <w:rPr>
          <w:lang w:val="fr-FR"/>
        </w:rPr>
        <w:t xml:space="preserve"> des ratios de solvabilité et de liquidité des IMF</w:t>
      </w:r>
      <w:r>
        <w:rPr>
          <w:lang w:val="fr-FR"/>
        </w:rPr>
        <w:t>,</w:t>
      </w:r>
      <w:r w:rsidRPr="00B7089C">
        <w:rPr>
          <w:lang w:val="fr-FR"/>
        </w:rPr>
        <w:t xml:space="preserve"> et </w:t>
      </w:r>
      <w:r>
        <w:rPr>
          <w:lang w:val="fr-FR"/>
        </w:rPr>
        <w:t xml:space="preserve">le </w:t>
      </w:r>
      <w:r w:rsidRPr="00B7089C">
        <w:rPr>
          <w:lang w:val="fr-FR"/>
        </w:rPr>
        <w:t>renforcement de la communication d</w:t>
      </w:r>
      <w:r w:rsidR="003258B5">
        <w:rPr>
          <w:lang w:val="fr-FR"/>
        </w:rPr>
        <w:t>’</w:t>
      </w:r>
      <w:r w:rsidRPr="00B7089C">
        <w:rPr>
          <w:lang w:val="fr-FR"/>
        </w:rPr>
        <w:t>informations financières et de la su</w:t>
      </w:r>
      <w:r w:rsidR="00C11C70">
        <w:rPr>
          <w:lang w:val="fr-FR"/>
        </w:rPr>
        <w:t xml:space="preserve">rveillance </w:t>
      </w:r>
      <w:r w:rsidRPr="00B7089C">
        <w:rPr>
          <w:lang w:val="fr-FR"/>
        </w:rPr>
        <w:t xml:space="preserve">réglementaire des IMF par BAM. Une meilleure utilisation des outils judiciaires et non </w:t>
      </w:r>
      <w:r w:rsidRPr="00B7089C">
        <w:rPr>
          <w:lang w:val="fr-FR"/>
        </w:rPr>
        <w:lastRenderedPageBreak/>
        <w:t xml:space="preserve">judiciaires (arbitrage, médiation) </w:t>
      </w:r>
      <w:r>
        <w:rPr>
          <w:lang w:val="fr-FR"/>
        </w:rPr>
        <w:t>de recouvrement des</w:t>
      </w:r>
      <w:r w:rsidRPr="00B7089C">
        <w:rPr>
          <w:lang w:val="fr-FR"/>
        </w:rPr>
        <w:t xml:space="preserve"> prêts non remboursés sera aussi une activité essentielle du projet au titre de cette composante</w:t>
      </w:r>
      <w:r>
        <w:rPr>
          <w:lang w:val="fr-FR"/>
        </w:rPr>
        <w:t xml:space="preserve">. </w:t>
      </w:r>
      <w:r>
        <w:rPr>
          <w:lang w:val="fr-FR"/>
        </w:rPr>
        <w:tab/>
      </w:r>
      <w:r w:rsidR="00F17604" w:rsidRPr="00B9386C">
        <w:rPr>
          <w:lang w:val="fr-FR"/>
        </w:rPr>
        <w:t xml:space="preserve"> </w:t>
      </w:r>
    </w:p>
    <w:p w:rsidR="00F17604" w:rsidRPr="00B9386C" w:rsidRDefault="00F17604" w:rsidP="00F17604">
      <w:pPr>
        <w:jc w:val="both"/>
        <w:rPr>
          <w:b/>
          <w:lang w:val="fr-FR"/>
        </w:rPr>
      </w:pPr>
    </w:p>
    <w:p w:rsidR="00F17604" w:rsidRPr="00B9386C" w:rsidRDefault="00B7089C" w:rsidP="00F17604">
      <w:pPr>
        <w:widowControl w:val="0"/>
        <w:autoSpaceDE w:val="0"/>
        <w:autoSpaceDN w:val="0"/>
        <w:adjustRightInd w:val="0"/>
        <w:rPr>
          <w:b/>
          <w:lang w:val="fr-FR"/>
        </w:rPr>
      </w:pPr>
      <w:r w:rsidRPr="00B7089C">
        <w:rPr>
          <w:b/>
          <w:lang w:val="fr-FR"/>
        </w:rPr>
        <w:t xml:space="preserve">Composante </w:t>
      </w:r>
      <w:r w:rsidR="00F17604" w:rsidRPr="00B7089C">
        <w:rPr>
          <w:b/>
          <w:lang w:val="fr-FR"/>
        </w:rPr>
        <w:t>2</w:t>
      </w:r>
      <w:r>
        <w:rPr>
          <w:b/>
          <w:lang w:val="fr-FR"/>
        </w:rPr>
        <w:t> </w:t>
      </w:r>
      <w:r w:rsidR="00F17604" w:rsidRPr="00B9386C">
        <w:rPr>
          <w:b/>
          <w:lang w:val="fr-FR"/>
        </w:rPr>
        <w:t xml:space="preserve">: </w:t>
      </w:r>
      <w:r>
        <w:rPr>
          <w:b/>
          <w:lang w:val="fr-FR"/>
        </w:rPr>
        <w:t>Renforcement de l</w:t>
      </w:r>
      <w:r w:rsidR="003258B5">
        <w:rPr>
          <w:b/>
          <w:lang w:val="fr-FR"/>
        </w:rPr>
        <w:t>’</w:t>
      </w:r>
      <w:r>
        <w:rPr>
          <w:b/>
          <w:lang w:val="fr-FR"/>
        </w:rPr>
        <w:t>infrastructure de marché, de la création de nouveaux produits et des sources de financement de la microfinance</w:t>
      </w:r>
      <w:r w:rsidR="00F17604" w:rsidRPr="00B7089C">
        <w:rPr>
          <w:b/>
          <w:lang w:val="fr-FR"/>
        </w:rPr>
        <w:t xml:space="preserve"> (</w:t>
      </w:r>
      <w:r w:rsidRPr="00B7089C">
        <w:rPr>
          <w:b/>
          <w:lang w:val="fr-FR"/>
        </w:rPr>
        <w:t>1,</w:t>
      </w:r>
      <w:r w:rsidR="00F17604" w:rsidRPr="00B7089C">
        <w:rPr>
          <w:b/>
          <w:lang w:val="fr-FR"/>
        </w:rPr>
        <w:t>5 million</w:t>
      </w:r>
      <w:r>
        <w:rPr>
          <w:b/>
          <w:lang w:val="fr-FR"/>
        </w:rPr>
        <w:t xml:space="preserve"> de dollars</w:t>
      </w:r>
      <w:r w:rsidR="00F17604" w:rsidRPr="00B9386C">
        <w:rPr>
          <w:b/>
          <w:lang w:val="fr-FR"/>
        </w:rPr>
        <w:t xml:space="preserve">) </w:t>
      </w:r>
    </w:p>
    <w:p w:rsidR="00F17604" w:rsidRPr="00B9386C" w:rsidRDefault="00F17604" w:rsidP="00F17604">
      <w:pPr>
        <w:pStyle w:val="ListParagraph"/>
        <w:rPr>
          <w:lang w:val="fr-FR"/>
        </w:rPr>
      </w:pPr>
    </w:p>
    <w:p w:rsidR="00F17604" w:rsidRPr="009D5297" w:rsidRDefault="00B7089C" w:rsidP="00F17604">
      <w:pPr>
        <w:numPr>
          <w:ilvl w:val="0"/>
          <w:numId w:val="10"/>
        </w:numPr>
        <w:tabs>
          <w:tab w:val="clear" w:pos="360"/>
          <w:tab w:val="num" w:pos="0"/>
        </w:tabs>
        <w:jc w:val="both"/>
        <w:rPr>
          <w:lang w:val="fr-FR"/>
        </w:rPr>
      </w:pPr>
      <w:r w:rsidRPr="009D5297">
        <w:rPr>
          <w:lang w:val="fr-FR"/>
        </w:rPr>
        <w:t>Cette composante porte sur les activités visant à</w:t>
      </w:r>
      <w:r w:rsidR="00F17604" w:rsidRPr="00B9386C">
        <w:rPr>
          <w:lang w:val="fr-FR"/>
        </w:rPr>
        <w:t xml:space="preserve"> </w:t>
      </w:r>
      <w:r w:rsidR="00F17604" w:rsidRPr="009D5297">
        <w:rPr>
          <w:lang w:val="fr-FR"/>
        </w:rPr>
        <w:t xml:space="preserve">a) </w:t>
      </w:r>
      <w:r w:rsidR="009D5297">
        <w:rPr>
          <w:lang w:val="fr-FR"/>
        </w:rPr>
        <w:t>créer des plate</w:t>
      </w:r>
      <w:r w:rsidR="009D5297" w:rsidRPr="009D5297">
        <w:rPr>
          <w:lang w:val="fr-FR"/>
        </w:rPr>
        <w:t>formes communes pour améliorer l</w:t>
      </w:r>
      <w:r w:rsidR="003258B5">
        <w:rPr>
          <w:lang w:val="fr-FR"/>
        </w:rPr>
        <w:t>’</w:t>
      </w:r>
      <w:r w:rsidR="009D5297" w:rsidRPr="009D5297">
        <w:rPr>
          <w:lang w:val="fr-FR"/>
        </w:rPr>
        <w:t>efficience et l</w:t>
      </w:r>
      <w:r w:rsidR="003258B5">
        <w:rPr>
          <w:lang w:val="fr-FR"/>
        </w:rPr>
        <w:t>’</w:t>
      </w:r>
      <w:r w:rsidR="009D5297" w:rsidRPr="009D5297">
        <w:rPr>
          <w:lang w:val="fr-FR"/>
        </w:rPr>
        <w:t>efficacité des associations de microcrédit</w:t>
      </w:r>
      <w:r w:rsidR="00F17604" w:rsidRPr="00B9386C">
        <w:rPr>
          <w:lang w:val="fr-FR"/>
        </w:rPr>
        <w:t xml:space="preserve">, </w:t>
      </w:r>
      <w:r w:rsidR="00F17604" w:rsidRPr="009D5297">
        <w:rPr>
          <w:lang w:val="fr-FR"/>
        </w:rPr>
        <w:t xml:space="preserve">b) </w:t>
      </w:r>
      <w:r w:rsidR="009D5297" w:rsidRPr="009D5297">
        <w:rPr>
          <w:lang w:val="fr-FR"/>
        </w:rPr>
        <w:t>mettre en place une infrastructure de marché à l</w:t>
      </w:r>
      <w:r w:rsidR="003258B5">
        <w:rPr>
          <w:lang w:val="fr-FR"/>
        </w:rPr>
        <w:t>’</w:t>
      </w:r>
      <w:r w:rsidR="009D5297" w:rsidRPr="009D5297">
        <w:rPr>
          <w:lang w:val="fr-FR"/>
        </w:rPr>
        <w:t>appui des micro-entreprises, et</w:t>
      </w:r>
      <w:r w:rsidR="00F17604" w:rsidRPr="009D5297">
        <w:rPr>
          <w:lang w:val="fr-FR"/>
        </w:rPr>
        <w:t xml:space="preserve"> c</w:t>
      </w:r>
      <w:r w:rsidR="00F17604" w:rsidRPr="00B9386C">
        <w:rPr>
          <w:lang w:val="fr-FR"/>
        </w:rPr>
        <w:t>)</w:t>
      </w:r>
      <w:r w:rsidR="009D5297">
        <w:rPr>
          <w:lang w:val="fr-FR"/>
        </w:rPr>
        <w:t xml:space="preserve"> promouvoir le renforcement et la diversification des financements</w:t>
      </w:r>
      <w:r w:rsidR="00F17604" w:rsidRPr="00B9386C">
        <w:rPr>
          <w:lang w:val="fr-FR"/>
        </w:rPr>
        <w:t xml:space="preserve">. </w:t>
      </w:r>
    </w:p>
    <w:p w:rsidR="00F17604" w:rsidRPr="00B9386C" w:rsidRDefault="00F17604" w:rsidP="00F17604">
      <w:pPr>
        <w:jc w:val="both"/>
        <w:rPr>
          <w:b/>
          <w:lang w:val="fr-FR"/>
        </w:rPr>
      </w:pPr>
    </w:p>
    <w:p w:rsidR="00F17604" w:rsidRPr="00B9386C" w:rsidRDefault="009D5297" w:rsidP="00F17604">
      <w:pPr>
        <w:pStyle w:val="ListParagraph"/>
        <w:numPr>
          <w:ilvl w:val="0"/>
          <w:numId w:val="15"/>
        </w:numPr>
        <w:jc w:val="both"/>
        <w:rPr>
          <w:b/>
          <w:lang w:val="fr-FR"/>
        </w:rPr>
      </w:pPr>
      <w:r>
        <w:rPr>
          <w:i/>
          <w:lang w:val="fr-FR"/>
        </w:rPr>
        <w:t>Promouvoir la création de plateformes communes novatrices et de nouveaux produits parmi les IMF</w:t>
      </w:r>
      <w:r w:rsidR="00F17604" w:rsidRPr="00B9386C">
        <w:rPr>
          <w:i/>
          <w:lang w:val="fr-FR"/>
        </w:rPr>
        <w:t>.</w:t>
      </w:r>
      <w:r>
        <w:rPr>
          <w:i/>
          <w:lang w:val="fr-FR"/>
        </w:rPr>
        <w:t xml:space="preserve"> </w:t>
      </w:r>
      <w:r>
        <w:rPr>
          <w:lang w:val="fr-FR"/>
        </w:rPr>
        <w:t>Cette sous-composante appuiera la création de plateformes communes</w:t>
      </w:r>
      <w:r w:rsidR="00C11C70">
        <w:rPr>
          <w:lang w:val="fr-FR"/>
        </w:rPr>
        <w:t xml:space="preserve">, </w:t>
      </w:r>
      <w:r>
        <w:rPr>
          <w:lang w:val="fr-FR"/>
        </w:rPr>
        <w:t>de systèmes et de produits destinés à améliorer l</w:t>
      </w:r>
      <w:r w:rsidR="003258B5">
        <w:rPr>
          <w:lang w:val="fr-FR"/>
        </w:rPr>
        <w:t>’</w:t>
      </w:r>
      <w:r>
        <w:rPr>
          <w:lang w:val="fr-FR"/>
        </w:rPr>
        <w:t>efficience et l</w:t>
      </w:r>
      <w:r w:rsidR="003258B5">
        <w:rPr>
          <w:lang w:val="fr-FR"/>
        </w:rPr>
        <w:t>’</w:t>
      </w:r>
      <w:r>
        <w:rPr>
          <w:lang w:val="fr-FR"/>
        </w:rPr>
        <w:t>efficacité des IMF</w:t>
      </w:r>
      <w:r w:rsidR="00F17604" w:rsidRPr="00B9386C">
        <w:rPr>
          <w:lang w:val="fr-FR"/>
        </w:rPr>
        <w:t>.</w:t>
      </w:r>
      <w:r>
        <w:rPr>
          <w:lang w:val="fr-FR"/>
        </w:rPr>
        <w:t xml:space="preserve"> Les activités incluront la réalisation d</w:t>
      </w:r>
      <w:r w:rsidR="003258B5">
        <w:rPr>
          <w:lang w:val="fr-FR"/>
        </w:rPr>
        <w:t>’</w:t>
      </w:r>
      <w:r>
        <w:rPr>
          <w:lang w:val="fr-FR"/>
        </w:rPr>
        <w:t>études sur le développement de nouveaux produits destinés au secteur de la microfinance et la création d</w:t>
      </w:r>
      <w:r w:rsidR="003258B5">
        <w:rPr>
          <w:lang w:val="fr-FR"/>
        </w:rPr>
        <w:t>’</w:t>
      </w:r>
      <w:r>
        <w:rPr>
          <w:lang w:val="fr-FR"/>
        </w:rPr>
        <w:t>une plateforme de services bancaires par téléphonie mobile destinée aux IMF</w:t>
      </w:r>
      <w:r w:rsidR="00F17604" w:rsidRPr="00B9386C">
        <w:rPr>
          <w:lang w:val="fr-FR"/>
        </w:rPr>
        <w:t>,</w:t>
      </w:r>
      <w:r>
        <w:rPr>
          <w:lang w:val="fr-FR"/>
        </w:rPr>
        <w:t xml:space="preserve"> qui devrait transformer le secteur en réduisant sensiblement les coûts de transaction des transferts de fonds au profit des</w:t>
      </w:r>
      <w:r w:rsidRPr="009D5297">
        <w:rPr>
          <w:lang w:val="fr-FR"/>
        </w:rPr>
        <w:t xml:space="preserve"> micro-entreprises </w:t>
      </w:r>
      <w:r>
        <w:rPr>
          <w:lang w:val="fr-FR"/>
        </w:rPr>
        <w:t>et d</w:t>
      </w:r>
      <w:r w:rsidRPr="009D5297">
        <w:rPr>
          <w:lang w:val="fr-FR"/>
        </w:rPr>
        <w:t>es ménages à faible revenu</w:t>
      </w:r>
      <w:r w:rsidR="00F17604" w:rsidRPr="00B9386C">
        <w:rPr>
          <w:lang w:val="fr-FR"/>
        </w:rPr>
        <w:t xml:space="preserve">. </w:t>
      </w:r>
      <w:r>
        <w:rPr>
          <w:lang w:val="fr-FR"/>
        </w:rPr>
        <w:t xml:space="preserve">Parmi les autres activités proposées </w:t>
      </w:r>
      <w:r w:rsidR="003258B5">
        <w:rPr>
          <w:lang w:val="fr-FR"/>
        </w:rPr>
        <w:t>figure</w:t>
      </w:r>
      <w:r>
        <w:rPr>
          <w:lang w:val="fr-FR"/>
        </w:rPr>
        <w:t xml:space="preserve"> </w:t>
      </w:r>
      <w:r w:rsidR="00C11C70">
        <w:rPr>
          <w:lang w:val="fr-FR"/>
        </w:rPr>
        <w:t>la conception</w:t>
      </w:r>
      <w:r>
        <w:rPr>
          <w:lang w:val="fr-FR"/>
        </w:rPr>
        <w:t xml:space="preserve"> d</w:t>
      </w:r>
      <w:r w:rsidR="003258B5">
        <w:rPr>
          <w:lang w:val="fr-FR"/>
        </w:rPr>
        <w:t>’</w:t>
      </w:r>
      <w:r>
        <w:rPr>
          <w:lang w:val="fr-FR"/>
        </w:rPr>
        <w:t>un programme de formation et de certification à l</w:t>
      </w:r>
      <w:r w:rsidR="003258B5">
        <w:rPr>
          <w:lang w:val="fr-FR"/>
        </w:rPr>
        <w:t>’</w:t>
      </w:r>
      <w:r>
        <w:rPr>
          <w:lang w:val="fr-FR"/>
        </w:rPr>
        <w:t>intention des responsables des AMC.</w:t>
      </w:r>
    </w:p>
    <w:p w:rsidR="00F17604" w:rsidRPr="00B9386C" w:rsidRDefault="00F17604" w:rsidP="00F17604">
      <w:pPr>
        <w:pStyle w:val="ListParagraph"/>
        <w:jc w:val="both"/>
        <w:rPr>
          <w:b/>
          <w:lang w:val="fr-FR"/>
        </w:rPr>
      </w:pPr>
    </w:p>
    <w:p w:rsidR="00F17604" w:rsidRPr="00B9386C" w:rsidRDefault="00622745" w:rsidP="00F17604">
      <w:pPr>
        <w:pStyle w:val="ListParagraph"/>
        <w:widowControl w:val="0"/>
        <w:numPr>
          <w:ilvl w:val="0"/>
          <w:numId w:val="15"/>
        </w:numPr>
        <w:autoSpaceDE w:val="0"/>
        <w:autoSpaceDN w:val="0"/>
        <w:adjustRightInd w:val="0"/>
        <w:jc w:val="both"/>
        <w:rPr>
          <w:b/>
          <w:lang w:val="fr-FR"/>
        </w:rPr>
      </w:pPr>
      <w:r>
        <w:rPr>
          <w:i/>
          <w:lang w:val="fr-FR"/>
        </w:rPr>
        <w:t>Mettre en place une infrastructure de marché pour les micro-entrepreneurs </w:t>
      </w:r>
      <w:r w:rsidR="00F17604" w:rsidRPr="00B9386C">
        <w:rPr>
          <w:i/>
          <w:lang w:val="fr-FR"/>
        </w:rPr>
        <w:t>:</w:t>
      </w:r>
      <w:r w:rsidR="00F17604" w:rsidRPr="00B9386C">
        <w:rPr>
          <w:lang w:val="fr-FR"/>
        </w:rPr>
        <w:t xml:space="preserve"> </w:t>
      </w:r>
      <w:r>
        <w:rPr>
          <w:lang w:val="fr-FR"/>
        </w:rPr>
        <w:t>C</w:t>
      </w:r>
      <w:r w:rsidRPr="00622745">
        <w:rPr>
          <w:lang w:val="fr-FR"/>
        </w:rPr>
        <w:t>et</w:t>
      </w:r>
      <w:r>
        <w:rPr>
          <w:lang w:val="fr-FR"/>
        </w:rPr>
        <w:t>te</w:t>
      </w:r>
      <w:r w:rsidRPr="00622745">
        <w:rPr>
          <w:lang w:val="fr-FR"/>
        </w:rPr>
        <w:t xml:space="preserve"> sou</w:t>
      </w:r>
      <w:r>
        <w:rPr>
          <w:lang w:val="fr-FR"/>
        </w:rPr>
        <w:t>s-</w:t>
      </w:r>
      <w:r w:rsidRPr="00622745">
        <w:rPr>
          <w:lang w:val="fr-FR"/>
        </w:rPr>
        <w:t>compos</w:t>
      </w:r>
      <w:r>
        <w:rPr>
          <w:lang w:val="fr-FR"/>
        </w:rPr>
        <w:t>ante</w:t>
      </w:r>
      <w:r w:rsidRPr="00622745">
        <w:rPr>
          <w:lang w:val="fr-FR"/>
        </w:rPr>
        <w:t xml:space="preserve"> appuiera</w:t>
      </w:r>
      <w:r>
        <w:rPr>
          <w:lang w:val="fr-FR"/>
        </w:rPr>
        <w:t xml:space="preserve"> la création d</w:t>
      </w:r>
      <w:r w:rsidR="003258B5">
        <w:rPr>
          <w:lang w:val="fr-FR"/>
        </w:rPr>
        <w:t>’</w:t>
      </w:r>
      <w:r>
        <w:rPr>
          <w:lang w:val="fr-FR"/>
        </w:rPr>
        <w:t>une infrastructure de marché visant à faciliter l</w:t>
      </w:r>
      <w:r w:rsidR="003258B5">
        <w:rPr>
          <w:lang w:val="fr-FR"/>
        </w:rPr>
        <w:t>’</w:t>
      </w:r>
      <w:r>
        <w:rPr>
          <w:lang w:val="fr-FR"/>
        </w:rPr>
        <w:t>accès des micro-entreprises aux marchés. Parmi les activités qui bénéficieront d</w:t>
      </w:r>
      <w:r w:rsidR="003258B5">
        <w:rPr>
          <w:lang w:val="fr-FR"/>
        </w:rPr>
        <w:t>’</w:t>
      </w:r>
      <w:r>
        <w:rPr>
          <w:lang w:val="fr-FR"/>
        </w:rPr>
        <w:t xml:space="preserve">un appui figurent </w:t>
      </w:r>
      <w:r w:rsidR="00C04211">
        <w:rPr>
          <w:lang w:val="fr-FR"/>
        </w:rPr>
        <w:t>la réalisation d’</w:t>
      </w:r>
      <w:r>
        <w:rPr>
          <w:lang w:val="fr-FR"/>
        </w:rPr>
        <w:t>études sur la façon dont les micro-entreprises peuvent améliorer la commercialisation de leurs produits, l</w:t>
      </w:r>
      <w:r w:rsidR="003258B5">
        <w:rPr>
          <w:lang w:val="fr-FR"/>
        </w:rPr>
        <w:t>’</w:t>
      </w:r>
      <w:r>
        <w:rPr>
          <w:lang w:val="fr-FR"/>
        </w:rPr>
        <w:t>élaboration d</w:t>
      </w:r>
      <w:r w:rsidR="003258B5">
        <w:rPr>
          <w:lang w:val="fr-FR"/>
        </w:rPr>
        <w:t>’</w:t>
      </w:r>
      <w:r>
        <w:rPr>
          <w:lang w:val="fr-FR"/>
        </w:rPr>
        <w:t xml:space="preserve">une plateforme électronique permettant aux micro-entreprises de commercialiser leurs </w:t>
      </w:r>
      <w:r w:rsidR="00C04211">
        <w:rPr>
          <w:lang w:val="fr-FR"/>
        </w:rPr>
        <w:t>produits</w:t>
      </w:r>
      <w:r>
        <w:rPr>
          <w:lang w:val="fr-FR"/>
        </w:rPr>
        <w:t xml:space="preserve"> ou le développement d</w:t>
      </w:r>
      <w:r w:rsidR="003258B5">
        <w:rPr>
          <w:lang w:val="fr-FR"/>
        </w:rPr>
        <w:t>’</w:t>
      </w:r>
      <w:r>
        <w:rPr>
          <w:lang w:val="fr-FR"/>
        </w:rPr>
        <w:t>une plateforme de projet électronique grâce à laquelle les micro-entrepreneurs pourront s</w:t>
      </w:r>
      <w:r w:rsidR="003258B5">
        <w:rPr>
          <w:lang w:val="fr-FR"/>
        </w:rPr>
        <w:t>’</w:t>
      </w:r>
      <w:r>
        <w:rPr>
          <w:lang w:val="fr-FR"/>
        </w:rPr>
        <w:t>informer sur les modèles opérationnels novateurs, et le soutien la création d</w:t>
      </w:r>
      <w:r w:rsidR="003258B5">
        <w:rPr>
          <w:lang w:val="fr-FR"/>
        </w:rPr>
        <w:t>’</w:t>
      </w:r>
      <w:r>
        <w:rPr>
          <w:lang w:val="fr-FR"/>
        </w:rPr>
        <w:t xml:space="preserve">un mécanisme de médiation du microcrédit dans le cadre du centre de médiation de </w:t>
      </w:r>
      <w:r w:rsidR="00F17604" w:rsidRPr="00B9386C">
        <w:rPr>
          <w:lang w:val="fr-FR"/>
        </w:rPr>
        <w:t xml:space="preserve">BAM. </w:t>
      </w:r>
    </w:p>
    <w:p w:rsidR="00F17604" w:rsidRPr="00B9386C" w:rsidRDefault="00F17604" w:rsidP="00F17604">
      <w:pPr>
        <w:widowControl w:val="0"/>
        <w:autoSpaceDE w:val="0"/>
        <w:autoSpaceDN w:val="0"/>
        <w:adjustRightInd w:val="0"/>
        <w:jc w:val="both"/>
        <w:rPr>
          <w:b/>
          <w:lang w:val="fr-FR"/>
        </w:rPr>
      </w:pPr>
    </w:p>
    <w:p w:rsidR="00F17604" w:rsidRPr="00B9386C" w:rsidRDefault="00622745" w:rsidP="00F17604">
      <w:pPr>
        <w:pStyle w:val="ListParagraph"/>
        <w:numPr>
          <w:ilvl w:val="0"/>
          <w:numId w:val="15"/>
        </w:numPr>
        <w:jc w:val="both"/>
        <w:rPr>
          <w:lang w:val="fr-FR"/>
        </w:rPr>
      </w:pPr>
      <w:r>
        <w:rPr>
          <w:i/>
          <w:lang w:val="fr-FR"/>
        </w:rPr>
        <w:t>Renforcer et diversifier les sources de financement </w:t>
      </w:r>
      <w:r w:rsidR="00F17604" w:rsidRPr="00B9386C">
        <w:rPr>
          <w:i/>
          <w:lang w:val="fr-FR"/>
        </w:rPr>
        <w:t>:</w:t>
      </w:r>
      <w:r w:rsidR="00F17604" w:rsidRPr="00B9386C">
        <w:rPr>
          <w:lang w:val="fr-FR"/>
        </w:rPr>
        <w:t xml:space="preserve"> </w:t>
      </w:r>
      <w:r w:rsidR="003258B5">
        <w:rPr>
          <w:lang w:val="fr-FR"/>
        </w:rPr>
        <w:t>Cette</w:t>
      </w:r>
      <w:r w:rsidRPr="00622745">
        <w:rPr>
          <w:lang w:val="fr-FR"/>
        </w:rPr>
        <w:t xml:space="preserve"> sous-composante vise à appuyer les activités</w:t>
      </w:r>
      <w:r>
        <w:rPr>
          <w:lang w:val="fr-FR"/>
        </w:rPr>
        <w:t xml:space="preserve"> </w:t>
      </w:r>
      <w:r w:rsidRPr="00622745">
        <w:rPr>
          <w:lang w:val="fr-FR"/>
        </w:rPr>
        <w:t>qui contribueront à éclairer les responsables de l</w:t>
      </w:r>
      <w:r w:rsidR="003258B5">
        <w:rPr>
          <w:lang w:val="fr-FR"/>
        </w:rPr>
        <w:t>’</w:t>
      </w:r>
      <w:r w:rsidRPr="00622745">
        <w:rPr>
          <w:lang w:val="fr-FR"/>
        </w:rPr>
        <w:t xml:space="preserve">action publique, les organismes de réglementation et de </w:t>
      </w:r>
      <w:r>
        <w:rPr>
          <w:lang w:val="fr-FR"/>
        </w:rPr>
        <w:t>surveillance</w:t>
      </w:r>
      <w:r w:rsidRPr="00622745">
        <w:rPr>
          <w:lang w:val="fr-FR"/>
        </w:rPr>
        <w:t xml:space="preserve"> et les IMF sur la façon dont le secteur </w:t>
      </w:r>
      <w:r>
        <w:rPr>
          <w:lang w:val="fr-FR"/>
        </w:rPr>
        <w:t xml:space="preserve">de la microfinance </w:t>
      </w:r>
      <w:r w:rsidRPr="00622745">
        <w:rPr>
          <w:lang w:val="fr-FR"/>
        </w:rPr>
        <w:t>peut diversifier et renforcer ses sources de financement pour assurer sa viabilité financière à moyen et à long terme</w:t>
      </w:r>
      <w:r w:rsidR="00F17604" w:rsidRPr="00B9386C">
        <w:rPr>
          <w:lang w:val="fr-FR"/>
        </w:rPr>
        <w:t xml:space="preserve">. </w:t>
      </w:r>
      <w:r>
        <w:rPr>
          <w:lang w:val="fr-FR"/>
        </w:rPr>
        <w:t>Parmi les activités proposées figurent entre autres la réalisation d</w:t>
      </w:r>
      <w:r w:rsidR="003258B5">
        <w:rPr>
          <w:lang w:val="fr-FR"/>
        </w:rPr>
        <w:t>’</w:t>
      </w:r>
      <w:r>
        <w:rPr>
          <w:lang w:val="fr-FR"/>
        </w:rPr>
        <w:t>études visant à évaluer</w:t>
      </w:r>
      <w:r w:rsidR="00F17604" w:rsidRPr="00B9386C">
        <w:rPr>
          <w:lang w:val="fr-FR"/>
        </w:rPr>
        <w:t xml:space="preserve"> </w:t>
      </w:r>
      <w:r>
        <w:rPr>
          <w:lang w:val="fr-FR"/>
        </w:rPr>
        <w:t xml:space="preserve">les </w:t>
      </w:r>
      <w:r w:rsidRPr="00622745">
        <w:rPr>
          <w:lang w:val="fr-FR"/>
        </w:rPr>
        <w:t xml:space="preserve">possibilités de refinancement offertes aux IMF et une modification de la réglementation existante </w:t>
      </w:r>
      <w:r w:rsidR="0075006E">
        <w:rPr>
          <w:lang w:val="fr-FR"/>
        </w:rPr>
        <w:t>pour</w:t>
      </w:r>
      <w:r w:rsidRPr="00622745">
        <w:rPr>
          <w:lang w:val="fr-FR"/>
        </w:rPr>
        <w:t xml:space="preserve"> permettre aux IMF d</w:t>
      </w:r>
      <w:r w:rsidR="003258B5">
        <w:rPr>
          <w:lang w:val="fr-FR"/>
        </w:rPr>
        <w:t>’</w:t>
      </w:r>
      <w:r w:rsidRPr="00622745">
        <w:rPr>
          <w:lang w:val="fr-FR"/>
        </w:rPr>
        <w:t>exploiter de nouvelles ressources financières</w:t>
      </w:r>
      <w:r w:rsidR="00F17604" w:rsidRPr="00B9386C">
        <w:rPr>
          <w:lang w:val="fr-FR"/>
        </w:rPr>
        <w:t xml:space="preserve">, </w:t>
      </w:r>
      <w:r>
        <w:rPr>
          <w:lang w:val="fr-FR"/>
        </w:rPr>
        <w:t>ainsi que</w:t>
      </w:r>
      <w:r w:rsidR="00F17604" w:rsidRPr="00B9386C">
        <w:rPr>
          <w:lang w:val="fr-FR"/>
        </w:rPr>
        <w:t xml:space="preserve"> </w:t>
      </w:r>
      <w:r w:rsidRPr="00622745">
        <w:rPr>
          <w:lang w:val="fr-FR"/>
        </w:rPr>
        <w:t xml:space="preserve">la conception </w:t>
      </w:r>
      <w:r w:rsidR="00C04211">
        <w:rPr>
          <w:lang w:val="fr-FR"/>
        </w:rPr>
        <w:t xml:space="preserve">et la création </w:t>
      </w:r>
      <w:r w:rsidRPr="00622745">
        <w:rPr>
          <w:lang w:val="fr-FR"/>
        </w:rPr>
        <w:t>d</w:t>
      </w:r>
      <w:r w:rsidR="003258B5">
        <w:rPr>
          <w:lang w:val="fr-FR"/>
        </w:rPr>
        <w:t>’</w:t>
      </w:r>
      <w:r w:rsidRPr="00622745">
        <w:rPr>
          <w:lang w:val="fr-FR"/>
        </w:rPr>
        <w:t>un mécanisme de garantie incluant toutes les parties prenantes</w:t>
      </w:r>
      <w:r w:rsidR="00F17604" w:rsidRPr="00B9386C">
        <w:rPr>
          <w:lang w:val="fr-FR"/>
        </w:rPr>
        <w:t>.</w:t>
      </w:r>
      <w:r>
        <w:rPr>
          <w:lang w:val="fr-FR"/>
        </w:rPr>
        <w:t xml:space="preserve"> Dans le cadre d</w:t>
      </w:r>
      <w:r w:rsidR="003258B5">
        <w:rPr>
          <w:lang w:val="fr-FR"/>
        </w:rPr>
        <w:t>’</w:t>
      </w:r>
      <w:r>
        <w:rPr>
          <w:lang w:val="fr-FR"/>
        </w:rPr>
        <w:t>une seconde étape, cet</w:t>
      </w:r>
      <w:r w:rsidR="0075006E">
        <w:rPr>
          <w:lang w:val="fr-FR"/>
        </w:rPr>
        <w:t>te</w:t>
      </w:r>
      <w:r>
        <w:rPr>
          <w:lang w:val="fr-FR"/>
        </w:rPr>
        <w:t xml:space="preserve"> sou</w:t>
      </w:r>
      <w:r w:rsidR="0075006E">
        <w:rPr>
          <w:lang w:val="fr-FR"/>
        </w:rPr>
        <w:t>s-composante</w:t>
      </w:r>
      <w:r>
        <w:rPr>
          <w:lang w:val="fr-FR"/>
        </w:rPr>
        <w:t xml:space="preserve"> financerait — sur la base des conclusions des études susmentionnées — la conception et la création de mécanismes </w:t>
      </w:r>
      <w:r w:rsidR="00F17604" w:rsidRPr="00B9386C">
        <w:rPr>
          <w:lang w:val="fr-FR"/>
        </w:rPr>
        <w:t>(</w:t>
      </w:r>
      <w:r>
        <w:rPr>
          <w:lang w:val="fr-FR"/>
        </w:rPr>
        <w:t>fonds de stabilisation, garanties, etc.</w:t>
      </w:r>
      <w:r w:rsidR="0075006E">
        <w:rPr>
          <w:lang w:val="fr-FR"/>
        </w:rPr>
        <w:t xml:space="preserve">) </w:t>
      </w:r>
      <w:r>
        <w:rPr>
          <w:lang w:val="fr-FR"/>
        </w:rPr>
        <w:t>destiné</w:t>
      </w:r>
      <w:r w:rsidR="003258B5">
        <w:rPr>
          <w:lang w:val="fr-FR"/>
        </w:rPr>
        <w:t>s</w:t>
      </w:r>
      <w:r>
        <w:rPr>
          <w:lang w:val="fr-FR"/>
        </w:rPr>
        <w:t xml:space="preserve"> à renforcer la </w:t>
      </w:r>
      <w:r w:rsidR="0075006E">
        <w:rPr>
          <w:lang w:val="fr-FR"/>
        </w:rPr>
        <w:t xml:space="preserve">stabilité et la </w:t>
      </w:r>
      <w:r>
        <w:rPr>
          <w:lang w:val="fr-FR"/>
        </w:rPr>
        <w:t>viabilité financière du secteur</w:t>
      </w:r>
      <w:r w:rsidR="00F17604" w:rsidRPr="00B9386C">
        <w:rPr>
          <w:lang w:val="fr-FR"/>
        </w:rPr>
        <w:t xml:space="preserve">. </w:t>
      </w:r>
    </w:p>
    <w:p w:rsidR="00F17604" w:rsidRPr="00B9386C" w:rsidRDefault="00F17604" w:rsidP="00F17604">
      <w:pPr>
        <w:rPr>
          <w:b/>
          <w:lang w:val="fr-FR"/>
        </w:rPr>
      </w:pPr>
    </w:p>
    <w:p w:rsidR="00F17604" w:rsidRPr="00B9386C" w:rsidRDefault="0075006E" w:rsidP="00F17604">
      <w:pPr>
        <w:widowControl w:val="0"/>
        <w:autoSpaceDE w:val="0"/>
        <w:autoSpaceDN w:val="0"/>
        <w:adjustRightInd w:val="0"/>
        <w:rPr>
          <w:b/>
          <w:lang w:val="fr-FR"/>
        </w:rPr>
      </w:pPr>
      <w:r w:rsidRPr="009B5C3B">
        <w:rPr>
          <w:b/>
          <w:lang w:val="fr-FR"/>
        </w:rPr>
        <w:t xml:space="preserve">Composante </w:t>
      </w:r>
      <w:r w:rsidR="00F17604" w:rsidRPr="009B5C3B">
        <w:rPr>
          <w:b/>
          <w:lang w:val="fr-FR"/>
        </w:rPr>
        <w:t>3</w:t>
      </w:r>
      <w:r>
        <w:rPr>
          <w:b/>
          <w:lang w:val="fr-FR"/>
        </w:rPr>
        <w:t> </w:t>
      </w:r>
      <w:r w:rsidR="00F17604" w:rsidRPr="00B9386C">
        <w:rPr>
          <w:b/>
          <w:lang w:val="fr-FR"/>
        </w:rPr>
        <w:t xml:space="preserve">: </w:t>
      </w:r>
      <w:r>
        <w:rPr>
          <w:b/>
          <w:lang w:val="fr-FR"/>
        </w:rPr>
        <w:t>Intégr</w:t>
      </w:r>
      <w:r w:rsidR="002679CD">
        <w:rPr>
          <w:b/>
          <w:lang w:val="fr-FR"/>
        </w:rPr>
        <w:t>ation de</w:t>
      </w:r>
      <w:r>
        <w:rPr>
          <w:b/>
          <w:lang w:val="fr-FR"/>
        </w:rPr>
        <w:t xml:space="preserve"> la microfinance dans une stratégie nationale d</w:t>
      </w:r>
      <w:r w:rsidR="003258B5">
        <w:rPr>
          <w:b/>
          <w:lang w:val="fr-FR"/>
        </w:rPr>
        <w:t>’</w:t>
      </w:r>
      <w:r>
        <w:rPr>
          <w:b/>
          <w:lang w:val="fr-FR"/>
        </w:rPr>
        <w:t>inclusion financière</w:t>
      </w:r>
      <w:r w:rsidR="00F17604" w:rsidRPr="009B5C3B">
        <w:rPr>
          <w:b/>
          <w:lang w:val="fr-FR"/>
        </w:rPr>
        <w:t xml:space="preserve"> (</w:t>
      </w:r>
      <w:r w:rsidRPr="009B5C3B">
        <w:rPr>
          <w:b/>
          <w:lang w:val="fr-FR"/>
        </w:rPr>
        <w:t>1,</w:t>
      </w:r>
      <w:r w:rsidR="00F17604" w:rsidRPr="009B5C3B">
        <w:rPr>
          <w:b/>
          <w:lang w:val="fr-FR"/>
        </w:rPr>
        <w:t>5 million</w:t>
      </w:r>
      <w:r>
        <w:rPr>
          <w:b/>
          <w:lang w:val="fr-FR"/>
        </w:rPr>
        <w:t xml:space="preserve"> de dollars</w:t>
      </w:r>
      <w:r w:rsidR="00F17604" w:rsidRPr="00B9386C">
        <w:rPr>
          <w:b/>
          <w:lang w:val="fr-FR"/>
        </w:rPr>
        <w:t xml:space="preserve">) </w:t>
      </w:r>
    </w:p>
    <w:p w:rsidR="00F17604" w:rsidRPr="00B9386C" w:rsidRDefault="00F17604" w:rsidP="00F17604">
      <w:pPr>
        <w:overflowPunct w:val="0"/>
        <w:ind w:right="90"/>
        <w:textAlignment w:val="baseline"/>
        <w:rPr>
          <w:lang w:val="fr-FR"/>
        </w:rPr>
      </w:pPr>
    </w:p>
    <w:p w:rsidR="00F17604" w:rsidRPr="00B9386C" w:rsidRDefault="00B25983" w:rsidP="00F17604">
      <w:pPr>
        <w:numPr>
          <w:ilvl w:val="0"/>
          <w:numId w:val="10"/>
        </w:numPr>
        <w:tabs>
          <w:tab w:val="clear" w:pos="360"/>
          <w:tab w:val="num" w:pos="0"/>
        </w:tabs>
        <w:jc w:val="both"/>
        <w:rPr>
          <w:lang w:val="fr-FR"/>
        </w:rPr>
      </w:pPr>
      <w:r>
        <w:rPr>
          <w:lang w:val="fr-FR"/>
        </w:rPr>
        <w:t xml:space="preserve">Cette composante vise à intégrer la feuille de route </w:t>
      </w:r>
      <w:r w:rsidR="00C70DF7">
        <w:rPr>
          <w:lang w:val="fr-FR"/>
        </w:rPr>
        <w:t xml:space="preserve">du pays en matière de microfinance </w:t>
      </w:r>
      <w:r>
        <w:rPr>
          <w:lang w:val="fr-FR"/>
        </w:rPr>
        <w:t xml:space="preserve">dans le cadre plus </w:t>
      </w:r>
      <w:r w:rsidR="00C70DF7">
        <w:rPr>
          <w:lang w:val="fr-FR"/>
        </w:rPr>
        <w:t>général</w:t>
      </w:r>
      <w:r>
        <w:rPr>
          <w:lang w:val="fr-FR"/>
        </w:rPr>
        <w:t xml:space="preserve"> et plus complet d</w:t>
      </w:r>
      <w:r w:rsidR="003258B5">
        <w:rPr>
          <w:lang w:val="fr-FR"/>
        </w:rPr>
        <w:t>’</w:t>
      </w:r>
      <w:r>
        <w:rPr>
          <w:lang w:val="fr-FR"/>
        </w:rPr>
        <w:t>une stratégie nationale d</w:t>
      </w:r>
      <w:r w:rsidR="003258B5">
        <w:rPr>
          <w:lang w:val="fr-FR"/>
        </w:rPr>
        <w:t>’</w:t>
      </w:r>
      <w:r>
        <w:rPr>
          <w:lang w:val="fr-FR"/>
        </w:rPr>
        <w:t>inclusion financière</w:t>
      </w:r>
      <w:r w:rsidR="00F17604" w:rsidRPr="00B9386C">
        <w:rPr>
          <w:lang w:val="fr-FR"/>
        </w:rPr>
        <w:t>.</w:t>
      </w:r>
      <w:r>
        <w:rPr>
          <w:lang w:val="fr-FR"/>
        </w:rPr>
        <w:t xml:space="preserve"> Dans un premier temps, cette composante a pour objectif de réaliser un bilan transversal de toutes les activités, </w:t>
      </w:r>
      <w:r w:rsidR="008F5FCE">
        <w:rPr>
          <w:lang w:val="fr-FR"/>
        </w:rPr>
        <w:t>passées et présentes</w:t>
      </w:r>
      <w:r>
        <w:rPr>
          <w:lang w:val="fr-FR"/>
        </w:rPr>
        <w:t xml:space="preserve">, </w:t>
      </w:r>
      <w:r w:rsidR="008F5FCE">
        <w:rPr>
          <w:lang w:val="fr-FR"/>
        </w:rPr>
        <w:t>engagées pour</w:t>
      </w:r>
      <w:r>
        <w:rPr>
          <w:lang w:val="fr-FR"/>
        </w:rPr>
        <w:t xml:space="preserve"> promouvoir l</w:t>
      </w:r>
      <w:r w:rsidR="003258B5">
        <w:rPr>
          <w:lang w:val="fr-FR"/>
        </w:rPr>
        <w:t>’</w:t>
      </w:r>
      <w:r>
        <w:rPr>
          <w:lang w:val="fr-FR"/>
        </w:rPr>
        <w:t>inclusion financière</w:t>
      </w:r>
      <w:r w:rsidR="003C1894">
        <w:rPr>
          <w:lang w:val="fr-FR"/>
        </w:rPr>
        <w:t>,</w:t>
      </w:r>
      <w:r>
        <w:rPr>
          <w:lang w:val="fr-FR"/>
        </w:rPr>
        <w:t xml:space="preserve"> en </w:t>
      </w:r>
      <w:r w:rsidR="003C1894">
        <w:rPr>
          <w:lang w:val="fr-FR"/>
        </w:rPr>
        <w:t>re</w:t>
      </w:r>
      <w:r>
        <w:rPr>
          <w:lang w:val="fr-FR"/>
        </w:rPr>
        <w:t>plaçan</w:t>
      </w:r>
      <w:r w:rsidR="003C1894">
        <w:rPr>
          <w:lang w:val="fr-FR"/>
        </w:rPr>
        <w:t xml:space="preserve">t le secteur de la microfinance </w:t>
      </w:r>
      <w:r>
        <w:rPr>
          <w:lang w:val="fr-FR"/>
        </w:rPr>
        <w:t xml:space="preserve">dans le contexte </w:t>
      </w:r>
      <w:r w:rsidR="00C70DF7">
        <w:rPr>
          <w:lang w:val="fr-FR"/>
        </w:rPr>
        <w:t>global</w:t>
      </w:r>
      <w:r>
        <w:rPr>
          <w:lang w:val="fr-FR"/>
        </w:rPr>
        <w:t xml:space="preserve"> du développement du secteur financier. Cette composante financera aussi la conception et le déploiement de programmes d</w:t>
      </w:r>
      <w:r w:rsidR="003258B5">
        <w:rPr>
          <w:lang w:val="fr-FR"/>
        </w:rPr>
        <w:t>’</w:t>
      </w:r>
      <w:r>
        <w:rPr>
          <w:lang w:val="fr-FR"/>
        </w:rPr>
        <w:t>activités éducatives en matière financière à l</w:t>
      </w:r>
      <w:r w:rsidR="003258B5">
        <w:rPr>
          <w:lang w:val="fr-FR"/>
        </w:rPr>
        <w:t>’</w:t>
      </w:r>
      <w:r>
        <w:rPr>
          <w:lang w:val="fr-FR"/>
        </w:rPr>
        <w:t>intention des micro-entr</w:t>
      </w:r>
      <w:r w:rsidR="003C1894">
        <w:rPr>
          <w:lang w:val="fr-FR"/>
        </w:rPr>
        <w:t>eprises et des ménages à faible</w:t>
      </w:r>
      <w:r>
        <w:rPr>
          <w:lang w:val="fr-FR"/>
        </w:rPr>
        <w:t xml:space="preserve"> revenu — principaux bénéficiaires de la microfinance — dans le cadre du projet de </w:t>
      </w:r>
      <w:r w:rsidR="003258B5">
        <w:rPr>
          <w:lang w:val="fr-FR"/>
        </w:rPr>
        <w:t>« </w:t>
      </w:r>
      <w:r>
        <w:rPr>
          <w:lang w:val="fr-FR"/>
        </w:rPr>
        <w:t>fondation pour l</w:t>
      </w:r>
      <w:r w:rsidR="003258B5">
        <w:rPr>
          <w:lang w:val="fr-FR"/>
        </w:rPr>
        <w:t>’</w:t>
      </w:r>
      <w:r>
        <w:rPr>
          <w:lang w:val="fr-FR"/>
        </w:rPr>
        <w:t xml:space="preserve">éducation </w:t>
      </w:r>
      <w:r w:rsidR="003258B5">
        <w:rPr>
          <w:lang w:val="fr-FR"/>
        </w:rPr>
        <w:t>financière </w:t>
      </w:r>
      <w:r>
        <w:rPr>
          <w:lang w:val="fr-FR"/>
        </w:rPr>
        <w:t>» qui est en passe d</w:t>
      </w:r>
      <w:r w:rsidR="003258B5">
        <w:rPr>
          <w:lang w:val="fr-FR"/>
        </w:rPr>
        <w:t>’</w:t>
      </w:r>
      <w:r>
        <w:rPr>
          <w:lang w:val="fr-FR"/>
        </w:rPr>
        <w:t xml:space="preserve">être mis en </w:t>
      </w:r>
      <w:r w:rsidR="00C70DF7">
        <w:rPr>
          <w:lang w:val="fr-FR"/>
        </w:rPr>
        <w:t xml:space="preserve">œuvre </w:t>
      </w:r>
      <w:r>
        <w:rPr>
          <w:lang w:val="fr-FR"/>
        </w:rPr>
        <w:t>sous l</w:t>
      </w:r>
      <w:r w:rsidR="003258B5">
        <w:rPr>
          <w:lang w:val="fr-FR"/>
        </w:rPr>
        <w:t>’</w:t>
      </w:r>
      <w:r>
        <w:rPr>
          <w:lang w:val="fr-FR"/>
        </w:rPr>
        <w:t>égide de</w:t>
      </w:r>
      <w:r w:rsidR="00F17604" w:rsidRPr="00B9386C">
        <w:rPr>
          <w:lang w:val="fr-FR"/>
        </w:rPr>
        <w:t xml:space="preserve"> BAM. </w:t>
      </w:r>
      <w:r>
        <w:rPr>
          <w:lang w:val="fr-FR"/>
        </w:rPr>
        <w:t>Cette composante prévoit aussi le financement d</w:t>
      </w:r>
      <w:r w:rsidR="003258B5">
        <w:rPr>
          <w:lang w:val="fr-FR"/>
        </w:rPr>
        <w:t>’</w:t>
      </w:r>
      <w:r>
        <w:rPr>
          <w:lang w:val="fr-FR"/>
        </w:rPr>
        <w:t>études et d</w:t>
      </w:r>
      <w:r w:rsidR="003258B5">
        <w:rPr>
          <w:lang w:val="fr-FR"/>
        </w:rPr>
        <w:t>’</w:t>
      </w:r>
      <w:r>
        <w:rPr>
          <w:lang w:val="fr-FR"/>
        </w:rPr>
        <w:t>évaluation</w:t>
      </w:r>
      <w:r w:rsidR="003C1894">
        <w:rPr>
          <w:lang w:val="fr-FR"/>
        </w:rPr>
        <w:t>s</w:t>
      </w:r>
      <w:r>
        <w:rPr>
          <w:lang w:val="fr-FR"/>
        </w:rPr>
        <w:t xml:space="preserve"> d</w:t>
      </w:r>
      <w:r w:rsidR="003258B5">
        <w:rPr>
          <w:lang w:val="fr-FR"/>
        </w:rPr>
        <w:t>’</w:t>
      </w:r>
      <w:r>
        <w:rPr>
          <w:lang w:val="fr-FR"/>
        </w:rPr>
        <w:t>impact destiné</w:t>
      </w:r>
      <w:r w:rsidR="003C1894">
        <w:rPr>
          <w:lang w:val="fr-FR"/>
        </w:rPr>
        <w:t>es</w:t>
      </w:r>
      <w:r>
        <w:rPr>
          <w:lang w:val="fr-FR"/>
        </w:rPr>
        <w:t xml:space="preserve"> à évaluer l</w:t>
      </w:r>
      <w:r w:rsidR="003258B5">
        <w:rPr>
          <w:lang w:val="fr-FR"/>
        </w:rPr>
        <w:t>’</w:t>
      </w:r>
      <w:r>
        <w:rPr>
          <w:lang w:val="fr-FR"/>
        </w:rPr>
        <w:t>efficacité des politiques publiques et des initiatives privées visant à promouvoir l</w:t>
      </w:r>
      <w:r w:rsidR="003258B5">
        <w:rPr>
          <w:lang w:val="fr-FR"/>
        </w:rPr>
        <w:t>’</w:t>
      </w:r>
      <w:r>
        <w:rPr>
          <w:lang w:val="fr-FR"/>
        </w:rPr>
        <w:t xml:space="preserve">inclusion financière, ainsi que </w:t>
      </w:r>
      <w:r w:rsidR="003C1894">
        <w:rPr>
          <w:lang w:val="fr-FR"/>
        </w:rPr>
        <w:t>les effets de</w:t>
      </w:r>
      <w:r>
        <w:rPr>
          <w:lang w:val="fr-FR"/>
        </w:rPr>
        <w:t xml:space="preserve"> l</w:t>
      </w:r>
      <w:r w:rsidR="003258B5">
        <w:rPr>
          <w:lang w:val="fr-FR"/>
        </w:rPr>
        <w:t>’</w:t>
      </w:r>
      <w:r>
        <w:rPr>
          <w:lang w:val="fr-FR"/>
        </w:rPr>
        <w:t>inclusion financière</w:t>
      </w:r>
      <w:r w:rsidR="003C1894">
        <w:rPr>
          <w:lang w:val="fr-FR"/>
        </w:rPr>
        <w:t xml:space="preserve"> (</w:t>
      </w:r>
      <w:r>
        <w:rPr>
          <w:lang w:val="fr-FR"/>
        </w:rPr>
        <w:t xml:space="preserve">y compris </w:t>
      </w:r>
      <w:r w:rsidR="003C1894">
        <w:rPr>
          <w:lang w:val="fr-FR"/>
        </w:rPr>
        <w:t>dans le domaine de la microfinance)</w:t>
      </w:r>
      <w:r>
        <w:rPr>
          <w:lang w:val="fr-FR"/>
        </w:rPr>
        <w:t xml:space="preserve"> sur la création d</w:t>
      </w:r>
      <w:r w:rsidR="003258B5">
        <w:rPr>
          <w:lang w:val="fr-FR"/>
        </w:rPr>
        <w:t>’</w:t>
      </w:r>
      <w:r>
        <w:rPr>
          <w:lang w:val="fr-FR"/>
        </w:rPr>
        <w:t>emplois, la réduction de la pauvreté et la croissance économique</w:t>
      </w:r>
      <w:r w:rsidR="00F17604" w:rsidRPr="00B9386C">
        <w:rPr>
          <w:lang w:val="fr-FR"/>
        </w:rPr>
        <w:t xml:space="preserve">. </w:t>
      </w:r>
    </w:p>
    <w:p w:rsidR="00F17604" w:rsidRPr="00B9386C" w:rsidRDefault="00F17604" w:rsidP="00F17604">
      <w:pPr>
        <w:pStyle w:val="ListParagraph"/>
        <w:rPr>
          <w:lang w:val="fr-FR"/>
        </w:rPr>
      </w:pPr>
    </w:p>
    <w:p w:rsidR="00F539F1" w:rsidRPr="00B9386C" w:rsidRDefault="003C1894" w:rsidP="00F17604">
      <w:pPr>
        <w:rPr>
          <w:rFonts w:asciiTheme="majorBidi" w:hAnsiTheme="majorBidi" w:cstheme="majorBidi"/>
          <w:b/>
          <w:bCs/>
          <w:lang w:val="fr-FR"/>
        </w:rPr>
      </w:pPr>
      <w:r>
        <w:rPr>
          <w:lang w:val="fr-FR"/>
        </w:rPr>
        <w:t xml:space="preserve">Dans un deuxième temps, cette composante </w:t>
      </w:r>
      <w:r w:rsidR="00DD37B7">
        <w:rPr>
          <w:lang w:val="fr-FR"/>
        </w:rPr>
        <w:t>cherchera</w:t>
      </w:r>
      <w:r>
        <w:rPr>
          <w:lang w:val="fr-FR"/>
        </w:rPr>
        <w:t xml:space="preserve"> à exploiter les </w:t>
      </w:r>
      <w:r w:rsidR="00C70DF7">
        <w:rPr>
          <w:lang w:val="fr-FR"/>
        </w:rPr>
        <w:t>enseignements</w:t>
      </w:r>
      <w:r>
        <w:rPr>
          <w:lang w:val="fr-FR"/>
        </w:rPr>
        <w:t xml:space="preserve"> </w:t>
      </w:r>
      <w:r w:rsidR="00B212CE">
        <w:rPr>
          <w:lang w:val="fr-FR"/>
        </w:rPr>
        <w:t xml:space="preserve">tirés </w:t>
      </w:r>
      <w:r>
        <w:rPr>
          <w:lang w:val="fr-FR"/>
        </w:rPr>
        <w:t xml:space="preserve">des activités susmentionnées </w:t>
      </w:r>
      <w:r w:rsidR="00DD37B7">
        <w:rPr>
          <w:lang w:val="fr-FR"/>
        </w:rPr>
        <w:t>en vue d</w:t>
      </w:r>
      <w:r w:rsidR="003258B5">
        <w:rPr>
          <w:lang w:val="fr-FR"/>
        </w:rPr>
        <w:t>’</w:t>
      </w:r>
      <w:r w:rsidR="00C70DF7">
        <w:rPr>
          <w:lang w:val="fr-FR"/>
        </w:rPr>
        <w:t>atteindre les objectifs</w:t>
      </w:r>
      <w:r w:rsidR="00DD37B7">
        <w:rPr>
          <w:lang w:val="fr-FR"/>
        </w:rPr>
        <w:t xml:space="preserve"> suivants : </w:t>
      </w:r>
      <w:r>
        <w:rPr>
          <w:lang w:val="fr-FR"/>
        </w:rPr>
        <w:t>élaborer une stratégie nationale complète d</w:t>
      </w:r>
      <w:r w:rsidR="003258B5">
        <w:rPr>
          <w:lang w:val="fr-FR"/>
        </w:rPr>
        <w:t>’</w:t>
      </w:r>
      <w:r>
        <w:rPr>
          <w:lang w:val="fr-FR"/>
        </w:rPr>
        <w:t>inclusion financière, préparé</w:t>
      </w:r>
      <w:r w:rsidR="00DD37B7">
        <w:rPr>
          <w:lang w:val="fr-FR"/>
        </w:rPr>
        <w:t>e</w:t>
      </w:r>
      <w:r>
        <w:rPr>
          <w:lang w:val="fr-FR"/>
        </w:rPr>
        <w:t xml:space="preserve"> </w:t>
      </w:r>
      <w:r w:rsidR="00DD37B7">
        <w:rPr>
          <w:lang w:val="fr-FR"/>
        </w:rPr>
        <w:t>dans le cadre d</w:t>
      </w:r>
      <w:r w:rsidR="003258B5">
        <w:rPr>
          <w:lang w:val="fr-FR"/>
        </w:rPr>
        <w:t>’</w:t>
      </w:r>
      <w:r w:rsidR="00DD37B7">
        <w:rPr>
          <w:lang w:val="fr-FR"/>
        </w:rPr>
        <w:t>un</w:t>
      </w:r>
      <w:r>
        <w:rPr>
          <w:lang w:val="fr-FR"/>
        </w:rPr>
        <w:t xml:space="preserve"> processus consultatif structuré auquel participeront toutes les principal</w:t>
      </w:r>
      <w:r w:rsidR="00DD37B7">
        <w:rPr>
          <w:lang w:val="fr-FR"/>
        </w:rPr>
        <w:t>es</w:t>
      </w:r>
      <w:r>
        <w:rPr>
          <w:lang w:val="fr-FR"/>
        </w:rPr>
        <w:t xml:space="preserve"> parties prenantes</w:t>
      </w:r>
      <w:r w:rsidR="00DD37B7">
        <w:rPr>
          <w:lang w:val="fr-FR"/>
        </w:rPr>
        <w:t xml:space="preserve"> des secteurs public et privé ; établir </w:t>
      </w:r>
      <w:r>
        <w:rPr>
          <w:lang w:val="fr-FR"/>
        </w:rPr>
        <w:t>un plan d</w:t>
      </w:r>
      <w:r w:rsidR="003258B5">
        <w:rPr>
          <w:lang w:val="fr-FR"/>
        </w:rPr>
        <w:t>’</w:t>
      </w:r>
      <w:r w:rsidR="00DD37B7">
        <w:rPr>
          <w:lang w:val="fr-FR"/>
        </w:rPr>
        <w:t>action assorti</w:t>
      </w:r>
      <w:r>
        <w:rPr>
          <w:lang w:val="fr-FR"/>
        </w:rPr>
        <w:t xml:space="preserve"> </w:t>
      </w:r>
      <w:r w:rsidR="00DD37B7">
        <w:rPr>
          <w:lang w:val="fr-FR"/>
        </w:rPr>
        <w:t>des cibles et d</w:t>
      </w:r>
      <w:r w:rsidR="003258B5">
        <w:rPr>
          <w:lang w:val="fr-FR"/>
        </w:rPr>
        <w:t>’</w:t>
      </w:r>
      <w:r w:rsidR="00DD37B7">
        <w:rPr>
          <w:lang w:val="fr-FR"/>
        </w:rPr>
        <w:t>objectifs</w:t>
      </w:r>
      <w:r>
        <w:rPr>
          <w:lang w:val="fr-FR"/>
        </w:rPr>
        <w:t xml:space="preserve"> précis </w:t>
      </w:r>
      <w:r w:rsidR="00DD37B7">
        <w:rPr>
          <w:lang w:val="fr-FR"/>
        </w:rPr>
        <w:t>en vue d</w:t>
      </w:r>
      <w:r w:rsidR="003258B5">
        <w:rPr>
          <w:lang w:val="fr-FR"/>
        </w:rPr>
        <w:t>’</w:t>
      </w:r>
      <w:r w:rsidR="00DD37B7">
        <w:rPr>
          <w:lang w:val="fr-FR"/>
        </w:rPr>
        <w:t>atteindre</w:t>
      </w:r>
      <w:r>
        <w:rPr>
          <w:lang w:val="fr-FR"/>
        </w:rPr>
        <w:t xml:space="preserve"> les </w:t>
      </w:r>
      <w:r w:rsidR="00DD37B7">
        <w:rPr>
          <w:lang w:val="fr-FR"/>
        </w:rPr>
        <w:t xml:space="preserve">buts </w:t>
      </w:r>
      <w:r w:rsidR="00335D06">
        <w:rPr>
          <w:lang w:val="fr-FR"/>
        </w:rPr>
        <w:t>de</w:t>
      </w:r>
      <w:r w:rsidR="00DD37B7">
        <w:rPr>
          <w:lang w:val="fr-FR"/>
        </w:rPr>
        <w:t xml:space="preserve"> la stratégie ; définir clairement un</w:t>
      </w:r>
      <w:r>
        <w:rPr>
          <w:lang w:val="fr-FR"/>
        </w:rPr>
        <w:t xml:space="preserve"> cadre</w:t>
      </w:r>
      <w:r w:rsidR="00DD37B7">
        <w:rPr>
          <w:lang w:val="fr-FR"/>
        </w:rPr>
        <w:t xml:space="preserve"> de suivi-évaluation permettant de mesurer les progrès accomplis.</w:t>
      </w:r>
    </w:p>
    <w:p w:rsidR="00F17604" w:rsidRPr="00B9386C" w:rsidRDefault="00F17604" w:rsidP="00F17604">
      <w:pPr>
        <w:rPr>
          <w:rFonts w:asciiTheme="majorBidi" w:hAnsiTheme="majorBidi" w:cstheme="majorBidi"/>
          <w:b/>
          <w:bCs/>
          <w:lang w:val="fr-FR"/>
        </w:rPr>
      </w:pPr>
    </w:p>
    <w:bookmarkEnd w:id="16"/>
    <w:p w:rsidR="00D84FCA" w:rsidRPr="00B9386C" w:rsidRDefault="00DD37B7" w:rsidP="00F539F1">
      <w:pPr>
        <w:numPr>
          <w:ilvl w:val="0"/>
          <w:numId w:val="7"/>
        </w:numPr>
        <w:rPr>
          <w:b/>
          <w:lang w:val="fr-FR"/>
        </w:rPr>
      </w:pPr>
      <w:r>
        <w:rPr>
          <w:b/>
          <w:lang w:val="fr-FR"/>
        </w:rPr>
        <w:t xml:space="preserve">Financement </w:t>
      </w:r>
    </w:p>
    <w:tbl>
      <w:tblPr>
        <w:tblW w:w="0" w:type="auto"/>
        <w:tblLook w:val="0000" w:firstRow="0" w:lastRow="0" w:firstColumn="0" w:lastColumn="0" w:noHBand="0" w:noVBand="0"/>
      </w:tblPr>
      <w:tblGrid>
        <w:gridCol w:w="7488"/>
        <w:gridCol w:w="1368"/>
      </w:tblGrid>
      <w:tr w:rsidR="00A706FA" w:rsidRPr="00B9386C">
        <w:tc>
          <w:tcPr>
            <w:tcW w:w="7488" w:type="dxa"/>
          </w:tcPr>
          <w:p w:rsidR="0066204B" w:rsidRPr="00B9386C" w:rsidRDefault="0066204B">
            <w:pPr>
              <w:rPr>
                <w:lang w:val="fr-FR"/>
              </w:rPr>
            </w:pPr>
          </w:p>
          <w:p w:rsidR="00A706FA" w:rsidRPr="00B9386C" w:rsidRDefault="003258B5">
            <w:pPr>
              <w:rPr>
                <w:lang w:val="fr-FR"/>
              </w:rPr>
            </w:pPr>
            <w:r>
              <w:rPr>
                <w:lang w:val="fr-FR"/>
              </w:rPr>
              <w:t>Source </w:t>
            </w:r>
            <w:r w:rsidR="00A706FA" w:rsidRPr="00B9386C">
              <w:rPr>
                <w:lang w:val="fr-FR"/>
              </w:rPr>
              <w:t>:</w:t>
            </w:r>
            <w:bookmarkStart w:id="17" w:name="FINANCINGTAB_PID"/>
            <w:bookmarkEnd w:id="17"/>
            <w:r w:rsidR="005B2956" w:rsidRPr="00B9386C">
              <w:rPr>
                <w:lang w:val="fr-FR"/>
              </w:rPr>
              <w:t xml:space="preserve"> </w:t>
            </w:r>
          </w:p>
          <w:p w:rsidR="0066204B" w:rsidRPr="00B9386C" w:rsidRDefault="00012D71">
            <w:pPr>
              <w:rPr>
                <w:lang w:val="fr-FR"/>
              </w:rPr>
            </w:pPr>
            <w:r w:rsidRPr="00B9386C">
              <w:rPr>
                <w:lang w:val="fr-FR"/>
              </w:rPr>
              <w:t>Emprunteur/</w:t>
            </w:r>
            <w:r w:rsidR="003258B5">
              <w:rPr>
                <w:lang w:val="fr-FR"/>
              </w:rPr>
              <w:t>bénéficiaire</w:t>
            </w:r>
          </w:p>
          <w:p w:rsidR="0066204B" w:rsidRPr="00B9386C" w:rsidRDefault="00012D71">
            <w:pPr>
              <w:rPr>
                <w:lang w:val="fr-FR"/>
              </w:rPr>
            </w:pPr>
            <w:r w:rsidRPr="00B9386C">
              <w:rPr>
                <w:lang w:val="fr-FR"/>
              </w:rPr>
              <w:t>BIRD</w:t>
            </w:r>
          </w:p>
          <w:p w:rsidR="00DE4D49" w:rsidRPr="00B9386C" w:rsidRDefault="00DE4D49">
            <w:pPr>
              <w:rPr>
                <w:lang w:val="fr-FR"/>
              </w:rPr>
            </w:pPr>
            <w:r w:rsidRPr="00B9386C">
              <w:rPr>
                <w:lang w:val="fr-FR"/>
              </w:rPr>
              <w:t>IDA</w:t>
            </w:r>
          </w:p>
        </w:tc>
        <w:tc>
          <w:tcPr>
            <w:tcW w:w="1368" w:type="dxa"/>
          </w:tcPr>
          <w:p w:rsidR="00A706FA" w:rsidRPr="00B9386C" w:rsidRDefault="00A706FA">
            <w:pPr>
              <w:tabs>
                <w:tab w:val="decimal" w:pos="252"/>
              </w:tabs>
              <w:jc w:val="center"/>
              <w:rPr>
                <w:lang w:val="fr-FR"/>
              </w:rPr>
            </w:pPr>
            <w:r w:rsidRPr="00B9386C">
              <w:rPr>
                <w:lang w:val="fr-FR"/>
              </w:rPr>
              <w:t>(</w:t>
            </w:r>
            <w:r w:rsidR="00012D71" w:rsidRPr="009B5C3B">
              <w:rPr>
                <w:lang w:val="fr-FR"/>
              </w:rPr>
              <w:t>millions de dollars</w:t>
            </w:r>
            <w:r w:rsidRPr="00B9386C">
              <w:rPr>
                <w:lang w:val="fr-FR"/>
              </w:rPr>
              <w:t>)</w:t>
            </w:r>
          </w:p>
          <w:p w:rsidR="005B2956" w:rsidRPr="00B9386C" w:rsidRDefault="005B2956">
            <w:pPr>
              <w:tabs>
                <w:tab w:val="decimal" w:pos="252"/>
              </w:tabs>
              <w:jc w:val="center"/>
              <w:rPr>
                <w:lang w:val="fr-FR"/>
              </w:rPr>
            </w:pPr>
          </w:p>
          <w:p w:rsidR="005B2956" w:rsidRPr="00B9386C" w:rsidRDefault="005B2956">
            <w:pPr>
              <w:tabs>
                <w:tab w:val="decimal" w:pos="252"/>
              </w:tabs>
              <w:jc w:val="center"/>
              <w:rPr>
                <w:lang w:val="fr-FR"/>
              </w:rPr>
            </w:pPr>
          </w:p>
          <w:p w:rsidR="005B2956" w:rsidRPr="00B9386C" w:rsidRDefault="005B2956">
            <w:pPr>
              <w:tabs>
                <w:tab w:val="decimal" w:pos="252"/>
              </w:tabs>
              <w:jc w:val="center"/>
              <w:rPr>
                <w:lang w:val="fr-FR"/>
              </w:rPr>
            </w:pPr>
          </w:p>
          <w:p w:rsidR="005B2956" w:rsidRPr="00B9386C" w:rsidRDefault="005B2956" w:rsidP="005B2956">
            <w:pPr>
              <w:tabs>
                <w:tab w:val="decimal" w:pos="252"/>
              </w:tabs>
              <w:rPr>
                <w:lang w:val="fr-FR"/>
              </w:rPr>
            </w:pPr>
          </w:p>
        </w:tc>
      </w:tr>
      <w:tr w:rsidR="009A7D1D" w:rsidRPr="00B9386C">
        <w:tc>
          <w:tcPr>
            <w:tcW w:w="7488" w:type="dxa"/>
          </w:tcPr>
          <w:p w:rsidR="009A7D1D" w:rsidRPr="00B9386C" w:rsidRDefault="00012D71" w:rsidP="00012D71">
            <w:pPr>
              <w:tabs>
                <w:tab w:val="right" w:pos="7200"/>
              </w:tabs>
              <w:rPr>
                <w:lang w:val="fr-FR"/>
              </w:rPr>
            </w:pPr>
            <w:r w:rsidRPr="00B9386C">
              <w:rPr>
                <w:lang w:val="fr-FR"/>
              </w:rPr>
              <w:t xml:space="preserve">Autres </w:t>
            </w:r>
            <w:r w:rsidR="009A7D1D" w:rsidRPr="00B9386C">
              <w:rPr>
                <w:lang w:val="fr-FR"/>
              </w:rPr>
              <w:t>(</w:t>
            </w:r>
            <w:r w:rsidRPr="00B9386C">
              <w:rPr>
                <w:lang w:val="fr-FR"/>
              </w:rPr>
              <w:t>préciser</w:t>
            </w:r>
            <w:r w:rsidR="009A7D1D" w:rsidRPr="00B9386C">
              <w:rPr>
                <w:lang w:val="fr-FR"/>
              </w:rPr>
              <w:t>)</w:t>
            </w:r>
            <w:r w:rsidRPr="00B9386C">
              <w:rPr>
                <w:lang w:val="fr-FR"/>
              </w:rPr>
              <w:t xml:space="preserve"> : </w:t>
            </w:r>
            <w:r w:rsidRPr="009B5C3B">
              <w:rPr>
                <w:lang w:val="fr-FR"/>
              </w:rPr>
              <w:t>Fonds fiduciaire</w:t>
            </w:r>
            <w:r w:rsidR="005B2956" w:rsidRPr="00B9386C">
              <w:rPr>
                <w:lang w:val="fr-FR"/>
              </w:rPr>
              <w:t xml:space="preserve"> (</w:t>
            </w:r>
            <w:r w:rsidRPr="00B9386C">
              <w:rPr>
                <w:lang w:val="fr-FR"/>
              </w:rPr>
              <w:t>don </w:t>
            </w:r>
            <w:r w:rsidR="00537225" w:rsidRPr="00B9386C">
              <w:rPr>
                <w:lang w:val="fr-FR"/>
              </w:rPr>
              <w:t>;</w:t>
            </w:r>
            <w:r w:rsidRPr="00B9386C">
              <w:rPr>
                <w:lang w:val="fr-FR"/>
              </w:rPr>
              <w:t xml:space="preserve"> </w:t>
            </w:r>
            <w:r w:rsidRPr="009B5C3B">
              <w:rPr>
                <w:lang w:val="fr-FR"/>
              </w:rPr>
              <w:t>financement du</w:t>
            </w:r>
            <w:r w:rsidRPr="00B9386C">
              <w:rPr>
                <w:lang w:val="fr-FR"/>
              </w:rPr>
              <w:t xml:space="preserve"> </w:t>
            </w:r>
            <w:r w:rsidRPr="009B5C3B">
              <w:rPr>
                <w:lang w:val="fr-FR"/>
              </w:rPr>
              <w:t>Fonds de</w:t>
            </w:r>
            <w:r w:rsidRPr="00B9386C">
              <w:rPr>
                <w:lang w:val="fr-FR"/>
              </w:rPr>
              <w:t xml:space="preserve"> t</w:t>
            </w:r>
            <w:r w:rsidR="00537225" w:rsidRPr="00006301">
              <w:rPr>
                <w:lang w:val="fr-FR"/>
              </w:rPr>
              <w:t>ransition</w:t>
            </w:r>
            <w:r w:rsidR="005B2956" w:rsidRPr="00B9386C">
              <w:rPr>
                <w:lang w:val="fr-FR"/>
              </w:rPr>
              <w:t>)</w:t>
            </w:r>
          </w:p>
        </w:tc>
        <w:tc>
          <w:tcPr>
            <w:tcW w:w="1368" w:type="dxa"/>
          </w:tcPr>
          <w:p w:rsidR="009A7D1D" w:rsidRPr="00B9386C" w:rsidRDefault="005B2956" w:rsidP="00012D71">
            <w:pPr>
              <w:tabs>
                <w:tab w:val="decimal" w:pos="252"/>
              </w:tabs>
              <w:rPr>
                <w:lang w:val="fr-FR"/>
              </w:rPr>
            </w:pPr>
            <w:r w:rsidRPr="00B9386C">
              <w:rPr>
                <w:lang w:val="fr-FR"/>
              </w:rPr>
              <w:t>US</w:t>
            </w:r>
            <w:r w:rsidR="00012D71" w:rsidRPr="00B9386C">
              <w:rPr>
                <w:lang w:val="fr-FR"/>
              </w:rPr>
              <w:t>D 4,</w:t>
            </w:r>
            <w:r w:rsidR="00537225" w:rsidRPr="00B9386C">
              <w:rPr>
                <w:lang w:val="fr-FR"/>
              </w:rPr>
              <w:t>90</w:t>
            </w:r>
          </w:p>
        </w:tc>
      </w:tr>
      <w:tr w:rsidR="009A7D1D" w:rsidRPr="00B9386C">
        <w:tc>
          <w:tcPr>
            <w:tcW w:w="7488" w:type="dxa"/>
          </w:tcPr>
          <w:p w:rsidR="009A7D1D" w:rsidRPr="00B9386C" w:rsidRDefault="009A7D1D">
            <w:pPr>
              <w:tabs>
                <w:tab w:val="right" w:pos="7200"/>
              </w:tabs>
              <w:rPr>
                <w:lang w:val="fr-FR"/>
              </w:rPr>
            </w:pPr>
          </w:p>
        </w:tc>
        <w:tc>
          <w:tcPr>
            <w:tcW w:w="1368" w:type="dxa"/>
          </w:tcPr>
          <w:p w:rsidR="005B2956" w:rsidRPr="00B9386C" w:rsidRDefault="005B2956" w:rsidP="009A7D1D">
            <w:pPr>
              <w:tabs>
                <w:tab w:val="decimal" w:pos="252"/>
              </w:tabs>
              <w:rPr>
                <w:lang w:val="fr-FR"/>
              </w:rPr>
            </w:pPr>
          </w:p>
          <w:p w:rsidR="005B2956" w:rsidRPr="00B9386C" w:rsidRDefault="009A7D1D" w:rsidP="009A7D1D">
            <w:pPr>
              <w:tabs>
                <w:tab w:val="decimal" w:pos="252"/>
              </w:tabs>
              <w:rPr>
                <w:b/>
                <w:lang w:val="fr-FR"/>
              </w:rPr>
            </w:pPr>
            <w:r w:rsidRPr="00B9386C">
              <w:rPr>
                <w:b/>
                <w:lang w:val="fr-FR"/>
              </w:rPr>
              <w:t>Total</w:t>
            </w:r>
            <w:r w:rsidR="005B2956" w:rsidRPr="00B9386C">
              <w:rPr>
                <w:b/>
                <w:lang w:val="fr-FR"/>
              </w:rPr>
              <w:t xml:space="preserve"> </w:t>
            </w:r>
          </w:p>
          <w:p w:rsidR="009A7D1D" w:rsidRPr="00B9386C" w:rsidRDefault="00012D71" w:rsidP="00537225">
            <w:pPr>
              <w:tabs>
                <w:tab w:val="decimal" w:pos="252"/>
              </w:tabs>
              <w:rPr>
                <w:b/>
                <w:lang w:val="fr-FR"/>
              </w:rPr>
            </w:pPr>
            <w:r w:rsidRPr="00B9386C">
              <w:rPr>
                <w:b/>
                <w:lang w:val="fr-FR"/>
              </w:rPr>
              <w:t>USD 4,</w:t>
            </w:r>
            <w:r w:rsidR="00537225" w:rsidRPr="00B9386C">
              <w:rPr>
                <w:b/>
                <w:lang w:val="fr-FR"/>
              </w:rPr>
              <w:t>90</w:t>
            </w:r>
          </w:p>
        </w:tc>
      </w:tr>
    </w:tbl>
    <w:p w:rsidR="00795977" w:rsidRPr="00B9386C" w:rsidRDefault="00795977">
      <w:pPr>
        <w:rPr>
          <w:lang w:val="fr-FR"/>
        </w:rPr>
      </w:pPr>
    </w:p>
    <w:p w:rsidR="00A706FA" w:rsidRPr="00B9386C" w:rsidRDefault="00012D71" w:rsidP="00D84FCA">
      <w:pPr>
        <w:numPr>
          <w:ilvl w:val="0"/>
          <w:numId w:val="7"/>
        </w:numPr>
        <w:rPr>
          <w:b/>
          <w:lang w:val="fr-FR"/>
        </w:rPr>
      </w:pPr>
      <w:r w:rsidRPr="00B9386C">
        <w:rPr>
          <w:b/>
          <w:lang w:val="fr-FR"/>
        </w:rPr>
        <w:t xml:space="preserve">Exécution </w:t>
      </w:r>
      <w:bookmarkStart w:id="18" w:name="Implementation"/>
    </w:p>
    <w:p w:rsidR="00795977" w:rsidRPr="00B9386C" w:rsidRDefault="00795977" w:rsidP="00795977">
      <w:pPr>
        <w:rPr>
          <w:lang w:val="fr-FR"/>
        </w:rPr>
      </w:pPr>
    </w:p>
    <w:p w:rsidR="00537225" w:rsidRPr="00006301" w:rsidRDefault="006555BC" w:rsidP="00537225">
      <w:pPr>
        <w:pStyle w:val="PDSHeading2"/>
        <w:tabs>
          <w:tab w:val="clear" w:pos="360"/>
          <w:tab w:val="num" w:pos="720"/>
        </w:tabs>
        <w:spacing w:after="240"/>
        <w:ind w:left="360"/>
        <w:rPr>
          <w:lang w:val="fr-FR"/>
        </w:rPr>
      </w:pPr>
      <w:bookmarkStart w:id="19" w:name="InstitutionalImplementationArrangements"/>
      <w:bookmarkStart w:id="20" w:name="Sustainability"/>
      <w:bookmarkEnd w:id="18"/>
      <w:r w:rsidRPr="009B5C3B">
        <w:rPr>
          <w:bCs/>
          <w:lang w:val="fr-FR"/>
        </w:rPr>
        <w:t>Dispositions i</w:t>
      </w:r>
      <w:r w:rsidR="00012D71" w:rsidRPr="009B5C3B">
        <w:rPr>
          <w:bCs/>
          <w:lang w:val="fr-FR"/>
        </w:rPr>
        <w:t>nstitutionnelles</w:t>
      </w:r>
      <w:r w:rsidR="00012D71" w:rsidRPr="00B9386C">
        <w:rPr>
          <w:bCs/>
          <w:lang w:val="fr-FR"/>
        </w:rPr>
        <w:t xml:space="preserve"> et </w:t>
      </w:r>
      <w:r w:rsidRPr="009B5C3B">
        <w:rPr>
          <w:bCs/>
          <w:lang w:val="fr-FR"/>
        </w:rPr>
        <w:t>modalités d</w:t>
      </w:r>
      <w:r w:rsidR="003258B5">
        <w:rPr>
          <w:bCs/>
          <w:lang w:val="fr-FR"/>
        </w:rPr>
        <w:t>’</w:t>
      </w:r>
      <w:r w:rsidRPr="009B5C3B">
        <w:rPr>
          <w:bCs/>
          <w:lang w:val="fr-FR"/>
        </w:rPr>
        <w:t>e</w:t>
      </w:r>
      <w:r w:rsidR="00012D71" w:rsidRPr="009B5C3B">
        <w:rPr>
          <w:bCs/>
          <w:lang w:val="fr-FR"/>
        </w:rPr>
        <w:t>xécution</w:t>
      </w:r>
    </w:p>
    <w:p w:rsidR="00537225" w:rsidRPr="00B9386C" w:rsidRDefault="00537225" w:rsidP="00537225">
      <w:pPr>
        <w:spacing w:after="200"/>
        <w:jc w:val="both"/>
        <w:rPr>
          <w:b/>
          <w:iCs/>
          <w:lang w:val="fr-FR"/>
        </w:rPr>
      </w:pPr>
      <w:r w:rsidRPr="00B9386C">
        <w:rPr>
          <w:b/>
          <w:iCs/>
          <w:lang w:val="fr-FR"/>
        </w:rPr>
        <w:t>Institutions</w:t>
      </w:r>
    </w:p>
    <w:p w:rsidR="00537225" w:rsidRPr="00B9386C" w:rsidRDefault="006555BC" w:rsidP="00537225">
      <w:pPr>
        <w:numPr>
          <w:ilvl w:val="0"/>
          <w:numId w:val="10"/>
        </w:numPr>
        <w:tabs>
          <w:tab w:val="clear" w:pos="360"/>
          <w:tab w:val="num" w:pos="0"/>
        </w:tabs>
        <w:jc w:val="both"/>
        <w:rPr>
          <w:lang w:val="fr-FR"/>
        </w:rPr>
      </w:pPr>
      <w:r>
        <w:rPr>
          <w:lang w:val="fr-FR"/>
        </w:rPr>
        <w:t>Il est proposé de faire exécuter le projet par le ministère de l</w:t>
      </w:r>
      <w:r w:rsidR="003258B5">
        <w:rPr>
          <w:lang w:val="fr-FR"/>
        </w:rPr>
        <w:t>’</w:t>
      </w:r>
      <w:r>
        <w:rPr>
          <w:lang w:val="fr-FR"/>
        </w:rPr>
        <w:t>Économie et des Finances</w:t>
      </w:r>
      <w:r w:rsidR="00537225" w:rsidRPr="00B9386C">
        <w:rPr>
          <w:lang w:val="fr-FR"/>
        </w:rPr>
        <w:t xml:space="preserve">. </w:t>
      </w:r>
      <w:r>
        <w:rPr>
          <w:lang w:val="fr-FR"/>
        </w:rPr>
        <w:t xml:space="preserve">Le ministère est chargé de la réglementation du secteur du microcrédit : ses compétences </w:t>
      </w:r>
      <w:r>
        <w:rPr>
          <w:lang w:val="fr-FR"/>
        </w:rPr>
        <w:lastRenderedPageBreak/>
        <w:t>comprennent entre autres la réglementation du montant maximum des microcrédits (plafonnés aujourd</w:t>
      </w:r>
      <w:r w:rsidR="003258B5">
        <w:rPr>
          <w:lang w:val="fr-FR"/>
        </w:rPr>
        <w:t>’</w:t>
      </w:r>
      <w:r>
        <w:rPr>
          <w:lang w:val="fr-FR"/>
        </w:rPr>
        <w:t>hui à 50 000</w:t>
      </w:r>
      <w:r w:rsidR="00537225" w:rsidRPr="00B9386C">
        <w:rPr>
          <w:lang w:val="fr-FR"/>
        </w:rPr>
        <w:t xml:space="preserve"> </w:t>
      </w:r>
      <w:r>
        <w:rPr>
          <w:lang w:val="fr-FR"/>
        </w:rPr>
        <w:t>dirhams marocains</w:t>
      </w:r>
      <w:r w:rsidR="00537225" w:rsidRPr="00006301">
        <w:rPr>
          <w:lang w:val="fr-FR"/>
        </w:rPr>
        <w:t>)</w:t>
      </w:r>
      <w:r>
        <w:rPr>
          <w:lang w:val="fr-FR"/>
        </w:rPr>
        <w:t>,</w:t>
      </w:r>
      <w:r w:rsidR="00537225" w:rsidRPr="00006301">
        <w:rPr>
          <w:lang w:val="fr-FR"/>
        </w:rPr>
        <w:t xml:space="preserve"> </w:t>
      </w:r>
      <w:r>
        <w:rPr>
          <w:lang w:val="fr-FR"/>
        </w:rPr>
        <w:t>du cadre comptable du secteur, du taux d</w:t>
      </w:r>
      <w:r w:rsidR="003258B5">
        <w:rPr>
          <w:lang w:val="fr-FR"/>
        </w:rPr>
        <w:t>’</w:t>
      </w:r>
      <w:r>
        <w:rPr>
          <w:lang w:val="fr-FR"/>
        </w:rPr>
        <w:t>intérêt maximum et des ratios actif/passif, en consultation avec le conseil consultatif du microcrédit</w:t>
      </w:r>
      <w:r w:rsidR="00537225" w:rsidRPr="00B9386C">
        <w:rPr>
          <w:lang w:val="fr-FR"/>
        </w:rPr>
        <w:t xml:space="preserve">. </w:t>
      </w:r>
      <w:r w:rsidR="00974469">
        <w:rPr>
          <w:lang w:val="fr-FR"/>
        </w:rPr>
        <w:t>En raison de s</w:t>
      </w:r>
      <w:r>
        <w:rPr>
          <w:lang w:val="fr-FR"/>
        </w:rPr>
        <w:t xml:space="preserve">es importantes activités </w:t>
      </w:r>
      <w:r w:rsidR="00974469">
        <w:rPr>
          <w:lang w:val="fr-FR"/>
        </w:rPr>
        <w:t>réglementaires</w:t>
      </w:r>
      <w:r>
        <w:rPr>
          <w:lang w:val="fr-FR"/>
        </w:rPr>
        <w:t>, le ministère de l</w:t>
      </w:r>
      <w:r w:rsidR="003258B5">
        <w:rPr>
          <w:lang w:val="fr-FR"/>
        </w:rPr>
        <w:t>’</w:t>
      </w:r>
      <w:r>
        <w:rPr>
          <w:lang w:val="fr-FR"/>
        </w:rPr>
        <w:t>Économie et des Finances est bien placé pour agir en t</w:t>
      </w:r>
      <w:r w:rsidR="003258B5">
        <w:rPr>
          <w:lang w:val="fr-FR"/>
        </w:rPr>
        <w:t>ant</w:t>
      </w:r>
      <w:r>
        <w:rPr>
          <w:lang w:val="fr-FR"/>
        </w:rPr>
        <w:t xml:space="preserve"> qu</w:t>
      </w:r>
      <w:r w:rsidR="003258B5">
        <w:rPr>
          <w:lang w:val="fr-FR"/>
        </w:rPr>
        <w:t>’</w:t>
      </w:r>
      <w:r>
        <w:rPr>
          <w:lang w:val="fr-FR"/>
        </w:rPr>
        <w:t>organisme d</w:t>
      </w:r>
      <w:r w:rsidR="003258B5">
        <w:rPr>
          <w:lang w:val="fr-FR"/>
        </w:rPr>
        <w:t>’</w:t>
      </w:r>
      <w:r>
        <w:rPr>
          <w:lang w:val="fr-FR"/>
        </w:rPr>
        <w:t>exécution de ce projet transversal</w:t>
      </w:r>
      <w:r w:rsidR="00537225" w:rsidRPr="00B9386C">
        <w:rPr>
          <w:lang w:val="fr-FR"/>
        </w:rPr>
        <w:t xml:space="preserve">. </w:t>
      </w:r>
    </w:p>
    <w:p w:rsidR="00537225" w:rsidRPr="00B9386C" w:rsidRDefault="00537225" w:rsidP="00537225">
      <w:pPr>
        <w:jc w:val="both"/>
        <w:rPr>
          <w:bCs/>
          <w:iCs/>
          <w:lang w:val="fr-FR"/>
        </w:rPr>
      </w:pPr>
    </w:p>
    <w:p w:rsidR="00537225" w:rsidRPr="00006301" w:rsidRDefault="00012D71" w:rsidP="00537225">
      <w:pPr>
        <w:rPr>
          <w:b/>
          <w:bCs/>
          <w:lang w:val="fr-FR"/>
        </w:rPr>
      </w:pPr>
      <w:r w:rsidRPr="009B5C3B">
        <w:rPr>
          <w:b/>
          <w:bCs/>
          <w:lang w:val="fr-FR"/>
        </w:rPr>
        <w:t>Exécution des</w:t>
      </w:r>
      <w:r w:rsidRPr="00B9386C">
        <w:rPr>
          <w:b/>
          <w:bCs/>
          <w:lang w:val="fr-FR"/>
        </w:rPr>
        <w:t xml:space="preserve"> activités</w:t>
      </w:r>
      <w:r w:rsidRPr="00006301">
        <w:rPr>
          <w:b/>
          <w:bCs/>
          <w:lang w:val="fr-FR"/>
        </w:rPr>
        <w:t xml:space="preserve"> </w:t>
      </w:r>
    </w:p>
    <w:p w:rsidR="00537225" w:rsidRPr="00B9386C" w:rsidRDefault="00537225" w:rsidP="00537225">
      <w:pPr>
        <w:rPr>
          <w:lang w:val="fr-FR"/>
        </w:rPr>
      </w:pPr>
    </w:p>
    <w:p w:rsidR="00537225" w:rsidRPr="005047C3" w:rsidRDefault="00B9386C" w:rsidP="00B9386C">
      <w:pPr>
        <w:numPr>
          <w:ilvl w:val="0"/>
          <w:numId w:val="10"/>
        </w:numPr>
        <w:tabs>
          <w:tab w:val="clear" w:pos="360"/>
          <w:tab w:val="num" w:pos="0"/>
        </w:tabs>
        <w:autoSpaceDE w:val="0"/>
        <w:autoSpaceDN w:val="0"/>
        <w:adjustRightInd w:val="0"/>
        <w:jc w:val="both"/>
        <w:rPr>
          <w:lang w:val="fr-FR"/>
        </w:rPr>
      </w:pPr>
      <w:r w:rsidRPr="00B9386C">
        <w:rPr>
          <w:lang w:val="fr-FR"/>
        </w:rPr>
        <w:t xml:space="preserve">Le MEF </w:t>
      </w:r>
      <w:r w:rsidRPr="00B7089C">
        <w:rPr>
          <w:lang w:val="fr-FR"/>
        </w:rPr>
        <w:t>sera responsable</w:t>
      </w:r>
      <w:r w:rsidRPr="00B9386C">
        <w:rPr>
          <w:lang w:val="fr-FR"/>
        </w:rPr>
        <w:t xml:space="preserve"> de la </w:t>
      </w:r>
      <w:r w:rsidRPr="00B7089C">
        <w:rPr>
          <w:lang w:val="fr-FR"/>
        </w:rPr>
        <w:t>mise en</w:t>
      </w:r>
      <w:r w:rsidRPr="00B9386C">
        <w:rPr>
          <w:lang w:val="fr-FR"/>
        </w:rPr>
        <w:t xml:space="preserve"> </w:t>
      </w:r>
      <w:r w:rsidR="005047C3" w:rsidRPr="00B9386C">
        <w:rPr>
          <w:lang w:val="fr-FR"/>
        </w:rPr>
        <w:t>œuvre</w:t>
      </w:r>
      <w:r w:rsidRPr="00B9386C">
        <w:rPr>
          <w:lang w:val="fr-FR"/>
        </w:rPr>
        <w:t xml:space="preserve"> de toutes </w:t>
      </w:r>
      <w:r w:rsidRPr="00B7089C">
        <w:rPr>
          <w:lang w:val="fr-FR"/>
        </w:rPr>
        <w:t>les composantes</w:t>
      </w:r>
      <w:r w:rsidRPr="00B9386C">
        <w:rPr>
          <w:lang w:val="fr-FR"/>
        </w:rPr>
        <w:t xml:space="preserve"> </w:t>
      </w:r>
      <w:r w:rsidRPr="00B7089C">
        <w:rPr>
          <w:lang w:val="fr-FR"/>
        </w:rPr>
        <w:t>du projet</w:t>
      </w:r>
      <w:r w:rsidRPr="00B9386C">
        <w:rPr>
          <w:lang w:val="fr-FR"/>
        </w:rPr>
        <w:t>, avec l</w:t>
      </w:r>
      <w:r w:rsidR="003258B5">
        <w:rPr>
          <w:lang w:val="fr-FR"/>
        </w:rPr>
        <w:t>’</w:t>
      </w:r>
      <w:r w:rsidRPr="00B9386C">
        <w:rPr>
          <w:lang w:val="fr-FR"/>
        </w:rPr>
        <w:t xml:space="preserve">appui </w:t>
      </w:r>
      <w:r w:rsidRPr="00B7089C">
        <w:rPr>
          <w:lang w:val="fr-FR"/>
        </w:rPr>
        <w:t>d</w:t>
      </w:r>
      <w:r w:rsidR="003258B5">
        <w:rPr>
          <w:lang w:val="fr-FR"/>
        </w:rPr>
        <w:t>’</w:t>
      </w:r>
      <w:r w:rsidRPr="00B7089C">
        <w:rPr>
          <w:lang w:val="fr-FR"/>
        </w:rPr>
        <w:t>une équipe</w:t>
      </w:r>
      <w:r>
        <w:rPr>
          <w:lang w:val="fr-FR"/>
        </w:rPr>
        <w:t xml:space="preserve"> </w:t>
      </w:r>
      <w:r w:rsidRPr="00B7089C">
        <w:rPr>
          <w:lang w:val="fr-FR"/>
        </w:rPr>
        <w:t>de projet</w:t>
      </w:r>
      <w:r>
        <w:rPr>
          <w:lang w:val="fr-FR"/>
        </w:rPr>
        <w:t xml:space="preserve"> </w:t>
      </w:r>
      <w:r w:rsidRPr="00B7089C">
        <w:rPr>
          <w:lang w:val="fr-FR"/>
        </w:rPr>
        <w:t>interne et</w:t>
      </w:r>
      <w:r>
        <w:rPr>
          <w:lang w:val="fr-FR"/>
        </w:rPr>
        <w:t xml:space="preserve"> </w:t>
      </w:r>
      <w:r w:rsidRPr="00B9386C">
        <w:rPr>
          <w:lang w:val="fr-FR"/>
        </w:rPr>
        <w:t xml:space="preserve">en étroite </w:t>
      </w:r>
      <w:r w:rsidRPr="00B7089C">
        <w:rPr>
          <w:lang w:val="fr-FR"/>
        </w:rPr>
        <w:t>collaboration avec</w:t>
      </w:r>
      <w:r w:rsidRPr="00B9386C">
        <w:rPr>
          <w:lang w:val="fr-FR"/>
        </w:rPr>
        <w:t xml:space="preserve"> la FNAM, BAM </w:t>
      </w:r>
      <w:r w:rsidRPr="00B7089C">
        <w:rPr>
          <w:lang w:val="fr-FR"/>
        </w:rPr>
        <w:t>et le</w:t>
      </w:r>
      <w:r w:rsidRPr="00B9386C">
        <w:rPr>
          <w:lang w:val="fr-FR"/>
        </w:rPr>
        <w:t xml:space="preserve"> Centre </w:t>
      </w:r>
      <w:r w:rsidRPr="00B7089C">
        <w:rPr>
          <w:lang w:val="fr-FR"/>
        </w:rPr>
        <w:t>Mohammed VI</w:t>
      </w:r>
      <w:r w:rsidRPr="00B9386C">
        <w:rPr>
          <w:lang w:val="fr-FR"/>
        </w:rPr>
        <w:t xml:space="preserve">. Le MEF </w:t>
      </w:r>
      <w:r w:rsidRPr="00B7089C">
        <w:rPr>
          <w:lang w:val="fr-FR"/>
        </w:rPr>
        <w:t>a la</w:t>
      </w:r>
      <w:r w:rsidRPr="00B9386C">
        <w:rPr>
          <w:lang w:val="fr-FR"/>
        </w:rPr>
        <w:t xml:space="preserve"> responsabilité ultime de la </w:t>
      </w:r>
      <w:r w:rsidRPr="00B7089C">
        <w:rPr>
          <w:lang w:val="fr-FR"/>
        </w:rPr>
        <w:t>mise en</w:t>
      </w:r>
      <w:r w:rsidRPr="00B9386C">
        <w:rPr>
          <w:lang w:val="fr-FR"/>
        </w:rPr>
        <w:t xml:space="preserve"> </w:t>
      </w:r>
      <w:r w:rsidR="005047C3" w:rsidRPr="00B9386C">
        <w:rPr>
          <w:lang w:val="fr-FR"/>
        </w:rPr>
        <w:t>œuvre</w:t>
      </w:r>
      <w:r w:rsidRPr="00B9386C">
        <w:rPr>
          <w:lang w:val="fr-FR"/>
        </w:rPr>
        <w:t xml:space="preserve"> </w:t>
      </w:r>
      <w:r w:rsidRPr="00B7089C">
        <w:rPr>
          <w:lang w:val="fr-FR"/>
        </w:rPr>
        <w:t>du projet et</w:t>
      </w:r>
      <w:r w:rsidRPr="00B9386C">
        <w:rPr>
          <w:lang w:val="fr-FR"/>
        </w:rPr>
        <w:t xml:space="preserve"> exerce </w:t>
      </w:r>
      <w:r w:rsidRPr="00B7089C">
        <w:rPr>
          <w:lang w:val="fr-FR"/>
        </w:rPr>
        <w:t>des fonctions de</w:t>
      </w:r>
      <w:r w:rsidRPr="00B9386C">
        <w:rPr>
          <w:lang w:val="fr-FR"/>
        </w:rPr>
        <w:t xml:space="preserve"> surveillance, </w:t>
      </w:r>
      <w:r w:rsidR="00974469">
        <w:rPr>
          <w:lang w:val="fr-FR"/>
        </w:rPr>
        <w:t xml:space="preserve">s’agissant notamment de </w:t>
      </w:r>
      <w:r w:rsidRPr="00B7089C">
        <w:rPr>
          <w:lang w:val="fr-FR"/>
        </w:rPr>
        <w:t>l</w:t>
      </w:r>
      <w:r w:rsidR="003258B5">
        <w:rPr>
          <w:lang w:val="fr-FR"/>
        </w:rPr>
        <w:t>’</w:t>
      </w:r>
      <w:r w:rsidRPr="00B7089C">
        <w:rPr>
          <w:lang w:val="fr-FR"/>
        </w:rPr>
        <w:t>approbation du</w:t>
      </w:r>
      <w:r w:rsidRPr="00B9386C">
        <w:rPr>
          <w:lang w:val="fr-FR"/>
        </w:rPr>
        <w:t xml:space="preserve"> </w:t>
      </w:r>
      <w:r>
        <w:rPr>
          <w:lang w:val="fr-FR"/>
        </w:rPr>
        <w:t xml:space="preserve">Manuel </w:t>
      </w:r>
      <w:r w:rsidRPr="00B9386C">
        <w:rPr>
          <w:lang w:val="fr-FR"/>
        </w:rPr>
        <w:t>opération</w:t>
      </w:r>
      <w:r>
        <w:rPr>
          <w:lang w:val="fr-FR"/>
        </w:rPr>
        <w:t>nel</w:t>
      </w:r>
      <w:r w:rsidR="00974469">
        <w:rPr>
          <w:lang w:val="fr-FR"/>
        </w:rPr>
        <w:t>, d</w:t>
      </w:r>
      <w:r w:rsidRPr="00B9386C">
        <w:rPr>
          <w:lang w:val="fr-FR"/>
        </w:rPr>
        <w:t xml:space="preserve">es </w:t>
      </w:r>
      <w:r w:rsidRPr="00B7089C">
        <w:rPr>
          <w:lang w:val="fr-FR"/>
        </w:rPr>
        <w:t>plans d</w:t>
      </w:r>
      <w:r w:rsidR="005047C3" w:rsidRPr="00B7089C">
        <w:rPr>
          <w:lang w:val="fr-FR"/>
        </w:rPr>
        <w:t>e</w:t>
      </w:r>
      <w:r w:rsidR="005047C3">
        <w:rPr>
          <w:lang w:val="fr-FR"/>
        </w:rPr>
        <w:t xml:space="preserve"> </w:t>
      </w:r>
      <w:r w:rsidR="005047C3" w:rsidRPr="00B7089C">
        <w:rPr>
          <w:lang w:val="fr-FR"/>
        </w:rPr>
        <w:t>travail et</w:t>
      </w:r>
      <w:r w:rsidR="005047C3">
        <w:rPr>
          <w:lang w:val="fr-FR"/>
        </w:rPr>
        <w:t xml:space="preserve"> </w:t>
      </w:r>
      <w:r w:rsidR="00974469">
        <w:rPr>
          <w:lang w:val="fr-FR"/>
        </w:rPr>
        <w:t>d</w:t>
      </w:r>
      <w:r w:rsidRPr="00B9386C">
        <w:rPr>
          <w:lang w:val="fr-FR"/>
        </w:rPr>
        <w:t xml:space="preserve">es budgets, </w:t>
      </w:r>
      <w:r w:rsidR="00974469">
        <w:rPr>
          <w:lang w:val="fr-FR"/>
        </w:rPr>
        <w:t xml:space="preserve">ainsi que de </w:t>
      </w:r>
      <w:r w:rsidRPr="00B9386C">
        <w:rPr>
          <w:lang w:val="fr-FR"/>
        </w:rPr>
        <w:t xml:space="preserve">la surveillance </w:t>
      </w:r>
      <w:r w:rsidRPr="00B7089C">
        <w:rPr>
          <w:lang w:val="fr-FR"/>
        </w:rPr>
        <w:t>de la</w:t>
      </w:r>
      <w:r w:rsidRPr="00B9386C">
        <w:rPr>
          <w:lang w:val="fr-FR"/>
        </w:rPr>
        <w:t xml:space="preserve"> </w:t>
      </w:r>
      <w:r w:rsidRPr="00B7089C">
        <w:rPr>
          <w:lang w:val="fr-FR"/>
        </w:rPr>
        <w:t>mise en</w:t>
      </w:r>
      <w:r w:rsidRPr="00B9386C">
        <w:rPr>
          <w:lang w:val="fr-FR"/>
        </w:rPr>
        <w:t xml:space="preserve"> </w:t>
      </w:r>
      <w:r w:rsidR="005047C3" w:rsidRPr="00B9386C">
        <w:rPr>
          <w:lang w:val="fr-FR"/>
        </w:rPr>
        <w:t>œuvre</w:t>
      </w:r>
      <w:r w:rsidR="005047C3">
        <w:rPr>
          <w:lang w:val="fr-FR"/>
        </w:rPr>
        <w:t xml:space="preserve"> fiduciaire </w:t>
      </w:r>
      <w:r w:rsidR="00974469">
        <w:rPr>
          <w:lang w:val="fr-FR"/>
        </w:rPr>
        <w:t>et d</w:t>
      </w:r>
      <w:r w:rsidRPr="00B7089C">
        <w:rPr>
          <w:lang w:val="fr-FR"/>
        </w:rPr>
        <w:t>es</w:t>
      </w:r>
      <w:r w:rsidRPr="00B9386C">
        <w:rPr>
          <w:lang w:val="fr-FR"/>
        </w:rPr>
        <w:t xml:space="preserve"> progrès </w:t>
      </w:r>
      <w:r w:rsidR="00974469">
        <w:rPr>
          <w:lang w:val="fr-FR"/>
        </w:rPr>
        <w:t>réalisés au plan de l’exécution et d</w:t>
      </w:r>
      <w:r w:rsidRPr="00B7089C">
        <w:rPr>
          <w:lang w:val="fr-FR"/>
        </w:rPr>
        <w:t>es</w:t>
      </w:r>
      <w:r w:rsidRPr="00B9386C">
        <w:rPr>
          <w:lang w:val="fr-FR"/>
        </w:rPr>
        <w:t xml:space="preserve"> </w:t>
      </w:r>
      <w:r w:rsidR="005047C3">
        <w:rPr>
          <w:lang w:val="fr-FR"/>
        </w:rPr>
        <w:t>résulta</w:t>
      </w:r>
      <w:r w:rsidR="005047C3" w:rsidRPr="00B9386C">
        <w:rPr>
          <w:lang w:val="fr-FR"/>
        </w:rPr>
        <w:t>ts</w:t>
      </w:r>
      <w:r w:rsidRPr="00B9386C">
        <w:rPr>
          <w:lang w:val="fr-FR"/>
        </w:rPr>
        <w:t>.</w:t>
      </w:r>
    </w:p>
    <w:p w:rsidR="00596A22" w:rsidRPr="00B9386C" w:rsidRDefault="00596A22" w:rsidP="00596A22">
      <w:pPr>
        <w:jc w:val="both"/>
        <w:rPr>
          <w:bCs/>
          <w:iCs/>
          <w:lang w:val="fr-FR"/>
        </w:rPr>
      </w:pPr>
    </w:p>
    <w:p w:rsidR="00596A22" w:rsidRPr="00B7089C" w:rsidRDefault="005047C3" w:rsidP="00BB426A">
      <w:pPr>
        <w:numPr>
          <w:ilvl w:val="0"/>
          <w:numId w:val="10"/>
        </w:numPr>
        <w:tabs>
          <w:tab w:val="clear" w:pos="360"/>
          <w:tab w:val="num" w:pos="0"/>
        </w:tabs>
        <w:autoSpaceDE w:val="0"/>
        <w:autoSpaceDN w:val="0"/>
        <w:adjustRightInd w:val="0"/>
        <w:jc w:val="both"/>
        <w:rPr>
          <w:lang w:val="fr-FR"/>
        </w:rPr>
      </w:pPr>
      <w:r w:rsidRPr="00BB426A">
        <w:rPr>
          <w:lang w:val="fr-FR"/>
        </w:rPr>
        <w:t xml:space="preserve">Le MEF préparera un </w:t>
      </w:r>
      <w:r w:rsidRPr="00B7089C">
        <w:rPr>
          <w:lang w:val="fr-FR"/>
        </w:rPr>
        <w:t>plan de</w:t>
      </w:r>
      <w:r w:rsidRPr="00BB426A">
        <w:rPr>
          <w:lang w:val="fr-FR"/>
        </w:rPr>
        <w:t xml:space="preserve"> travail décrivant </w:t>
      </w:r>
      <w:r w:rsidRPr="00B7089C">
        <w:rPr>
          <w:lang w:val="fr-FR"/>
        </w:rPr>
        <w:t>les activités</w:t>
      </w:r>
      <w:r w:rsidRPr="00BB426A">
        <w:rPr>
          <w:lang w:val="fr-FR"/>
        </w:rPr>
        <w:t xml:space="preserve">, </w:t>
      </w:r>
      <w:r w:rsidRPr="00B7089C">
        <w:rPr>
          <w:lang w:val="fr-FR"/>
        </w:rPr>
        <w:t>le calendrier</w:t>
      </w:r>
      <w:r w:rsidRPr="00BB426A">
        <w:rPr>
          <w:lang w:val="fr-FR"/>
        </w:rPr>
        <w:t xml:space="preserve"> </w:t>
      </w:r>
      <w:r w:rsidRPr="00B7089C">
        <w:rPr>
          <w:lang w:val="fr-FR"/>
        </w:rPr>
        <w:t>et les</w:t>
      </w:r>
      <w:r w:rsidRPr="00BB426A">
        <w:rPr>
          <w:lang w:val="fr-FR"/>
        </w:rPr>
        <w:t xml:space="preserve"> budgets </w:t>
      </w:r>
      <w:r w:rsidR="00BB426A" w:rsidRPr="00B7089C">
        <w:rPr>
          <w:lang w:val="fr-FR"/>
        </w:rPr>
        <w:t>relatifs à</w:t>
      </w:r>
      <w:r w:rsidRPr="00BB426A">
        <w:rPr>
          <w:lang w:val="fr-FR"/>
        </w:rPr>
        <w:t xml:space="preserve"> </w:t>
      </w:r>
      <w:r w:rsidRPr="00B7089C">
        <w:rPr>
          <w:lang w:val="fr-FR"/>
        </w:rPr>
        <w:t>l</w:t>
      </w:r>
      <w:r w:rsidR="003258B5">
        <w:rPr>
          <w:lang w:val="fr-FR"/>
        </w:rPr>
        <w:t>’</w:t>
      </w:r>
      <w:r w:rsidRPr="00B7089C">
        <w:rPr>
          <w:lang w:val="fr-FR"/>
        </w:rPr>
        <w:t>exécution des</w:t>
      </w:r>
      <w:r w:rsidRPr="00BB426A">
        <w:rPr>
          <w:lang w:val="fr-FR"/>
        </w:rPr>
        <w:t xml:space="preserve"> activités. Il </w:t>
      </w:r>
      <w:r w:rsidR="00BB426A">
        <w:rPr>
          <w:lang w:val="fr-FR"/>
        </w:rPr>
        <w:t>rédigera</w:t>
      </w:r>
      <w:r w:rsidRPr="00BB426A">
        <w:rPr>
          <w:lang w:val="fr-FR"/>
        </w:rPr>
        <w:t xml:space="preserve"> également </w:t>
      </w:r>
      <w:r w:rsidRPr="00B7089C">
        <w:rPr>
          <w:lang w:val="fr-FR"/>
        </w:rPr>
        <w:t>un Manuel</w:t>
      </w:r>
      <w:r w:rsidRPr="00BB426A">
        <w:rPr>
          <w:lang w:val="fr-FR"/>
        </w:rPr>
        <w:t xml:space="preserve"> opérationnel </w:t>
      </w:r>
      <w:r w:rsidR="00BB426A" w:rsidRPr="00BB426A">
        <w:rPr>
          <w:lang w:val="fr-FR"/>
        </w:rPr>
        <w:t xml:space="preserve">qui sera </w:t>
      </w:r>
      <w:r w:rsidR="00BB426A" w:rsidRPr="00B7089C">
        <w:rPr>
          <w:lang w:val="fr-FR"/>
        </w:rPr>
        <w:t>soumis à</w:t>
      </w:r>
      <w:r w:rsidR="00BB426A" w:rsidRPr="00BB426A">
        <w:rPr>
          <w:lang w:val="fr-FR"/>
        </w:rPr>
        <w:t xml:space="preserve"> l</w:t>
      </w:r>
      <w:r w:rsidR="003258B5">
        <w:rPr>
          <w:lang w:val="fr-FR"/>
        </w:rPr>
        <w:t>’</w:t>
      </w:r>
      <w:r w:rsidR="00BB426A" w:rsidRPr="00BB426A">
        <w:rPr>
          <w:lang w:val="fr-FR"/>
        </w:rPr>
        <w:t xml:space="preserve">approbation </w:t>
      </w:r>
      <w:r w:rsidR="00BB426A" w:rsidRPr="00B7089C">
        <w:rPr>
          <w:lang w:val="fr-FR"/>
        </w:rPr>
        <w:t>de la Banque mondiale</w:t>
      </w:r>
      <w:r w:rsidR="00BB426A" w:rsidRPr="00BB426A">
        <w:rPr>
          <w:lang w:val="fr-FR"/>
        </w:rPr>
        <w:t xml:space="preserve"> </w:t>
      </w:r>
      <w:r w:rsidR="007C6F62">
        <w:rPr>
          <w:lang w:val="fr-FR"/>
        </w:rPr>
        <w:t>selon la</w:t>
      </w:r>
      <w:r w:rsidR="00BB426A" w:rsidRPr="00BB426A">
        <w:rPr>
          <w:lang w:val="fr-FR"/>
        </w:rPr>
        <w:t xml:space="preserve"> règle de</w:t>
      </w:r>
      <w:r w:rsidRPr="00BB426A">
        <w:rPr>
          <w:lang w:val="fr-FR"/>
        </w:rPr>
        <w:t xml:space="preserve"> </w:t>
      </w:r>
      <w:r w:rsidRPr="00B7089C">
        <w:rPr>
          <w:lang w:val="fr-FR"/>
        </w:rPr>
        <w:t>non-objection</w:t>
      </w:r>
      <w:r w:rsidRPr="00BB426A">
        <w:rPr>
          <w:lang w:val="fr-FR"/>
        </w:rPr>
        <w:t xml:space="preserve"> </w:t>
      </w:r>
      <w:r w:rsidRPr="00B7089C">
        <w:rPr>
          <w:lang w:val="fr-FR"/>
        </w:rPr>
        <w:t>et sera</w:t>
      </w:r>
      <w:r w:rsidRPr="00BB426A">
        <w:rPr>
          <w:lang w:val="fr-FR"/>
        </w:rPr>
        <w:t xml:space="preserve"> </w:t>
      </w:r>
      <w:r w:rsidRPr="00B7089C">
        <w:rPr>
          <w:lang w:val="fr-FR"/>
        </w:rPr>
        <w:t>achevé avant</w:t>
      </w:r>
      <w:r w:rsidRPr="00BB426A">
        <w:rPr>
          <w:lang w:val="fr-FR"/>
        </w:rPr>
        <w:t xml:space="preserve"> les négociations</w:t>
      </w:r>
      <w:r w:rsidR="00BD501C">
        <w:rPr>
          <w:lang w:val="fr-FR"/>
        </w:rPr>
        <w:t xml:space="preserve">, faute </w:t>
      </w:r>
      <w:r w:rsidR="00BD501C" w:rsidRPr="00B7089C">
        <w:rPr>
          <w:lang w:val="fr-FR"/>
        </w:rPr>
        <w:t>de quoi</w:t>
      </w:r>
      <w:r w:rsidR="00BD501C">
        <w:rPr>
          <w:lang w:val="fr-FR"/>
        </w:rPr>
        <w:t xml:space="preserve"> il</w:t>
      </w:r>
      <w:r w:rsidRPr="00BB426A">
        <w:rPr>
          <w:lang w:val="fr-FR"/>
        </w:rPr>
        <w:t xml:space="preserve"> </w:t>
      </w:r>
      <w:r w:rsidR="00BB426A" w:rsidRPr="00BB426A">
        <w:rPr>
          <w:lang w:val="fr-FR"/>
        </w:rPr>
        <w:t xml:space="preserve">constituera une </w:t>
      </w:r>
      <w:r w:rsidR="00BB426A" w:rsidRPr="00B7089C">
        <w:rPr>
          <w:lang w:val="fr-FR"/>
        </w:rPr>
        <w:t>condition d</w:t>
      </w:r>
      <w:r w:rsidR="003258B5">
        <w:rPr>
          <w:lang w:val="fr-FR"/>
        </w:rPr>
        <w:t>’</w:t>
      </w:r>
      <w:r w:rsidR="00BB426A" w:rsidRPr="00B7089C">
        <w:rPr>
          <w:lang w:val="fr-FR"/>
        </w:rPr>
        <w:t>entrée en vigueur</w:t>
      </w:r>
      <w:r w:rsidR="00BB426A" w:rsidRPr="00BB426A">
        <w:rPr>
          <w:lang w:val="fr-FR"/>
        </w:rPr>
        <w:t xml:space="preserve"> du don. </w:t>
      </w:r>
      <w:r w:rsidR="00BB426A" w:rsidRPr="00B7089C">
        <w:rPr>
          <w:lang w:val="fr-FR"/>
        </w:rPr>
        <w:t>Le Manuel</w:t>
      </w:r>
      <w:r w:rsidR="00BB426A" w:rsidRPr="00BB426A">
        <w:rPr>
          <w:lang w:val="fr-FR"/>
        </w:rPr>
        <w:t xml:space="preserve"> opérationnel décrira </w:t>
      </w:r>
      <w:r w:rsidR="00BB426A" w:rsidRPr="00B7089C">
        <w:rPr>
          <w:lang w:val="fr-FR"/>
        </w:rPr>
        <w:t>les procédures</w:t>
      </w:r>
      <w:r w:rsidR="00BB426A" w:rsidRPr="00BB426A">
        <w:rPr>
          <w:lang w:val="fr-FR"/>
        </w:rPr>
        <w:t xml:space="preserve"> </w:t>
      </w:r>
      <w:r w:rsidR="00BB426A" w:rsidRPr="00B7089C">
        <w:rPr>
          <w:lang w:val="fr-FR"/>
        </w:rPr>
        <w:t>à suivre</w:t>
      </w:r>
      <w:r w:rsidR="00BB426A" w:rsidRPr="00BB426A">
        <w:rPr>
          <w:lang w:val="fr-FR"/>
        </w:rPr>
        <w:t xml:space="preserve"> pour toutes </w:t>
      </w:r>
      <w:r w:rsidR="00BB426A" w:rsidRPr="00B7089C">
        <w:rPr>
          <w:lang w:val="fr-FR"/>
        </w:rPr>
        <w:t>les composantes</w:t>
      </w:r>
      <w:r w:rsidR="00BB426A" w:rsidRPr="00BB426A">
        <w:rPr>
          <w:lang w:val="fr-FR"/>
        </w:rPr>
        <w:t xml:space="preserve"> </w:t>
      </w:r>
      <w:r w:rsidR="00BB426A" w:rsidRPr="00B7089C">
        <w:rPr>
          <w:lang w:val="fr-FR"/>
        </w:rPr>
        <w:t>du projet et</w:t>
      </w:r>
      <w:r w:rsidR="00BB426A" w:rsidRPr="00BB426A">
        <w:rPr>
          <w:lang w:val="fr-FR"/>
        </w:rPr>
        <w:t xml:space="preserve"> sera </w:t>
      </w:r>
      <w:r w:rsidR="00BB426A" w:rsidRPr="00B7089C">
        <w:rPr>
          <w:lang w:val="fr-FR"/>
        </w:rPr>
        <w:t>étayé par</w:t>
      </w:r>
      <w:r w:rsidR="00BB426A" w:rsidRPr="00BB426A">
        <w:rPr>
          <w:lang w:val="fr-FR"/>
        </w:rPr>
        <w:t xml:space="preserve"> des manuels spécifiques </w:t>
      </w:r>
      <w:r w:rsidR="00BD501C">
        <w:rPr>
          <w:lang w:val="fr-FR"/>
        </w:rPr>
        <w:t xml:space="preserve">— </w:t>
      </w:r>
      <w:r w:rsidR="00BB426A" w:rsidRPr="00BB426A">
        <w:rPr>
          <w:lang w:val="fr-FR"/>
        </w:rPr>
        <w:t xml:space="preserve">détaillant </w:t>
      </w:r>
      <w:r w:rsidR="00BB426A" w:rsidRPr="00B7089C">
        <w:rPr>
          <w:lang w:val="fr-FR"/>
        </w:rPr>
        <w:t>les procédures</w:t>
      </w:r>
      <w:r w:rsidR="00BB426A" w:rsidRPr="00BB426A">
        <w:rPr>
          <w:lang w:val="fr-FR"/>
        </w:rPr>
        <w:t>,</w:t>
      </w:r>
      <w:r w:rsidR="00BD501C">
        <w:rPr>
          <w:lang w:val="fr-FR"/>
        </w:rPr>
        <w:t xml:space="preserve"> instructions et modèles —</w:t>
      </w:r>
      <w:r w:rsidR="00BB426A" w:rsidRPr="00BB426A">
        <w:rPr>
          <w:lang w:val="fr-FR"/>
        </w:rPr>
        <w:t xml:space="preserve"> </w:t>
      </w:r>
      <w:r w:rsidR="00BB426A" w:rsidRPr="00B7089C">
        <w:rPr>
          <w:lang w:val="fr-FR"/>
        </w:rPr>
        <w:t>qui ne</w:t>
      </w:r>
      <w:r w:rsidR="00BB426A" w:rsidRPr="00BB426A">
        <w:rPr>
          <w:lang w:val="fr-FR"/>
        </w:rPr>
        <w:t xml:space="preserve"> nécessiteront pas d</w:t>
      </w:r>
      <w:r w:rsidR="003258B5">
        <w:rPr>
          <w:lang w:val="fr-FR"/>
        </w:rPr>
        <w:t>’</w:t>
      </w:r>
      <w:r w:rsidR="00BB426A" w:rsidRPr="00BB426A">
        <w:rPr>
          <w:lang w:val="fr-FR"/>
        </w:rPr>
        <w:t xml:space="preserve">avis de </w:t>
      </w:r>
      <w:r w:rsidR="00BB426A" w:rsidRPr="00B7089C">
        <w:rPr>
          <w:lang w:val="fr-FR"/>
        </w:rPr>
        <w:t>non-objection</w:t>
      </w:r>
      <w:r w:rsidR="00BB426A" w:rsidRPr="00BB426A">
        <w:rPr>
          <w:lang w:val="fr-FR"/>
        </w:rPr>
        <w:t xml:space="preserve"> de la </w:t>
      </w:r>
      <w:r w:rsidR="00BB426A" w:rsidRPr="00B7089C">
        <w:rPr>
          <w:lang w:val="fr-FR"/>
        </w:rPr>
        <w:t>part de la</w:t>
      </w:r>
      <w:r w:rsidR="00BB426A" w:rsidRPr="00BB426A">
        <w:rPr>
          <w:lang w:val="fr-FR"/>
        </w:rPr>
        <w:t xml:space="preserve"> Banque.</w:t>
      </w:r>
      <w:r w:rsidR="00537225" w:rsidRPr="00B7089C">
        <w:rPr>
          <w:lang w:val="fr-FR"/>
        </w:rPr>
        <w:t xml:space="preserve"> </w:t>
      </w:r>
    </w:p>
    <w:p w:rsidR="00596A22" w:rsidRPr="00B9386C" w:rsidRDefault="00596A22" w:rsidP="00596A22">
      <w:pPr>
        <w:pStyle w:val="ListParagraph"/>
        <w:rPr>
          <w:bCs/>
          <w:iCs/>
          <w:lang w:val="fr-FR"/>
        </w:rPr>
      </w:pPr>
    </w:p>
    <w:p w:rsidR="00537225" w:rsidRPr="00B9386C" w:rsidRDefault="006555BC" w:rsidP="00596A22">
      <w:pPr>
        <w:numPr>
          <w:ilvl w:val="0"/>
          <w:numId w:val="10"/>
        </w:numPr>
        <w:tabs>
          <w:tab w:val="clear" w:pos="360"/>
          <w:tab w:val="num" w:pos="0"/>
        </w:tabs>
        <w:jc w:val="both"/>
        <w:rPr>
          <w:bCs/>
          <w:iCs/>
          <w:lang w:val="fr-FR"/>
        </w:rPr>
      </w:pPr>
      <w:r>
        <w:rPr>
          <w:bCs/>
          <w:iCs/>
          <w:lang w:val="fr-FR"/>
        </w:rPr>
        <w:t xml:space="preserve">Un comité consultatif </w:t>
      </w:r>
      <w:r w:rsidR="008554AB">
        <w:rPr>
          <w:bCs/>
          <w:iCs/>
          <w:lang w:val="fr-FR"/>
        </w:rPr>
        <w:t>spécial</w:t>
      </w:r>
      <w:r>
        <w:rPr>
          <w:bCs/>
          <w:iCs/>
          <w:lang w:val="fr-FR"/>
        </w:rPr>
        <w:t>, composé de représentants de</w:t>
      </w:r>
      <w:r w:rsidR="00537225" w:rsidRPr="00B9386C">
        <w:rPr>
          <w:bCs/>
          <w:iCs/>
          <w:lang w:val="fr-FR"/>
        </w:rPr>
        <w:t xml:space="preserve"> BAM, </w:t>
      </w:r>
      <w:r>
        <w:rPr>
          <w:bCs/>
          <w:iCs/>
          <w:lang w:val="fr-FR"/>
        </w:rPr>
        <w:t xml:space="preserve">de la </w:t>
      </w:r>
      <w:r w:rsidR="00537225" w:rsidRPr="00B9386C">
        <w:rPr>
          <w:bCs/>
          <w:iCs/>
          <w:lang w:val="fr-FR"/>
        </w:rPr>
        <w:t xml:space="preserve">FNAM </w:t>
      </w:r>
      <w:r w:rsidRPr="006555BC">
        <w:rPr>
          <w:bCs/>
          <w:iCs/>
          <w:lang w:val="fr-FR"/>
        </w:rPr>
        <w:t>et du</w:t>
      </w:r>
      <w:r w:rsidR="00537225" w:rsidRPr="006555BC">
        <w:rPr>
          <w:bCs/>
          <w:iCs/>
          <w:lang w:val="fr-FR"/>
        </w:rPr>
        <w:t xml:space="preserve"> Centre</w:t>
      </w:r>
      <w:r w:rsidR="00537225" w:rsidRPr="00B9386C">
        <w:rPr>
          <w:bCs/>
          <w:iCs/>
          <w:lang w:val="fr-FR"/>
        </w:rPr>
        <w:t xml:space="preserve"> </w:t>
      </w:r>
      <w:r w:rsidR="00537225" w:rsidRPr="006555BC">
        <w:rPr>
          <w:bCs/>
          <w:iCs/>
          <w:lang w:val="fr-FR"/>
        </w:rPr>
        <w:t>Mohamed VI</w:t>
      </w:r>
      <w:r>
        <w:rPr>
          <w:bCs/>
          <w:iCs/>
          <w:lang w:val="fr-FR"/>
        </w:rPr>
        <w:t>,</w:t>
      </w:r>
      <w:r w:rsidR="00537225" w:rsidRPr="00B9386C">
        <w:rPr>
          <w:bCs/>
          <w:iCs/>
          <w:lang w:val="fr-FR"/>
        </w:rPr>
        <w:t xml:space="preserve"> </w:t>
      </w:r>
      <w:r>
        <w:rPr>
          <w:bCs/>
          <w:iCs/>
          <w:lang w:val="fr-FR"/>
        </w:rPr>
        <w:t xml:space="preserve">sera créé. </w:t>
      </w:r>
      <w:r w:rsidR="00FE2D65">
        <w:rPr>
          <w:bCs/>
          <w:iCs/>
          <w:lang w:val="fr-FR"/>
        </w:rPr>
        <w:t>Ses attributions seront les suivantes</w:t>
      </w:r>
      <w:r>
        <w:rPr>
          <w:bCs/>
          <w:iCs/>
          <w:lang w:val="fr-FR"/>
        </w:rPr>
        <w:t xml:space="preserve"> : formuler des avis au sujet du projet sur la base </w:t>
      </w:r>
      <w:r w:rsidR="008554AB">
        <w:rPr>
          <w:bCs/>
          <w:iCs/>
          <w:lang w:val="fr-FR"/>
        </w:rPr>
        <w:t xml:space="preserve">de notes </w:t>
      </w:r>
      <w:r>
        <w:rPr>
          <w:bCs/>
          <w:iCs/>
          <w:lang w:val="fr-FR"/>
        </w:rPr>
        <w:t>d</w:t>
      </w:r>
      <w:r w:rsidR="003258B5">
        <w:rPr>
          <w:bCs/>
          <w:iCs/>
          <w:lang w:val="fr-FR"/>
        </w:rPr>
        <w:t>’</w:t>
      </w:r>
      <w:r w:rsidR="008554AB">
        <w:rPr>
          <w:bCs/>
          <w:iCs/>
          <w:lang w:val="fr-FR"/>
        </w:rPr>
        <w:t>informations</w:t>
      </w:r>
      <w:r>
        <w:rPr>
          <w:bCs/>
          <w:iCs/>
          <w:lang w:val="fr-FR"/>
        </w:rPr>
        <w:t xml:space="preserve"> fournies </w:t>
      </w:r>
      <w:r w:rsidR="008554AB">
        <w:rPr>
          <w:bCs/>
          <w:iCs/>
          <w:lang w:val="fr-FR"/>
        </w:rPr>
        <w:t xml:space="preserve">ponctuellement </w:t>
      </w:r>
      <w:r>
        <w:rPr>
          <w:bCs/>
          <w:iCs/>
          <w:lang w:val="fr-FR"/>
        </w:rPr>
        <w:t>par le MEF</w:t>
      </w:r>
      <w:r w:rsidR="00537225" w:rsidRPr="00B9386C">
        <w:rPr>
          <w:bCs/>
          <w:iCs/>
          <w:lang w:val="fr-FR"/>
        </w:rPr>
        <w:t xml:space="preserve"> </w:t>
      </w:r>
      <w:r>
        <w:rPr>
          <w:bCs/>
          <w:iCs/>
          <w:lang w:val="fr-FR"/>
        </w:rPr>
        <w:t>pendant toute la durée du projet ; apporter une contribution et des orientations stratégiques durant la mise en œuvre du projet ainsi que de</w:t>
      </w:r>
      <w:r w:rsidR="008B06D2">
        <w:rPr>
          <w:bCs/>
          <w:iCs/>
          <w:lang w:val="fr-FR"/>
        </w:rPr>
        <w:t xml:space="preserve">s compétences techniques </w:t>
      </w:r>
      <w:r>
        <w:rPr>
          <w:bCs/>
          <w:iCs/>
          <w:lang w:val="fr-FR"/>
        </w:rPr>
        <w:t>à l</w:t>
      </w:r>
      <w:r w:rsidR="003258B5">
        <w:rPr>
          <w:bCs/>
          <w:iCs/>
          <w:lang w:val="fr-FR"/>
        </w:rPr>
        <w:t>’</w:t>
      </w:r>
      <w:r>
        <w:rPr>
          <w:bCs/>
          <w:iCs/>
          <w:lang w:val="fr-FR"/>
        </w:rPr>
        <w:t>appui de l</w:t>
      </w:r>
      <w:r w:rsidR="003258B5">
        <w:rPr>
          <w:bCs/>
          <w:iCs/>
          <w:lang w:val="fr-FR"/>
        </w:rPr>
        <w:t>’</w:t>
      </w:r>
      <w:r>
        <w:rPr>
          <w:bCs/>
          <w:iCs/>
          <w:lang w:val="fr-FR"/>
        </w:rPr>
        <w:t>exécution du projet ; et veiller à ce que le projet prenne en compte efficacement les principales questions réglementaires et juridiques, ainsi que les problèmes de gouvernance et les questions liées au développement du marché afin d</w:t>
      </w:r>
      <w:r w:rsidR="003258B5">
        <w:rPr>
          <w:bCs/>
          <w:iCs/>
          <w:lang w:val="fr-FR"/>
        </w:rPr>
        <w:t>’</w:t>
      </w:r>
      <w:r>
        <w:rPr>
          <w:bCs/>
          <w:iCs/>
          <w:lang w:val="fr-FR"/>
        </w:rPr>
        <w:t xml:space="preserve">aider le secteur à </w:t>
      </w:r>
      <w:r w:rsidR="00E52D24">
        <w:rPr>
          <w:bCs/>
          <w:iCs/>
          <w:lang w:val="fr-FR"/>
        </w:rPr>
        <w:t>dépass</w:t>
      </w:r>
      <w:r>
        <w:rPr>
          <w:bCs/>
          <w:iCs/>
          <w:lang w:val="fr-FR"/>
        </w:rPr>
        <w:t>er les blocages du marché</w:t>
      </w:r>
      <w:r w:rsidR="00537225" w:rsidRPr="00B9386C">
        <w:rPr>
          <w:bCs/>
          <w:iCs/>
          <w:lang w:val="fr-FR"/>
        </w:rPr>
        <w:t xml:space="preserve">. </w:t>
      </w:r>
      <w:r>
        <w:rPr>
          <w:bCs/>
          <w:iCs/>
          <w:lang w:val="fr-FR"/>
        </w:rPr>
        <w:t>Le comité jouera aussi un rôle de coordination et de communication : il veillera à ce que tous les partenaires concernés soient informés des progrès accomplis et des principaux enseignements qui se dégageront de chaque sous-composante du projet</w:t>
      </w:r>
      <w:r w:rsidR="00537225" w:rsidRPr="00B9386C">
        <w:rPr>
          <w:bCs/>
          <w:iCs/>
          <w:lang w:val="fr-FR"/>
        </w:rPr>
        <w:t xml:space="preserve">. </w:t>
      </w:r>
    </w:p>
    <w:p w:rsidR="00537225" w:rsidRPr="00B9386C" w:rsidRDefault="00537225" w:rsidP="00537225">
      <w:pPr>
        <w:jc w:val="both"/>
        <w:rPr>
          <w:bCs/>
          <w:iCs/>
          <w:lang w:val="fr-FR"/>
        </w:rPr>
      </w:pPr>
    </w:p>
    <w:p w:rsidR="00537225" w:rsidRPr="00B9386C" w:rsidRDefault="00537225" w:rsidP="00537225">
      <w:pPr>
        <w:jc w:val="both"/>
        <w:rPr>
          <w:bCs/>
          <w:i/>
          <w:iCs/>
          <w:lang w:val="fr-FR"/>
        </w:rPr>
      </w:pPr>
    </w:p>
    <w:p w:rsidR="00537225" w:rsidRPr="00006301" w:rsidRDefault="00012D71" w:rsidP="00537225">
      <w:pPr>
        <w:pStyle w:val="PDSHeading2"/>
        <w:tabs>
          <w:tab w:val="clear" w:pos="360"/>
          <w:tab w:val="num" w:pos="720"/>
        </w:tabs>
        <w:spacing w:after="240"/>
        <w:ind w:left="360"/>
        <w:rPr>
          <w:lang w:val="fr-FR"/>
        </w:rPr>
      </w:pPr>
      <w:bookmarkStart w:id="21" w:name="_Toc40780181"/>
      <w:bookmarkStart w:id="22" w:name="_Toc295296823"/>
      <w:bookmarkStart w:id="23" w:name="_Toc341776843"/>
      <w:bookmarkEnd w:id="19"/>
      <w:r w:rsidRPr="009B5C3B">
        <w:rPr>
          <w:bCs/>
          <w:lang w:val="fr-FR"/>
        </w:rPr>
        <w:t>Suivi et évaluation</w:t>
      </w:r>
      <w:r w:rsidRPr="00B9386C">
        <w:rPr>
          <w:bCs/>
          <w:lang w:val="fr-FR"/>
        </w:rPr>
        <w:t xml:space="preserve"> des résultats</w:t>
      </w:r>
      <w:r w:rsidRPr="00006301">
        <w:rPr>
          <w:bCs/>
          <w:lang w:val="fr-FR"/>
        </w:rPr>
        <w:t xml:space="preserve"> </w:t>
      </w:r>
      <w:bookmarkEnd w:id="21"/>
      <w:bookmarkEnd w:id="22"/>
      <w:bookmarkEnd w:id="23"/>
    </w:p>
    <w:p w:rsidR="00537225" w:rsidRPr="00B9386C" w:rsidRDefault="00FE2D65" w:rsidP="00537225">
      <w:pPr>
        <w:numPr>
          <w:ilvl w:val="0"/>
          <w:numId w:val="10"/>
        </w:numPr>
        <w:tabs>
          <w:tab w:val="clear" w:pos="360"/>
          <w:tab w:val="num" w:pos="0"/>
        </w:tabs>
        <w:jc w:val="both"/>
        <w:rPr>
          <w:bCs/>
          <w:lang w:val="fr-FR"/>
        </w:rPr>
      </w:pPr>
      <w:r>
        <w:rPr>
          <w:bCs/>
          <w:iCs/>
          <w:lang w:val="fr-FR"/>
        </w:rPr>
        <w:t>Le cadre de résultats du projet est axé sur l</w:t>
      </w:r>
      <w:r w:rsidR="003258B5">
        <w:rPr>
          <w:bCs/>
          <w:iCs/>
          <w:lang w:val="fr-FR"/>
        </w:rPr>
        <w:t>’</w:t>
      </w:r>
      <w:r>
        <w:rPr>
          <w:bCs/>
          <w:iCs/>
          <w:lang w:val="fr-FR"/>
        </w:rPr>
        <w:t>objectif de développement du programme et précise le niveau de cet objectif ainsi que les indicateurs intermédiaires qui serviront à évaluer les progrès accomplis dans le cadre du projet vers la réalisation des objectifs. La responsabilité du suivi des résultats incombera principalement au</w:t>
      </w:r>
      <w:r>
        <w:rPr>
          <w:bCs/>
          <w:lang w:val="fr-FR"/>
        </w:rPr>
        <w:t xml:space="preserve"> M</w:t>
      </w:r>
      <w:r w:rsidR="00537225" w:rsidRPr="00B9386C">
        <w:rPr>
          <w:bCs/>
          <w:lang w:val="fr-FR"/>
        </w:rPr>
        <w:t>EF,</w:t>
      </w:r>
      <w:r>
        <w:rPr>
          <w:bCs/>
          <w:lang w:val="fr-FR"/>
        </w:rPr>
        <w:t xml:space="preserve"> qui présentera chaque trimestre un rapport de suivi-évaluation à la Banque mondiale</w:t>
      </w:r>
      <w:r w:rsidR="00537225" w:rsidRPr="00B9386C">
        <w:rPr>
          <w:bCs/>
          <w:lang w:val="fr-FR"/>
        </w:rPr>
        <w:t xml:space="preserve">. </w:t>
      </w:r>
    </w:p>
    <w:p w:rsidR="006F19F6" w:rsidRPr="00B9386C" w:rsidRDefault="006F19F6" w:rsidP="00537225">
      <w:pPr>
        <w:jc w:val="both"/>
        <w:rPr>
          <w:lang w:val="fr-FR"/>
        </w:rPr>
      </w:pPr>
    </w:p>
    <w:p w:rsidR="00A706FA" w:rsidRPr="00B9386C" w:rsidRDefault="00A706FA">
      <w:pPr>
        <w:rPr>
          <w:lang w:val="fr-FR"/>
        </w:rPr>
      </w:pPr>
      <w:bookmarkStart w:id="24" w:name="LessonsLearned"/>
      <w:bookmarkEnd w:id="20"/>
    </w:p>
    <w:bookmarkEnd w:id="24"/>
    <w:p w:rsidR="00C528E7" w:rsidRPr="00B9386C" w:rsidRDefault="001D46B2" w:rsidP="00D84FCA">
      <w:pPr>
        <w:numPr>
          <w:ilvl w:val="0"/>
          <w:numId w:val="7"/>
        </w:numPr>
        <w:rPr>
          <w:b/>
          <w:lang w:val="fr-FR"/>
        </w:rPr>
      </w:pPr>
      <w:r w:rsidRPr="00B7089C">
        <w:rPr>
          <w:b/>
          <w:lang w:val="fr-FR"/>
        </w:rPr>
        <w:t>Mesures de</w:t>
      </w:r>
      <w:r w:rsidRPr="00B9386C">
        <w:rPr>
          <w:b/>
          <w:lang w:val="fr-FR"/>
        </w:rPr>
        <w:t xml:space="preserve"> sauvegarde </w:t>
      </w:r>
      <w:r w:rsidR="00A706FA" w:rsidRPr="00B9386C">
        <w:rPr>
          <w:b/>
          <w:lang w:val="fr-FR"/>
        </w:rPr>
        <w:t>(</w:t>
      </w:r>
      <w:r w:rsidRPr="00B7089C">
        <w:rPr>
          <w:b/>
          <w:lang w:val="fr-FR"/>
        </w:rPr>
        <w:t>y compris les</w:t>
      </w:r>
      <w:r w:rsidRPr="00B9386C">
        <w:rPr>
          <w:b/>
          <w:lang w:val="fr-FR"/>
        </w:rPr>
        <w:t xml:space="preserve"> </w:t>
      </w:r>
      <w:r w:rsidRPr="00B7089C">
        <w:rPr>
          <w:b/>
          <w:lang w:val="fr-FR"/>
        </w:rPr>
        <w:t>consultations du</w:t>
      </w:r>
      <w:r w:rsidRPr="00B9386C">
        <w:rPr>
          <w:b/>
          <w:lang w:val="fr-FR"/>
        </w:rPr>
        <w:t xml:space="preserve"> public</w:t>
      </w:r>
      <w:r w:rsidR="00A706FA" w:rsidRPr="00B9386C">
        <w:rPr>
          <w:b/>
          <w:lang w:val="fr-FR"/>
        </w:rPr>
        <w:t>)</w:t>
      </w:r>
      <w:bookmarkStart w:id="25" w:name="SafeguardPolicies"/>
    </w:p>
    <w:p w:rsidR="00120660" w:rsidRPr="00B9386C" w:rsidRDefault="00120660" w:rsidP="00120660">
      <w:pPr>
        <w:rPr>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38"/>
        <w:gridCol w:w="1170"/>
        <w:gridCol w:w="1170"/>
      </w:tblGrid>
      <w:tr w:rsidR="001D46B2" w:rsidRPr="00B9386C" w:rsidTr="001D46B2">
        <w:trPr>
          <w:trHeight w:val="611"/>
        </w:trPr>
        <w:tc>
          <w:tcPr>
            <w:tcW w:w="6138" w:type="dxa"/>
          </w:tcPr>
          <w:p w:rsidR="001D46B2" w:rsidRPr="00B9386C" w:rsidRDefault="001D46B2" w:rsidP="00B9386C">
            <w:pPr>
              <w:rPr>
                <w:b/>
                <w:bCs/>
                <w:lang w:val="fr-FR"/>
              </w:rPr>
            </w:pPr>
            <w:r w:rsidRPr="009B5C3B">
              <w:rPr>
                <w:b/>
                <w:bCs/>
                <w:lang w:val="fr-FR"/>
              </w:rPr>
              <w:lastRenderedPageBreak/>
              <w:t>Mesures de</w:t>
            </w:r>
            <w:r w:rsidRPr="00B9386C">
              <w:rPr>
                <w:b/>
                <w:bCs/>
                <w:lang w:val="fr-FR"/>
              </w:rPr>
              <w:t xml:space="preserve"> sauvegarde déclenchées </w:t>
            </w:r>
            <w:r w:rsidRPr="009B5C3B">
              <w:rPr>
                <w:b/>
                <w:bCs/>
                <w:lang w:val="fr-FR"/>
              </w:rPr>
              <w:t>par le</w:t>
            </w:r>
            <w:r w:rsidRPr="00B9386C">
              <w:rPr>
                <w:b/>
                <w:bCs/>
                <w:lang w:val="fr-FR"/>
              </w:rPr>
              <w:t xml:space="preserve"> projet</w:t>
            </w:r>
          </w:p>
        </w:tc>
        <w:tc>
          <w:tcPr>
            <w:tcW w:w="1170" w:type="dxa"/>
          </w:tcPr>
          <w:p w:rsidR="001D46B2" w:rsidRPr="00B9386C" w:rsidRDefault="001D46B2" w:rsidP="00FB58EA">
            <w:pPr>
              <w:spacing w:before="120" w:after="120"/>
              <w:jc w:val="center"/>
              <w:rPr>
                <w:b/>
                <w:lang w:val="fr-FR"/>
              </w:rPr>
            </w:pPr>
            <w:r w:rsidRPr="00B9386C">
              <w:rPr>
                <w:b/>
                <w:lang w:val="fr-FR"/>
              </w:rPr>
              <w:t>Oui</w:t>
            </w:r>
          </w:p>
        </w:tc>
        <w:tc>
          <w:tcPr>
            <w:tcW w:w="1170" w:type="dxa"/>
          </w:tcPr>
          <w:p w:rsidR="001D46B2" w:rsidRPr="00B9386C" w:rsidRDefault="001D46B2" w:rsidP="00FB58EA">
            <w:pPr>
              <w:spacing w:before="120" w:after="120"/>
              <w:jc w:val="center"/>
              <w:rPr>
                <w:b/>
                <w:lang w:val="fr-FR"/>
              </w:rPr>
            </w:pPr>
            <w:r w:rsidRPr="00B9386C">
              <w:rPr>
                <w:b/>
                <w:lang w:val="fr-FR"/>
              </w:rPr>
              <w:t>Non</w:t>
            </w:r>
          </w:p>
        </w:tc>
      </w:tr>
      <w:tr w:rsidR="001D46B2" w:rsidRPr="00B9386C" w:rsidTr="001D46B2">
        <w:tc>
          <w:tcPr>
            <w:tcW w:w="6138" w:type="dxa"/>
          </w:tcPr>
          <w:p w:rsidR="001D46B2" w:rsidRPr="00B9386C" w:rsidRDefault="001D46B2" w:rsidP="00B9386C">
            <w:pPr>
              <w:rPr>
                <w:lang w:val="fr-FR"/>
              </w:rPr>
            </w:pPr>
            <w:r w:rsidRPr="009B5C3B">
              <w:rPr>
                <w:lang w:val="fr-FR"/>
              </w:rPr>
              <w:t>Évaluation environnementale</w:t>
            </w:r>
            <w:r w:rsidRPr="00B9386C">
              <w:rPr>
                <w:lang w:val="fr-FR"/>
              </w:rPr>
              <w:t xml:space="preserve"> (</w:t>
            </w:r>
            <w:r w:rsidRPr="009B5C3B">
              <w:rPr>
                <w:lang w:val="fr-FR"/>
              </w:rPr>
              <w:t>OP/BP 4.01</w:t>
            </w:r>
            <w:r w:rsidRPr="00B9386C">
              <w:rPr>
                <w:lang w:val="fr-FR"/>
              </w:rPr>
              <w:t>)</w:t>
            </w:r>
          </w:p>
        </w:tc>
        <w:tc>
          <w:tcPr>
            <w:tcW w:w="1170" w:type="dxa"/>
          </w:tcPr>
          <w:p w:rsidR="001D46B2" w:rsidRPr="00B9386C" w:rsidRDefault="001D46B2" w:rsidP="00FB58EA">
            <w:pPr>
              <w:jc w:val="center"/>
              <w:rPr>
                <w:lang w:val="fr-FR"/>
              </w:rPr>
            </w:pPr>
          </w:p>
        </w:tc>
        <w:tc>
          <w:tcPr>
            <w:tcW w:w="1170" w:type="dxa"/>
          </w:tcPr>
          <w:p w:rsidR="001D46B2" w:rsidRPr="00B9386C" w:rsidRDefault="001D46B2" w:rsidP="00FB58EA">
            <w:pPr>
              <w:jc w:val="center"/>
              <w:rPr>
                <w:lang w:val="fr-FR"/>
              </w:rPr>
            </w:pPr>
            <w:r w:rsidRPr="00B9386C">
              <w:rPr>
                <w:lang w:val="fr-FR"/>
              </w:rPr>
              <w:t>X</w:t>
            </w:r>
          </w:p>
        </w:tc>
      </w:tr>
      <w:tr w:rsidR="001D46B2" w:rsidRPr="00B9386C" w:rsidTr="001D46B2">
        <w:tc>
          <w:tcPr>
            <w:tcW w:w="6138" w:type="dxa"/>
          </w:tcPr>
          <w:p w:rsidR="001D46B2" w:rsidRPr="00B9386C" w:rsidRDefault="001D46B2" w:rsidP="00B9386C">
            <w:pPr>
              <w:rPr>
                <w:lang w:val="fr-FR"/>
              </w:rPr>
            </w:pPr>
            <w:r w:rsidRPr="00B9386C">
              <w:rPr>
                <w:lang w:val="fr-FR"/>
              </w:rPr>
              <w:t>Habitats naturels (</w:t>
            </w:r>
            <w:r w:rsidRPr="009B5C3B">
              <w:rPr>
                <w:lang w:val="fr-FR"/>
              </w:rPr>
              <w:t>OP/BP 4.04</w:t>
            </w:r>
            <w:r w:rsidRPr="00B9386C">
              <w:rPr>
                <w:lang w:val="fr-FR"/>
              </w:rPr>
              <w:t>)</w:t>
            </w:r>
          </w:p>
        </w:tc>
        <w:tc>
          <w:tcPr>
            <w:tcW w:w="1170" w:type="dxa"/>
          </w:tcPr>
          <w:p w:rsidR="001D46B2" w:rsidRPr="00B9386C" w:rsidRDefault="001D46B2" w:rsidP="00FB58EA">
            <w:pPr>
              <w:jc w:val="center"/>
              <w:rPr>
                <w:lang w:val="fr-FR"/>
              </w:rPr>
            </w:pPr>
          </w:p>
        </w:tc>
        <w:tc>
          <w:tcPr>
            <w:tcW w:w="1170" w:type="dxa"/>
          </w:tcPr>
          <w:p w:rsidR="001D46B2" w:rsidRPr="00B9386C" w:rsidRDefault="001D46B2" w:rsidP="006F19F6">
            <w:pPr>
              <w:jc w:val="center"/>
              <w:rPr>
                <w:lang w:val="fr-FR"/>
              </w:rPr>
            </w:pPr>
            <w:r w:rsidRPr="00B9386C">
              <w:rPr>
                <w:lang w:val="fr-FR"/>
              </w:rPr>
              <w:t>X</w:t>
            </w:r>
          </w:p>
        </w:tc>
      </w:tr>
      <w:tr w:rsidR="001D46B2" w:rsidRPr="00B9386C" w:rsidTr="001D46B2">
        <w:tc>
          <w:tcPr>
            <w:tcW w:w="6138" w:type="dxa"/>
          </w:tcPr>
          <w:p w:rsidR="001D46B2" w:rsidRPr="00B9386C" w:rsidRDefault="001D46B2" w:rsidP="00B9386C">
            <w:pPr>
              <w:rPr>
                <w:lang w:val="fr-FR"/>
              </w:rPr>
            </w:pPr>
            <w:r w:rsidRPr="009B5C3B">
              <w:rPr>
                <w:lang w:val="fr-FR"/>
              </w:rPr>
              <w:t>Lutte antiparasitaire</w:t>
            </w:r>
            <w:r w:rsidRPr="00B9386C">
              <w:rPr>
                <w:lang w:val="fr-FR"/>
              </w:rPr>
              <w:t xml:space="preserve"> (</w:t>
            </w:r>
            <w:r w:rsidRPr="009B5C3B">
              <w:rPr>
                <w:lang w:val="fr-FR"/>
              </w:rPr>
              <w:t>OP 4.09</w:t>
            </w:r>
            <w:r w:rsidRPr="00B9386C">
              <w:rPr>
                <w:lang w:val="fr-FR"/>
              </w:rPr>
              <w:t>)</w:t>
            </w:r>
          </w:p>
        </w:tc>
        <w:tc>
          <w:tcPr>
            <w:tcW w:w="1170" w:type="dxa"/>
          </w:tcPr>
          <w:p w:rsidR="001D46B2" w:rsidRPr="00B9386C" w:rsidRDefault="001D46B2" w:rsidP="00FB58EA">
            <w:pPr>
              <w:jc w:val="center"/>
              <w:rPr>
                <w:lang w:val="fr-FR"/>
              </w:rPr>
            </w:pPr>
          </w:p>
        </w:tc>
        <w:tc>
          <w:tcPr>
            <w:tcW w:w="1170" w:type="dxa"/>
          </w:tcPr>
          <w:p w:rsidR="001D46B2" w:rsidRPr="00B9386C" w:rsidRDefault="001D46B2" w:rsidP="006F19F6">
            <w:pPr>
              <w:jc w:val="center"/>
              <w:rPr>
                <w:lang w:val="fr-FR"/>
              </w:rPr>
            </w:pPr>
            <w:r w:rsidRPr="00B9386C">
              <w:rPr>
                <w:lang w:val="fr-FR"/>
              </w:rPr>
              <w:t>X</w:t>
            </w:r>
          </w:p>
        </w:tc>
      </w:tr>
      <w:tr w:rsidR="001D46B2" w:rsidRPr="00B9386C" w:rsidTr="001D46B2">
        <w:tc>
          <w:tcPr>
            <w:tcW w:w="6138" w:type="dxa"/>
          </w:tcPr>
          <w:p w:rsidR="001D46B2" w:rsidRPr="00B9386C" w:rsidRDefault="001D46B2" w:rsidP="00B9386C">
            <w:pPr>
              <w:rPr>
                <w:lang w:val="fr-FR"/>
              </w:rPr>
            </w:pPr>
            <w:r w:rsidRPr="009B5C3B">
              <w:rPr>
                <w:lang w:val="fr-FR"/>
              </w:rPr>
              <w:t>Patrimoine culturel</w:t>
            </w:r>
            <w:r w:rsidRPr="00B9386C">
              <w:rPr>
                <w:lang w:val="fr-FR"/>
              </w:rPr>
              <w:t xml:space="preserve"> physique (</w:t>
            </w:r>
            <w:r w:rsidRPr="009B5C3B">
              <w:rPr>
                <w:lang w:val="fr-FR"/>
              </w:rPr>
              <w:t>OP/BP 4.11</w:t>
            </w:r>
            <w:r w:rsidRPr="00B9386C">
              <w:rPr>
                <w:lang w:val="fr-FR"/>
              </w:rPr>
              <w:t>)</w:t>
            </w:r>
          </w:p>
        </w:tc>
        <w:tc>
          <w:tcPr>
            <w:tcW w:w="1170" w:type="dxa"/>
          </w:tcPr>
          <w:p w:rsidR="001D46B2" w:rsidRPr="00B9386C" w:rsidRDefault="001D46B2" w:rsidP="00FB58EA">
            <w:pPr>
              <w:jc w:val="center"/>
              <w:rPr>
                <w:lang w:val="fr-FR"/>
              </w:rPr>
            </w:pPr>
          </w:p>
        </w:tc>
        <w:tc>
          <w:tcPr>
            <w:tcW w:w="1170" w:type="dxa"/>
          </w:tcPr>
          <w:p w:rsidR="001D46B2" w:rsidRPr="00B9386C" w:rsidRDefault="001D46B2" w:rsidP="006F19F6">
            <w:pPr>
              <w:jc w:val="center"/>
              <w:rPr>
                <w:lang w:val="fr-FR"/>
              </w:rPr>
            </w:pPr>
            <w:r w:rsidRPr="00B9386C">
              <w:rPr>
                <w:lang w:val="fr-FR"/>
              </w:rPr>
              <w:t>X</w:t>
            </w:r>
          </w:p>
        </w:tc>
      </w:tr>
      <w:tr w:rsidR="001D46B2" w:rsidRPr="00B9386C" w:rsidTr="001D46B2">
        <w:tc>
          <w:tcPr>
            <w:tcW w:w="6138" w:type="dxa"/>
          </w:tcPr>
          <w:p w:rsidR="001D46B2" w:rsidRPr="00B9386C" w:rsidRDefault="001D46B2" w:rsidP="00B9386C">
            <w:pPr>
              <w:rPr>
                <w:lang w:val="fr-FR"/>
              </w:rPr>
            </w:pPr>
            <w:r w:rsidRPr="009B5C3B">
              <w:rPr>
                <w:lang w:val="fr-FR"/>
              </w:rPr>
              <w:t>Réinstallation involontaire</w:t>
            </w:r>
            <w:r w:rsidRPr="00B9386C">
              <w:rPr>
                <w:lang w:val="fr-FR"/>
              </w:rPr>
              <w:t xml:space="preserve"> (</w:t>
            </w:r>
            <w:r w:rsidRPr="009B5C3B">
              <w:rPr>
                <w:lang w:val="fr-FR"/>
              </w:rPr>
              <w:t>OP/BP 4.12</w:t>
            </w:r>
            <w:r w:rsidRPr="00B9386C">
              <w:rPr>
                <w:lang w:val="fr-FR"/>
              </w:rPr>
              <w:t>)</w:t>
            </w:r>
          </w:p>
        </w:tc>
        <w:tc>
          <w:tcPr>
            <w:tcW w:w="1170" w:type="dxa"/>
          </w:tcPr>
          <w:p w:rsidR="001D46B2" w:rsidRPr="00B9386C" w:rsidRDefault="001D46B2" w:rsidP="00FB58EA">
            <w:pPr>
              <w:jc w:val="center"/>
              <w:rPr>
                <w:lang w:val="fr-FR"/>
              </w:rPr>
            </w:pPr>
          </w:p>
        </w:tc>
        <w:tc>
          <w:tcPr>
            <w:tcW w:w="1170" w:type="dxa"/>
          </w:tcPr>
          <w:p w:rsidR="001D46B2" w:rsidRPr="00B9386C" w:rsidRDefault="001D46B2" w:rsidP="006F19F6">
            <w:pPr>
              <w:jc w:val="center"/>
              <w:rPr>
                <w:lang w:val="fr-FR"/>
              </w:rPr>
            </w:pPr>
            <w:r w:rsidRPr="00B9386C">
              <w:rPr>
                <w:lang w:val="fr-FR"/>
              </w:rPr>
              <w:t>X</w:t>
            </w:r>
          </w:p>
        </w:tc>
      </w:tr>
      <w:tr w:rsidR="001D46B2" w:rsidRPr="00B9386C" w:rsidTr="001D46B2">
        <w:tc>
          <w:tcPr>
            <w:tcW w:w="6138" w:type="dxa"/>
          </w:tcPr>
          <w:p w:rsidR="001D46B2" w:rsidRPr="00B9386C" w:rsidRDefault="001D46B2" w:rsidP="00B9386C">
            <w:pPr>
              <w:rPr>
                <w:lang w:val="fr-FR"/>
              </w:rPr>
            </w:pPr>
            <w:r w:rsidRPr="009B5C3B">
              <w:rPr>
                <w:lang w:val="fr-FR"/>
              </w:rPr>
              <w:t>Populations autochtones</w:t>
            </w:r>
            <w:r w:rsidRPr="00B9386C">
              <w:rPr>
                <w:lang w:val="fr-FR"/>
              </w:rPr>
              <w:t xml:space="preserve"> (</w:t>
            </w:r>
            <w:r w:rsidRPr="009B5C3B">
              <w:rPr>
                <w:lang w:val="fr-FR"/>
              </w:rPr>
              <w:t>OP/BP 4.10</w:t>
            </w:r>
            <w:r w:rsidRPr="00B9386C">
              <w:rPr>
                <w:lang w:val="fr-FR"/>
              </w:rPr>
              <w:t>)</w:t>
            </w:r>
          </w:p>
        </w:tc>
        <w:tc>
          <w:tcPr>
            <w:tcW w:w="1170" w:type="dxa"/>
          </w:tcPr>
          <w:p w:rsidR="001D46B2" w:rsidRPr="00B9386C" w:rsidRDefault="001D46B2" w:rsidP="00FB58EA">
            <w:pPr>
              <w:jc w:val="center"/>
              <w:rPr>
                <w:lang w:val="fr-FR"/>
              </w:rPr>
            </w:pPr>
          </w:p>
        </w:tc>
        <w:tc>
          <w:tcPr>
            <w:tcW w:w="1170" w:type="dxa"/>
          </w:tcPr>
          <w:p w:rsidR="001D46B2" w:rsidRPr="00B9386C" w:rsidRDefault="001D46B2" w:rsidP="006F19F6">
            <w:pPr>
              <w:jc w:val="center"/>
              <w:rPr>
                <w:lang w:val="fr-FR"/>
              </w:rPr>
            </w:pPr>
            <w:r w:rsidRPr="00B9386C">
              <w:rPr>
                <w:lang w:val="fr-FR"/>
              </w:rPr>
              <w:t>X</w:t>
            </w:r>
          </w:p>
        </w:tc>
      </w:tr>
      <w:tr w:rsidR="001D46B2" w:rsidRPr="00B9386C" w:rsidTr="001D46B2">
        <w:tc>
          <w:tcPr>
            <w:tcW w:w="6138" w:type="dxa"/>
          </w:tcPr>
          <w:p w:rsidR="001D46B2" w:rsidRPr="00B9386C" w:rsidRDefault="001D46B2" w:rsidP="00B9386C">
            <w:pPr>
              <w:rPr>
                <w:lang w:val="fr-FR"/>
              </w:rPr>
            </w:pPr>
            <w:r w:rsidRPr="00B9386C">
              <w:rPr>
                <w:lang w:val="fr-FR"/>
              </w:rPr>
              <w:t>Forêts (</w:t>
            </w:r>
            <w:r w:rsidRPr="009B5C3B">
              <w:rPr>
                <w:lang w:val="fr-FR"/>
              </w:rPr>
              <w:t>OP/BP 4.36</w:t>
            </w:r>
            <w:r w:rsidRPr="00B9386C">
              <w:rPr>
                <w:lang w:val="fr-FR"/>
              </w:rPr>
              <w:t>)</w:t>
            </w:r>
          </w:p>
        </w:tc>
        <w:tc>
          <w:tcPr>
            <w:tcW w:w="1170" w:type="dxa"/>
          </w:tcPr>
          <w:p w:rsidR="001D46B2" w:rsidRPr="00B9386C" w:rsidRDefault="001D46B2" w:rsidP="00FB58EA">
            <w:pPr>
              <w:jc w:val="center"/>
              <w:rPr>
                <w:lang w:val="fr-FR"/>
              </w:rPr>
            </w:pPr>
          </w:p>
        </w:tc>
        <w:tc>
          <w:tcPr>
            <w:tcW w:w="1170" w:type="dxa"/>
          </w:tcPr>
          <w:p w:rsidR="001D46B2" w:rsidRPr="00B9386C" w:rsidRDefault="001D46B2" w:rsidP="006F19F6">
            <w:pPr>
              <w:jc w:val="center"/>
              <w:rPr>
                <w:lang w:val="fr-FR"/>
              </w:rPr>
            </w:pPr>
            <w:r w:rsidRPr="00B9386C">
              <w:rPr>
                <w:lang w:val="fr-FR"/>
              </w:rPr>
              <w:t>X</w:t>
            </w:r>
          </w:p>
        </w:tc>
      </w:tr>
      <w:tr w:rsidR="001D46B2" w:rsidRPr="00B9386C" w:rsidTr="001D46B2">
        <w:tc>
          <w:tcPr>
            <w:tcW w:w="6138" w:type="dxa"/>
          </w:tcPr>
          <w:p w:rsidR="001D46B2" w:rsidRPr="00B9386C" w:rsidRDefault="001D46B2" w:rsidP="00B9386C">
            <w:pPr>
              <w:rPr>
                <w:lang w:val="fr-FR"/>
              </w:rPr>
            </w:pPr>
            <w:r w:rsidRPr="009B5C3B">
              <w:rPr>
                <w:lang w:val="fr-FR"/>
              </w:rPr>
              <w:t>Sécurité des</w:t>
            </w:r>
            <w:r w:rsidRPr="00B9386C">
              <w:rPr>
                <w:lang w:val="fr-FR"/>
              </w:rPr>
              <w:t xml:space="preserve"> barrages (</w:t>
            </w:r>
            <w:r w:rsidRPr="009B5C3B">
              <w:rPr>
                <w:lang w:val="fr-FR"/>
              </w:rPr>
              <w:t>OP/BP 4.37</w:t>
            </w:r>
            <w:r w:rsidRPr="00B9386C">
              <w:rPr>
                <w:lang w:val="fr-FR"/>
              </w:rPr>
              <w:t>)</w:t>
            </w:r>
          </w:p>
        </w:tc>
        <w:tc>
          <w:tcPr>
            <w:tcW w:w="1170" w:type="dxa"/>
          </w:tcPr>
          <w:p w:rsidR="001D46B2" w:rsidRPr="00B9386C" w:rsidRDefault="001D46B2" w:rsidP="00FB58EA">
            <w:pPr>
              <w:jc w:val="center"/>
              <w:rPr>
                <w:lang w:val="fr-FR"/>
              </w:rPr>
            </w:pPr>
          </w:p>
        </w:tc>
        <w:tc>
          <w:tcPr>
            <w:tcW w:w="1170" w:type="dxa"/>
          </w:tcPr>
          <w:p w:rsidR="001D46B2" w:rsidRPr="00B9386C" w:rsidRDefault="001D46B2" w:rsidP="006F19F6">
            <w:pPr>
              <w:jc w:val="center"/>
              <w:rPr>
                <w:lang w:val="fr-FR"/>
              </w:rPr>
            </w:pPr>
            <w:r w:rsidRPr="00B9386C">
              <w:rPr>
                <w:lang w:val="fr-FR"/>
              </w:rPr>
              <w:t>X</w:t>
            </w:r>
          </w:p>
        </w:tc>
      </w:tr>
      <w:tr w:rsidR="001D46B2" w:rsidRPr="00B9386C" w:rsidTr="001D46B2">
        <w:tc>
          <w:tcPr>
            <w:tcW w:w="6138" w:type="dxa"/>
          </w:tcPr>
          <w:p w:rsidR="001D46B2" w:rsidRPr="00B9386C" w:rsidRDefault="001D46B2" w:rsidP="00B9386C">
            <w:pPr>
              <w:rPr>
                <w:lang w:val="fr-FR"/>
              </w:rPr>
            </w:pPr>
            <w:r w:rsidRPr="00006301">
              <w:rPr>
                <w:lang w:val="fr-FR"/>
              </w:rPr>
              <w:t xml:space="preserve">Projets </w:t>
            </w:r>
            <w:r w:rsidRPr="009B5C3B">
              <w:rPr>
                <w:lang w:val="fr-FR"/>
              </w:rPr>
              <w:t>dans les</w:t>
            </w:r>
            <w:r w:rsidRPr="00006301">
              <w:rPr>
                <w:lang w:val="fr-FR"/>
              </w:rPr>
              <w:t xml:space="preserve"> zones</w:t>
            </w:r>
            <w:r w:rsidRPr="00B9386C">
              <w:rPr>
                <w:lang w:val="fr-FR"/>
              </w:rPr>
              <w:t xml:space="preserve"> en litige (</w:t>
            </w:r>
            <w:r w:rsidRPr="009B5C3B">
              <w:rPr>
                <w:lang w:val="fr-FR"/>
              </w:rPr>
              <w:t>OP/BP 7.60</w:t>
            </w:r>
            <w:r w:rsidRPr="00B9386C">
              <w:rPr>
                <w:lang w:val="fr-FR"/>
              </w:rPr>
              <w:t>)</w:t>
            </w:r>
            <w:r w:rsidR="00E52D24" w:rsidRPr="00690F9A">
              <w:rPr>
                <w:rStyle w:val="FootnoteReference"/>
                <w:sz w:val="22"/>
                <w:szCs w:val="22"/>
              </w:rPr>
              <w:footnoteReference w:customMarkFollows="1" w:id="1"/>
              <w:t>*</w:t>
            </w:r>
          </w:p>
        </w:tc>
        <w:tc>
          <w:tcPr>
            <w:tcW w:w="1170" w:type="dxa"/>
          </w:tcPr>
          <w:p w:rsidR="001D46B2" w:rsidRPr="00B9386C" w:rsidRDefault="001D46B2" w:rsidP="00FB58EA">
            <w:pPr>
              <w:jc w:val="center"/>
              <w:rPr>
                <w:lang w:val="fr-FR"/>
              </w:rPr>
            </w:pPr>
          </w:p>
        </w:tc>
        <w:tc>
          <w:tcPr>
            <w:tcW w:w="1170" w:type="dxa"/>
          </w:tcPr>
          <w:p w:rsidR="001D46B2" w:rsidRPr="00B9386C" w:rsidRDefault="001D46B2" w:rsidP="00FB58EA">
            <w:pPr>
              <w:jc w:val="center"/>
              <w:rPr>
                <w:lang w:val="fr-FR"/>
              </w:rPr>
            </w:pPr>
            <w:r w:rsidRPr="00B9386C">
              <w:rPr>
                <w:lang w:val="fr-FR"/>
              </w:rPr>
              <w:t>X</w:t>
            </w:r>
          </w:p>
        </w:tc>
      </w:tr>
      <w:tr w:rsidR="001D46B2" w:rsidRPr="00B9386C" w:rsidTr="001D46B2">
        <w:tc>
          <w:tcPr>
            <w:tcW w:w="6138" w:type="dxa"/>
          </w:tcPr>
          <w:p w:rsidR="001D46B2" w:rsidRPr="00B9386C" w:rsidRDefault="001D46B2" w:rsidP="00B9386C">
            <w:pPr>
              <w:rPr>
                <w:lang w:val="fr-FR"/>
              </w:rPr>
            </w:pPr>
            <w:r w:rsidRPr="00B9386C">
              <w:rPr>
                <w:lang w:val="fr-FR"/>
              </w:rPr>
              <w:t xml:space="preserve">Projets </w:t>
            </w:r>
            <w:r w:rsidRPr="009B5C3B">
              <w:rPr>
                <w:lang w:val="fr-FR"/>
              </w:rPr>
              <w:t>relatifs aux</w:t>
            </w:r>
            <w:r w:rsidRPr="00B9386C">
              <w:rPr>
                <w:lang w:val="fr-FR"/>
              </w:rPr>
              <w:t xml:space="preserve"> voies d</w:t>
            </w:r>
            <w:r w:rsidR="003258B5">
              <w:rPr>
                <w:lang w:val="fr-FR"/>
              </w:rPr>
              <w:t>’</w:t>
            </w:r>
            <w:r w:rsidRPr="00B9386C">
              <w:rPr>
                <w:lang w:val="fr-FR"/>
              </w:rPr>
              <w:t>eau internationales (</w:t>
            </w:r>
            <w:r w:rsidRPr="009B5C3B">
              <w:rPr>
                <w:lang w:val="fr-FR"/>
              </w:rPr>
              <w:t>OP/BP 7.50</w:t>
            </w:r>
            <w:r w:rsidRPr="00B9386C">
              <w:rPr>
                <w:lang w:val="fr-FR"/>
              </w:rPr>
              <w:t>)</w:t>
            </w:r>
          </w:p>
        </w:tc>
        <w:tc>
          <w:tcPr>
            <w:tcW w:w="1170" w:type="dxa"/>
          </w:tcPr>
          <w:p w:rsidR="001D46B2" w:rsidRPr="00B9386C" w:rsidRDefault="001D46B2" w:rsidP="00FB58EA">
            <w:pPr>
              <w:jc w:val="center"/>
              <w:rPr>
                <w:lang w:val="fr-FR"/>
              </w:rPr>
            </w:pPr>
          </w:p>
        </w:tc>
        <w:tc>
          <w:tcPr>
            <w:tcW w:w="1170" w:type="dxa"/>
          </w:tcPr>
          <w:p w:rsidR="001D46B2" w:rsidRPr="00B9386C" w:rsidRDefault="001D46B2" w:rsidP="00FB58EA">
            <w:pPr>
              <w:jc w:val="center"/>
              <w:rPr>
                <w:lang w:val="fr-FR"/>
              </w:rPr>
            </w:pPr>
            <w:r w:rsidRPr="00B9386C">
              <w:rPr>
                <w:lang w:val="fr-FR"/>
              </w:rPr>
              <w:t>X</w:t>
            </w:r>
          </w:p>
        </w:tc>
      </w:tr>
    </w:tbl>
    <w:p w:rsidR="00795977" w:rsidRPr="00B9386C" w:rsidRDefault="00795977" w:rsidP="00795977">
      <w:pPr>
        <w:rPr>
          <w:lang w:val="fr-FR"/>
        </w:rPr>
      </w:pPr>
      <w:bookmarkStart w:id="26" w:name="FactualTechnicalDocuments"/>
      <w:bookmarkEnd w:id="25"/>
    </w:p>
    <w:p w:rsidR="006F051B" w:rsidRPr="00B9386C" w:rsidRDefault="006F051B" w:rsidP="00795977">
      <w:pPr>
        <w:rPr>
          <w:lang w:val="fr-FR"/>
        </w:rPr>
      </w:pPr>
    </w:p>
    <w:bookmarkEnd w:id="26"/>
    <w:p w:rsidR="00A706FA" w:rsidRPr="00B9386C" w:rsidRDefault="00C541CE" w:rsidP="00D84FCA">
      <w:pPr>
        <w:numPr>
          <w:ilvl w:val="0"/>
          <w:numId w:val="7"/>
        </w:numPr>
        <w:rPr>
          <w:b/>
          <w:lang w:val="fr-FR"/>
        </w:rPr>
      </w:pPr>
      <w:r w:rsidRPr="009B5C3B">
        <w:rPr>
          <w:b/>
          <w:lang w:val="fr-FR"/>
        </w:rPr>
        <w:t>Personnes à</w:t>
      </w:r>
      <w:r w:rsidRPr="00B9386C">
        <w:rPr>
          <w:b/>
          <w:lang w:val="fr-FR"/>
        </w:rPr>
        <w:t xml:space="preserve"> </w:t>
      </w:r>
      <w:r w:rsidR="003258B5">
        <w:rPr>
          <w:b/>
          <w:lang w:val="fr-FR"/>
        </w:rPr>
        <w:t xml:space="preserve">contacter </w:t>
      </w:r>
      <w:r w:rsidRPr="009B5C3B">
        <w:rPr>
          <w:b/>
          <w:lang w:val="fr-FR"/>
        </w:rPr>
        <w:t>à la</w:t>
      </w:r>
      <w:r w:rsidRPr="00006301">
        <w:rPr>
          <w:b/>
          <w:lang w:val="fr-FR"/>
        </w:rPr>
        <w:t xml:space="preserve"> </w:t>
      </w:r>
      <w:r w:rsidRPr="009B5C3B">
        <w:rPr>
          <w:b/>
          <w:lang w:val="fr-FR"/>
        </w:rPr>
        <w:t>Banque mondiale</w:t>
      </w:r>
      <w:r w:rsidRPr="00006301">
        <w:rPr>
          <w:b/>
          <w:lang w:val="fr-FR"/>
        </w:rPr>
        <w:t xml:space="preserve"> et chez l</w:t>
      </w:r>
      <w:r w:rsidR="003258B5">
        <w:rPr>
          <w:b/>
          <w:lang w:val="fr-FR"/>
        </w:rPr>
        <w:t>’emprunteur</w:t>
      </w:r>
    </w:p>
    <w:p w:rsidR="009A7D1D" w:rsidRPr="00B9386C" w:rsidRDefault="009A7D1D" w:rsidP="009A7D1D">
      <w:pPr>
        <w:pStyle w:val="ListParagraph"/>
        <w:ind w:left="0"/>
        <w:rPr>
          <w:b/>
          <w:lang w:val="fr-FR"/>
        </w:rPr>
      </w:pPr>
    </w:p>
    <w:p w:rsidR="00C541CE" w:rsidRPr="009B5C3B" w:rsidRDefault="00C541CE" w:rsidP="00C541CE">
      <w:pPr>
        <w:pStyle w:val="ListParagraph"/>
        <w:ind w:left="0"/>
        <w:rPr>
          <w:lang w:val="fr-FR"/>
        </w:rPr>
      </w:pPr>
      <w:r w:rsidRPr="009B5C3B">
        <w:rPr>
          <w:b/>
          <w:lang w:val="fr-FR"/>
        </w:rPr>
        <w:t>Banque mondiale</w:t>
      </w:r>
    </w:p>
    <w:p w:rsidR="002C324C" w:rsidRPr="009B5C3B" w:rsidRDefault="002C324C" w:rsidP="002C324C">
      <w:pPr>
        <w:rPr>
          <w:lang w:val="fr-FR"/>
        </w:rPr>
      </w:pPr>
      <w:r w:rsidRPr="009B5C3B">
        <w:rPr>
          <w:lang w:val="fr-FR"/>
        </w:rPr>
        <w:t>Contact</w:t>
      </w:r>
      <w:r w:rsidR="00C541CE" w:rsidRPr="009B5C3B">
        <w:rPr>
          <w:lang w:val="fr-FR"/>
        </w:rPr>
        <w:t> </w:t>
      </w:r>
      <w:r w:rsidRPr="009B5C3B">
        <w:rPr>
          <w:lang w:val="fr-FR"/>
        </w:rPr>
        <w:t>:</w:t>
      </w:r>
      <w:r w:rsidR="00537225" w:rsidRPr="009B5C3B">
        <w:rPr>
          <w:lang w:val="fr-FR"/>
        </w:rPr>
        <w:t xml:space="preserve"> </w:t>
      </w:r>
      <w:r w:rsidR="00537225" w:rsidRPr="009B5C3B">
        <w:rPr>
          <w:lang w:val="fr-FR"/>
        </w:rPr>
        <w:tab/>
        <w:t>Teymour Abdel Aziz</w:t>
      </w:r>
    </w:p>
    <w:p w:rsidR="002C324C" w:rsidRPr="00006301" w:rsidRDefault="00C541CE" w:rsidP="002C324C">
      <w:pPr>
        <w:rPr>
          <w:lang w:val="fr-FR"/>
        </w:rPr>
      </w:pPr>
      <w:r w:rsidRPr="00006301">
        <w:rPr>
          <w:lang w:val="fr-FR"/>
        </w:rPr>
        <w:t>Titr</w:t>
      </w:r>
      <w:r w:rsidR="002C324C" w:rsidRPr="00006301">
        <w:rPr>
          <w:lang w:val="fr-FR"/>
        </w:rPr>
        <w:t>e</w:t>
      </w:r>
      <w:r w:rsidRPr="00006301">
        <w:rPr>
          <w:lang w:val="fr-FR"/>
        </w:rPr>
        <w:t> </w:t>
      </w:r>
      <w:r w:rsidR="002C324C" w:rsidRPr="00006301">
        <w:rPr>
          <w:lang w:val="fr-FR"/>
        </w:rPr>
        <w:t>:</w:t>
      </w:r>
      <w:r w:rsidR="002C324C" w:rsidRPr="00006301">
        <w:rPr>
          <w:lang w:val="fr-FR"/>
        </w:rPr>
        <w:tab/>
      </w:r>
      <w:r w:rsidR="008674DD" w:rsidRPr="00006301">
        <w:rPr>
          <w:lang w:val="fr-FR"/>
        </w:rPr>
        <w:tab/>
      </w:r>
      <w:r w:rsidRPr="00006301">
        <w:rPr>
          <w:lang w:val="fr-FR"/>
        </w:rPr>
        <w:t>Économiste</w:t>
      </w:r>
      <w:r w:rsidR="002C324C" w:rsidRPr="00006301">
        <w:rPr>
          <w:lang w:val="fr-FR"/>
        </w:rPr>
        <w:tab/>
      </w:r>
    </w:p>
    <w:p w:rsidR="002C324C" w:rsidRPr="00B9386C" w:rsidRDefault="00C541CE" w:rsidP="002C324C">
      <w:pPr>
        <w:rPr>
          <w:lang w:val="fr-FR"/>
        </w:rPr>
      </w:pPr>
      <w:r w:rsidRPr="00006301">
        <w:rPr>
          <w:lang w:val="fr-FR"/>
        </w:rPr>
        <w:t>Té</w:t>
      </w:r>
      <w:r w:rsidR="00537225" w:rsidRPr="00006301">
        <w:rPr>
          <w:lang w:val="fr-FR"/>
        </w:rPr>
        <w:t>l</w:t>
      </w:r>
      <w:r w:rsidRPr="00006301">
        <w:rPr>
          <w:lang w:val="fr-FR"/>
        </w:rPr>
        <w:t>. </w:t>
      </w:r>
      <w:r w:rsidR="00537225" w:rsidRPr="00006301">
        <w:rPr>
          <w:lang w:val="fr-FR"/>
        </w:rPr>
        <w:t>:</w:t>
      </w:r>
      <w:r w:rsidR="00537225" w:rsidRPr="00006301">
        <w:rPr>
          <w:lang w:val="fr-FR"/>
        </w:rPr>
        <w:tab/>
      </w:r>
      <w:r w:rsidR="00537225" w:rsidRPr="00006301">
        <w:rPr>
          <w:lang w:val="fr-FR"/>
        </w:rPr>
        <w:tab/>
        <w:t>+</w:t>
      </w:r>
      <w:r w:rsidR="00537225" w:rsidRPr="009B5C3B">
        <w:rPr>
          <w:lang w:val="fr-FR"/>
        </w:rPr>
        <w:t>1 (202) 458</w:t>
      </w:r>
      <w:r w:rsidR="00537225" w:rsidRPr="00B9386C">
        <w:rPr>
          <w:lang w:val="fr-FR"/>
        </w:rPr>
        <w:t>-8116</w:t>
      </w:r>
    </w:p>
    <w:p w:rsidR="002C324C" w:rsidRPr="00B9386C" w:rsidRDefault="00C541CE" w:rsidP="002C324C">
      <w:pPr>
        <w:rPr>
          <w:lang w:val="fr-FR"/>
        </w:rPr>
      </w:pPr>
      <w:r w:rsidRPr="00B9386C">
        <w:rPr>
          <w:lang w:val="fr-FR"/>
        </w:rPr>
        <w:t>Courriel :</w:t>
      </w:r>
      <w:r w:rsidR="002C324C" w:rsidRPr="00B9386C">
        <w:rPr>
          <w:lang w:val="fr-FR"/>
        </w:rPr>
        <w:tab/>
      </w:r>
      <w:r w:rsidR="00537225" w:rsidRPr="009B5C3B">
        <w:rPr>
          <w:lang w:val="fr-FR"/>
        </w:rPr>
        <w:t>tabdelaziz</w:t>
      </w:r>
      <w:r w:rsidR="008674DD" w:rsidRPr="009B5C3B">
        <w:rPr>
          <w:lang w:val="fr-FR"/>
        </w:rPr>
        <w:t>@worldbank.org</w:t>
      </w:r>
    </w:p>
    <w:p w:rsidR="00225112" w:rsidRPr="00B9386C" w:rsidRDefault="00225112" w:rsidP="002C324C">
      <w:pPr>
        <w:rPr>
          <w:lang w:val="fr-FR"/>
        </w:rPr>
      </w:pPr>
    </w:p>
    <w:p w:rsidR="00C541CE" w:rsidRPr="00B9386C" w:rsidRDefault="00E52D24" w:rsidP="002C324C">
      <w:pPr>
        <w:rPr>
          <w:b/>
          <w:lang w:val="fr-FR"/>
        </w:rPr>
      </w:pPr>
      <w:r>
        <w:rPr>
          <w:b/>
          <w:lang w:val="fr-FR"/>
        </w:rPr>
        <w:t>Emprunteur/client/b</w:t>
      </w:r>
      <w:r w:rsidR="00C541CE" w:rsidRPr="00B9386C">
        <w:rPr>
          <w:b/>
          <w:lang w:val="fr-FR"/>
        </w:rPr>
        <w:t>énéficiaire</w:t>
      </w:r>
    </w:p>
    <w:p w:rsidR="00C541CE" w:rsidRPr="00B9386C" w:rsidRDefault="00C541CE" w:rsidP="00C541CE">
      <w:pPr>
        <w:rPr>
          <w:b/>
          <w:i/>
          <w:lang w:val="fr-FR"/>
        </w:rPr>
      </w:pPr>
      <w:r w:rsidRPr="009B5C3B">
        <w:rPr>
          <w:b/>
          <w:i/>
          <w:lang w:val="fr-FR"/>
        </w:rPr>
        <w:t>Royaume du Maroc</w:t>
      </w:r>
      <w:r w:rsidRPr="00B9386C">
        <w:rPr>
          <w:b/>
          <w:i/>
          <w:lang w:val="fr-FR"/>
        </w:rPr>
        <w:t xml:space="preserve"> – </w:t>
      </w:r>
      <w:r w:rsidRPr="009B5C3B">
        <w:rPr>
          <w:b/>
          <w:i/>
          <w:lang w:val="fr-FR"/>
        </w:rPr>
        <w:t>Ministère de l</w:t>
      </w:r>
      <w:r w:rsidR="003258B5">
        <w:rPr>
          <w:b/>
          <w:i/>
          <w:lang w:val="fr-FR"/>
        </w:rPr>
        <w:t>’</w:t>
      </w:r>
      <w:r w:rsidRPr="009B5C3B">
        <w:rPr>
          <w:b/>
          <w:i/>
          <w:lang w:val="fr-FR"/>
        </w:rPr>
        <w:t>Économie et des Finances</w:t>
      </w:r>
    </w:p>
    <w:p w:rsidR="00225112" w:rsidRPr="009B5C3B" w:rsidRDefault="00225112" w:rsidP="00211BBC">
      <w:pPr>
        <w:rPr>
          <w:lang w:val="fr-FR"/>
        </w:rPr>
      </w:pPr>
      <w:r w:rsidRPr="009B5C3B">
        <w:rPr>
          <w:lang w:val="fr-FR"/>
        </w:rPr>
        <w:t>Contact</w:t>
      </w:r>
      <w:r w:rsidR="00C541CE" w:rsidRPr="009B5C3B">
        <w:rPr>
          <w:lang w:val="fr-FR"/>
        </w:rPr>
        <w:t> </w:t>
      </w:r>
      <w:r w:rsidRPr="009B5C3B">
        <w:rPr>
          <w:lang w:val="fr-FR"/>
        </w:rPr>
        <w:t>:</w:t>
      </w:r>
      <w:r w:rsidRPr="009B5C3B">
        <w:rPr>
          <w:lang w:val="fr-FR"/>
        </w:rPr>
        <w:tab/>
      </w:r>
      <w:r w:rsidR="00537225" w:rsidRPr="009B5C3B">
        <w:rPr>
          <w:lang w:val="fr-FR"/>
        </w:rPr>
        <w:t>Nouaman Al Aissami</w:t>
      </w:r>
    </w:p>
    <w:p w:rsidR="00225112" w:rsidRPr="00B9386C" w:rsidRDefault="00C541CE" w:rsidP="00211BBC">
      <w:pPr>
        <w:rPr>
          <w:lang w:val="fr-FR"/>
        </w:rPr>
      </w:pPr>
      <w:r w:rsidRPr="00B9386C">
        <w:rPr>
          <w:lang w:val="fr-FR"/>
        </w:rPr>
        <w:t>Titr</w:t>
      </w:r>
      <w:r w:rsidR="00225112" w:rsidRPr="00B9386C">
        <w:rPr>
          <w:lang w:val="fr-FR"/>
        </w:rPr>
        <w:t>e</w:t>
      </w:r>
      <w:r w:rsidRPr="00B9386C">
        <w:rPr>
          <w:lang w:val="fr-FR"/>
        </w:rPr>
        <w:t> </w:t>
      </w:r>
      <w:r w:rsidR="00225112" w:rsidRPr="00B9386C">
        <w:rPr>
          <w:lang w:val="fr-FR"/>
        </w:rPr>
        <w:t>:</w:t>
      </w:r>
      <w:r w:rsidR="00225112" w:rsidRPr="00B9386C">
        <w:rPr>
          <w:lang w:val="fr-FR"/>
        </w:rPr>
        <w:tab/>
      </w:r>
      <w:r w:rsidR="00225112" w:rsidRPr="00B9386C">
        <w:rPr>
          <w:lang w:val="fr-FR"/>
        </w:rPr>
        <w:tab/>
      </w:r>
      <w:r w:rsidRPr="009B5C3B">
        <w:rPr>
          <w:lang w:val="fr-FR"/>
        </w:rPr>
        <w:t>Chef de division</w:t>
      </w:r>
      <w:r w:rsidRPr="00B9386C">
        <w:rPr>
          <w:lang w:val="fr-FR"/>
        </w:rPr>
        <w:t>, Crédit</w:t>
      </w:r>
    </w:p>
    <w:p w:rsidR="00225112" w:rsidRPr="00B9386C" w:rsidRDefault="00C541CE" w:rsidP="00211BBC">
      <w:pPr>
        <w:rPr>
          <w:lang w:val="fr-FR"/>
        </w:rPr>
      </w:pPr>
      <w:r w:rsidRPr="00B9386C">
        <w:rPr>
          <w:lang w:val="fr-FR"/>
        </w:rPr>
        <w:t>Té</w:t>
      </w:r>
      <w:r w:rsidR="00225112" w:rsidRPr="00B9386C">
        <w:rPr>
          <w:lang w:val="fr-FR"/>
        </w:rPr>
        <w:t>l</w:t>
      </w:r>
      <w:r w:rsidRPr="00B9386C">
        <w:rPr>
          <w:lang w:val="fr-FR"/>
        </w:rPr>
        <w:t>. </w:t>
      </w:r>
      <w:r w:rsidR="00225112" w:rsidRPr="00B9386C">
        <w:rPr>
          <w:lang w:val="fr-FR"/>
        </w:rPr>
        <w:t>:</w:t>
      </w:r>
      <w:r w:rsidR="00225112" w:rsidRPr="00B9386C">
        <w:rPr>
          <w:lang w:val="fr-FR"/>
        </w:rPr>
        <w:tab/>
      </w:r>
      <w:r w:rsidR="00225112" w:rsidRPr="00B9386C">
        <w:rPr>
          <w:lang w:val="fr-FR"/>
        </w:rPr>
        <w:tab/>
      </w:r>
      <w:r w:rsidR="00537225" w:rsidRPr="009B5C3B">
        <w:rPr>
          <w:lang w:val="fr-FR"/>
        </w:rPr>
        <w:t>00212 5 37 76 06 61</w:t>
      </w:r>
      <w:r w:rsidR="00225112" w:rsidRPr="00B9386C">
        <w:rPr>
          <w:lang w:val="fr-FR"/>
        </w:rPr>
        <w:tab/>
      </w:r>
    </w:p>
    <w:p w:rsidR="00225112" w:rsidRPr="00B9386C" w:rsidRDefault="00C541CE" w:rsidP="00211BBC">
      <w:pPr>
        <w:rPr>
          <w:lang w:val="fr-FR"/>
        </w:rPr>
      </w:pPr>
      <w:r w:rsidRPr="00B9386C">
        <w:rPr>
          <w:lang w:val="fr-FR"/>
        </w:rPr>
        <w:t>Courriel </w:t>
      </w:r>
      <w:r w:rsidR="00225112" w:rsidRPr="00B9386C">
        <w:rPr>
          <w:lang w:val="fr-FR"/>
        </w:rPr>
        <w:t>:</w:t>
      </w:r>
      <w:r w:rsidR="00225112" w:rsidRPr="00B9386C">
        <w:rPr>
          <w:lang w:val="fr-FR"/>
        </w:rPr>
        <w:tab/>
      </w:r>
      <w:r w:rsidR="00537225" w:rsidRPr="009B5C3B">
        <w:rPr>
          <w:lang w:val="fr-FR"/>
        </w:rPr>
        <w:t>n.alaissami@tresor.finances.gov.ma</w:t>
      </w:r>
    </w:p>
    <w:p w:rsidR="00DE4D49" w:rsidRPr="00B9386C" w:rsidRDefault="00DE4D49" w:rsidP="00225112">
      <w:pPr>
        <w:rPr>
          <w:lang w:val="fr-FR"/>
        </w:rPr>
      </w:pPr>
    </w:p>
    <w:p w:rsidR="00C541CE" w:rsidRPr="009B5C3B" w:rsidRDefault="00C541CE" w:rsidP="00C541CE">
      <w:pPr>
        <w:rPr>
          <w:b/>
          <w:lang w:val="fr-FR"/>
        </w:rPr>
      </w:pPr>
      <w:r w:rsidRPr="009B5C3B">
        <w:rPr>
          <w:b/>
          <w:lang w:val="fr-FR"/>
        </w:rPr>
        <w:t>Organismes d</w:t>
      </w:r>
      <w:r w:rsidR="003258B5">
        <w:rPr>
          <w:b/>
          <w:lang w:val="fr-FR"/>
        </w:rPr>
        <w:t>’</w:t>
      </w:r>
      <w:r w:rsidRPr="009B5C3B">
        <w:rPr>
          <w:b/>
          <w:lang w:val="fr-FR"/>
        </w:rPr>
        <w:t>exécution</w:t>
      </w:r>
    </w:p>
    <w:p w:rsidR="00C541CE" w:rsidRPr="00B9386C" w:rsidRDefault="00C541CE" w:rsidP="00C541CE">
      <w:pPr>
        <w:rPr>
          <w:b/>
          <w:i/>
          <w:lang w:val="fr-FR"/>
        </w:rPr>
      </w:pPr>
      <w:r w:rsidRPr="009B5C3B">
        <w:rPr>
          <w:b/>
          <w:i/>
          <w:lang w:val="fr-FR"/>
        </w:rPr>
        <w:t>Royaume du Maroc</w:t>
      </w:r>
      <w:r w:rsidRPr="00B9386C">
        <w:rPr>
          <w:b/>
          <w:i/>
          <w:lang w:val="fr-FR"/>
        </w:rPr>
        <w:t xml:space="preserve"> – </w:t>
      </w:r>
      <w:r w:rsidRPr="009B5C3B">
        <w:rPr>
          <w:b/>
          <w:i/>
          <w:lang w:val="fr-FR"/>
        </w:rPr>
        <w:t>Ministère de l</w:t>
      </w:r>
      <w:r w:rsidR="003258B5">
        <w:rPr>
          <w:b/>
          <w:i/>
          <w:lang w:val="fr-FR"/>
        </w:rPr>
        <w:t>’</w:t>
      </w:r>
      <w:r w:rsidRPr="009B5C3B">
        <w:rPr>
          <w:b/>
          <w:i/>
          <w:lang w:val="fr-FR"/>
        </w:rPr>
        <w:t>Économie et des Finances</w:t>
      </w:r>
    </w:p>
    <w:p w:rsidR="00537225" w:rsidRPr="009B5C3B" w:rsidRDefault="003258B5" w:rsidP="00537225">
      <w:pPr>
        <w:rPr>
          <w:lang w:val="fr-FR"/>
        </w:rPr>
      </w:pPr>
      <w:r>
        <w:rPr>
          <w:lang w:val="fr-FR"/>
        </w:rPr>
        <w:t>Contact </w:t>
      </w:r>
      <w:r w:rsidR="00537225" w:rsidRPr="009B5C3B">
        <w:rPr>
          <w:lang w:val="fr-FR"/>
        </w:rPr>
        <w:t>:</w:t>
      </w:r>
      <w:r w:rsidR="00537225" w:rsidRPr="009B5C3B">
        <w:rPr>
          <w:lang w:val="fr-FR"/>
        </w:rPr>
        <w:tab/>
        <w:t>Nouaman Al Aissami</w:t>
      </w:r>
    </w:p>
    <w:p w:rsidR="00537225" w:rsidRPr="00B9386C" w:rsidRDefault="00C541CE" w:rsidP="00537225">
      <w:pPr>
        <w:rPr>
          <w:lang w:val="fr-FR"/>
        </w:rPr>
      </w:pPr>
      <w:r w:rsidRPr="00B9386C">
        <w:rPr>
          <w:lang w:val="fr-FR"/>
        </w:rPr>
        <w:t>Titr</w:t>
      </w:r>
      <w:r w:rsidR="00537225" w:rsidRPr="00B9386C">
        <w:rPr>
          <w:lang w:val="fr-FR"/>
        </w:rPr>
        <w:t>e</w:t>
      </w:r>
      <w:r w:rsidRPr="00B9386C">
        <w:rPr>
          <w:lang w:val="fr-FR"/>
        </w:rPr>
        <w:t> </w:t>
      </w:r>
      <w:r w:rsidR="00537225" w:rsidRPr="00B9386C">
        <w:rPr>
          <w:lang w:val="fr-FR"/>
        </w:rPr>
        <w:t>:</w:t>
      </w:r>
      <w:r w:rsidR="00537225" w:rsidRPr="00B9386C">
        <w:rPr>
          <w:lang w:val="fr-FR"/>
        </w:rPr>
        <w:tab/>
      </w:r>
      <w:r w:rsidR="00537225" w:rsidRPr="00B9386C">
        <w:rPr>
          <w:lang w:val="fr-FR"/>
        </w:rPr>
        <w:tab/>
      </w:r>
      <w:r w:rsidRPr="009B5C3B">
        <w:rPr>
          <w:lang w:val="fr-FR"/>
        </w:rPr>
        <w:t>Chef de division</w:t>
      </w:r>
      <w:r w:rsidRPr="00B9386C">
        <w:rPr>
          <w:lang w:val="fr-FR"/>
        </w:rPr>
        <w:t>, Crédit</w:t>
      </w:r>
    </w:p>
    <w:p w:rsidR="00537225" w:rsidRPr="00B9386C" w:rsidRDefault="00C541CE" w:rsidP="00537225">
      <w:pPr>
        <w:rPr>
          <w:lang w:val="fr-FR"/>
        </w:rPr>
      </w:pPr>
      <w:r w:rsidRPr="00B9386C">
        <w:rPr>
          <w:lang w:val="fr-FR"/>
        </w:rPr>
        <w:t>Té</w:t>
      </w:r>
      <w:r w:rsidR="00537225" w:rsidRPr="00B9386C">
        <w:rPr>
          <w:lang w:val="fr-FR"/>
        </w:rPr>
        <w:t>l</w:t>
      </w:r>
      <w:r w:rsidRPr="00B9386C">
        <w:rPr>
          <w:lang w:val="fr-FR"/>
        </w:rPr>
        <w:t>. </w:t>
      </w:r>
      <w:r w:rsidR="00537225" w:rsidRPr="00B9386C">
        <w:rPr>
          <w:lang w:val="fr-FR"/>
        </w:rPr>
        <w:t>:</w:t>
      </w:r>
      <w:r w:rsidR="00537225" w:rsidRPr="00B9386C">
        <w:rPr>
          <w:lang w:val="fr-FR"/>
        </w:rPr>
        <w:tab/>
      </w:r>
      <w:r w:rsidR="00537225" w:rsidRPr="00B9386C">
        <w:rPr>
          <w:lang w:val="fr-FR"/>
        </w:rPr>
        <w:tab/>
      </w:r>
      <w:r w:rsidR="00537225" w:rsidRPr="009B5C3B">
        <w:rPr>
          <w:lang w:val="fr-FR"/>
        </w:rPr>
        <w:t>00212 5 37 76 06 61</w:t>
      </w:r>
      <w:r w:rsidR="00537225" w:rsidRPr="00B9386C">
        <w:rPr>
          <w:lang w:val="fr-FR"/>
        </w:rPr>
        <w:tab/>
      </w:r>
    </w:p>
    <w:p w:rsidR="002C324C" w:rsidRPr="00B9386C" w:rsidRDefault="00C541CE" w:rsidP="00795977">
      <w:pPr>
        <w:rPr>
          <w:lang w:val="fr-FR"/>
        </w:rPr>
      </w:pPr>
      <w:r w:rsidRPr="00B9386C">
        <w:rPr>
          <w:lang w:val="fr-FR"/>
        </w:rPr>
        <w:t>Courriel </w:t>
      </w:r>
      <w:r w:rsidR="00537225" w:rsidRPr="00B9386C">
        <w:rPr>
          <w:lang w:val="fr-FR"/>
        </w:rPr>
        <w:t>:</w:t>
      </w:r>
      <w:r w:rsidR="00537225" w:rsidRPr="00B9386C">
        <w:rPr>
          <w:lang w:val="fr-FR"/>
        </w:rPr>
        <w:tab/>
      </w:r>
      <w:r w:rsidR="00537225" w:rsidRPr="009B5C3B">
        <w:rPr>
          <w:lang w:val="fr-FR"/>
        </w:rPr>
        <w:t>n.alaissami@tresor.finances.gov.ma</w:t>
      </w:r>
      <w:r w:rsidR="00537225" w:rsidRPr="00B9386C">
        <w:rPr>
          <w:lang w:val="fr-FR"/>
        </w:rPr>
        <w:br/>
      </w:r>
    </w:p>
    <w:p w:rsidR="00DE4D49" w:rsidRPr="00B9386C" w:rsidRDefault="00DE4D49" w:rsidP="00DE4D49">
      <w:pPr>
        <w:rPr>
          <w:b/>
          <w:lang w:val="fr-FR"/>
        </w:rPr>
      </w:pPr>
    </w:p>
    <w:p w:rsidR="00A706FA" w:rsidRPr="00B9386C" w:rsidRDefault="00C541CE" w:rsidP="00D84FCA">
      <w:pPr>
        <w:numPr>
          <w:ilvl w:val="0"/>
          <w:numId w:val="7"/>
        </w:numPr>
        <w:rPr>
          <w:b/>
          <w:lang w:val="fr-FR"/>
        </w:rPr>
      </w:pPr>
      <w:r w:rsidRPr="00B9386C">
        <w:rPr>
          <w:b/>
          <w:lang w:val="fr-FR"/>
        </w:rPr>
        <w:t xml:space="preserve">Pour </w:t>
      </w:r>
      <w:r w:rsidRPr="009B5C3B">
        <w:rPr>
          <w:b/>
          <w:lang w:val="fr-FR"/>
        </w:rPr>
        <w:t>de plus</w:t>
      </w:r>
      <w:r w:rsidRPr="00B9386C">
        <w:rPr>
          <w:b/>
          <w:lang w:val="fr-FR"/>
        </w:rPr>
        <w:t xml:space="preserve"> </w:t>
      </w:r>
      <w:r w:rsidRPr="009B5C3B">
        <w:rPr>
          <w:b/>
          <w:lang w:val="fr-FR"/>
        </w:rPr>
        <w:t>amples informations</w:t>
      </w:r>
      <w:r w:rsidRPr="00B9386C">
        <w:rPr>
          <w:b/>
          <w:lang w:val="fr-FR"/>
        </w:rPr>
        <w:t xml:space="preserve">, </w:t>
      </w:r>
      <w:r w:rsidRPr="009B5C3B">
        <w:rPr>
          <w:b/>
          <w:lang w:val="fr-FR"/>
        </w:rPr>
        <w:t>veuillez contacter</w:t>
      </w:r>
      <w:r w:rsidRPr="00B9386C">
        <w:rPr>
          <w:b/>
          <w:lang w:val="fr-FR"/>
        </w:rPr>
        <w:t> </w:t>
      </w:r>
      <w:r w:rsidR="00A706FA" w:rsidRPr="00B9386C">
        <w:rPr>
          <w:b/>
          <w:lang w:val="fr-FR"/>
        </w:rPr>
        <w:t>:</w:t>
      </w:r>
    </w:p>
    <w:p w:rsidR="00A706FA" w:rsidRPr="009B5C3B" w:rsidRDefault="00A706FA" w:rsidP="009A7D1D">
      <w:pPr>
        <w:rPr>
          <w:lang w:val="fr-FR"/>
        </w:rPr>
      </w:pPr>
      <w:r w:rsidRPr="009B5C3B">
        <w:rPr>
          <w:lang w:val="fr-FR"/>
        </w:rPr>
        <w:t>The InfoShop</w:t>
      </w:r>
    </w:p>
    <w:p w:rsidR="00A706FA" w:rsidRPr="009B5C3B" w:rsidRDefault="00A706FA" w:rsidP="009A7D1D">
      <w:pPr>
        <w:rPr>
          <w:lang w:val="fr-FR"/>
        </w:rPr>
      </w:pPr>
      <w:r w:rsidRPr="009B5C3B">
        <w:rPr>
          <w:lang w:val="fr-FR"/>
        </w:rPr>
        <w:t>The World Bank</w:t>
      </w:r>
    </w:p>
    <w:p w:rsidR="00A706FA" w:rsidRPr="009B5C3B" w:rsidRDefault="00A706FA" w:rsidP="009A7D1D">
      <w:pPr>
        <w:rPr>
          <w:lang w:val="fr-FR"/>
        </w:rPr>
      </w:pPr>
      <w:r w:rsidRPr="009B5C3B">
        <w:rPr>
          <w:lang w:val="fr-FR"/>
        </w:rPr>
        <w:t>1818 H Street, NW</w:t>
      </w:r>
    </w:p>
    <w:p w:rsidR="00A706FA" w:rsidRPr="009B5C3B" w:rsidRDefault="00A706FA" w:rsidP="009A7D1D">
      <w:pPr>
        <w:rPr>
          <w:lang w:val="fr-FR"/>
        </w:rPr>
      </w:pPr>
      <w:r w:rsidRPr="009B5C3B">
        <w:rPr>
          <w:lang w:val="fr-FR"/>
        </w:rPr>
        <w:t>Washington, D.C. 20433</w:t>
      </w:r>
    </w:p>
    <w:p w:rsidR="00A706FA" w:rsidRPr="00006301" w:rsidRDefault="00C541CE" w:rsidP="009A7D1D">
      <w:pPr>
        <w:rPr>
          <w:lang w:val="fr-FR"/>
        </w:rPr>
      </w:pPr>
      <w:r w:rsidRPr="00006301">
        <w:rPr>
          <w:lang w:val="fr-FR"/>
        </w:rPr>
        <w:t>Télé</w:t>
      </w:r>
      <w:r w:rsidR="00A706FA" w:rsidRPr="00006301">
        <w:rPr>
          <w:lang w:val="fr-FR"/>
        </w:rPr>
        <w:t>phone</w:t>
      </w:r>
      <w:r w:rsidRPr="00006301">
        <w:rPr>
          <w:lang w:val="fr-FR"/>
        </w:rPr>
        <w:t> </w:t>
      </w:r>
      <w:r w:rsidR="00A706FA" w:rsidRPr="00006301">
        <w:rPr>
          <w:lang w:val="fr-FR"/>
        </w:rPr>
        <w:t>:  (</w:t>
      </w:r>
      <w:r w:rsidR="00A706FA" w:rsidRPr="009B5C3B">
        <w:rPr>
          <w:lang w:val="fr-FR"/>
        </w:rPr>
        <w:t>202) 458-45</w:t>
      </w:r>
      <w:r w:rsidR="00662310" w:rsidRPr="009B5C3B">
        <w:rPr>
          <w:lang w:val="fr-FR"/>
        </w:rPr>
        <w:t>00</w:t>
      </w:r>
    </w:p>
    <w:p w:rsidR="00A706FA" w:rsidRPr="00006301" w:rsidRDefault="00C541CE" w:rsidP="009A7D1D">
      <w:pPr>
        <w:rPr>
          <w:lang w:val="fr-FR"/>
        </w:rPr>
      </w:pPr>
      <w:r w:rsidRPr="00006301">
        <w:rPr>
          <w:lang w:val="fr-FR"/>
        </w:rPr>
        <w:lastRenderedPageBreak/>
        <w:t>Télécopie </w:t>
      </w:r>
      <w:r w:rsidR="003258B5">
        <w:rPr>
          <w:lang w:val="fr-FR"/>
        </w:rPr>
        <w:t xml:space="preserve">: </w:t>
      </w:r>
      <w:r w:rsidR="00A706FA" w:rsidRPr="00006301">
        <w:rPr>
          <w:lang w:val="fr-FR"/>
        </w:rPr>
        <w:t>(</w:t>
      </w:r>
      <w:r w:rsidR="00A706FA" w:rsidRPr="009B5C3B">
        <w:rPr>
          <w:lang w:val="fr-FR"/>
        </w:rPr>
        <w:t>202) 522-1500</w:t>
      </w:r>
    </w:p>
    <w:p w:rsidR="00A706FA" w:rsidRPr="009B5C3B" w:rsidRDefault="00A706FA" w:rsidP="009A7D1D">
      <w:pPr>
        <w:rPr>
          <w:lang w:val="fr-FR"/>
        </w:rPr>
      </w:pPr>
      <w:r w:rsidRPr="009B5C3B">
        <w:rPr>
          <w:lang w:val="fr-FR"/>
        </w:rPr>
        <w:t>Web</w:t>
      </w:r>
      <w:r w:rsidR="00C541CE" w:rsidRPr="009B5C3B">
        <w:rPr>
          <w:lang w:val="fr-FR"/>
        </w:rPr>
        <w:t> </w:t>
      </w:r>
      <w:r w:rsidRPr="009B5C3B">
        <w:rPr>
          <w:lang w:val="fr-FR"/>
        </w:rPr>
        <w:t>: http://www.worldbank.org/infoshop</w:t>
      </w:r>
    </w:p>
    <w:p w:rsidR="00A706FA" w:rsidRPr="00B9386C" w:rsidRDefault="00A706FA">
      <w:pPr>
        <w:rPr>
          <w:lang w:val="fr-FR"/>
        </w:rPr>
      </w:pPr>
    </w:p>
    <w:sectPr w:rsidR="00A706FA" w:rsidRPr="00B9386C" w:rsidSect="001278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C44" w:rsidRDefault="00B52C44">
      <w:r>
        <w:separator/>
      </w:r>
    </w:p>
  </w:endnote>
  <w:endnote w:type="continuationSeparator" w:id="0">
    <w:p w:rsidR="00B52C44" w:rsidRDefault="00B52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C44" w:rsidRDefault="00B52C44">
      <w:r>
        <w:separator/>
      </w:r>
    </w:p>
  </w:footnote>
  <w:footnote w:type="continuationSeparator" w:id="0">
    <w:p w:rsidR="00B52C44" w:rsidRDefault="00B52C44">
      <w:r>
        <w:continuationSeparator/>
      </w:r>
    </w:p>
  </w:footnote>
  <w:footnote w:id="1">
    <w:p w:rsidR="00E52D24" w:rsidRPr="00BE6558" w:rsidRDefault="00E52D24" w:rsidP="00E52D24">
      <w:pPr>
        <w:pStyle w:val="FootnoteText"/>
        <w:rPr>
          <w:lang w:val="fr-FR"/>
        </w:rPr>
      </w:pPr>
      <w:r w:rsidRPr="00BE6558">
        <w:rPr>
          <w:rStyle w:val="FootnoteReference"/>
          <w:lang w:val="fr-FR"/>
        </w:rPr>
        <w:t>*</w:t>
      </w:r>
      <w:r w:rsidRPr="00BE6558">
        <w:rPr>
          <w:lang w:val="fr-FR"/>
        </w:rPr>
        <w:t xml:space="preserve"> </w:t>
      </w:r>
      <w:r w:rsidRPr="00BE6558">
        <w:rPr>
          <w:i/>
          <w:snapToGrid w:val="0"/>
          <w:color w:val="000000"/>
          <w:sz w:val="18"/>
          <w:lang w:val="fr-FR"/>
        </w:rPr>
        <w:t>En accordant son soutien au projet proposé, la Banque mondiale n’entend pas préjuger de la décision définitive concernant les revendications de parties sur les zones en litige</w:t>
      </w:r>
      <w:r w:rsidRPr="00BE6558">
        <w:rPr>
          <w:lang w:val="fr-FR"/>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3240"/>
    <w:multiLevelType w:val="hybridMultilevel"/>
    <w:tmpl w:val="D01EC9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A5593A"/>
    <w:multiLevelType w:val="hybridMultilevel"/>
    <w:tmpl w:val="19009432"/>
    <w:lvl w:ilvl="0" w:tplc="FC9A40E2">
      <w:start w:val="1"/>
      <w:numFmt w:val="decimal"/>
      <w:lvlText w:val="%1."/>
      <w:lvlJc w:val="left"/>
      <w:pPr>
        <w:tabs>
          <w:tab w:val="num" w:pos="360"/>
        </w:tabs>
        <w:ind w:left="0" w:firstLine="0"/>
      </w:pPr>
      <w:rPr>
        <w:rFonts w:hint="default"/>
      </w:rPr>
    </w:lvl>
    <w:lvl w:ilvl="1" w:tplc="0409000F">
      <w:start w:val="1"/>
      <w:numFmt w:val="decimal"/>
      <w:lvlText w:val="%2."/>
      <w:lvlJc w:val="left"/>
      <w:pPr>
        <w:tabs>
          <w:tab w:val="num" w:pos="720"/>
        </w:tabs>
        <w:ind w:left="1080" w:firstLine="0"/>
      </w:pPr>
      <w:rPr>
        <w:rFonts w:hint="default"/>
      </w:rPr>
    </w:lvl>
    <w:lvl w:ilvl="2" w:tplc="73C4CA50">
      <w:start w:val="1"/>
      <w:numFmt w:val="lowerRoman"/>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8F6F2D"/>
    <w:multiLevelType w:val="multilevel"/>
    <w:tmpl w:val="9A181F6E"/>
    <w:lvl w:ilvl="0">
      <w:start w:val="1"/>
      <w:numFmt w:val="upperRoman"/>
      <w:pStyle w:val="PDSHeading1"/>
      <w:lvlText w:val="%1."/>
      <w:lvlJc w:val="center"/>
      <w:pPr>
        <w:tabs>
          <w:tab w:val="num" w:pos="0"/>
        </w:tabs>
        <w:ind w:left="0" w:firstLine="0"/>
      </w:pPr>
      <w:rPr>
        <w:rFonts w:ascii="Times New Roman" w:hAnsi="Times New Roman" w:cs="Times New Roman" w:hint="default"/>
        <w:b/>
        <w:bCs w:val="0"/>
        <w:i w:val="0"/>
        <w:iCs w:val="0"/>
        <w:caps w:val="0"/>
        <w:smallCaps w:val="0"/>
        <w:strike w:val="0"/>
        <w:dstrike w:val="0"/>
        <w:noProof w:val="0"/>
        <w:vanish w:val="0"/>
        <w:spacing w:val="0"/>
        <w:kern w:val="0"/>
        <w:position w:val="0"/>
        <w:u w:val="none"/>
        <w:vertAlign w:val="baseline"/>
        <w:em w:val="none"/>
      </w:rPr>
    </w:lvl>
    <w:lvl w:ilvl="1">
      <w:start w:val="1"/>
      <w:numFmt w:val="upperLetter"/>
      <w:pStyle w:val="PDSHeading2"/>
      <w:lvlText w:val="%2."/>
      <w:lvlJc w:val="left"/>
      <w:pPr>
        <w:tabs>
          <w:tab w:val="num" w:pos="360"/>
        </w:tabs>
        <w:ind w:left="0" w:firstLine="0"/>
      </w:pPr>
      <w:rPr>
        <w:rFonts w:hint="default"/>
      </w:rPr>
    </w:lvl>
    <w:lvl w:ilvl="2">
      <w:start w:val="1"/>
      <w:numFmt w:val="decimal"/>
      <w:lvlText w:val="%3."/>
      <w:lvlJc w:val="left"/>
      <w:pPr>
        <w:tabs>
          <w:tab w:val="num" w:pos="720"/>
        </w:tabs>
        <w:ind w:left="720" w:firstLine="0"/>
      </w:pPr>
      <w:rPr>
        <w:rFonts w:hint="default"/>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2E952EE"/>
    <w:multiLevelType w:val="hybridMultilevel"/>
    <w:tmpl w:val="C59443B2"/>
    <w:lvl w:ilvl="0" w:tplc="04090017">
      <w:start w:val="1"/>
      <w:numFmt w:val="lowerLetter"/>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3364D1"/>
    <w:multiLevelType w:val="hybridMultilevel"/>
    <w:tmpl w:val="BED6969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DEC5416"/>
    <w:multiLevelType w:val="hybridMultilevel"/>
    <w:tmpl w:val="11E85B56"/>
    <w:lvl w:ilvl="0" w:tplc="2AE8936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4C27168"/>
    <w:multiLevelType w:val="hybridMultilevel"/>
    <w:tmpl w:val="DCF2AB0A"/>
    <w:lvl w:ilvl="0" w:tplc="04090013">
      <w:start w:val="1"/>
      <w:numFmt w:val="upperRoman"/>
      <w:lvlText w:val="%1."/>
      <w:lvlJc w:val="righ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5AD1EC3"/>
    <w:multiLevelType w:val="hybridMultilevel"/>
    <w:tmpl w:val="9D38E54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02F30BC"/>
    <w:multiLevelType w:val="hybridMultilevel"/>
    <w:tmpl w:val="CFEE5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9439E6"/>
    <w:multiLevelType w:val="multilevel"/>
    <w:tmpl w:val="65669098"/>
    <w:lvl w:ilvl="0">
      <w:start w:val="1"/>
      <w:numFmt w:val="none"/>
      <w:pStyle w:val="Heading1a"/>
      <w:suff w:val="nothing"/>
      <w:lvlText w:val="%1"/>
      <w:lvlJc w:val="left"/>
      <w:pPr>
        <w:ind w:left="0" w:firstLine="0"/>
      </w:pPr>
      <w:rPr>
        <w:rFonts w:hint="default"/>
      </w:rPr>
    </w:lvl>
    <w:lvl w:ilvl="1">
      <w:start w:val="1"/>
      <w:numFmt w:val="decimal"/>
      <w:pStyle w:val="MainParanoChapter"/>
      <w:lvlText w:val="%2."/>
      <w:lvlJc w:val="left"/>
      <w:pPr>
        <w:tabs>
          <w:tab w:val="num" w:pos="720"/>
        </w:tabs>
        <w:ind w:left="720" w:hanging="720"/>
      </w:pPr>
      <w:rPr>
        <w:rFonts w:hint="default"/>
      </w:rPr>
    </w:lvl>
    <w:lvl w:ilvl="2">
      <w:start w:val="1"/>
      <w:numFmt w:val="lowerLetter"/>
      <w:pStyle w:val="Sub-Para1underX"/>
      <w:lvlText w:val="(%3)"/>
      <w:lvlJc w:val="left"/>
      <w:pPr>
        <w:tabs>
          <w:tab w:val="num" w:pos="1080"/>
        </w:tabs>
        <w:ind w:left="720" w:hanging="360"/>
      </w:pPr>
      <w:rPr>
        <w:rFonts w:hint="default"/>
      </w:rPr>
    </w:lvl>
    <w:lvl w:ilvl="3">
      <w:start w:val="1"/>
      <w:numFmt w:val="lowerRoman"/>
      <w:pStyle w:val="Sub-Para2underX"/>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7156FA8"/>
    <w:multiLevelType w:val="hybridMultilevel"/>
    <w:tmpl w:val="B6F4579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8722EC5"/>
    <w:multiLevelType w:val="hybridMultilevel"/>
    <w:tmpl w:val="05CEFC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7314D1"/>
    <w:multiLevelType w:val="hybridMultilevel"/>
    <w:tmpl w:val="A39660A8"/>
    <w:lvl w:ilvl="0" w:tplc="74AC854E">
      <w:start w:val="1"/>
      <w:numFmt w:val="bullet"/>
      <w:lvlText w:val=""/>
      <w:lvlJc w:val="left"/>
      <w:pPr>
        <w:tabs>
          <w:tab w:val="num" w:pos="648"/>
        </w:tabs>
        <w:ind w:left="288"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F2D664E"/>
    <w:multiLevelType w:val="hybridMultilevel"/>
    <w:tmpl w:val="69D0AE5E"/>
    <w:lvl w:ilvl="0" w:tplc="EF38BC54">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3C5248F"/>
    <w:multiLevelType w:val="hybridMultilevel"/>
    <w:tmpl w:val="9358F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C11663"/>
    <w:multiLevelType w:val="multilevel"/>
    <w:tmpl w:val="94A882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080" w:hanging="360"/>
      </w:pPr>
      <w:rPr>
        <w:rFonts w:hint="default"/>
      </w:rPr>
    </w:lvl>
    <w:lvl w:ilvl="3">
      <w:start w:val="1"/>
      <w:numFmt w:val="lowerRoman"/>
      <w:lvlText w:val="(%4)"/>
      <w:lvlJc w:val="left"/>
      <w:pPr>
        <w:tabs>
          <w:tab w:val="num" w:pos="216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1.%2.%3.%4.%5.%6.%7."/>
      <w:lvlJc w:val="left"/>
      <w:pPr>
        <w:tabs>
          <w:tab w:val="num" w:pos="7200"/>
        </w:tabs>
        <w:ind w:left="6120" w:hanging="1080"/>
      </w:pPr>
      <w:rPr>
        <w:rFonts w:hint="default"/>
      </w:rPr>
    </w:lvl>
    <w:lvl w:ilvl="7">
      <w:start w:val="1"/>
      <w:numFmt w:val="decimal"/>
      <w:lvlText w:val="%1.%2.%3.%4.%5.%6.%7.%8."/>
      <w:lvlJc w:val="left"/>
      <w:pPr>
        <w:tabs>
          <w:tab w:val="num" w:pos="7560"/>
        </w:tabs>
        <w:ind w:left="6624" w:hanging="1224"/>
      </w:pPr>
      <w:rPr>
        <w:rFonts w:hint="default"/>
      </w:rPr>
    </w:lvl>
    <w:lvl w:ilvl="8">
      <w:start w:val="1"/>
      <w:numFmt w:val="decimal"/>
      <w:lvlText w:val="%1.%2.%3.%4.%5.%6.%7.%8.%9."/>
      <w:lvlJc w:val="left"/>
      <w:pPr>
        <w:tabs>
          <w:tab w:val="num" w:pos="8280"/>
        </w:tabs>
        <w:ind w:left="7200" w:hanging="1440"/>
      </w:pPr>
      <w:rPr>
        <w:rFonts w:hint="default"/>
      </w:rPr>
    </w:lvl>
  </w:abstractNum>
  <w:abstractNum w:abstractNumId="16">
    <w:nsid w:val="7ED6383F"/>
    <w:multiLevelType w:val="hybridMultilevel"/>
    <w:tmpl w:val="09E86072"/>
    <w:lvl w:ilvl="0" w:tplc="E94A50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16"/>
  </w:num>
  <w:num w:numId="4">
    <w:abstractNumId w:val="5"/>
  </w:num>
  <w:num w:numId="5">
    <w:abstractNumId w:val="12"/>
  </w:num>
  <w:num w:numId="6">
    <w:abstractNumId w:val="0"/>
  </w:num>
  <w:num w:numId="7">
    <w:abstractNumId w:val="6"/>
  </w:num>
  <w:num w:numId="8">
    <w:abstractNumId w:val="13"/>
  </w:num>
  <w:num w:numId="9">
    <w:abstractNumId w:val="15"/>
  </w:num>
  <w:num w:numId="10">
    <w:abstractNumId w:val="1"/>
  </w:num>
  <w:num w:numId="11">
    <w:abstractNumId w:val="2"/>
  </w:num>
  <w:num w:numId="12">
    <w:abstractNumId w:val="9"/>
  </w:num>
  <w:num w:numId="13">
    <w:abstractNumId w:val="4"/>
  </w:num>
  <w:num w:numId="14">
    <w:abstractNumId w:val="14"/>
  </w:num>
  <w:num w:numId="15">
    <w:abstractNumId w:val="3"/>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general english-french"/>
    <w:docVar w:name="TermBaseURL" w:val="empty"/>
    <w:docVar w:name="TextBases" w:val="LOCAL\textbasejmm|WBMSTR01\French\Project Specific\legal documents|WBMSTR01\Multilingual\AFREX Country briefs|WBMSTR01\Multilingual\Annual and Spring Meetings|WBMSTR01\Multilingual\CA|WBMSTR01\Multilingual\Climate Investment Fund CTF|WBMSTR01\Multilingual\CSG|WBMSTR01\Multilingual\DCS|WBMSTR01\Multilingual\ENVCF|WBMSTR01\Multilingual\GEF|WBMSTR01\Multilingual\GPE|WBMSTR01\Multilingual\IFC Sustainability|WBMSTR01\Multilingual\IFC Sustainability Network|WBMSTR01\Multilingual\JPC|WBMSTR01\Multilingual\MIGA|WBMSTR01\Multilingual\OPCS|WBMSTR01\Multilingual\PEFA|WBMSTR01\Multilingual\SEC Letter Template|WBMSTR01\Multilingual\SEGPO|WBMSTR01\French\Project Specific\AFRESX Country Briefs|WBMSTR01\French\Project Specific\Annual and Spring Meetings|WBMSTR01\French\Project Specific\BAR2007|WBMSTR01\French\Project Specific\CAADP|WBMSTR01\French\Project Specific\Climate Investment Fund|WBMSTR01\French\Project Specific\Corporate Governance|WBMSTR01\French\Project Specific\DB08|WBMSTR01\French\Project Specific\Doing Business 09|WBMSTR01\French\Project Specific\financial products|WBMSTR01\French\Project Specific\GEF|WBMSTR01\French\Project Specific\IFC Annual Report 09|WBMSTR01\French\Project Specific\IFC Annual Reports|WBMSTR01\French\Project Specific\IFC08|WBMSTR01\French\Project Specific\Malawi proceedings|WBMSTR01\French\Project Specific\MIGA AR 08|WBMSTR01\French\Project Specific\PEFA|WBMSTR01\French\Project Specific\SEC Letter Templates|WBMSTR01\French\Project Specific\spring meetings 09|WBMSTR01\French\Project Specific\SSATP|WBMSTR01\French\Project Specific\WB Annual Rep 08|WBMSTR01\French\Project Specific\WB Annual Rep 09|WBMSTR01\French\Project Specific\WB Annual Reports|WBMSTR01\French\Project Specific\WDR|WBMSTR01\French\BEST-OF-FRENTRAN|WBMSTR01\French\tier_1|WBMSTR01\Annual Meetings\Annual and Spring Meetings Adhoc\Annual Meetings 2012|WBMSTR01\Annual Meetings\Annual and Spring Meetings Adhoc\Spring Meetings 2013|WBMSTR01\Annual Meetings\Annual and Spring Meetings Adhoc\SpringMeetings2012|WBMSTR01\Annual Meetings\Project Specific\AM2010|WBMSTR01\Annual Meetings\Project Specific\AM2012|WBMSTR01\Annual Meetings\Project Specific\SM2012|WBMSTR01\Annual Meetings\AM2008|WBMSTR01\Annual Meetings\Annual and Spring Meetings"/>
    <w:docVar w:name="TextBaseURL" w:val="empty"/>
    <w:docVar w:name="UILng" w:val="en"/>
  </w:docVars>
  <w:rsids>
    <w:rsidRoot w:val="006461C9"/>
    <w:rsid w:val="00006301"/>
    <w:rsid w:val="000072FC"/>
    <w:rsid w:val="00012D71"/>
    <w:rsid w:val="000203C7"/>
    <w:rsid w:val="00026B1B"/>
    <w:rsid w:val="0004025A"/>
    <w:rsid w:val="00083542"/>
    <w:rsid w:val="000B21EE"/>
    <w:rsid w:val="000E15E3"/>
    <w:rsid w:val="000E3101"/>
    <w:rsid w:val="001157F6"/>
    <w:rsid w:val="00120660"/>
    <w:rsid w:val="00122103"/>
    <w:rsid w:val="00122469"/>
    <w:rsid w:val="00124011"/>
    <w:rsid w:val="001278E8"/>
    <w:rsid w:val="00150F8F"/>
    <w:rsid w:val="00167327"/>
    <w:rsid w:val="001740EB"/>
    <w:rsid w:val="001A54D1"/>
    <w:rsid w:val="001D46B2"/>
    <w:rsid w:val="00211BBC"/>
    <w:rsid w:val="00225112"/>
    <w:rsid w:val="00231629"/>
    <w:rsid w:val="00231EA0"/>
    <w:rsid w:val="00232973"/>
    <w:rsid w:val="00265A73"/>
    <w:rsid w:val="002679CD"/>
    <w:rsid w:val="002922D3"/>
    <w:rsid w:val="00296C22"/>
    <w:rsid w:val="002A602B"/>
    <w:rsid w:val="002B14A0"/>
    <w:rsid w:val="002B7383"/>
    <w:rsid w:val="002C324C"/>
    <w:rsid w:val="002E57AF"/>
    <w:rsid w:val="002F035A"/>
    <w:rsid w:val="00307500"/>
    <w:rsid w:val="00324A7F"/>
    <w:rsid w:val="003258B5"/>
    <w:rsid w:val="00335D06"/>
    <w:rsid w:val="00336CE4"/>
    <w:rsid w:val="0034397A"/>
    <w:rsid w:val="00347D4C"/>
    <w:rsid w:val="0036097E"/>
    <w:rsid w:val="003708B6"/>
    <w:rsid w:val="00381796"/>
    <w:rsid w:val="003A3F56"/>
    <w:rsid w:val="003C1894"/>
    <w:rsid w:val="003E239A"/>
    <w:rsid w:val="004034A9"/>
    <w:rsid w:val="004219A3"/>
    <w:rsid w:val="00425E27"/>
    <w:rsid w:val="00430B03"/>
    <w:rsid w:val="004428AB"/>
    <w:rsid w:val="00453FE9"/>
    <w:rsid w:val="004A0192"/>
    <w:rsid w:val="004A37A8"/>
    <w:rsid w:val="004A72C5"/>
    <w:rsid w:val="004C2E9C"/>
    <w:rsid w:val="004F2343"/>
    <w:rsid w:val="00502163"/>
    <w:rsid w:val="005047C3"/>
    <w:rsid w:val="005359C1"/>
    <w:rsid w:val="00537225"/>
    <w:rsid w:val="005536B4"/>
    <w:rsid w:val="00562CFA"/>
    <w:rsid w:val="0056378B"/>
    <w:rsid w:val="00563BF5"/>
    <w:rsid w:val="005815B0"/>
    <w:rsid w:val="00590551"/>
    <w:rsid w:val="00596A22"/>
    <w:rsid w:val="005A1B61"/>
    <w:rsid w:val="005B2956"/>
    <w:rsid w:val="005B3282"/>
    <w:rsid w:val="005D211E"/>
    <w:rsid w:val="005E1B6E"/>
    <w:rsid w:val="00622745"/>
    <w:rsid w:val="006412B2"/>
    <w:rsid w:val="006461C9"/>
    <w:rsid w:val="006555BC"/>
    <w:rsid w:val="0066204B"/>
    <w:rsid w:val="00662310"/>
    <w:rsid w:val="00687A1D"/>
    <w:rsid w:val="00694021"/>
    <w:rsid w:val="006A375B"/>
    <w:rsid w:val="006A5481"/>
    <w:rsid w:val="006D1564"/>
    <w:rsid w:val="006F051B"/>
    <w:rsid w:val="006F1003"/>
    <w:rsid w:val="006F19F6"/>
    <w:rsid w:val="00724CE4"/>
    <w:rsid w:val="007445CD"/>
    <w:rsid w:val="00745849"/>
    <w:rsid w:val="0075006E"/>
    <w:rsid w:val="0076098F"/>
    <w:rsid w:val="00772D88"/>
    <w:rsid w:val="0079387B"/>
    <w:rsid w:val="00795977"/>
    <w:rsid w:val="00795A81"/>
    <w:rsid w:val="00796F96"/>
    <w:rsid w:val="007C4833"/>
    <w:rsid w:val="007C6F62"/>
    <w:rsid w:val="00805DF8"/>
    <w:rsid w:val="00813AEF"/>
    <w:rsid w:val="008159FA"/>
    <w:rsid w:val="00815F95"/>
    <w:rsid w:val="00825158"/>
    <w:rsid w:val="0083177F"/>
    <w:rsid w:val="008542E6"/>
    <w:rsid w:val="008554AB"/>
    <w:rsid w:val="00863496"/>
    <w:rsid w:val="00863D01"/>
    <w:rsid w:val="008674DD"/>
    <w:rsid w:val="008964C4"/>
    <w:rsid w:val="008A7371"/>
    <w:rsid w:val="008B06D2"/>
    <w:rsid w:val="008E27EE"/>
    <w:rsid w:val="008F5FCE"/>
    <w:rsid w:val="00902D9C"/>
    <w:rsid w:val="009456A5"/>
    <w:rsid w:val="00952FC4"/>
    <w:rsid w:val="00974469"/>
    <w:rsid w:val="009909C7"/>
    <w:rsid w:val="009A0453"/>
    <w:rsid w:val="009A1B9C"/>
    <w:rsid w:val="009A1BFD"/>
    <w:rsid w:val="009A38F5"/>
    <w:rsid w:val="009A4FE9"/>
    <w:rsid w:val="009A7D1D"/>
    <w:rsid w:val="009B2072"/>
    <w:rsid w:val="009B5524"/>
    <w:rsid w:val="009B5C3B"/>
    <w:rsid w:val="009C1F60"/>
    <w:rsid w:val="009D2230"/>
    <w:rsid w:val="009D5297"/>
    <w:rsid w:val="009F6EB9"/>
    <w:rsid w:val="00A02EBD"/>
    <w:rsid w:val="00A25FCF"/>
    <w:rsid w:val="00A363FE"/>
    <w:rsid w:val="00A4385C"/>
    <w:rsid w:val="00A706FA"/>
    <w:rsid w:val="00A732FF"/>
    <w:rsid w:val="00AA75AD"/>
    <w:rsid w:val="00AB1BE1"/>
    <w:rsid w:val="00AB7A20"/>
    <w:rsid w:val="00AC5925"/>
    <w:rsid w:val="00AD5B43"/>
    <w:rsid w:val="00AF2151"/>
    <w:rsid w:val="00B0237B"/>
    <w:rsid w:val="00B212CE"/>
    <w:rsid w:val="00B25983"/>
    <w:rsid w:val="00B4235A"/>
    <w:rsid w:val="00B50132"/>
    <w:rsid w:val="00B52C44"/>
    <w:rsid w:val="00B537A5"/>
    <w:rsid w:val="00B67CA0"/>
    <w:rsid w:val="00B7089C"/>
    <w:rsid w:val="00B9386C"/>
    <w:rsid w:val="00BB0EA7"/>
    <w:rsid w:val="00BB1BF3"/>
    <w:rsid w:val="00BB426A"/>
    <w:rsid w:val="00BB5586"/>
    <w:rsid w:val="00BD501C"/>
    <w:rsid w:val="00BF56E7"/>
    <w:rsid w:val="00BF65EC"/>
    <w:rsid w:val="00C04211"/>
    <w:rsid w:val="00C11C70"/>
    <w:rsid w:val="00C135E3"/>
    <w:rsid w:val="00C233D7"/>
    <w:rsid w:val="00C41DEB"/>
    <w:rsid w:val="00C514B0"/>
    <w:rsid w:val="00C528E7"/>
    <w:rsid w:val="00C541CE"/>
    <w:rsid w:val="00C70DF7"/>
    <w:rsid w:val="00C74BBE"/>
    <w:rsid w:val="00C82216"/>
    <w:rsid w:val="00CA037F"/>
    <w:rsid w:val="00CA5C09"/>
    <w:rsid w:val="00CC10C2"/>
    <w:rsid w:val="00CF7322"/>
    <w:rsid w:val="00D02472"/>
    <w:rsid w:val="00D2518A"/>
    <w:rsid w:val="00D263DD"/>
    <w:rsid w:val="00D34D9F"/>
    <w:rsid w:val="00D50DAA"/>
    <w:rsid w:val="00D6298B"/>
    <w:rsid w:val="00D77A5D"/>
    <w:rsid w:val="00D84FCA"/>
    <w:rsid w:val="00D860A0"/>
    <w:rsid w:val="00DA6FA2"/>
    <w:rsid w:val="00DB4C35"/>
    <w:rsid w:val="00DD37B7"/>
    <w:rsid w:val="00DE4730"/>
    <w:rsid w:val="00DE4D49"/>
    <w:rsid w:val="00E23EC8"/>
    <w:rsid w:val="00E52D24"/>
    <w:rsid w:val="00E85FF2"/>
    <w:rsid w:val="00E87F56"/>
    <w:rsid w:val="00EA32A8"/>
    <w:rsid w:val="00EB1D5B"/>
    <w:rsid w:val="00ED496E"/>
    <w:rsid w:val="00EE76DD"/>
    <w:rsid w:val="00F019DE"/>
    <w:rsid w:val="00F17604"/>
    <w:rsid w:val="00F539F1"/>
    <w:rsid w:val="00F64C6F"/>
    <w:rsid w:val="00F76EBB"/>
    <w:rsid w:val="00F84BFF"/>
    <w:rsid w:val="00F928FD"/>
    <w:rsid w:val="00FA236A"/>
    <w:rsid w:val="00FB1306"/>
    <w:rsid w:val="00FB4CEC"/>
    <w:rsid w:val="00FB5265"/>
    <w:rsid w:val="00FB58EA"/>
    <w:rsid w:val="00FC3AF0"/>
    <w:rsid w:val="00FD3A2E"/>
    <w:rsid w:val="00FD4234"/>
    <w:rsid w:val="00FD6333"/>
    <w:rsid w:val="00FE078D"/>
    <w:rsid w:val="00FE2D65"/>
    <w:rsid w:val="00FE4E41"/>
    <w:rsid w:val="00FE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78E8"/>
    <w:rPr>
      <w:sz w:val="24"/>
      <w:szCs w:val="24"/>
    </w:rPr>
  </w:style>
  <w:style w:type="paragraph" w:styleId="Heading1">
    <w:name w:val="heading 1"/>
    <w:basedOn w:val="Normal"/>
    <w:next w:val="Normal"/>
    <w:qFormat/>
    <w:rsid w:val="001278E8"/>
    <w:pPr>
      <w:keepNext/>
      <w:outlineLvl w:val="0"/>
    </w:pPr>
    <w:rPr>
      <w:b/>
      <w:bCs/>
    </w:rPr>
  </w:style>
  <w:style w:type="paragraph" w:styleId="Heading2">
    <w:name w:val="heading 2"/>
    <w:basedOn w:val="Normal"/>
    <w:next w:val="Normal"/>
    <w:qFormat/>
    <w:rsid w:val="001278E8"/>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278E8"/>
    <w:pPr>
      <w:ind w:left="-108"/>
      <w:jc w:val="both"/>
    </w:pPr>
  </w:style>
  <w:style w:type="paragraph" w:styleId="CommentText">
    <w:name w:val="annotation text"/>
    <w:basedOn w:val="Normal"/>
    <w:link w:val="CommentTextChar"/>
    <w:semiHidden/>
    <w:rsid w:val="001278E8"/>
    <w:rPr>
      <w:sz w:val="20"/>
      <w:szCs w:val="20"/>
    </w:rPr>
  </w:style>
  <w:style w:type="character" w:styleId="CommentReference">
    <w:name w:val="annotation reference"/>
    <w:basedOn w:val="DefaultParagraphFont"/>
    <w:semiHidden/>
    <w:rsid w:val="001278E8"/>
    <w:rPr>
      <w:sz w:val="16"/>
      <w:szCs w:val="16"/>
    </w:rPr>
  </w:style>
  <w:style w:type="paragraph" w:styleId="BalloonText">
    <w:name w:val="Balloon Text"/>
    <w:basedOn w:val="Normal"/>
    <w:semiHidden/>
    <w:rsid w:val="006461C9"/>
    <w:rPr>
      <w:rFonts w:ascii="Tahoma" w:hAnsi="Tahoma" w:cs="Tahoma"/>
      <w:sz w:val="16"/>
      <w:szCs w:val="16"/>
    </w:rPr>
  </w:style>
  <w:style w:type="character" w:styleId="Hyperlink">
    <w:name w:val="Hyperlink"/>
    <w:basedOn w:val="DefaultParagraphFont"/>
    <w:rsid w:val="00C528E7"/>
    <w:rPr>
      <w:color w:val="0000FF"/>
      <w:u w:val="single"/>
    </w:rPr>
  </w:style>
  <w:style w:type="paragraph" w:styleId="FootnoteText">
    <w:name w:val="footnote text"/>
    <w:aliases w:val="single space,footnote text,fn,FOOTNOTES,footnote,text,ADB,WB-Fußnotentext,Footnote,Fußnote,Footnote Text Char1 Char,Footnote Text Char Char Char1,Footnote Text Char1 Char Char Char1,Footnote Text Char1 Char1 Char,fn1,stile 1,Testo_note,ft"/>
    <w:basedOn w:val="Normal"/>
    <w:link w:val="FootnoteTextChar"/>
    <w:uiPriority w:val="99"/>
    <w:qFormat/>
    <w:rsid w:val="00C528E7"/>
    <w:rPr>
      <w:sz w:val="20"/>
      <w:szCs w:val="20"/>
    </w:rPr>
  </w:style>
  <w:style w:type="character" w:styleId="FootnoteReference">
    <w:name w:val="footnote reference"/>
    <w:aliases w:val="Ref,de nota al pie,16 Point,Superscript 6 Point,ftref,Footnote Reference Number,fr,Footnote Reference_LVL6,Footnote Reference_LVL61,Footnote Reference_LVL62,Footnote Reference_LVL63,Footnote Reference_LVL64,SUPERS,Times 10 Point"/>
    <w:basedOn w:val="DefaultParagraphFont"/>
    <w:uiPriority w:val="99"/>
    <w:rsid w:val="00C528E7"/>
    <w:rPr>
      <w:vertAlign w:val="superscript"/>
    </w:rPr>
  </w:style>
  <w:style w:type="table" w:styleId="TableGrid">
    <w:name w:val="Table Grid"/>
    <w:basedOn w:val="TableNormal"/>
    <w:uiPriority w:val="59"/>
    <w:rsid w:val="008542E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aliases w:val="List Paragraph (numbered (a)),Use Case List Paragraph"/>
    <w:basedOn w:val="Normal"/>
    <w:link w:val="ListParagraphChar"/>
    <w:uiPriority w:val="34"/>
    <w:qFormat/>
    <w:rsid w:val="0036097E"/>
    <w:pPr>
      <w:ind w:left="720"/>
      <w:contextualSpacing/>
    </w:pPr>
  </w:style>
  <w:style w:type="paragraph" w:styleId="CommentSubject">
    <w:name w:val="annotation subject"/>
    <w:basedOn w:val="CommentText"/>
    <w:next w:val="CommentText"/>
    <w:link w:val="CommentSubjectChar"/>
    <w:rsid w:val="006A5481"/>
    <w:rPr>
      <w:b/>
      <w:bCs/>
    </w:rPr>
  </w:style>
  <w:style w:type="character" w:customStyle="1" w:styleId="CommentTextChar">
    <w:name w:val="Comment Text Char"/>
    <w:basedOn w:val="DefaultParagraphFont"/>
    <w:link w:val="CommentText"/>
    <w:semiHidden/>
    <w:rsid w:val="006A5481"/>
  </w:style>
  <w:style w:type="character" w:customStyle="1" w:styleId="CommentSubjectChar">
    <w:name w:val="Comment Subject Char"/>
    <w:basedOn w:val="CommentTextChar"/>
    <w:link w:val="CommentSubject"/>
    <w:rsid w:val="006A5481"/>
  </w:style>
  <w:style w:type="paragraph" w:styleId="Header">
    <w:name w:val="header"/>
    <w:basedOn w:val="Normal"/>
    <w:link w:val="HeaderChar"/>
    <w:rsid w:val="009A0453"/>
    <w:pPr>
      <w:tabs>
        <w:tab w:val="center" w:pos="4680"/>
        <w:tab w:val="right" w:pos="9360"/>
      </w:tabs>
    </w:pPr>
  </w:style>
  <w:style w:type="character" w:customStyle="1" w:styleId="HeaderChar">
    <w:name w:val="Header Char"/>
    <w:basedOn w:val="DefaultParagraphFont"/>
    <w:link w:val="Header"/>
    <w:rsid w:val="009A0453"/>
    <w:rPr>
      <w:sz w:val="24"/>
      <w:szCs w:val="24"/>
    </w:rPr>
  </w:style>
  <w:style w:type="paragraph" w:styleId="Footer">
    <w:name w:val="footer"/>
    <w:basedOn w:val="Normal"/>
    <w:link w:val="FooterChar"/>
    <w:rsid w:val="009A0453"/>
    <w:pPr>
      <w:tabs>
        <w:tab w:val="center" w:pos="4680"/>
        <w:tab w:val="right" w:pos="9360"/>
      </w:tabs>
    </w:pPr>
  </w:style>
  <w:style w:type="character" w:customStyle="1" w:styleId="FooterChar">
    <w:name w:val="Footer Char"/>
    <w:basedOn w:val="DefaultParagraphFont"/>
    <w:link w:val="Footer"/>
    <w:rsid w:val="009A0453"/>
    <w:rPr>
      <w:sz w:val="24"/>
      <w:szCs w:val="24"/>
    </w:rPr>
  </w:style>
  <w:style w:type="character" w:customStyle="1" w:styleId="FootnoteTextChar">
    <w:name w:val="Footnote Text Char"/>
    <w:aliases w:val="single space Char,footnote text Char,fn Char,FOOTNOTES Char,footnote Char,text Char,ADB Char,WB-Fußnotentext Char,Footnote Char,Fußnote Char,Footnote Text Char1 Char Char,Footnote Text Char Char Char1 Char,fn1 Char,stile 1 Char"/>
    <w:basedOn w:val="DefaultParagraphFont"/>
    <w:link w:val="FootnoteText"/>
    <w:uiPriority w:val="99"/>
    <w:rsid w:val="009909C7"/>
  </w:style>
  <w:style w:type="paragraph" w:styleId="TOC8">
    <w:name w:val="toc 8"/>
    <w:basedOn w:val="Normal"/>
    <w:next w:val="Normal"/>
    <w:autoRedefine/>
    <w:rsid w:val="003708B6"/>
    <w:pPr>
      <w:ind w:left="1680"/>
    </w:pPr>
  </w:style>
  <w:style w:type="paragraph" w:customStyle="1" w:styleId="MainParawithChapter">
    <w:name w:val="Main Para with Chapter#"/>
    <w:basedOn w:val="Normal"/>
    <w:rsid w:val="003708B6"/>
    <w:pPr>
      <w:spacing w:after="240"/>
      <w:outlineLvl w:val="1"/>
    </w:pPr>
  </w:style>
  <w:style w:type="paragraph" w:customStyle="1" w:styleId="Sub-Para1underXY">
    <w:name w:val="Sub-Para 1 under X.Y"/>
    <w:basedOn w:val="Normal"/>
    <w:rsid w:val="003708B6"/>
    <w:pPr>
      <w:spacing w:after="240"/>
      <w:ind w:left="1440" w:hanging="720"/>
      <w:outlineLvl w:val="2"/>
    </w:pPr>
  </w:style>
  <w:style w:type="paragraph" w:customStyle="1" w:styleId="Sub-Para2underXY">
    <w:name w:val="Sub-Para 2 under X.Y"/>
    <w:basedOn w:val="Normal"/>
    <w:rsid w:val="003708B6"/>
    <w:pPr>
      <w:spacing w:after="240"/>
      <w:ind w:left="2160" w:hanging="720"/>
      <w:outlineLvl w:val="3"/>
    </w:pPr>
  </w:style>
  <w:style w:type="paragraph" w:customStyle="1" w:styleId="Sub-Para3underXY">
    <w:name w:val="Sub-Para 3 under X.Y"/>
    <w:basedOn w:val="Normal"/>
    <w:rsid w:val="003708B6"/>
    <w:pPr>
      <w:spacing w:after="240"/>
      <w:ind w:left="2880" w:hanging="720"/>
      <w:outlineLvl w:val="4"/>
    </w:pPr>
  </w:style>
  <w:style w:type="paragraph" w:customStyle="1" w:styleId="Sub-Para4underXY">
    <w:name w:val="Sub-Para 4 under X.Y"/>
    <w:basedOn w:val="Normal"/>
    <w:rsid w:val="003708B6"/>
    <w:pPr>
      <w:spacing w:after="240"/>
      <w:ind w:left="3600" w:hanging="720"/>
      <w:outlineLvl w:val="5"/>
    </w:pPr>
  </w:style>
  <w:style w:type="character" w:customStyle="1" w:styleId="ListParagraphChar">
    <w:name w:val="List Paragraph Char"/>
    <w:aliases w:val="List Paragraph (numbered (a)) Char,Use Case List Paragraph Char"/>
    <w:basedOn w:val="DefaultParagraphFont"/>
    <w:link w:val="ListParagraph"/>
    <w:uiPriority w:val="34"/>
    <w:rsid w:val="003708B6"/>
    <w:rPr>
      <w:sz w:val="24"/>
      <w:szCs w:val="24"/>
    </w:rPr>
  </w:style>
  <w:style w:type="paragraph" w:customStyle="1" w:styleId="PDSHeading2">
    <w:name w:val="PDS Heading 2"/>
    <w:next w:val="Normal"/>
    <w:rsid w:val="00453FE9"/>
    <w:pPr>
      <w:keepNext/>
      <w:numPr>
        <w:ilvl w:val="1"/>
        <w:numId w:val="11"/>
      </w:numPr>
    </w:pPr>
    <w:rPr>
      <w:b/>
      <w:sz w:val="24"/>
    </w:rPr>
  </w:style>
  <w:style w:type="paragraph" w:customStyle="1" w:styleId="PDSHeading1">
    <w:name w:val="PDS Heading 1"/>
    <w:next w:val="PDSHeading2"/>
    <w:rsid w:val="00453FE9"/>
    <w:pPr>
      <w:keepNext/>
      <w:numPr>
        <w:numId w:val="11"/>
      </w:numPr>
      <w:outlineLvl w:val="0"/>
    </w:pPr>
    <w:rPr>
      <w:b/>
      <w:caps/>
      <w:sz w:val="24"/>
    </w:rPr>
  </w:style>
  <w:style w:type="paragraph" w:customStyle="1" w:styleId="Heading1a">
    <w:name w:val="Heading 1a"/>
    <w:basedOn w:val="Normal"/>
    <w:next w:val="Normal"/>
    <w:rsid w:val="00453FE9"/>
    <w:pPr>
      <w:keepNext/>
      <w:keepLines/>
      <w:numPr>
        <w:numId w:val="12"/>
      </w:numPr>
      <w:spacing w:before="1440" w:after="240"/>
      <w:jc w:val="center"/>
      <w:outlineLvl w:val="0"/>
    </w:pPr>
    <w:rPr>
      <w:b/>
      <w:caps/>
      <w:sz w:val="32"/>
    </w:rPr>
  </w:style>
  <w:style w:type="paragraph" w:customStyle="1" w:styleId="MainParanoChapter">
    <w:name w:val="Main Para no Chapter #"/>
    <w:basedOn w:val="Normal"/>
    <w:rsid w:val="00453FE9"/>
    <w:pPr>
      <w:numPr>
        <w:ilvl w:val="1"/>
        <w:numId w:val="12"/>
      </w:numPr>
      <w:tabs>
        <w:tab w:val="clear" w:pos="720"/>
      </w:tabs>
      <w:spacing w:after="240"/>
      <w:ind w:left="0" w:firstLine="0"/>
      <w:outlineLvl w:val="1"/>
    </w:pPr>
  </w:style>
  <w:style w:type="paragraph" w:customStyle="1" w:styleId="Sub-Para1underX">
    <w:name w:val="Sub-Para 1 under X."/>
    <w:basedOn w:val="Normal"/>
    <w:rsid w:val="00453FE9"/>
    <w:pPr>
      <w:numPr>
        <w:ilvl w:val="2"/>
        <w:numId w:val="12"/>
      </w:numPr>
      <w:tabs>
        <w:tab w:val="clear" w:pos="1080"/>
      </w:tabs>
      <w:spacing w:after="240"/>
      <w:ind w:left="1440" w:hanging="720"/>
      <w:outlineLvl w:val="2"/>
    </w:pPr>
  </w:style>
  <w:style w:type="paragraph" w:customStyle="1" w:styleId="Sub-Para2underX">
    <w:name w:val="Sub-Para 2 under X."/>
    <w:basedOn w:val="Normal"/>
    <w:rsid w:val="00453FE9"/>
    <w:pPr>
      <w:numPr>
        <w:ilvl w:val="3"/>
        <w:numId w:val="12"/>
      </w:numPr>
      <w:tabs>
        <w:tab w:val="clear" w:pos="1800"/>
      </w:tabs>
      <w:spacing w:after="240"/>
      <w:ind w:left="2160" w:hanging="720"/>
      <w:outlineLvl w:val="3"/>
    </w:pPr>
  </w:style>
  <w:style w:type="paragraph" w:customStyle="1" w:styleId="Sub-Para3underX">
    <w:name w:val="Sub-Para 3 under X."/>
    <w:basedOn w:val="Normal"/>
    <w:rsid w:val="00453FE9"/>
    <w:pPr>
      <w:numPr>
        <w:ilvl w:val="4"/>
        <w:numId w:val="12"/>
      </w:numPr>
      <w:tabs>
        <w:tab w:val="clear" w:pos="1440"/>
      </w:tabs>
      <w:spacing w:after="240"/>
      <w:ind w:left="2880" w:hanging="720"/>
      <w:outlineLvl w:val="4"/>
    </w:pPr>
  </w:style>
  <w:style w:type="paragraph" w:customStyle="1" w:styleId="Sub-Para4underX">
    <w:name w:val="Sub-Para 4 under X."/>
    <w:basedOn w:val="Normal"/>
    <w:rsid w:val="00453FE9"/>
    <w:pPr>
      <w:numPr>
        <w:ilvl w:val="5"/>
        <w:numId w:val="12"/>
      </w:numPr>
      <w:tabs>
        <w:tab w:val="clear" w:pos="2160"/>
      </w:tabs>
      <w:spacing w:after="240"/>
      <w:ind w:left="3600" w:hanging="720"/>
      <w:outlineLvl w:val="5"/>
    </w:pPr>
  </w:style>
  <w:style w:type="character" w:customStyle="1" w:styleId="hps">
    <w:name w:val="hps"/>
    <w:basedOn w:val="DefaultParagraphFont"/>
    <w:rsid w:val="00F176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78E8"/>
    <w:rPr>
      <w:sz w:val="24"/>
      <w:szCs w:val="24"/>
    </w:rPr>
  </w:style>
  <w:style w:type="paragraph" w:styleId="Heading1">
    <w:name w:val="heading 1"/>
    <w:basedOn w:val="Normal"/>
    <w:next w:val="Normal"/>
    <w:qFormat/>
    <w:rsid w:val="001278E8"/>
    <w:pPr>
      <w:keepNext/>
      <w:outlineLvl w:val="0"/>
    </w:pPr>
    <w:rPr>
      <w:b/>
      <w:bCs/>
    </w:rPr>
  </w:style>
  <w:style w:type="paragraph" w:styleId="Heading2">
    <w:name w:val="heading 2"/>
    <w:basedOn w:val="Normal"/>
    <w:next w:val="Normal"/>
    <w:qFormat/>
    <w:rsid w:val="001278E8"/>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278E8"/>
    <w:pPr>
      <w:ind w:left="-108"/>
      <w:jc w:val="both"/>
    </w:pPr>
  </w:style>
  <w:style w:type="paragraph" w:styleId="CommentText">
    <w:name w:val="annotation text"/>
    <w:basedOn w:val="Normal"/>
    <w:link w:val="CommentTextChar"/>
    <w:semiHidden/>
    <w:rsid w:val="001278E8"/>
    <w:rPr>
      <w:sz w:val="20"/>
      <w:szCs w:val="20"/>
    </w:rPr>
  </w:style>
  <w:style w:type="character" w:styleId="CommentReference">
    <w:name w:val="annotation reference"/>
    <w:basedOn w:val="DefaultParagraphFont"/>
    <w:semiHidden/>
    <w:rsid w:val="001278E8"/>
    <w:rPr>
      <w:sz w:val="16"/>
      <w:szCs w:val="16"/>
    </w:rPr>
  </w:style>
  <w:style w:type="paragraph" w:styleId="BalloonText">
    <w:name w:val="Balloon Text"/>
    <w:basedOn w:val="Normal"/>
    <w:semiHidden/>
    <w:rsid w:val="006461C9"/>
    <w:rPr>
      <w:rFonts w:ascii="Tahoma" w:hAnsi="Tahoma" w:cs="Tahoma"/>
      <w:sz w:val="16"/>
      <w:szCs w:val="16"/>
    </w:rPr>
  </w:style>
  <w:style w:type="character" w:styleId="Hyperlink">
    <w:name w:val="Hyperlink"/>
    <w:basedOn w:val="DefaultParagraphFont"/>
    <w:rsid w:val="00C528E7"/>
    <w:rPr>
      <w:color w:val="0000FF"/>
      <w:u w:val="single"/>
    </w:rPr>
  </w:style>
  <w:style w:type="paragraph" w:styleId="FootnoteText">
    <w:name w:val="footnote text"/>
    <w:aliases w:val="single space,footnote text,fn,FOOTNOTES,footnote,text,ADB,WB-Fußnotentext,Footnote,Fußnote,Footnote Text Char1 Char,Footnote Text Char Char Char1,Footnote Text Char1 Char Char Char1,Footnote Text Char1 Char1 Char,fn1,stile 1,Testo_note,ft"/>
    <w:basedOn w:val="Normal"/>
    <w:link w:val="FootnoteTextChar"/>
    <w:uiPriority w:val="99"/>
    <w:qFormat/>
    <w:rsid w:val="00C528E7"/>
    <w:rPr>
      <w:sz w:val="20"/>
      <w:szCs w:val="20"/>
    </w:rPr>
  </w:style>
  <w:style w:type="character" w:styleId="FootnoteReference">
    <w:name w:val="footnote reference"/>
    <w:aliases w:val="Ref,de nota al pie,16 Point,Superscript 6 Point,ftref,Footnote Reference Number,fr,Footnote Reference_LVL6,Footnote Reference_LVL61,Footnote Reference_LVL62,Footnote Reference_LVL63,Footnote Reference_LVL64,SUPERS,Times 10 Point"/>
    <w:basedOn w:val="DefaultParagraphFont"/>
    <w:uiPriority w:val="99"/>
    <w:rsid w:val="00C528E7"/>
    <w:rPr>
      <w:vertAlign w:val="superscript"/>
    </w:rPr>
  </w:style>
  <w:style w:type="table" w:styleId="TableGrid">
    <w:name w:val="Table Grid"/>
    <w:basedOn w:val="TableNormal"/>
    <w:uiPriority w:val="59"/>
    <w:rsid w:val="008542E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aliases w:val="List Paragraph (numbered (a)),Use Case List Paragraph"/>
    <w:basedOn w:val="Normal"/>
    <w:link w:val="ListParagraphChar"/>
    <w:uiPriority w:val="34"/>
    <w:qFormat/>
    <w:rsid w:val="0036097E"/>
    <w:pPr>
      <w:ind w:left="720"/>
      <w:contextualSpacing/>
    </w:pPr>
  </w:style>
  <w:style w:type="paragraph" w:styleId="CommentSubject">
    <w:name w:val="annotation subject"/>
    <w:basedOn w:val="CommentText"/>
    <w:next w:val="CommentText"/>
    <w:link w:val="CommentSubjectChar"/>
    <w:rsid w:val="006A5481"/>
    <w:rPr>
      <w:b/>
      <w:bCs/>
    </w:rPr>
  </w:style>
  <w:style w:type="character" w:customStyle="1" w:styleId="CommentTextChar">
    <w:name w:val="Comment Text Char"/>
    <w:basedOn w:val="DefaultParagraphFont"/>
    <w:link w:val="CommentText"/>
    <w:semiHidden/>
    <w:rsid w:val="006A5481"/>
  </w:style>
  <w:style w:type="character" w:customStyle="1" w:styleId="CommentSubjectChar">
    <w:name w:val="Comment Subject Char"/>
    <w:basedOn w:val="CommentTextChar"/>
    <w:link w:val="CommentSubject"/>
    <w:rsid w:val="006A5481"/>
  </w:style>
  <w:style w:type="paragraph" w:styleId="Header">
    <w:name w:val="header"/>
    <w:basedOn w:val="Normal"/>
    <w:link w:val="HeaderChar"/>
    <w:rsid w:val="009A0453"/>
    <w:pPr>
      <w:tabs>
        <w:tab w:val="center" w:pos="4680"/>
        <w:tab w:val="right" w:pos="9360"/>
      </w:tabs>
    </w:pPr>
  </w:style>
  <w:style w:type="character" w:customStyle="1" w:styleId="HeaderChar">
    <w:name w:val="Header Char"/>
    <w:basedOn w:val="DefaultParagraphFont"/>
    <w:link w:val="Header"/>
    <w:rsid w:val="009A0453"/>
    <w:rPr>
      <w:sz w:val="24"/>
      <w:szCs w:val="24"/>
    </w:rPr>
  </w:style>
  <w:style w:type="paragraph" w:styleId="Footer">
    <w:name w:val="footer"/>
    <w:basedOn w:val="Normal"/>
    <w:link w:val="FooterChar"/>
    <w:rsid w:val="009A0453"/>
    <w:pPr>
      <w:tabs>
        <w:tab w:val="center" w:pos="4680"/>
        <w:tab w:val="right" w:pos="9360"/>
      </w:tabs>
    </w:pPr>
  </w:style>
  <w:style w:type="character" w:customStyle="1" w:styleId="FooterChar">
    <w:name w:val="Footer Char"/>
    <w:basedOn w:val="DefaultParagraphFont"/>
    <w:link w:val="Footer"/>
    <w:rsid w:val="009A0453"/>
    <w:rPr>
      <w:sz w:val="24"/>
      <w:szCs w:val="24"/>
    </w:rPr>
  </w:style>
  <w:style w:type="character" w:customStyle="1" w:styleId="FootnoteTextChar">
    <w:name w:val="Footnote Text Char"/>
    <w:aliases w:val="single space Char,footnote text Char,fn Char,FOOTNOTES Char,footnote Char,text Char,ADB Char,WB-Fußnotentext Char,Footnote Char,Fußnote Char,Footnote Text Char1 Char Char,Footnote Text Char Char Char1 Char,fn1 Char,stile 1 Char"/>
    <w:basedOn w:val="DefaultParagraphFont"/>
    <w:link w:val="FootnoteText"/>
    <w:uiPriority w:val="99"/>
    <w:rsid w:val="009909C7"/>
  </w:style>
  <w:style w:type="paragraph" w:styleId="TOC8">
    <w:name w:val="toc 8"/>
    <w:basedOn w:val="Normal"/>
    <w:next w:val="Normal"/>
    <w:autoRedefine/>
    <w:rsid w:val="003708B6"/>
    <w:pPr>
      <w:ind w:left="1680"/>
    </w:pPr>
  </w:style>
  <w:style w:type="paragraph" w:customStyle="1" w:styleId="MainParawithChapter">
    <w:name w:val="Main Para with Chapter#"/>
    <w:basedOn w:val="Normal"/>
    <w:rsid w:val="003708B6"/>
    <w:pPr>
      <w:spacing w:after="240"/>
      <w:outlineLvl w:val="1"/>
    </w:pPr>
  </w:style>
  <w:style w:type="paragraph" w:customStyle="1" w:styleId="Sub-Para1underXY">
    <w:name w:val="Sub-Para 1 under X.Y"/>
    <w:basedOn w:val="Normal"/>
    <w:rsid w:val="003708B6"/>
    <w:pPr>
      <w:spacing w:after="240"/>
      <w:ind w:left="1440" w:hanging="720"/>
      <w:outlineLvl w:val="2"/>
    </w:pPr>
  </w:style>
  <w:style w:type="paragraph" w:customStyle="1" w:styleId="Sub-Para2underXY">
    <w:name w:val="Sub-Para 2 under X.Y"/>
    <w:basedOn w:val="Normal"/>
    <w:rsid w:val="003708B6"/>
    <w:pPr>
      <w:spacing w:after="240"/>
      <w:ind w:left="2160" w:hanging="720"/>
      <w:outlineLvl w:val="3"/>
    </w:pPr>
  </w:style>
  <w:style w:type="paragraph" w:customStyle="1" w:styleId="Sub-Para3underXY">
    <w:name w:val="Sub-Para 3 under X.Y"/>
    <w:basedOn w:val="Normal"/>
    <w:rsid w:val="003708B6"/>
    <w:pPr>
      <w:spacing w:after="240"/>
      <w:ind w:left="2880" w:hanging="720"/>
      <w:outlineLvl w:val="4"/>
    </w:pPr>
  </w:style>
  <w:style w:type="paragraph" w:customStyle="1" w:styleId="Sub-Para4underXY">
    <w:name w:val="Sub-Para 4 under X.Y"/>
    <w:basedOn w:val="Normal"/>
    <w:rsid w:val="003708B6"/>
    <w:pPr>
      <w:spacing w:after="240"/>
      <w:ind w:left="3600" w:hanging="720"/>
      <w:outlineLvl w:val="5"/>
    </w:pPr>
  </w:style>
  <w:style w:type="character" w:customStyle="1" w:styleId="ListParagraphChar">
    <w:name w:val="List Paragraph Char"/>
    <w:aliases w:val="List Paragraph (numbered (a)) Char,Use Case List Paragraph Char"/>
    <w:basedOn w:val="DefaultParagraphFont"/>
    <w:link w:val="ListParagraph"/>
    <w:uiPriority w:val="34"/>
    <w:rsid w:val="003708B6"/>
    <w:rPr>
      <w:sz w:val="24"/>
      <w:szCs w:val="24"/>
    </w:rPr>
  </w:style>
  <w:style w:type="paragraph" w:customStyle="1" w:styleId="PDSHeading2">
    <w:name w:val="PDS Heading 2"/>
    <w:next w:val="Normal"/>
    <w:rsid w:val="00453FE9"/>
    <w:pPr>
      <w:keepNext/>
      <w:numPr>
        <w:ilvl w:val="1"/>
        <w:numId w:val="11"/>
      </w:numPr>
    </w:pPr>
    <w:rPr>
      <w:b/>
      <w:sz w:val="24"/>
    </w:rPr>
  </w:style>
  <w:style w:type="paragraph" w:customStyle="1" w:styleId="PDSHeading1">
    <w:name w:val="PDS Heading 1"/>
    <w:next w:val="PDSHeading2"/>
    <w:rsid w:val="00453FE9"/>
    <w:pPr>
      <w:keepNext/>
      <w:numPr>
        <w:numId w:val="11"/>
      </w:numPr>
      <w:outlineLvl w:val="0"/>
    </w:pPr>
    <w:rPr>
      <w:b/>
      <w:caps/>
      <w:sz w:val="24"/>
    </w:rPr>
  </w:style>
  <w:style w:type="paragraph" w:customStyle="1" w:styleId="Heading1a">
    <w:name w:val="Heading 1a"/>
    <w:basedOn w:val="Normal"/>
    <w:next w:val="Normal"/>
    <w:rsid w:val="00453FE9"/>
    <w:pPr>
      <w:keepNext/>
      <w:keepLines/>
      <w:numPr>
        <w:numId w:val="12"/>
      </w:numPr>
      <w:spacing w:before="1440" w:after="240"/>
      <w:jc w:val="center"/>
      <w:outlineLvl w:val="0"/>
    </w:pPr>
    <w:rPr>
      <w:b/>
      <w:caps/>
      <w:sz w:val="32"/>
    </w:rPr>
  </w:style>
  <w:style w:type="paragraph" w:customStyle="1" w:styleId="MainParanoChapter">
    <w:name w:val="Main Para no Chapter #"/>
    <w:basedOn w:val="Normal"/>
    <w:rsid w:val="00453FE9"/>
    <w:pPr>
      <w:numPr>
        <w:ilvl w:val="1"/>
        <w:numId w:val="12"/>
      </w:numPr>
      <w:tabs>
        <w:tab w:val="clear" w:pos="720"/>
      </w:tabs>
      <w:spacing w:after="240"/>
      <w:ind w:left="0" w:firstLine="0"/>
      <w:outlineLvl w:val="1"/>
    </w:pPr>
  </w:style>
  <w:style w:type="paragraph" w:customStyle="1" w:styleId="Sub-Para1underX">
    <w:name w:val="Sub-Para 1 under X."/>
    <w:basedOn w:val="Normal"/>
    <w:rsid w:val="00453FE9"/>
    <w:pPr>
      <w:numPr>
        <w:ilvl w:val="2"/>
        <w:numId w:val="12"/>
      </w:numPr>
      <w:tabs>
        <w:tab w:val="clear" w:pos="1080"/>
      </w:tabs>
      <w:spacing w:after="240"/>
      <w:ind w:left="1440" w:hanging="720"/>
      <w:outlineLvl w:val="2"/>
    </w:pPr>
  </w:style>
  <w:style w:type="paragraph" w:customStyle="1" w:styleId="Sub-Para2underX">
    <w:name w:val="Sub-Para 2 under X."/>
    <w:basedOn w:val="Normal"/>
    <w:rsid w:val="00453FE9"/>
    <w:pPr>
      <w:numPr>
        <w:ilvl w:val="3"/>
        <w:numId w:val="12"/>
      </w:numPr>
      <w:tabs>
        <w:tab w:val="clear" w:pos="1800"/>
      </w:tabs>
      <w:spacing w:after="240"/>
      <w:ind w:left="2160" w:hanging="720"/>
      <w:outlineLvl w:val="3"/>
    </w:pPr>
  </w:style>
  <w:style w:type="paragraph" w:customStyle="1" w:styleId="Sub-Para3underX">
    <w:name w:val="Sub-Para 3 under X."/>
    <w:basedOn w:val="Normal"/>
    <w:rsid w:val="00453FE9"/>
    <w:pPr>
      <w:numPr>
        <w:ilvl w:val="4"/>
        <w:numId w:val="12"/>
      </w:numPr>
      <w:tabs>
        <w:tab w:val="clear" w:pos="1440"/>
      </w:tabs>
      <w:spacing w:after="240"/>
      <w:ind w:left="2880" w:hanging="720"/>
      <w:outlineLvl w:val="4"/>
    </w:pPr>
  </w:style>
  <w:style w:type="paragraph" w:customStyle="1" w:styleId="Sub-Para4underX">
    <w:name w:val="Sub-Para 4 under X."/>
    <w:basedOn w:val="Normal"/>
    <w:rsid w:val="00453FE9"/>
    <w:pPr>
      <w:numPr>
        <w:ilvl w:val="5"/>
        <w:numId w:val="12"/>
      </w:numPr>
      <w:tabs>
        <w:tab w:val="clear" w:pos="2160"/>
      </w:tabs>
      <w:spacing w:after="240"/>
      <w:ind w:left="3600" w:hanging="720"/>
      <w:outlineLvl w:val="5"/>
    </w:pPr>
  </w:style>
  <w:style w:type="character" w:customStyle="1" w:styleId="hps">
    <w:name w:val="hps"/>
    <w:basedOn w:val="DefaultParagraphFont"/>
    <w:rsid w:val="00F17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2EF72-3EF4-4483-B2CE-1EE6BAE0C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3429</Words>
  <Characters>19547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PROJECT INFORMATION DOCUMENT (PID)</vt:lpstr>
    </vt:vector>
  </TitlesOfParts>
  <Company>World Bank Group</Company>
  <LinksUpToDate>false</LinksUpToDate>
  <CharactersWithSpaces>22931</CharactersWithSpaces>
  <SharedDoc>false</SharedDoc>
  <HLinks>
    <vt:vector size="108" baseType="variant">
      <vt:variant>
        <vt:i4>5636182</vt:i4>
      </vt:variant>
      <vt:variant>
        <vt:i4>54</vt:i4>
      </vt:variant>
      <vt:variant>
        <vt:i4>0</vt:i4>
      </vt:variant>
      <vt:variant>
        <vt:i4>5</vt:i4>
      </vt:variant>
      <vt:variant>
        <vt:lpwstr>http://intranet.worldbank.org/WBSITE/INTRANET/OPSMANUAL/0,,contentMDK:20064701~pagePK:60001255~piPK:60000911~theSitePK:210385,00.html</vt:lpwstr>
      </vt:variant>
      <vt:variant>
        <vt:lpwstr/>
      </vt:variant>
      <vt:variant>
        <vt:i4>5308496</vt:i4>
      </vt:variant>
      <vt:variant>
        <vt:i4>51</vt:i4>
      </vt:variant>
      <vt:variant>
        <vt:i4>0</vt:i4>
      </vt:variant>
      <vt:variant>
        <vt:i4>5</vt:i4>
      </vt:variant>
      <vt:variant>
        <vt:lpwstr>http://intranet.worldbank.org/WBSITE/INTRANET/OPSMANUAL/0,,contentMDK:20064667~pagePK:60001255~piPK:60000911~theSitePK:210385,00.html</vt:lpwstr>
      </vt:variant>
      <vt:variant>
        <vt:lpwstr/>
      </vt:variant>
      <vt:variant>
        <vt:i4>5636178</vt:i4>
      </vt:variant>
      <vt:variant>
        <vt:i4>48</vt:i4>
      </vt:variant>
      <vt:variant>
        <vt:i4>0</vt:i4>
      </vt:variant>
      <vt:variant>
        <vt:i4>5</vt:i4>
      </vt:variant>
      <vt:variant>
        <vt:lpwstr>http://intranet.worldbank.org/WBSITE/INTRANET/OPSMANUAL/0,,contentMDK:20064640~pagePK:60001255~piPK:60000911~theSitePK:210385,00.html</vt:lpwstr>
      </vt:variant>
      <vt:variant>
        <vt:lpwstr/>
      </vt:variant>
      <vt:variant>
        <vt:i4>5439575</vt:i4>
      </vt:variant>
      <vt:variant>
        <vt:i4>45</vt:i4>
      </vt:variant>
      <vt:variant>
        <vt:i4>0</vt:i4>
      </vt:variant>
      <vt:variant>
        <vt:i4>5</vt:i4>
      </vt:variant>
      <vt:variant>
        <vt:lpwstr>http://intranet.worldbank.org/WBSITE/INTRANET/OPSMANUAL/0,,contentMDK:20064615~pagePK:60001255~piPK:60000911~theSitePK:210385,00.html</vt:lpwstr>
      </vt:variant>
      <vt:variant>
        <vt:lpwstr/>
      </vt:variant>
      <vt:variant>
        <vt:i4>6029406</vt:i4>
      </vt:variant>
      <vt:variant>
        <vt:i4>42</vt:i4>
      </vt:variant>
      <vt:variant>
        <vt:i4>0</vt:i4>
      </vt:variant>
      <vt:variant>
        <vt:i4>5</vt:i4>
      </vt:variant>
      <vt:variant>
        <vt:lpwstr>http://intranet.worldbank.org/WBSITE/INTRANET/OPSMANUAL/0,,contentMDK:20064589~pagePK:60001255~piPK:60000911~theSitePK:210385,00.html</vt:lpwstr>
      </vt:variant>
      <vt:variant>
        <vt:lpwstr/>
      </vt:variant>
      <vt:variant>
        <vt:i4>5570643</vt:i4>
      </vt:variant>
      <vt:variant>
        <vt:i4>39</vt:i4>
      </vt:variant>
      <vt:variant>
        <vt:i4>0</vt:i4>
      </vt:variant>
      <vt:variant>
        <vt:i4>5</vt:i4>
      </vt:variant>
      <vt:variant>
        <vt:lpwstr>http://intranet.worldbank.org/WBSITE/INTRANET/OPSMANUAL/0,,contentMDK:20064653~pagePK:60001255~piPK:60000911~theSitePK:210385,00.html</vt:lpwstr>
      </vt:variant>
      <vt:variant>
        <vt:lpwstr/>
      </vt:variant>
      <vt:variant>
        <vt:i4>5374042</vt:i4>
      </vt:variant>
      <vt:variant>
        <vt:i4>36</vt:i4>
      </vt:variant>
      <vt:variant>
        <vt:i4>0</vt:i4>
      </vt:variant>
      <vt:variant>
        <vt:i4>5</vt:i4>
      </vt:variant>
      <vt:variant>
        <vt:lpwstr>http://intranet.worldbank.org/WBSITE/INTRANET/OPSMANUAL/0,,contentMDK:20141282~pagePK:60001255~piPK:60000911~theSitePK:210385,00.html</vt:lpwstr>
      </vt:variant>
      <vt:variant>
        <vt:lpwstr/>
      </vt:variant>
      <vt:variant>
        <vt:i4>6160464</vt:i4>
      </vt:variant>
      <vt:variant>
        <vt:i4>33</vt:i4>
      </vt:variant>
      <vt:variant>
        <vt:i4>0</vt:i4>
      </vt:variant>
      <vt:variant>
        <vt:i4>5</vt:i4>
      </vt:variant>
      <vt:variant>
        <vt:lpwstr>http://intranet.worldbank.org/WBSITE/INTRANET/OPSMANUAL/0,,contentMDK:20064668~pagePK:60001255~piPK:60000911~theSitePK:210385,00.html</vt:lpwstr>
      </vt:variant>
      <vt:variant>
        <vt:lpwstr/>
      </vt:variant>
      <vt:variant>
        <vt:i4>5701714</vt:i4>
      </vt:variant>
      <vt:variant>
        <vt:i4>30</vt:i4>
      </vt:variant>
      <vt:variant>
        <vt:i4>0</vt:i4>
      </vt:variant>
      <vt:variant>
        <vt:i4>5</vt:i4>
      </vt:variant>
      <vt:variant>
        <vt:lpwstr>http://intranet.worldbank.org/WBSITE/INTRANET/OPSMANUAL/0,,contentMDK:20567522~pagePK:60001255~piPK:60000911~theSitePK:210385,00.html</vt:lpwstr>
      </vt:variant>
      <vt:variant>
        <vt:lpwstr/>
      </vt:variant>
      <vt:variant>
        <vt:i4>5242960</vt:i4>
      </vt:variant>
      <vt:variant>
        <vt:i4>27</vt:i4>
      </vt:variant>
      <vt:variant>
        <vt:i4>0</vt:i4>
      </vt:variant>
      <vt:variant>
        <vt:i4>5</vt:i4>
      </vt:variant>
      <vt:variant>
        <vt:lpwstr>http://intranet.worldbank.org/WBSITE/INTRANET/OPSMANUAL/0,,contentMDK:20567505~pagePK:60001255~piPK:60000911~theSitePK:210385,00.html</vt:lpwstr>
      </vt:variant>
      <vt:variant>
        <vt:lpwstr/>
      </vt:variant>
      <vt:variant>
        <vt:i4>5439569</vt:i4>
      </vt:variant>
      <vt:variant>
        <vt:i4>24</vt:i4>
      </vt:variant>
      <vt:variant>
        <vt:i4>0</vt:i4>
      </vt:variant>
      <vt:variant>
        <vt:i4>5</vt:i4>
      </vt:variant>
      <vt:variant>
        <vt:lpwstr>http://intranet.worldbank.org/WBSITE/INTRANET/OPSMANUAL/0,,contentMDK:20064675~pagePK:60001255~piPK:60000911~theSitePK:210385,00.html</vt:lpwstr>
      </vt:variant>
      <vt:variant>
        <vt:lpwstr/>
      </vt:variant>
      <vt:variant>
        <vt:i4>5636183</vt:i4>
      </vt:variant>
      <vt:variant>
        <vt:i4>21</vt:i4>
      </vt:variant>
      <vt:variant>
        <vt:i4>0</vt:i4>
      </vt:variant>
      <vt:variant>
        <vt:i4>5</vt:i4>
      </vt:variant>
      <vt:variant>
        <vt:lpwstr>http://intranet.worldbank.org/WBSITE/INTRANET/OPSMANUAL/0,,contentMDK:20064610~pagePK:60001255~piPK:60000911~theSitePK:210385,00.html</vt:lpwstr>
      </vt:variant>
      <vt:variant>
        <vt:lpwstr/>
      </vt:variant>
      <vt:variant>
        <vt:i4>5701716</vt:i4>
      </vt:variant>
      <vt:variant>
        <vt:i4>18</vt:i4>
      </vt:variant>
      <vt:variant>
        <vt:i4>0</vt:i4>
      </vt:variant>
      <vt:variant>
        <vt:i4>5</vt:i4>
      </vt:variant>
      <vt:variant>
        <vt:lpwstr>http://intranet.worldbank.org/WBSITE/INTRANET/OPSMANUAL/0,,contentMDK:20064720~pagePK:60001255~piPK:60000911~theSitePK:210385,00.html</vt:lpwstr>
      </vt:variant>
      <vt:variant>
        <vt:lpwstr/>
      </vt:variant>
      <vt:variant>
        <vt:i4>5570640</vt:i4>
      </vt:variant>
      <vt:variant>
        <vt:i4>15</vt:i4>
      </vt:variant>
      <vt:variant>
        <vt:i4>0</vt:i4>
      </vt:variant>
      <vt:variant>
        <vt:i4>5</vt:i4>
      </vt:variant>
      <vt:variant>
        <vt:lpwstr>http://intranet.worldbank.org/WBSITE/INTRANET/OPSMANUAL/0,,contentMDK:20064560~pagePK:60001255~piPK:60000911~theSitePK:210385,00.html</vt:lpwstr>
      </vt:variant>
      <vt:variant>
        <vt:lpwstr/>
      </vt:variant>
      <vt:variant>
        <vt:i4>5242963</vt:i4>
      </vt:variant>
      <vt:variant>
        <vt:i4>12</vt:i4>
      </vt:variant>
      <vt:variant>
        <vt:i4>0</vt:i4>
      </vt:variant>
      <vt:variant>
        <vt:i4>5</vt:i4>
      </vt:variant>
      <vt:variant>
        <vt:lpwstr>http://intranet.worldbank.org/WBSITE/INTRANET/OPSMANUAL/0,,contentMDK:20064757~pagePK:60001255~piPK:60000911~theSitePK:210385,00.html</vt:lpwstr>
      </vt:variant>
      <vt:variant>
        <vt:lpwstr/>
      </vt:variant>
      <vt:variant>
        <vt:i4>5374039</vt:i4>
      </vt:variant>
      <vt:variant>
        <vt:i4>9</vt:i4>
      </vt:variant>
      <vt:variant>
        <vt:i4>0</vt:i4>
      </vt:variant>
      <vt:variant>
        <vt:i4>5</vt:i4>
      </vt:variant>
      <vt:variant>
        <vt:lpwstr>http://intranet.worldbank.org/WBSITE/INTRANET/OPSMANUAL/0,,contentMDK:20064614~pagePK:60001255~piPK:60000911~theSitePK:210385,00.html</vt:lpwstr>
      </vt:variant>
      <vt:variant>
        <vt:lpwstr/>
      </vt:variant>
      <vt:variant>
        <vt:i4>5439572</vt:i4>
      </vt:variant>
      <vt:variant>
        <vt:i4>6</vt:i4>
      </vt:variant>
      <vt:variant>
        <vt:i4>0</vt:i4>
      </vt:variant>
      <vt:variant>
        <vt:i4>5</vt:i4>
      </vt:variant>
      <vt:variant>
        <vt:lpwstr>http://intranet.worldbank.org/WBSITE/INTRANET/OPSMANUAL/0,,contentMDK:20064724~pagePK:60001255~piPK:60000911~theSitePK:210385,00.html</vt:lpwstr>
      </vt:variant>
      <vt:variant>
        <vt:lpwstr/>
      </vt:variant>
      <vt:variant>
        <vt:i4>5111876</vt:i4>
      </vt:variant>
      <vt:variant>
        <vt:i4>3</vt:i4>
      </vt:variant>
      <vt:variant>
        <vt:i4>0</vt:i4>
      </vt:variant>
      <vt:variant>
        <vt:i4>5</vt:i4>
      </vt:variant>
      <vt:variant>
        <vt:lpwstr>http://www.worldbank.org/environmentalassessment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 DOCUMENT (PID)</dc:title>
  <dc:creator>Sara Al Rowais</dc:creator>
  <cp:lastModifiedBy>WB456286</cp:lastModifiedBy>
  <cp:revision>3</cp:revision>
  <cp:lastPrinted>2013-05-15T13:56:00Z</cp:lastPrinted>
  <dcterms:created xsi:type="dcterms:W3CDTF">2013-07-29T18:33:00Z</dcterms:created>
  <dcterms:modified xsi:type="dcterms:W3CDTF">2013-09-04T14:33:00Z</dcterms:modified>
</cp:coreProperties>
</file>