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F076" w14:textId="05DC8B93" w:rsidR="009B7E88" w:rsidRDefault="009B7E88" w:rsidP="00B64D59">
      <w:pPr>
        <w:pStyle w:val="Heading1"/>
      </w:pPr>
      <w:bookmarkStart w:id="0" w:name="_GoBack"/>
      <w:bookmarkEnd w:id="0"/>
    </w:p>
    <w:p w14:paraId="135336DF" w14:textId="79D9D856" w:rsidR="00B64D59" w:rsidRDefault="00B64D59" w:rsidP="00B64D59">
      <w:pPr>
        <w:pStyle w:val="Heading2"/>
        <w:ind w:left="-5"/>
      </w:pPr>
      <w:r>
        <w:t xml:space="preserve">1. Introduction/Project Description </w:t>
      </w:r>
    </w:p>
    <w:p w14:paraId="2FD05E0C" w14:textId="4BB2BA76" w:rsidR="00FC704A" w:rsidRDefault="00FC704A" w:rsidP="00B64D59">
      <w:pPr>
        <w:autoSpaceDE w:val="0"/>
        <w:autoSpaceDN w:val="0"/>
        <w:adjustRightInd w:val="0"/>
        <w:spacing w:after="0" w:line="240" w:lineRule="auto"/>
        <w:ind w:left="0" w:firstLine="0"/>
        <w:jc w:val="left"/>
        <w:rPr>
          <w:sz w:val="20"/>
          <w:szCs w:val="20"/>
        </w:rPr>
      </w:pPr>
      <w:r w:rsidRPr="008C7E56">
        <w:rPr>
          <w:sz w:val="20"/>
          <w:szCs w:val="20"/>
        </w:rPr>
        <w:t xml:space="preserve">An outbreak of the coronavirus disease (COVID-19) caused by the 2019 novel coronavirus (SARS-CoV-2) has been 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the coronavirus rapidly spreads across the world.  As of </w:t>
      </w:r>
      <w:r w:rsidR="00427C57">
        <w:rPr>
          <w:sz w:val="20"/>
          <w:szCs w:val="20"/>
        </w:rPr>
        <w:t xml:space="preserve">April </w:t>
      </w:r>
      <w:r w:rsidR="005460D0">
        <w:rPr>
          <w:sz w:val="20"/>
          <w:szCs w:val="20"/>
        </w:rPr>
        <w:t>3</w:t>
      </w:r>
      <w:r w:rsidRPr="008C7E56">
        <w:rPr>
          <w:sz w:val="20"/>
          <w:szCs w:val="20"/>
        </w:rPr>
        <w:t xml:space="preserve">, 2020, the outbreak has resulted in </w:t>
      </w:r>
      <w:r w:rsidR="005460D0">
        <w:rPr>
          <w:sz w:val="20"/>
          <w:szCs w:val="20"/>
        </w:rPr>
        <w:t>972, 303</w:t>
      </w:r>
      <w:r w:rsidRPr="008C7E56">
        <w:rPr>
          <w:sz w:val="20"/>
          <w:szCs w:val="20"/>
        </w:rPr>
        <w:t xml:space="preserve"> confirmed cases and </w:t>
      </w:r>
      <w:r w:rsidR="005460D0">
        <w:rPr>
          <w:sz w:val="20"/>
          <w:szCs w:val="20"/>
        </w:rPr>
        <w:t>50, 322</w:t>
      </w:r>
      <w:r w:rsidRPr="008C7E56">
        <w:rPr>
          <w:sz w:val="20"/>
          <w:szCs w:val="20"/>
        </w:rPr>
        <w:t xml:space="preserve"> deaths in 200 countries.</w:t>
      </w:r>
    </w:p>
    <w:p w14:paraId="0E228419" w14:textId="5D3278EA" w:rsidR="00FC704A" w:rsidRDefault="00FC704A" w:rsidP="00B64D59">
      <w:pPr>
        <w:autoSpaceDE w:val="0"/>
        <w:autoSpaceDN w:val="0"/>
        <w:adjustRightInd w:val="0"/>
        <w:spacing w:after="0" w:line="240" w:lineRule="auto"/>
        <w:ind w:left="0" w:firstLine="0"/>
        <w:jc w:val="left"/>
        <w:rPr>
          <w:sz w:val="20"/>
          <w:szCs w:val="20"/>
        </w:rPr>
      </w:pPr>
    </w:p>
    <w:p w14:paraId="2462E67B" w14:textId="241FBCDA" w:rsidR="00EB7A53" w:rsidRPr="00EB7A53" w:rsidRDefault="00FC704A" w:rsidP="007820DA">
      <w:pPr>
        <w:autoSpaceDE w:val="0"/>
        <w:autoSpaceDN w:val="0"/>
        <w:adjustRightInd w:val="0"/>
        <w:spacing w:after="0" w:line="240" w:lineRule="auto"/>
        <w:ind w:left="0" w:firstLine="0"/>
        <w:jc w:val="left"/>
        <w:rPr>
          <w:sz w:val="20"/>
          <w:szCs w:val="20"/>
        </w:rPr>
      </w:pPr>
      <w:r w:rsidRPr="00EB7A53">
        <w:rPr>
          <w:sz w:val="20"/>
          <w:szCs w:val="20"/>
        </w:rPr>
        <w:t xml:space="preserve">The Government of </w:t>
      </w:r>
      <w:r w:rsidR="009661C7">
        <w:rPr>
          <w:sz w:val="20"/>
          <w:szCs w:val="20"/>
        </w:rPr>
        <w:t xml:space="preserve">Republic of the </w:t>
      </w:r>
      <w:r w:rsidRPr="00EB7A53">
        <w:rPr>
          <w:sz w:val="20"/>
          <w:szCs w:val="20"/>
        </w:rPr>
        <w:t>M</w:t>
      </w:r>
      <w:r w:rsidR="009661C7">
        <w:rPr>
          <w:sz w:val="20"/>
          <w:szCs w:val="20"/>
        </w:rPr>
        <w:t xml:space="preserve">arshall </w:t>
      </w:r>
      <w:r w:rsidRPr="00EB7A53">
        <w:rPr>
          <w:sz w:val="20"/>
          <w:szCs w:val="20"/>
        </w:rPr>
        <w:t>I</w:t>
      </w:r>
      <w:r w:rsidR="009661C7">
        <w:rPr>
          <w:sz w:val="20"/>
          <w:szCs w:val="20"/>
        </w:rPr>
        <w:t>slands</w:t>
      </w:r>
      <w:r w:rsidRPr="00EB7A53">
        <w:rPr>
          <w:sz w:val="20"/>
          <w:szCs w:val="20"/>
        </w:rPr>
        <w:t xml:space="preserve"> approved the RMI CORONAVIRUS (COVID-19) Pandemic Preparedness and Response Plan on March 25, 2020. </w:t>
      </w:r>
      <w:r w:rsidR="007820DA" w:rsidRPr="00EB7A53">
        <w:rPr>
          <w:sz w:val="20"/>
          <w:szCs w:val="20"/>
        </w:rPr>
        <w:t xml:space="preserve">The purpose of the plan </w:t>
      </w:r>
      <w:r w:rsidR="007820DA" w:rsidRPr="007820DA">
        <w:rPr>
          <w:sz w:val="20"/>
          <w:szCs w:val="20"/>
        </w:rPr>
        <w:t xml:space="preserve">to strengthen the preparedness in RMI to rapidly detect and respond to the potential introduction of COVID-19. The plan focuses on seven key components of the Framework of Action in the WHO Novel Coronavirus Technical Guidance: (i) command and coordination; (ii) surveillance, risk assessment and response; (iii) laboratory; (iv) clinical case management and infection prevention and control; (v) public health intervention including points of entry measures; (vi) risk communication; and (vii) logistics, procurement, and supply management. </w:t>
      </w:r>
      <w:r w:rsidR="006249E6">
        <w:rPr>
          <w:sz w:val="20"/>
          <w:szCs w:val="20"/>
        </w:rPr>
        <w:t>As of April 4, 2020,</w:t>
      </w:r>
      <w:r w:rsidR="002E2F59">
        <w:rPr>
          <w:sz w:val="20"/>
          <w:szCs w:val="20"/>
        </w:rPr>
        <w:t xml:space="preserve"> </w:t>
      </w:r>
      <w:r w:rsidRPr="00EB7A53">
        <w:rPr>
          <w:sz w:val="20"/>
          <w:szCs w:val="20"/>
        </w:rPr>
        <w:t>RMI has had only two persons under investigation for COVID-19 infection</w:t>
      </w:r>
      <w:r w:rsidR="00F6555A">
        <w:rPr>
          <w:sz w:val="20"/>
          <w:szCs w:val="20"/>
        </w:rPr>
        <w:t>,</w:t>
      </w:r>
      <w:r w:rsidRPr="00EB7A53">
        <w:rPr>
          <w:sz w:val="20"/>
          <w:szCs w:val="20"/>
        </w:rPr>
        <w:t xml:space="preserve"> both have tested negative</w:t>
      </w:r>
      <w:r w:rsidR="006249E6">
        <w:rPr>
          <w:sz w:val="20"/>
          <w:szCs w:val="20"/>
        </w:rPr>
        <w:t xml:space="preserve"> and the case</w:t>
      </w:r>
      <w:r w:rsidR="009D7357">
        <w:rPr>
          <w:sz w:val="20"/>
          <w:szCs w:val="20"/>
        </w:rPr>
        <w:t>s</w:t>
      </w:r>
      <w:r w:rsidR="006249E6">
        <w:rPr>
          <w:sz w:val="20"/>
          <w:szCs w:val="20"/>
        </w:rPr>
        <w:t xml:space="preserve"> closed</w:t>
      </w:r>
      <w:r w:rsidRPr="00EB7A53">
        <w:rPr>
          <w:sz w:val="20"/>
          <w:szCs w:val="20"/>
        </w:rPr>
        <w:t>.</w:t>
      </w:r>
      <w:r w:rsidR="003A6B1E">
        <w:rPr>
          <w:sz w:val="20"/>
          <w:szCs w:val="20"/>
        </w:rPr>
        <w:t xml:space="preserve"> </w:t>
      </w:r>
      <w:r w:rsidRPr="00EB7A53">
        <w:rPr>
          <w:sz w:val="20"/>
          <w:szCs w:val="20"/>
        </w:rPr>
        <w:t xml:space="preserve">Using the Hazard and Risk Assessment Matrix, the government has determined that there is a “moderate to high risk” for the Coronavirus to affect RMI due to frequent travel between US and RMI and (now discontinued) </w:t>
      </w:r>
      <w:r w:rsidR="00885520">
        <w:rPr>
          <w:sz w:val="20"/>
          <w:szCs w:val="20"/>
        </w:rPr>
        <w:t>f</w:t>
      </w:r>
      <w:r w:rsidRPr="00EB7A53">
        <w:rPr>
          <w:sz w:val="20"/>
          <w:szCs w:val="20"/>
        </w:rPr>
        <w:t>lights between Hong Kong, Singapore, Japan, etc.</w:t>
      </w:r>
      <w:r w:rsidR="0056323E" w:rsidRPr="0056323E">
        <w:rPr>
          <w:sz w:val="20"/>
          <w:szCs w:val="20"/>
        </w:rPr>
        <w:t xml:space="preserve"> There are also remaining compliance issues of entry/quarantine at the seaports.</w:t>
      </w:r>
    </w:p>
    <w:p w14:paraId="035C6C9E" w14:textId="2F451F37" w:rsidR="00C0026C" w:rsidRPr="00EB7A53" w:rsidRDefault="00B64D59" w:rsidP="00EB7A53">
      <w:pPr>
        <w:pStyle w:val="NoSpacing"/>
        <w:rPr>
          <w:sz w:val="20"/>
          <w:szCs w:val="20"/>
        </w:rPr>
      </w:pPr>
      <w:r w:rsidRPr="00EB7A53">
        <w:rPr>
          <w:sz w:val="20"/>
          <w:szCs w:val="20"/>
        </w:rPr>
        <w:br/>
      </w:r>
      <w:bookmarkStart w:id="1" w:name="_Hlk34132752"/>
      <w:r w:rsidRPr="00EB7A53">
        <w:rPr>
          <w:sz w:val="20"/>
          <w:szCs w:val="20"/>
        </w:rPr>
        <w:t xml:space="preserve">The </w:t>
      </w:r>
      <w:r w:rsidR="00FC704A" w:rsidRPr="00EB7A53">
        <w:rPr>
          <w:sz w:val="20"/>
          <w:szCs w:val="20"/>
        </w:rPr>
        <w:t>Republic of the Marshall Islands (RMI) COVID-19 Emergency Response Project</w:t>
      </w:r>
      <w:r w:rsidRPr="00EB7A53">
        <w:rPr>
          <w:sz w:val="20"/>
          <w:szCs w:val="20"/>
        </w:rPr>
        <w:t xml:space="preserve"> </w:t>
      </w:r>
      <w:bookmarkEnd w:id="1"/>
      <w:r w:rsidRPr="00EB7A53">
        <w:rPr>
          <w:sz w:val="20"/>
          <w:szCs w:val="20"/>
        </w:rPr>
        <w:t xml:space="preserve">aims </w:t>
      </w:r>
      <w:r w:rsidR="00C0026C" w:rsidRPr="00EB7A53">
        <w:rPr>
          <w:sz w:val="20"/>
          <w:szCs w:val="20"/>
        </w:rPr>
        <w:t>to prevent, detect and respond to the threat posed by COVID-19 and strengthen national systems for public health preparedness in the Republic of the Marshall Islands.</w:t>
      </w:r>
      <w:r w:rsidR="00EB7A53" w:rsidRPr="00EB7A53">
        <w:rPr>
          <w:sz w:val="20"/>
          <w:szCs w:val="20"/>
        </w:rPr>
        <w:t xml:space="preserve"> </w:t>
      </w:r>
      <w:r w:rsidR="00C0026C" w:rsidRPr="00EB7A53">
        <w:rPr>
          <w:sz w:val="20"/>
          <w:szCs w:val="20"/>
        </w:rPr>
        <w:t xml:space="preserve">The Project comprises </w:t>
      </w:r>
      <w:r w:rsidR="00654EA6">
        <w:rPr>
          <w:sz w:val="20"/>
          <w:szCs w:val="20"/>
        </w:rPr>
        <w:t xml:space="preserve">two </w:t>
      </w:r>
      <w:r w:rsidR="00C0026C" w:rsidRPr="00EB7A53">
        <w:rPr>
          <w:sz w:val="20"/>
          <w:szCs w:val="20"/>
        </w:rPr>
        <w:t>components</w:t>
      </w:r>
      <w:r w:rsidR="003F6D23">
        <w:rPr>
          <w:sz w:val="20"/>
          <w:szCs w:val="20"/>
        </w:rPr>
        <w:t xml:space="preserve"> and subcomponent</w:t>
      </w:r>
      <w:r w:rsidR="0056323E">
        <w:rPr>
          <w:sz w:val="20"/>
          <w:szCs w:val="20"/>
        </w:rPr>
        <w:t>s</w:t>
      </w:r>
      <w:r w:rsidR="00C0026C" w:rsidRPr="00EB7A53">
        <w:rPr>
          <w:sz w:val="20"/>
          <w:szCs w:val="20"/>
        </w:rPr>
        <w:t xml:space="preserve">: </w:t>
      </w:r>
    </w:p>
    <w:p w14:paraId="56291B6E" w14:textId="3658AFC8" w:rsidR="00C0026C" w:rsidRPr="00C0026C" w:rsidRDefault="00C0026C" w:rsidP="00C0026C">
      <w:pPr>
        <w:pStyle w:val="NoSpacing"/>
        <w:rPr>
          <w:sz w:val="20"/>
          <w:szCs w:val="20"/>
        </w:rPr>
      </w:pPr>
      <w:r w:rsidRPr="00C0026C">
        <w:rPr>
          <w:sz w:val="20"/>
          <w:szCs w:val="20"/>
        </w:rPr>
        <w:t xml:space="preserve"> </w:t>
      </w:r>
    </w:p>
    <w:p w14:paraId="04740AC9" w14:textId="3604EAFD" w:rsidR="0062301E" w:rsidRDefault="006E656B" w:rsidP="0062301E">
      <w:pPr>
        <w:pStyle w:val="NoSpacing"/>
        <w:rPr>
          <w:sz w:val="20"/>
          <w:szCs w:val="20"/>
        </w:rPr>
      </w:pPr>
      <w:r w:rsidRPr="000C085E">
        <w:rPr>
          <w:b/>
          <w:sz w:val="20"/>
          <w:szCs w:val="20"/>
        </w:rPr>
        <w:t xml:space="preserve">Component 1. Emergency COVID-19 Response </w:t>
      </w:r>
      <w:r w:rsidR="00AB241D" w:rsidRPr="0056323E">
        <w:rPr>
          <w:sz w:val="20"/>
          <w:szCs w:val="20"/>
        </w:rPr>
        <w:t>(</w:t>
      </w:r>
      <w:r w:rsidRPr="00C0026C">
        <w:rPr>
          <w:sz w:val="20"/>
          <w:szCs w:val="20"/>
        </w:rPr>
        <w:t xml:space="preserve">USD </w:t>
      </w:r>
      <w:r w:rsidR="00AB241D">
        <w:rPr>
          <w:sz w:val="20"/>
          <w:szCs w:val="20"/>
        </w:rPr>
        <w:t>2.1m)</w:t>
      </w:r>
      <w:r w:rsidR="0062301E">
        <w:rPr>
          <w:sz w:val="20"/>
          <w:szCs w:val="20"/>
        </w:rPr>
        <w:t xml:space="preserve">. </w:t>
      </w:r>
      <w:r w:rsidR="0062301E" w:rsidRPr="0062301E">
        <w:rPr>
          <w:sz w:val="20"/>
          <w:szCs w:val="20"/>
        </w:rPr>
        <w:t xml:space="preserve">This component will provide immediate support to </w:t>
      </w:r>
      <w:commentRangeStart w:id="2"/>
      <w:r w:rsidR="0062301E" w:rsidRPr="0062301E">
        <w:rPr>
          <w:sz w:val="20"/>
          <w:szCs w:val="20"/>
        </w:rPr>
        <w:t>RMI</w:t>
      </w:r>
      <w:commentRangeEnd w:id="2"/>
      <w:r w:rsidR="00C17EEC">
        <w:rPr>
          <w:rStyle w:val="CommentReference"/>
        </w:rPr>
        <w:commentReference w:id="2"/>
      </w:r>
      <w:r w:rsidR="0062301E" w:rsidRPr="0062301E">
        <w:rPr>
          <w:sz w:val="20"/>
          <w:szCs w:val="20"/>
        </w:rPr>
        <w:t xml:space="preserve"> to prevent COVID-19 from arriving, limit local transmission, and equip the health system to simultaneously respond to the outbreak and sustain routine services. The component will include two sub-components:</w:t>
      </w:r>
    </w:p>
    <w:p w14:paraId="0E6724A2" w14:textId="70FB3A45" w:rsidR="00D86C56" w:rsidRPr="00D86C56" w:rsidRDefault="0062301E" w:rsidP="00D86C56">
      <w:pPr>
        <w:pStyle w:val="NoSpacing"/>
        <w:numPr>
          <w:ilvl w:val="0"/>
          <w:numId w:val="29"/>
        </w:numPr>
        <w:rPr>
          <w:sz w:val="20"/>
          <w:szCs w:val="20"/>
        </w:rPr>
      </w:pPr>
      <w:r w:rsidRPr="00D86C56">
        <w:rPr>
          <w:b/>
          <w:sz w:val="20"/>
          <w:szCs w:val="20"/>
        </w:rPr>
        <w:t xml:space="preserve">Sub-component 1.1: Prevention and Surveillance: Communication, </w:t>
      </w:r>
      <w:r w:rsidR="00B32F5B">
        <w:rPr>
          <w:b/>
          <w:sz w:val="20"/>
          <w:szCs w:val="20"/>
        </w:rPr>
        <w:t xml:space="preserve">Physical </w:t>
      </w:r>
      <w:r w:rsidRPr="00D86C56">
        <w:rPr>
          <w:b/>
          <w:sz w:val="20"/>
          <w:szCs w:val="20"/>
        </w:rPr>
        <w:t>Distancing, Case Detection, Confirmation, and Contact Tracing</w:t>
      </w:r>
      <w:r>
        <w:rPr>
          <w:sz w:val="20"/>
          <w:szCs w:val="20"/>
        </w:rPr>
        <w:t xml:space="preserve"> </w:t>
      </w:r>
      <w:r w:rsidRPr="0056323E">
        <w:rPr>
          <w:sz w:val="20"/>
          <w:szCs w:val="20"/>
        </w:rPr>
        <w:t>(</w:t>
      </w:r>
      <w:r w:rsidRPr="00C0026C">
        <w:rPr>
          <w:sz w:val="20"/>
          <w:szCs w:val="20"/>
        </w:rPr>
        <w:t xml:space="preserve">USD </w:t>
      </w:r>
      <w:r>
        <w:rPr>
          <w:sz w:val="20"/>
          <w:szCs w:val="20"/>
        </w:rPr>
        <w:t>0.465m)</w:t>
      </w:r>
      <w:r w:rsidR="00D86C56">
        <w:rPr>
          <w:sz w:val="20"/>
          <w:szCs w:val="20"/>
        </w:rPr>
        <w:t>.</w:t>
      </w:r>
      <w:r w:rsidR="00D86C56" w:rsidRPr="00D86C56">
        <w:rPr>
          <w:sz w:val="20"/>
          <w:szCs w:val="20"/>
        </w:rPr>
        <w:t xml:space="preserve"> This sub-component will provide support to RMI</w:t>
      </w:r>
      <w:r w:rsidR="00164C83">
        <w:rPr>
          <w:sz w:val="20"/>
          <w:szCs w:val="20"/>
        </w:rPr>
        <w:t xml:space="preserve"> to </w:t>
      </w:r>
      <w:r w:rsidR="00D86C56" w:rsidRPr="00D86C56">
        <w:rPr>
          <w:sz w:val="20"/>
          <w:szCs w:val="20"/>
        </w:rPr>
        <w:t xml:space="preserve">enhance disease prevention and strengthen core epidemiological functions with the aim to prevent, mitigate, and control the impact of COVID-19 the Marshallese population and prepare the country for future public health emergencies. </w:t>
      </w:r>
    </w:p>
    <w:p w14:paraId="2E514E62" w14:textId="34679C88" w:rsidR="004D51D2" w:rsidRPr="004D51D2" w:rsidRDefault="0062301E" w:rsidP="004D51D2">
      <w:pPr>
        <w:pStyle w:val="NoSpacing"/>
        <w:numPr>
          <w:ilvl w:val="0"/>
          <w:numId w:val="29"/>
        </w:numPr>
        <w:rPr>
          <w:sz w:val="20"/>
          <w:szCs w:val="20"/>
        </w:rPr>
      </w:pPr>
      <w:r w:rsidRPr="00D86C56">
        <w:rPr>
          <w:b/>
          <w:sz w:val="20"/>
          <w:szCs w:val="20"/>
        </w:rPr>
        <w:t>Sub-component 1.2: Strengthening health service delivery to respond to COVID-19</w:t>
      </w:r>
      <w:r w:rsidR="00CA639F">
        <w:rPr>
          <w:sz w:val="20"/>
          <w:szCs w:val="20"/>
        </w:rPr>
        <w:t xml:space="preserve"> (USD 1.635m)</w:t>
      </w:r>
      <w:r w:rsidR="00D86C56">
        <w:rPr>
          <w:sz w:val="20"/>
          <w:szCs w:val="20"/>
        </w:rPr>
        <w:t>.</w:t>
      </w:r>
      <w:r w:rsidR="004D51D2" w:rsidRPr="004D51D2">
        <w:rPr>
          <w:sz w:val="20"/>
          <w:szCs w:val="20"/>
        </w:rPr>
        <w:t xml:space="preserve"> The sub-component aims to support the RMI health care system to plan for and provide optimal service delivery and case management for COVID-19 patients, while maintaining essential health services and minimizing infection risks for health personnel and patients.</w:t>
      </w:r>
    </w:p>
    <w:p w14:paraId="79BBD98B" w14:textId="77777777" w:rsidR="004D51D2" w:rsidRDefault="004D51D2" w:rsidP="000C085E">
      <w:pPr>
        <w:pStyle w:val="NoSpacing"/>
        <w:rPr>
          <w:b/>
          <w:sz w:val="20"/>
          <w:szCs w:val="20"/>
        </w:rPr>
      </w:pPr>
    </w:p>
    <w:p w14:paraId="49A687A4" w14:textId="26DC33B6" w:rsidR="00007F4C" w:rsidRPr="00007F4C" w:rsidRDefault="00654EA6" w:rsidP="009D251C">
      <w:pPr>
        <w:pStyle w:val="NoSpacing"/>
        <w:rPr>
          <w:sz w:val="20"/>
          <w:szCs w:val="20"/>
        </w:rPr>
      </w:pPr>
      <w:r w:rsidRPr="00007F4C">
        <w:rPr>
          <w:b/>
          <w:sz w:val="20"/>
          <w:szCs w:val="20"/>
        </w:rPr>
        <w:t>Component</w:t>
      </w:r>
      <w:r w:rsidRPr="000C085E">
        <w:rPr>
          <w:b/>
          <w:sz w:val="20"/>
          <w:szCs w:val="20"/>
        </w:rPr>
        <w:t xml:space="preserve"> 2. Implementation Management and Monitoring and Evaluation</w:t>
      </w:r>
      <w:r w:rsidRPr="0056323E">
        <w:rPr>
          <w:sz w:val="20"/>
          <w:szCs w:val="20"/>
        </w:rPr>
        <w:t xml:space="preserve"> (USD .4m)</w:t>
      </w:r>
      <w:r w:rsidR="00007F4C">
        <w:rPr>
          <w:sz w:val="20"/>
          <w:szCs w:val="20"/>
        </w:rPr>
        <w:t xml:space="preserve">. </w:t>
      </w:r>
      <w:r w:rsidR="00007F4C" w:rsidRPr="00007F4C">
        <w:rPr>
          <w:sz w:val="20"/>
          <w:szCs w:val="20"/>
        </w:rPr>
        <w:t xml:space="preserve">This component will provide </w:t>
      </w:r>
      <w:r w:rsidR="009D251C" w:rsidRPr="00007F4C">
        <w:rPr>
          <w:sz w:val="20"/>
          <w:szCs w:val="20"/>
        </w:rPr>
        <w:t>technical, operational</w:t>
      </w:r>
      <w:r w:rsidR="00007F4C" w:rsidRPr="00007F4C">
        <w:rPr>
          <w:sz w:val="20"/>
          <w:szCs w:val="20"/>
        </w:rPr>
        <w:t xml:space="preserve"> and administrative assistance to the GORMI to manage the multisectoral implementation of the COVID-19 response and strengthen preparedness for future public health emergencies. It will also finance relevant monitoring and evaluation activities. </w:t>
      </w:r>
    </w:p>
    <w:p w14:paraId="3B2FDE00" w14:textId="2ED20214" w:rsidR="00654EA6" w:rsidRDefault="00654EA6" w:rsidP="000C085E">
      <w:pPr>
        <w:pStyle w:val="NoSpacing"/>
        <w:rPr>
          <w:sz w:val="20"/>
          <w:szCs w:val="20"/>
        </w:rPr>
      </w:pPr>
    </w:p>
    <w:p w14:paraId="7883563C" w14:textId="765CFDC0" w:rsidR="00AA778F" w:rsidRDefault="00C0026C" w:rsidP="00072CC5">
      <w:pPr>
        <w:jc w:val="left"/>
        <w:rPr>
          <w:sz w:val="20"/>
          <w:szCs w:val="20"/>
        </w:rPr>
      </w:pPr>
      <w:r w:rsidRPr="00C0026C">
        <w:rPr>
          <w:sz w:val="20"/>
          <w:szCs w:val="20"/>
        </w:rPr>
        <w:t>The Project team at the Ministry of Health and Human Services (MOH</w:t>
      </w:r>
      <w:r w:rsidR="003A2227">
        <w:rPr>
          <w:sz w:val="20"/>
          <w:szCs w:val="20"/>
        </w:rPr>
        <w:t>H</w:t>
      </w:r>
      <w:r w:rsidRPr="00C0026C">
        <w:rPr>
          <w:sz w:val="20"/>
          <w:szCs w:val="20"/>
        </w:rPr>
        <w:t>S) will work closely with WHO Western Regional Pacific Office (WPRO) incident management team and</w:t>
      </w:r>
      <w:r w:rsidRPr="00EB7A53">
        <w:rPr>
          <w:sz w:val="20"/>
          <w:szCs w:val="20"/>
        </w:rPr>
        <w:t xml:space="preserve"> key partners such as WHO, UNICEF, Secretariat of the Pacific Community (SPC), DFAT</w:t>
      </w:r>
      <w:r w:rsidRPr="00C0026C">
        <w:rPr>
          <w:sz w:val="20"/>
          <w:szCs w:val="20"/>
        </w:rPr>
        <w:t>, MFAT, US, International Committee of the Red Cross, and others</w:t>
      </w:r>
      <w:r w:rsidR="00EB7A53">
        <w:rPr>
          <w:sz w:val="20"/>
          <w:szCs w:val="20"/>
        </w:rPr>
        <w:t>.</w:t>
      </w:r>
      <w:r w:rsidR="008F6BCD">
        <w:rPr>
          <w:sz w:val="20"/>
          <w:szCs w:val="20"/>
        </w:rPr>
        <w:t xml:space="preserve"> Line ministries will also be engaged as needed</w:t>
      </w:r>
      <w:r w:rsidR="00AA778F">
        <w:rPr>
          <w:sz w:val="20"/>
          <w:szCs w:val="20"/>
        </w:rPr>
        <w:t xml:space="preserve">, </w:t>
      </w:r>
      <w:r w:rsidR="007B4627">
        <w:rPr>
          <w:sz w:val="20"/>
          <w:szCs w:val="20"/>
        </w:rPr>
        <w:t>including but no</w:t>
      </w:r>
      <w:r w:rsidR="00B24BDB">
        <w:rPr>
          <w:sz w:val="20"/>
          <w:szCs w:val="20"/>
        </w:rPr>
        <w:t>t limited to</w:t>
      </w:r>
      <w:r w:rsidR="00AA778F">
        <w:rPr>
          <w:sz w:val="20"/>
          <w:szCs w:val="20"/>
        </w:rPr>
        <w:t xml:space="preserve"> the</w:t>
      </w:r>
      <w:r w:rsidR="00B24BDB">
        <w:rPr>
          <w:sz w:val="20"/>
          <w:szCs w:val="20"/>
        </w:rPr>
        <w:t xml:space="preserve"> Marshall Island</w:t>
      </w:r>
      <w:r w:rsidR="00AA778F">
        <w:rPr>
          <w:sz w:val="20"/>
          <w:szCs w:val="20"/>
        </w:rPr>
        <w:t xml:space="preserve"> </w:t>
      </w:r>
      <w:r w:rsidR="00AA778F" w:rsidRPr="00B26FEC">
        <w:rPr>
          <w:sz w:val="20"/>
          <w:szCs w:val="20"/>
        </w:rPr>
        <w:t xml:space="preserve">WASH Cluster </w:t>
      </w:r>
      <w:r w:rsidR="00AA778F">
        <w:rPr>
          <w:sz w:val="20"/>
          <w:szCs w:val="20"/>
        </w:rPr>
        <w:t xml:space="preserve">in </w:t>
      </w:r>
      <w:r w:rsidR="00AA778F" w:rsidRPr="00B26FEC">
        <w:rPr>
          <w:sz w:val="20"/>
          <w:szCs w:val="20"/>
        </w:rPr>
        <w:t>MWSC</w:t>
      </w:r>
      <w:r w:rsidR="00AA778F">
        <w:rPr>
          <w:sz w:val="20"/>
          <w:szCs w:val="20"/>
        </w:rPr>
        <w:t xml:space="preserve">, the </w:t>
      </w:r>
      <w:r w:rsidR="00AA778F" w:rsidRPr="00B26FEC">
        <w:rPr>
          <w:sz w:val="20"/>
          <w:szCs w:val="20"/>
        </w:rPr>
        <w:t xml:space="preserve">Logistics Cluster </w:t>
      </w:r>
      <w:r w:rsidR="00AA778F">
        <w:rPr>
          <w:sz w:val="20"/>
          <w:szCs w:val="20"/>
        </w:rPr>
        <w:t xml:space="preserve">in </w:t>
      </w:r>
      <w:proofErr w:type="spellStart"/>
      <w:r w:rsidR="00AA778F" w:rsidRPr="00B26FEC">
        <w:rPr>
          <w:sz w:val="20"/>
          <w:szCs w:val="20"/>
        </w:rPr>
        <w:t>MoTNC</w:t>
      </w:r>
      <w:proofErr w:type="spellEnd"/>
      <w:r w:rsidR="00AA778F">
        <w:rPr>
          <w:sz w:val="20"/>
          <w:szCs w:val="20"/>
        </w:rPr>
        <w:t xml:space="preserve">, </w:t>
      </w:r>
      <w:r w:rsidR="00AA778F" w:rsidRPr="00B26FEC">
        <w:rPr>
          <w:sz w:val="20"/>
          <w:szCs w:val="20"/>
        </w:rPr>
        <w:t>Shelter Cluster</w:t>
      </w:r>
      <w:r w:rsidR="00AA778F">
        <w:rPr>
          <w:sz w:val="20"/>
          <w:szCs w:val="20"/>
        </w:rPr>
        <w:t xml:space="preserve"> in</w:t>
      </w:r>
      <w:r w:rsidR="00AA778F" w:rsidRPr="00B26FEC">
        <w:rPr>
          <w:sz w:val="20"/>
          <w:szCs w:val="20"/>
        </w:rPr>
        <w:t xml:space="preserve"> MOCIA</w:t>
      </w:r>
      <w:r w:rsidR="00AA778F">
        <w:rPr>
          <w:sz w:val="20"/>
          <w:szCs w:val="20"/>
        </w:rPr>
        <w:t xml:space="preserve">, the </w:t>
      </w:r>
      <w:r w:rsidR="00AA778F" w:rsidRPr="00B26FEC">
        <w:rPr>
          <w:sz w:val="20"/>
          <w:szCs w:val="20"/>
        </w:rPr>
        <w:t>Education Cluster</w:t>
      </w:r>
      <w:r w:rsidR="00AA778F">
        <w:rPr>
          <w:sz w:val="20"/>
          <w:szCs w:val="20"/>
        </w:rPr>
        <w:t xml:space="preserve"> in </w:t>
      </w:r>
      <w:r w:rsidR="00AA778F" w:rsidRPr="00B26FEC">
        <w:rPr>
          <w:sz w:val="20"/>
          <w:szCs w:val="20"/>
        </w:rPr>
        <w:t>PSS</w:t>
      </w:r>
      <w:r w:rsidR="00AA778F">
        <w:rPr>
          <w:sz w:val="20"/>
          <w:szCs w:val="20"/>
        </w:rPr>
        <w:t>, the</w:t>
      </w:r>
      <w:r w:rsidR="00072CC5">
        <w:rPr>
          <w:sz w:val="20"/>
          <w:szCs w:val="20"/>
        </w:rPr>
        <w:t xml:space="preserve"> </w:t>
      </w:r>
      <w:r w:rsidR="00AA778F" w:rsidRPr="00B26FEC">
        <w:rPr>
          <w:sz w:val="20"/>
          <w:szCs w:val="20"/>
        </w:rPr>
        <w:t xml:space="preserve">Gender and Protection Cluster </w:t>
      </w:r>
      <w:r w:rsidR="00AA778F">
        <w:rPr>
          <w:sz w:val="20"/>
          <w:szCs w:val="20"/>
        </w:rPr>
        <w:t>in</w:t>
      </w:r>
      <w:r w:rsidR="00AA778F" w:rsidRPr="00B26FEC">
        <w:rPr>
          <w:sz w:val="20"/>
          <w:szCs w:val="20"/>
        </w:rPr>
        <w:t xml:space="preserve"> </w:t>
      </w:r>
      <w:proofErr w:type="spellStart"/>
      <w:r w:rsidR="00AA778F" w:rsidRPr="00B26FEC">
        <w:rPr>
          <w:sz w:val="20"/>
          <w:szCs w:val="20"/>
        </w:rPr>
        <w:t>MoCIA</w:t>
      </w:r>
      <w:proofErr w:type="spellEnd"/>
      <w:r w:rsidR="00072CC5">
        <w:rPr>
          <w:sz w:val="20"/>
          <w:szCs w:val="20"/>
        </w:rPr>
        <w:t xml:space="preserve"> and the </w:t>
      </w:r>
      <w:r w:rsidR="00AA778F" w:rsidRPr="00B26FEC">
        <w:rPr>
          <w:sz w:val="20"/>
          <w:szCs w:val="20"/>
        </w:rPr>
        <w:t xml:space="preserve">Food Security and Agriculture Cluster </w:t>
      </w:r>
      <w:r w:rsidR="00072CC5">
        <w:rPr>
          <w:sz w:val="20"/>
          <w:szCs w:val="20"/>
        </w:rPr>
        <w:t>in</w:t>
      </w:r>
      <w:r w:rsidR="00AA778F" w:rsidRPr="00B26FEC">
        <w:rPr>
          <w:sz w:val="20"/>
          <w:szCs w:val="20"/>
        </w:rPr>
        <w:t xml:space="preserve"> MONRC</w:t>
      </w:r>
      <w:r w:rsidR="00072CC5">
        <w:rPr>
          <w:sz w:val="20"/>
          <w:szCs w:val="20"/>
        </w:rPr>
        <w:t>.</w:t>
      </w:r>
    </w:p>
    <w:p w14:paraId="45422F66" w14:textId="135FF432" w:rsidR="00EB7A53" w:rsidRDefault="00B64D59" w:rsidP="009D251C">
      <w:pPr>
        <w:rPr>
          <w:sz w:val="20"/>
          <w:szCs w:val="20"/>
        </w:rPr>
      </w:pPr>
      <w:r w:rsidRPr="00C0026C">
        <w:rPr>
          <w:sz w:val="20"/>
          <w:szCs w:val="20"/>
        </w:rPr>
        <w:lastRenderedPageBreak/>
        <w:t xml:space="preserve">The </w:t>
      </w:r>
      <w:r w:rsidR="00FC704A" w:rsidRPr="00C0026C">
        <w:rPr>
          <w:sz w:val="20"/>
          <w:szCs w:val="20"/>
        </w:rPr>
        <w:t xml:space="preserve">COVID-19 Emergency Response Project </w:t>
      </w:r>
      <w:r w:rsidRPr="00C0026C">
        <w:rPr>
          <w:sz w:val="20"/>
          <w:szCs w:val="20"/>
        </w:rPr>
        <w:t>is being prepared under the World Bank’s Environment and Social Framework (ESF). As per the Environmental and Social Standard ESS 10 Stakeholders Engagement and Information Disclosure, the implementing agencies should provide stakeholders with timely, relevant, understandable and accessible information</w:t>
      </w:r>
      <w:r w:rsidR="00454661">
        <w:rPr>
          <w:sz w:val="20"/>
          <w:szCs w:val="20"/>
        </w:rPr>
        <w:t xml:space="preserve"> about the project</w:t>
      </w:r>
      <w:r w:rsidRPr="00C0026C">
        <w:rPr>
          <w:sz w:val="20"/>
          <w:szCs w:val="20"/>
        </w:rPr>
        <w:t xml:space="preserve">, and consult with them in a culturally appropriate manner, which is free of manipulation, interference, coercion, discrimination and intimidation. </w:t>
      </w:r>
    </w:p>
    <w:p w14:paraId="5DE1C832" w14:textId="57038975" w:rsidR="00B64D59" w:rsidRPr="00CA49E1" w:rsidRDefault="00B64D59" w:rsidP="00B64D59">
      <w:pPr>
        <w:spacing w:after="0" w:line="240" w:lineRule="auto"/>
        <w:ind w:left="0" w:firstLine="0"/>
        <w:rPr>
          <w:sz w:val="20"/>
          <w:szCs w:val="20"/>
        </w:rPr>
      </w:pPr>
      <w:r w:rsidRPr="00CA49E1">
        <w:rPr>
          <w:rFonts w:asciiTheme="minorHAnsi" w:hAnsiTheme="minorHAnsi" w:cstheme="minorHAnsi"/>
          <w:color w:val="auto"/>
          <w:sz w:val="20"/>
          <w:szCs w:val="20"/>
          <w:lang w:bidi="th-TH"/>
        </w:rPr>
        <w:t>The overall objective of this S</w:t>
      </w:r>
      <w:r w:rsidR="00FC704A">
        <w:rPr>
          <w:rFonts w:asciiTheme="minorHAnsi" w:hAnsiTheme="minorHAnsi" w:cstheme="minorHAnsi"/>
          <w:color w:val="auto"/>
          <w:sz w:val="20"/>
          <w:szCs w:val="20"/>
          <w:lang w:bidi="th-TH"/>
        </w:rPr>
        <w:t xml:space="preserve">takeholder Engagement </w:t>
      </w:r>
      <w:r w:rsidRPr="00CA49E1">
        <w:rPr>
          <w:rFonts w:asciiTheme="minorHAnsi" w:hAnsiTheme="minorHAnsi" w:cstheme="minorHAnsi"/>
          <w:color w:val="auto"/>
          <w:sz w:val="20"/>
          <w:szCs w:val="20"/>
          <w:lang w:bidi="th-TH"/>
        </w:rPr>
        <w:t>P</w:t>
      </w:r>
      <w:r w:rsidR="00FC704A">
        <w:rPr>
          <w:rFonts w:asciiTheme="minorHAnsi" w:hAnsiTheme="minorHAnsi" w:cstheme="minorHAnsi"/>
          <w:color w:val="auto"/>
          <w:sz w:val="20"/>
          <w:szCs w:val="20"/>
          <w:lang w:bidi="th-TH"/>
        </w:rPr>
        <w:t>lan (SEP)</w:t>
      </w:r>
      <w:r w:rsidRPr="00CA49E1">
        <w:rPr>
          <w:rFonts w:asciiTheme="minorHAnsi" w:hAnsiTheme="minorHAnsi" w:cstheme="minorHAnsi"/>
          <w:color w:val="auto"/>
          <w:sz w:val="20"/>
          <w:szCs w:val="20"/>
          <w:lang w:bidi="th-TH"/>
        </w:rPr>
        <w:t xml:space="preserve"> is to define a program for stakeholder engagement</w:t>
      </w:r>
      <w:r w:rsidR="00124ACB">
        <w:rPr>
          <w:rFonts w:asciiTheme="minorHAnsi" w:hAnsiTheme="minorHAnsi" w:cstheme="minorHAnsi"/>
          <w:color w:val="auto"/>
          <w:sz w:val="20"/>
          <w:szCs w:val="20"/>
          <w:lang w:bidi="th-TH"/>
        </w:rPr>
        <w:t xml:space="preserve"> focused on the environmental and social (E&amp;S) impacts of the proposed project</w:t>
      </w:r>
      <w:r w:rsidRPr="00CA49E1">
        <w:rPr>
          <w:rFonts w:asciiTheme="minorHAnsi" w:hAnsiTheme="minorHAnsi" w:cstheme="minorHAnsi"/>
          <w:color w:val="auto"/>
          <w:sz w:val="20"/>
          <w:szCs w:val="20"/>
          <w:lang w:bidi="th-TH"/>
        </w:rPr>
        <w:t xml:space="preserve">, including public information disclosure and consultation, throughout the entire project cycle. The SEP outlines the ways in which </w:t>
      </w:r>
      <w:bookmarkStart w:id="3" w:name="_Hlk25743274"/>
      <w:r w:rsidRPr="00CA49E1">
        <w:rPr>
          <w:rFonts w:asciiTheme="minorHAnsi" w:eastAsia="Times New Roman" w:hAnsiTheme="minorHAnsi" w:cstheme="minorHAnsi"/>
          <w:noProof/>
          <w:color w:val="auto"/>
          <w:sz w:val="20"/>
          <w:szCs w:val="20"/>
          <w:lang w:val="en-AU"/>
        </w:rPr>
        <w:t xml:space="preserve">the </w:t>
      </w:r>
      <w:r w:rsidRPr="00CA49E1">
        <w:rPr>
          <w:rFonts w:asciiTheme="minorHAnsi" w:hAnsiTheme="minorHAnsi" w:cstheme="minorHAnsi"/>
          <w:color w:val="auto"/>
          <w:sz w:val="20"/>
          <w:szCs w:val="20"/>
          <w:lang w:bidi="th-TH"/>
        </w:rPr>
        <w:t>project team</w:t>
      </w:r>
      <w:bookmarkEnd w:id="3"/>
      <w:r w:rsidRPr="00CA49E1">
        <w:rPr>
          <w:rFonts w:asciiTheme="minorHAnsi" w:hAnsiTheme="minorHAnsi" w:cstheme="minorHAnsi"/>
          <w:color w:val="auto"/>
          <w:sz w:val="20"/>
          <w:szCs w:val="20"/>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CA49E1">
        <w:rPr>
          <w:rFonts w:cstheme="minorHAnsi"/>
          <w:sz w:val="20"/>
          <w:szCs w:val="20"/>
        </w:rPr>
        <w:t xml:space="preserve">In the context of infectious diseases, broad, culturally appropriate, and adapted awareness raising activities are particularly important to properly sensitize the communities to the risks related to infectious diseases. </w:t>
      </w:r>
    </w:p>
    <w:p w14:paraId="39CA217F" w14:textId="7138F2EC" w:rsidR="00B64D59" w:rsidRDefault="00B64D59" w:rsidP="00B64D59">
      <w:pPr>
        <w:pStyle w:val="Heading2"/>
        <w:ind w:left="-5"/>
      </w:pPr>
      <w:r>
        <w:br/>
        <w:t xml:space="preserve">2. Stakeholder identification and analysis </w:t>
      </w:r>
    </w:p>
    <w:p w14:paraId="1A73DE3B" w14:textId="11AA894E"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Project stakeholders are defined as individuals, groups or other entities who:</w:t>
      </w:r>
    </w:p>
    <w:p w14:paraId="566230D4" w14:textId="77777777" w:rsidR="00CC497A" w:rsidRPr="00CA49E1" w:rsidRDefault="00CC497A" w:rsidP="00B64D59">
      <w:pPr>
        <w:spacing w:after="0" w:line="240" w:lineRule="auto"/>
        <w:ind w:left="0" w:firstLine="0"/>
        <w:rPr>
          <w:rFonts w:asciiTheme="minorHAnsi" w:hAnsiTheme="minorHAnsi" w:cstheme="minorHAnsi"/>
          <w:color w:val="auto"/>
          <w:sz w:val="20"/>
          <w:szCs w:val="20"/>
          <w:lang w:bidi="th-TH"/>
        </w:rPr>
      </w:pPr>
    </w:p>
    <w:p w14:paraId="6A212FC8" w14:textId="77777777" w:rsidR="00B64D59" w:rsidRPr="00CA49E1" w:rsidRDefault="00B64D59" w:rsidP="00B64D59">
      <w:pPr>
        <w:numPr>
          <w:ilvl w:val="0"/>
          <w:numId w:val="9"/>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 xml:space="preserve">are impacted or likely to be impacted directly or indirectly, positively or adversely, by the Project (also known as ‘affected parties’); and </w:t>
      </w:r>
    </w:p>
    <w:p w14:paraId="16330E42" w14:textId="77777777" w:rsidR="00B64D59" w:rsidRPr="00CA49E1" w:rsidRDefault="00B64D59" w:rsidP="00B64D59">
      <w:pPr>
        <w:numPr>
          <w:ilvl w:val="0"/>
          <w:numId w:val="9"/>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may have an interest in the Project (‘interested parties’). They include individuals or groups whose interests may be affected by the Project and who have the potential to influence the Project outcomes in any way.</w:t>
      </w:r>
    </w:p>
    <w:p w14:paraId="3FB6C475" w14:textId="77777777" w:rsidR="00B64D59" w:rsidRDefault="00B64D59" w:rsidP="00B64D59">
      <w:pPr>
        <w:spacing w:after="0" w:line="240" w:lineRule="auto"/>
        <w:ind w:left="14" w:hanging="14"/>
        <w:rPr>
          <w:rFonts w:cstheme="minorHAnsi"/>
          <w:szCs w:val="28"/>
          <w:lang w:bidi="th-TH"/>
        </w:rPr>
      </w:pPr>
      <w:r>
        <w:rPr>
          <w:rFonts w:cstheme="minorHAnsi"/>
          <w:sz w:val="20"/>
          <w:szCs w:val="20"/>
          <w:lang w:bidi="th-TH"/>
        </w:rPr>
        <w:br/>
      </w:r>
      <w:r w:rsidRPr="00CA49E1">
        <w:rPr>
          <w:rFonts w:cstheme="minorHAnsi"/>
          <w:sz w:val="20"/>
          <w:szCs w:val="20"/>
          <w:lang w:bidi="th-TH"/>
        </w:rPr>
        <w:t>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w:t>
      </w:r>
      <w:r>
        <w:rPr>
          <w:rFonts w:cstheme="minorHAnsi"/>
          <w:sz w:val="20"/>
          <w:szCs w:val="20"/>
          <w:lang w:bidi="th-TH"/>
        </w:rPr>
        <w:t xml:space="preserve"> </w:t>
      </w:r>
      <w:r w:rsidRPr="00CA49E1">
        <w:rPr>
          <w:rFonts w:asciiTheme="minorHAnsi" w:hAnsiTheme="minorHAnsi" w:cstheme="minorHAnsi"/>
          <w:color w:val="auto"/>
          <w:sz w:val="20"/>
          <w:szCs w:val="20"/>
          <w:lang w:bidi="th-TH"/>
        </w:rPr>
        <w:t>Verification of stakeholder representatives (i.e. the process of confirming that they are legitimate and genuine advocates of the community they represent) remains an important task in establishing contact with the community stakeholders. Legitimacy of the community representatives can be verified by talking informally to a random sample of community members and heeding their views on who can be representing their interests in the most effective way.</w:t>
      </w:r>
    </w:p>
    <w:p w14:paraId="619B851C" w14:textId="77777777" w:rsidR="00B64D59" w:rsidRPr="00B552B2" w:rsidRDefault="00B64D59" w:rsidP="00CA7E8B">
      <w:pPr>
        <w:pStyle w:val="Heading3"/>
        <w:ind w:left="701"/>
        <w:rPr>
          <w:b/>
        </w:rPr>
      </w:pPr>
      <w:r w:rsidRPr="00B552B2">
        <w:t xml:space="preserve">2.1 Methodology  </w:t>
      </w:r>
    </w:p>
    <w:p w14:paraId="264E5D63" w14:textId="0FF81766"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In order to meet best practice approaches, the project will apply the following principles for stakeholder engagement:</w:t>
      </w:r>
    </w:p>
    <w:p w14:paraId="3BA66A7D" w14:textId="77777777" w:rsidR="00CC497A" w:rsidRPr="00CA49E1" w:rsidRDefault="00CC497A" w:rsidP="00B64D59">
      <w:pPr>
        <w:spacing w:after="0" w:line="240" w:lineRule="auto"/>
        <w:ind w:left="0" w:firstLine="0"/>
        <w:rPr>
          <w:rFonts w:asciiTheme="minorHAnsi" w:hAnsiTheme="minorHAnsi" w:cstheme="minorHAnsi"/>
          <w:color w:val="auto"/>
          <w:sz w:val="20"/>
          <w:szCs w:val="20"/>
          <w:lang w:bidi="th-TH"/>
        </w:rPr>
      </w:pPr>
    </w:p>
    <w:p w14:paraId="27616D1E" w14:textId="77777777"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C497A">
        <w:rPr>
          <w:rFonts w:asciiTheme="minorHAnsi" w:hAnsiTheme="minorHAnsi" w:cstheme="minorHAnsi"/>
          <w:b/>
          <w:bCs/>
          <w:i/>
          <w:color w:val="auto"/>
          <w:sz w:val="20"/>
          <w:szCs w:val="20"/>
        </w:rPr>
        <w:t>Openness and life-cycle approach</w:t>
      </w:r>
      <w:r w:rsidRPr="00CA49E1">
        <w:rPr>
          <w:rFonts w:asciiTheme="minorHAnsi" w:hAnsiTheme="minorHAnsi" w:cstheme="minorHAnsi"/>
          <w:color w:val="auto"/>
          <w:sz w:val="20"/>
          <w:szCs w:val="20"/>
        </w:rPr>
        <w:t>: public consultations for the project(s) will be arranged during the whole life-cycle, carried out in an open manner, free of external manipulation, interference, coercion or intimidation;</w:t>
      </w:r>
    </w:p>
    <w:p w14:paraId="5FA3DCAE" w14:textId="77777777"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C497A">
        <w:rPr>
          <w:rFonts w:asciiTheme="minorHAnsi" w:hAnsiTheme="minorHAnsi" w:cstheme="minorHAnsi"/>
          <w:b/>
          <w:bCs/>
          <w:i/>
          <w:color w:val="auto"/>
          <w:sz w:val="20"/>
          <w:szCs w:val="20"/>
        </w:rPr>
        <w:t>Informed participation and feedback</w:t>
      </w:r>
      <w:r w:rsidRPr="00CA49E1">
        <w:rPr>
          <w:rFonts w:asciiTheme="minorHAnsi" w:hAnsiTheme="minorHAnsi" w:cstheme="minorHAnsi"/>
          <w:color w:val="auto"/>
          <w:sz w:val="20"/>
          <w:szCs w:val="20"/>
        </w:rPr>
        <w:t>: information will be provided to and widely distributed among all stakeholders in an appropriate format; opportunities are provided for communicating stakeholders’ feedback, for analyzing and addressing comments and concerns;</w:t>
      </w:r>
    </w:p>
    <w:p w14:paraId="2C55F5AD" w14:textId="77777777" w:rsidR="00B64D59" w:rsidRPr="00CA49E1" w:rsidRDefault="00B64D59" w:rsidP="00B64D59">
      <w:pPr>
        <w:numPr>
          <w:ilvl w:val="0"/>
          <w:numId w:val="10"/>
        </w:numPr>
        <w:spacing w:after="0" w:line="240" w:lineRule="auto"/>
        <w:ind w:left="180" w:hanging="180"/>
        <w:contextualSpacing/>
        <w:jc w:val="left"/>
        <w:rPr>
          <w:rFonts w:asciiTheme="minorHAnsi" w:hAnsiTheme="minorHAnsi" w:cstheme="minorHAnsi"/>
          <w:color w:val="auto"/>
          <w:sz w:val="20"/>
          <w:szCs w:val="20"/>
        </w:rPr>
      </w:pPr>
      <w:r w:rsidRPr="00CC497A">
        <w:rPr>
          <w:rFonts w:asciiTheme="minorHAnsi" w:hAnsiTheme="minorHAnsi" w:cstheme="minorHAnsi"/>
          <w:b/>
          <w:bCs/>
          <w:i/>
          <w:color w:val="auto"/>
          <w:sz w:val="20"/>
          <w:szCs w:val="20"/>
        </w:rPr>
        <w:t>Inclusiveness and sensitivity</w:t>
      </w:r>
      <w:r w:rsidRPr="00CA49E1">
        <w:rPr>
          <w:rFonts w:asciiTheme="minorHAnsi" w:hAnsiTheme="minorHAnsi" w:cstheme="minorHAnsi"/>
          <w:color w:val="auto"/>
          <w:sz w:val="20"/>
          <w:szCs w:val="20"/>
        </w:rPr>
        <w:t xml:space="preserve">: stakeholder identification </w:t>
      </w:r>
      <w:proofErr w:type="gramStart"/>
      <w:r w:rsidRPr="00CA49E1">
        <w:rPr>
          <w:rFonts w:asciiTheme="minorHAnsi" w:hAnsiTheme="minorHAnsi" w:cstheme="minorHAnsi"/>
          <w:color w:val="auto"/>
          <w:sz w:val="20"/>
          <w:szCs w:val="20"/>
        </w:rPr>
        <w:t>is</w:t>
      </w:r>
      <w:proofErr w:type="gramEnd"/>
      <w:r w:rsidRPr="00CA49E1">
        <w:rPr>
          <w:rFonts w:asciiTheme="minorHAnsi" w:hAnsiTheme="minorHAnsi" w:cstheme="minorHAnsi"/>
          <w:color w:val="auto"/>
          <w:sz w:val="20"/>
          <w:szCs w:val="20"/>
        </w:rPr>
        <w:t xml:space="preserve"> undertaken to support better communications and build effective relationships. The participation process for the projects is inclusive. All stakeholders </w:t>
      </w:r>
      <w:proofErr w:type="gramStart"/>
      <w:r w:rsidRPr="00CA49E1">
        <w:rPr>
          <w:rFonts w:asciiTheme="minorHAnsi" w:hAnsiTheme="minorHAnsi" w:cstheme="minorHAnsi"/>
          <w:color w:val="auto"/>
          <w:sz w:val="20"/>
          <w:szCs w:val="20"/>
        </w:rPr>
        <w:t>at all times</w:t>
      </w:r>
      <w:proofErr w:type="gramEnd"/>
      <w:r w:rsidRPr="00CA49E1">
        <w:rPr>
          <w:rFonts w:asciiTheme="minorHAnsi" w:hAnsiTheme="minorHAnsi" w:cstheme="minorHAnsi"/>
          <w:color w:val="auto"/>
          <w:sz w:val="20"/>
          <w:szCs w:val="20"/>
        </w:rPr>
        <w:t xml:space="preserve"> encouraged to be involved in the consultation process. Equal access to information is provided to all stakeholders. Sensitivity to stakeholders’ needs is the key principle underlying the selection of engagement methods. Special attention is given to vulnerable groups, </w:t>
      </w:r>
      <w:proofErr w:type="gramStart"/>
      <w:r w:rsidRPr="00CA49E1">
        <w:rPr>
          <w:rFonts w:asciiTheme="minorHAnsi" w:hAnsiTheme="minorHAnsi" w:cstheme="minorHAnsi"/>
          <w:color w:val="auto"/>
          <w:sz w:val="20"/>
          <w:szCs w:val="20"/>
        </w:rPr>
        <w:t>in particular women</w:t>
      </w:r>
      <w:proofErr w:type="gramEnd"/>
      <w:r w:rsidRPr="00CA49E1">
        <w:rPr>
          <w:rFonts w:asciiTheme="minorHAnsi" w:hAnsiTheme="minorHAnsi" w:cstheme="minorHAnsi"/>
          <w:color w:val="auto"/>
          <w:sz w:val="20"/>
          <w:szCs w:val="20"/>
        </w:rPr>
        <w:t>, youth, elderly and the cultural sensitivities of diverse ethnic groups.</w:t>
      </w:r>
    </w:p>
    <w:p w14:paraId="78BEA7FD" w14:textId="77777777" w:rsidR="00B64D59" w:rsidRPr="00CA49E1" w:rsidRDefault="00B64D59" w:rsidP="00B64D59">
      <w:pPr>
        <w:spacing w:after="0" w:line="240" w:lineRule="auto"/>
        <w:ind w:left="0" w:firstLine="0"/>
        <w:rPr>
          <w:rFonts w:cstheme="minorHAnsi"/>
          <w:sz w:val="20"/>
          <w:szCs w:val="20"/>
          <w:lang w:bidi="th-TH"/>
        </w:rPr>
      </w:pPr>
    </w:p>
    <w:p w14:paraId="453F9350" w14:textId="7A500D5B"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For the purposes of effective and tailored engagement, stakeholders of the proposed project(s) can be divided into the following core categories:</w:t>
      </w:r>
    </w:p>
    <w:p w14:paraId="6C1D54FE" w14:textId="77777777" w:rsidR="00CC497A" w:rsidRPr="00CA49E1" w:rsidRDefault="00CC497A" w:rsidP="00B64D59">
      <w:pPr>
        <w:spacing w:after="0" w:line="240" w:lineRule="auto"/>
        <w:ind w:left="0" w:firstLine="0"/>
        <w:rPr>
          <w:rFonts w:asciiTheme="minorHAnsi" w:hAnsiTheme="minorHAnsi" w:cstheme="minorHAnsi"/>
          <w:color w:val="auto"/>
          <w:sz w:val="20"/>
          <w:szCs w:val="20"/>
          <w:lang w:bidi="th-TH"/>
        </w:rPr>
      </w:pPr>
    </w:p>
    <w:p w14:paraId="33034E63" w14:textId="77777777"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color w:val="auto"/>
          <w:sz w:val="20"/>
          <w:szCs w:val="20"/>
        </w:rPr>
      </w:pPr>
      <w:r w:rsidRPr="006E2042">
        <w:rPr>
          <w:rFonts w:asciiTheme="minorHAnsi" w:hAnsiTheme="minorHAnsi" w:cstheme="minorHAnsi"/>
          <w:b/>
          <w:bCs/>
          <w:i/>
          <w:color w:val="auto"/>
          <w:sz w:val="20"/>
          <w:szCs w:val="20"/>
        </w:rPr>
        <w:t>Affected Parties</w:t>
      </w:r>
      <w:r w:rsidRPr="00CA49E1">
        <w:rPr>
          <w:rFonts w:asciiTheme="minorHAnsi" w:hAnsiTheme="minorHAnsi" w:cstheme="minorHAnsi"/>
          <w:color w:val="auto"/>
          <w:sz w:val="20"/>
          <w:szCs w:val="20"/>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0E2FC24" w14:textId="77777777"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color w:val="auto"/>
          <w:sz w:val="20"/>
          <w:szCs w:val="20"/>
        </w:rPr>
      </w:pPr>
      <w:r w:rsidRPr="006E2042">
        <w:rPr>
          <w:rFonts w:asciiTheme="minorHAnsi" w:hAnsiTheme="minorHAnsi" w:cstheme="minorHAnsi"/>
          <w:b/>
          <w:i/>
          <w:color w:val="auto"/>
          <w:sz w:val="20"/>
          <w:szCs w:val="20"/>
        </w:rPr>
        <w:t>Other Interested Parties</w:t>
      </w:r>
      <w:r w:rsidRPr="00CA49E1">
        <w:rPr>
          <w:rFonts w:asciiTheme="minorHAnsi" w:hAnsiTheme="minorHAnsi" w:cstheme="minorHAnsi"/>
          <w:color w:val="auto"/>
          <w:sz w:val="20"/>
          <w:szCs w:val="20"/>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3EEFB231" w14:textId="77777777" w:rsidR="00B64D59" w:rsidRPr="00CA49E1" w:rsidRDefault="00B64D59" w:rsidP="00B64D59">
      <w:pPr>
        <w:numPr>
          <w:ilvl w:val="0"/>
          <w:numId w:val="12"/>
        </w:numPr>
        <w:spacing w:after="0" w:line="240" w:lineRule="auto"/>
        <w:ind w:left="180" w:hanging="180"/>
        <w:contextualSpacing/>
        <w:jc w:val="left"/>
        <w:rPr>
          <w:rFonts w:asciiTheme="minorHAnsi" w:hAnsiTheme="minorHAnsi" w:cstheme="minorHAnsi"/>
          <w:sz w:val="20"/>
          <w:szCs w:val="20"/>
        </w:rPr>
      </w:pPr>
      <w:r w:rsidRPr="006E2042">
        <w:rPr>
          <w:rFonts w:asciiTheme="minorHAnsi" w:hAnsiTheme="minorHAnsi" w:cstheme="minorHAnsi"/>
          <w:b/>
          <w:i/>
          <w:color w:val="auto"/>
          <w:sz w:val="20"/>
          <w:szCs w:val="20"/>
        </w:rPr>
        <w:t>Vulnerable Groups</w:t>
      </w:r>
      <w:r w:rsidRPr="00CA49E1">
        <w:rPr>
          <w:rFonts w:asciiTheme="minorHAnsi" w:hAnsiTheme="minorHAnsi" w:cstheme="minorHAnsi"/>
          <w:sz w:val="20"/>
          <w:szCs w:val="20"/>
          <w:lang w:bidi="th-TH"/>
        </w:rPr>
        <w:t xml:space="preserve"> – persons who may be disproportionately impacted or further disadvantaged by the project(s) as compared with any other groups due to their vulnerable</w:t>
      </w:r>
      <w:r w:rsidRPr="00CA49E1">
        <w:rPr>
          <w:rFonts w:asciiTheme="minorHAnsi" w:hAnsiTheme="minorHAnsi" w:cstheme="minorHAnsi"/>
          <w:sz w:val="20"/>
          <w:szCs w:val="20"/>
        </w:rPr>
        <w:t xml:space="preserve"> status</w:t>
      </w:r>
      <w:r w:rsidRPr="00CA49E1">
        <w:rPr>
          <w:rFonts w:asciiTheme="minorHAnsi" w:hAnsiTheme="minorHAnsi" w:cstheme="minorHAnsi"/>
          <w:sz w:val="20"/>
          <w:szCs w:val="20"/>
          <w:vertAlign w:val="superscript"/>
        </w:rPr>
        <w:footnoteReference w:id="1"/>
      </w:r>
      <w:r w:rsidRPr="00CA49E1">
        <w:rPr>
          <w:rFonts w:asciiTheme="minorHAnsi" w:hAnsiTheme="minorHAnsi" w:cstheme="minorHAnsi"/>
          <w:sz w:val="20"/>
          <w:szCs w:val="20"/>
          <w:vertAlign w:val="superscript"/>
        </w:rPr>
        <w:t>,</w:t>
      </w:r>
      <w:r w:rsidRPr="00CA49E1">
        <w:rPr>
          <w:rFonts w:asciiTheme="minorHAnsi" w:hAnsiTheme="minorHAnsi" w:cstheme="minorHAnsi"/>
          <w:sz w:val="20"/>
          <w:szCs w:val="20"/>
        </w:rPr>
        <w:t xml:space="preserve"> and that may require special engagement efforts to ensure their equal representation in the consultation and decision-making process associated with the project.</w:t>
      </w:r>
    </w:p>
    <w:p w14:paraId="24F1F2AE" w14:textId="77777777" w:rsidR="00CA7E8B" w:rsidRDefault="00CA7E8B" w:rsidP="00CA7E8B"/>
    <w:p w14:paraId="0C93D5B9" w14:textId="433D6253" w:rsidR="00B64D59" w:rsidRPr="00B552B2" w:rsidRDefault="00B64D59" w:rsidP="00B64D59">
      <w:pPr>
        <w:pStyle w:val="Heading3"/>
        <w:ind w:left="701"/>
      </w:pPr>
      <w:r w:rsidRPr="00B552B2">
        <w:t>2.2. Affected parties</w:t>
      </w:r>
    </w:p>
    <w:p w14:paraId="425414E7" w14:textId="77777777" w:rsidR="00CC497A" w:rsidRDefault="00B64D59" w:rsidP="00B64D59">
      <w:pPr>
        <w:spacing w:after="231"/>
        <w:ind w:right="49"/>
        <w:rPr>
          <w:rFonts w:asciiTheme="minorHAnsi" w:hAnsiTheme="minorHAnsi" w:cstheme="minorHAnsi"/>
          <w:color w:val="auto"/>
          <w:sz w:val="20"/>
          <w:szCs w:val="20"/>
          <w:lang w:bidi="th-TH"/>
        </w:rPr>
      </w:pPr>
      <w:r w:rsidRPr="00CA06A3">
        <w:rPr>
          <w:color w:val="auto"/>
          <w:sz w:val="20"/>
          <w:szCs w:val="20"/>
        </w:rPr>
        <w:t>Af</w:t>
      </w:r>
      <w:r w:rsidRPr="00CA49E1">
        <w:rPr>
          <w:rFonts w:asciiTheme="minorHAnsi" w:hAnsiTheme="minorHAnsi" w:cstheme="minorHAnsi"/>
          <w:color w:val="auto"/>
          <w:sz w:val="20"/>
          <w:szCs w:val="20"/>
          <w:lang w:bidi="th-TH"/>
        </w:rPr>
        <w:t>fected Parties include local communities, community members and other parties that may be subject to direct impacts from the Project. Specifically, the following individuals and groups fall within this category:</w:t>
      </w:r>
    </w:p>
    <w:p w14:paraId="22F1C1EF" w14:textId="0D4D08A3"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COVID19 infected people</w:t>
      </w:r>
      <w:r w:rsidR="00C230FB">
        <w:rPr>
          <w:rFonts w:eastAsia="Times New Roman"/>
          <w:sz w:val="20"/>
          <w:szCs w:val="20"/>
        </w:rPr>
        <w:t xml:space="preserve"> (currently none identified in RMI)</w:t>
      </w:r>
    </w:p>
    <w:p w14:paraId="2FA9C4E4" w14:textId="77777777"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 xml:space="preserve">Communities (i.e. religions, race, gender) of COVID19 infected people </w:t>
      </w:r>
    </w:p>
    <w:p w14:paraId="74338565" w14:textId="77777777"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Family members of COVID19 infected people</w:t>
      </w:r>
    </w:p>
    <w:p w14:paraId="1E4695E9" w14:textId="2E35B40C"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Neighboring communities to laboratories, heath facilities and screening posts</w:t>
      </w:r>
    </w:p>
    <w:p w14:paraId="14F1D9CC" w14:textId="2E2A7776"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Workers at construction sites of laboratories, health facilities and screening posts</w:t>
      </w:r>
    </w:p>
    <w:p w14:paraId="1D3D2BE5" w14:textId="77777777"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People at COVID19 risks (travelers, inhabitants of areas where cases have been identified, etc.)</w:t>
      </w:r>
    </w:p>
    <w:p w14:paraId="4EC9C04A" w14:textId="77777777"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Public Health Workers</w:t>
      </w:r>
    </w:p>
    <w:p w14:paraId="2CE2B764" w14:textId="77777777" w:rsidR="00363F4A" w:rsidRPr="00B26FD4" w:rsidRDefault="00363F4A" w:rsidP="001918F1">
      <w:pPr>
        <w:pStyle w:val="ListParagraph"/>
        <w:widowControl w:val="0"/>
        <w:numPr>
          <w:ilvl w:val="0"/>
          <w:numId w:val="21"/>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Municipal waste collection and disposal workers</w:t>
      </w:r>
    </w:p>
    <w:p w14:paraId="276EC064" w14:textId="773CC394" w:rsidR="00CC497A" w:rsidRDefault="00CC497A" w:rsidP="001918F1">
      <w:pPr>
        <w:pStyle w:val="ListParagraph"/>
        <w:numPr>
          <w:ilvl w:val="0"/>
          <w:numId w:val="21"/>
        </w:numPr>
        <w:spacing w:after="0"/>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MOH</w:t>
      </w:r>
      <w:r w:rsidR="001A75A6">
        <w:rPr>
          <w:rFonts w:asciiTheme="minorHAnsi" w:hAnsiTheme="minorHAnsi" w:cstheme="minorHAnsi"/>
          <w:color w:val="auto"/>
          <w:sz w:val="20"/>
          <w:szCs w:val="20"/>
          <w:lang w:bidi="th-TH"/>
        </w:rPr>
        <w:t>H</w:t>
      </w:r>
      <w:r>
        <w:rPr>
          <w:rFonts w:asciiTheme="minorHAnsi" w:hAnsiTheme="minorHAnsi" w:cstheme="minorHAnsi"/>
          <w:color w:val="auto"/>
          <w:sz w:val="20"/>
          <w:szCs w:val="20"/>
          <w:lang w:bidi="th-TH"/>
        </w:rPr>
        <w:t>S staff responsible for implementing project activities</w:t>
      </w:r>
    </w:p>
    <w:p w14:paraId="4DCD26D3" w14:textId="5159C032" w:rsidR="00CC497A" w:rsidRDefault="00CC497A" w:rsidP="001918F1">
      <w:pPr>
        <w:pStyle w:val="ListParagraph"/>
        <w:numPr>
          <w:ilvl w:val="0"/>
          <w:numId w:val="21"/>
        </w:numPr>
        <w:spacing w:after="0"/>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Local government administrations</w:t>
      </w:r>
    </w:p>
    <w:p w14:paraId="7B2F1766" w14:textId="77777777" w:rsidR="00C230FB" w:rsidRPr="00CC497A" w:rsidRDefault="00C230FB" w:rsidP="00C230FB">
      <w:pPr>
        <w:pStyle w:val="ListParagraph"/>
        <w:spacing w:after="0"/>
        <w:ind w:left="770" w:firstLine="0"/>
        <w:rPr>
          <w:rFonts w:asciiTheme="minorHAnsi" w:hAnsiTheme="minorHAnsi" w:cstheme="minorHAnsi"/>
          <w:color w:val="auto"/>
          <w:sz w:val="20"/>
          <w:szCs w:val="20"/>
          <w:lang w:bidi="th-TH"/>
        </w:rPr>
      </w:pPr>
    </w:p>
    <w:p w14:paraId="6AB56746" w14:textId="6A15E130" w:rsidR="00B64D59" w:rsidRPr="00225E82" w:rsidRDefault="00B64D59" w:rsidP="00B64D59">
      <w:pPr>
        <w:spacing w:after="231"/>
        <w:ind w:right="49" w:firstLine="710"/>
        <w:rPr>
          <w:color w:val="538135" w:themeColor="accent6" w:themeShade="BF"/>
        </w:rPr>
      </w:pPr>
      <w:r w:rsidRPr="00225E82">
        <w:rPr>
          <w:color w:val="538135" w:themeColor="accent6" w:themeShade="BF"/>
        </w:rPr>
        <w:t>2.3. Other interested parties</w:t>
      </w:r>
    </w:p>
    <w:p w14:paraId="11483CED" w14:textId="77777777" w:rsidR="00CC497A"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The projects’ stakeholders also include parties other than the directly affected communities, including: </w:t>
      </w:r>
    </w:p>
    <w:p w14:paraId="50D64D6A" w14:textId="77777777" w:rsidR="00CC497A" w:rsidRDefault="00CC497A" w:rsidP="00B64D59">
      <w:pPr>
        <w:spacing w:after="0" w:line="240" w:lineRule="auto"/>
        <w:ind w:left="0" w:firstLine="0"/>
        <w:rPr>
          <w:rFonts w:asciiTheme="minorHAnsi" w:hAnsiTheme="minorHAnsi" w:cstheme="minorHAnsi"/>
          <w:color w:val="auto"/>
          <w:sz w:val="20"/>
          <w:szCs w:val="20"/>
          <w:lang w:bidi="th-TH"/>
        </w:rPr>
      </w:pPr>
    </w:p>
    <w:p w14:paraId="5BB31BD0" w14:textId="129B1B9C" w:rsidR="00CC497A" w:rsidRDefault="00CC497A" w:rsidP="00CC497A">
      <w:pPr>
        <w:pStyle w:val="ListParagraph"/>
        <w:numPr>
          <w:ilvl w:val="0"/>
          <w:numId w:val="22"/>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Donors, CSOs who may be actively working in public health and/or service provision</w:t>
      </w:r>
    </w:p>
    <w:p w14:paraId="637EECF6" w14:textId="766DB588" w:rsidR="00CC497A" w:rsidRDefault="00CC497A" w:rsidP="00CC497A">
      <w:pPr>
        <w:pStyle w:val="ListParagraph"/>
        <w:numPr>
          <w:ilvl w:val="0"/>
          <w:numId w:val="22"/>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The media such as newspapers, radio, television and social media outlets</w:t>
      </w:r>
    </w:p>
    <w:p w14:paraId="07976903" w14:textId="28E7C92C" w:rsidR="00CC497A" w:rsidRDefault="00CC497A" w:rsidP="00FA1739">
      <w:pPr>
        <w:pStyle w:val="ListParagraph"/>
        <w:numPr>
          <w:ilvl w:val="0"/>
          <w:numId w:val="22"/>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Local government administrations concerned about economic or development impacts of coronavirus outbreak</w:t>
      </w:r>
    </w:p>
    <w:p w14:paraId="5F1D6B6F" w14:textId="58C5F1BD" w:rsidR="00CC497A" w:rsidRDefault="00CC497A" w:rsidP="00FA1739">
      <w:pPr>
        <w:pStyle w:val="ListParagraph"/>
        <w:numPr>
          <w:ilvl w:val="0"/>
          <w:numId w:val="22"/>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Civil society groups working on local development or economic impacts of coronavirus</w:t>
      </w:r>
    </w:p>
    <w:p w14:paraId="6BF1A957" w14:textId="77777777" w:rsidR="00D92822" w:rsidRPr="00B26FD4" w:rsidRDefault="00D92822" w:rsidP="00FA1739">
      <w:pPr>
        <w:pStyle w:val="ListParagraph"/>
        <w:widowControl w:val="0"/>
        <w:numPr>
          <w:ilvl w:val="0"/>
          <w:numId w:val="22"/>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Other International non-governmental organizations (NGOs)</w:t>
      </w:r>
    </w:p>
    <w:p w14:paraId="667599F1" w14:textId="77777777" w:rsidR="00FA1739" w:rsidRPr="00B26FD4" w:rsidRDefault="00FA1739" w:rsidP="00FA1739">
      <w:pPr>
        <w:pStyle w:val="ListParagraph"/>
        <w:widowControl w:val="0"/>
        <w:numPr>
          <w:ilvl w:val="0"/>
          <w:numId w:val="22"/>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Businesses with international links</w:t>
      </w:r>
    </w:p>
    <w:p w14:paraId="753F4B6F" w14:textId="77777777" w:rsidR="00AE4978" w:rsidRPr="00B26FD4" w:rsidRDefault="00AE4978" w:rsidP="00FA1739">
      <w:pPr>
        <w:pStyle w:val="ListParagraph"/>
        <w:numPr>
          <w:ilvl w:val="0"/>
          <w:numId w:val="22"/>
        </w:numPr>
        <w:spacing w:after="0" w:line="240" w:lineRule="auto"/>
        <w:rPr>
          <w:rFonts w:eastAsia="Times New Roman"/>
          <w:sz w:val="20"/>
          <w:szCs w:val="20"/>
        </w:rPr>
      </w:pPr>
      <w:r w:rsidRPr="00AE4978">
        <w:rPr>
          <w:rFonts w:asciiTheme="minorHAnsi" w:hAnsiTheme="minorHAnsi" w:cstheme="minorHAnsi"/>
          <w:color w:val="auto"/>
          <w:sz w:val="20"/>
          <w:szCs w:val="20"/>
          <w:lang w:bidi="th-TH"/>
        </w:rPr>
        <w:t>The</w:t>
      </w:r>
      <w:r w:rsidRPr="00B26FD4">
        <w:rPr>
          <w:rFonts w:eastAsia="Times New Roman"/>
          <w:sz w:val="20"/>
          <w:szCs w:val="20"/>
        </w:rPr>
        <w:t xml:space="preserve"> public at large</w:t>
      </w:r>
    </w:p>
    <w:p w14:paraId="7D47256F" w14:textId="77777777" w:rsidR="00B64D59" w:rsidRPr="00CA49E1" w:rsidRDefault="00B64D59" w:rsidP="00B64D59">
      <w:pPr>
        <w:spacing w:after="0" w:line="240" w:lineRule="auto"/>
        <w:ind w:left="0" w:firstLine="0"/>
        <w:rPr>
          <w:rFonts w:asciiTheme="minorHAnsi" w:hAnsiTheme="minorHAnsi" w:cstheme="minorHAnsi"/>
          <w:color w:val="auto"/>
          <w:sz w:val="20"/>
          <w:szCs w:val="20"/>
          <w:lang w:bidi="th-TH"/>
        </w:rPr>
      </w:pPr>
    </w:p>
    <w:p w14:paraId="2D74163A" w14:textId="3E1AE8A5" w:rsidR="00B64D59" w:rsidRPr="00B552B2" w:rsidRDefault="00B64D59" w:rsidP="00B64D59">
      <w:pPr>
        <w:pStyle w:val="Heading3"/>
        <w:ind w:left="701"/>
      </w:pPr>
      <w:r w:rsidRPr="00B552B2">
        <w:t>2.4. Disadvantaged / vulnerable individuals or groups</w:t>
      </w:r>
    </w:p>
    <w:p w14:paraId="59856F22" w14:textId="2C293269" w:rsidR="00B64D59" w:rsidRPr="00CA49E1" w:rsidRDefault="00B64D59" w:rsidP="00B64D59">
      <w:pPr>
        <w:spacing w:after="0" w:line="240" w:lineRule="auto"/>
        <w:rPr>
          <w:rFonts w:cstheme="minorHAnsi"/>
          <w:sz w:val="20"/>
          <w:szCs w:val="20"/>
          <w:lang w:bidi="th-TH"/>
        </w:rPr>
      </w:pPr>
      <w:r w:rsidRPr="00CA49E1">
        <w:rPr>
          <w:rFonts w:cstheme="minorHAnsi"/>
          <w:color w:val="auto"/>
          <w:sz w:val="20"/>
          <w:szCs w:val="20"/>
          <w:lang w:bidi="th-TH"/>
        </w:rPr>
        <w:t xml:space="preserve">It </w:t>
      </w:r>
      <w:r w:rsidRPr="00CA49E1">
        <w:rPr>
          <w:color w:val="auto"/>
          <w:sz w:val="20"/>
          <w:szCs w:val="20"/>
        </w:rPr>
        <w:t>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w:t>
      </w:r>
      <w:r>
        <w:rPr>
          <w:color w:val="FFFFFF" w:themeColor="background1"/>
          <w:sz w:val="20"/>
          <w:szCs w:val="20"/>
        </w:rPr>
        <w:t xml:space="preserve"> </w:t>
      </w:r>
      <w:r w:rsidRPr="00CA49E1">
        <w:rPr>
          <w:rFonts w:cstheme="minorHAnsi"/>
          <w:sz w:val="20"/>
          <w:szCs w:val="20"/>
          <w:lang w:bidi="th-TH"/>
        </w:rPr>
        <w:t xml:space="preserve">The vulnerability may stem from </w:t>
      </w:r>
      <w:r w:rsidR="00F13078">
        <w:rPr>
          <w:rFonts w:cstheme="minorHAnsi"/>
          <w:sz w:val="20"/>
          <w:szCs w:val="20"/>
          <w:lang w:bidi="th-TH"/>
        </w:rPr>
        <w:t xml:space="preserve">a </w:t>
      </w:r>
      <w:r w:rsidRPr="00CA49E1">
        <w:rPr>
          <w:rFonts w:cstheme="minorHAnsi"/>
          <w:sz w:val="20"/>
          <w:szCs w:val="20"/>
          <w:lang w:bidi="th-TH"/>
        </w:rPr>
        <w:t xml:space="preserve">person’s origin, gender, age, </w:t>
      </w:r>
      <w:r w:rsidRPr="00CA49E1">
        <w:rPr>
          <w:rFonts w:cstheme="minorHAnsi"/>
          <w:sz w:val="20"/>
          <w:szCs w:val="20"/>
          <w:lang w:bidi="th-TH"/>
        </w:rPr>
        <w:lastRenderedPageBreak/>
        <w:t>health condition, economic deficiency and financial insecurity, disadvantaged status in the community (e.g. minorities or fringe groups), dependence on other individuals or natural resources, etc.</w:t>
      </w:r>
      <w:r>
        <w:rPr>
          <w:rFonts w:cstheme="minorHAnsi"/>
          <w:sz w:val="20"/>
          <w:szCs w:val="20"/>
          <w:lang w:bidi="th-TH"/>
        </w:rPr>
        <w:t xml:space="preserve"> </w:t>
      </w:r>
      <w:r w:rsidRPr="00CA49E1">
        <w:rPr>
          <w:rFonts w:cstheme="minorHAnsi"/>
          <w:sz w:val="20"/>
          <w:szCs w:val="20"/>
          <w:lang w:bidi="th-TH"/>
        </w:rPr>
        <w:t xml:space="preserve">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6F0550CD" w14:textId="77777777" w:rsidR="00B64D59" w:rsidRPr="00CA49E1" w:rsidRDefault="00B64D59" w:rsidP="00B64D59">
      <w:pPr>
        <w:spacing w:after="0" w:line="240" w:lineRule="auto"/>
        <w:rPr>
          <w:rFonts w:cstheme="minorHAnsi"/>
          <w:sz w:val="20"/>
          <w:szCs w:val="20"/>
          <w:lang w:bidi="th-TH"/>
        </w:rPr>
      </w:pPr>
    </w:p>
    <w:p w14:paraId="0C80818C" w14:textId="77777777" w:rsidR="008C07F2" w:rsidRDefault="00B64D59" w:rsidP="00B64D59">
      <w:pPr>
        <w:spacing w:after="0" w:line="240" w:lineRule="auto"/>
        <w:rPr>
          <w:rFonts w:cstheme="minorHAnsi"/>
          <w:sz w:val="20"/>
          <w:szCs w:val="20"/>
          <w:lang w:bidi="th-TH"/>
        </w:rPr>
      </w:pPr>
      <w:r w:rsidRPr="00CA49E1">
        <w:rPr>
          <w:rFonts w:cstheme="minorHAnsi"/>
          <w:sz w:val="20"/>
          <w:szCs w:val="20"/>
          <w:lang w:bidi="th-TH"/>
        </w:rPr>
        <w:t>Within the Project, the vulnerable or disadvantaged groups may include and are not limited to the following:</w:t>
      </w:r>
      <w:r>
        <w:rPr>
          <w:rFonts w:cstheme="minorHAnsi"/>
          <w:sz w:val="20"/>
          <w:szCs w:val="20"/>
          <w:lang w:bidi="th-TH"/>
        </w:rPr>
        <w:t xml:space="preserve"> </w:t>
      </w:r>
    </w:p>
    <w:p w14:paraId="63D0C4FC" w14:textId="11A87834" w:rsidR="008C07F2" w:rsidRDefault="008C07F2" w:rsidP="00B64D59">
      <w:pPr>
        <w:spacing w:after="0" w:line="240" w:lineRule="auto"/>
        <w:rPr>
          <w:rFonts w:cstheme="minorHAnsi"/>
          <w:sz w:val="20"/>
          <w:szCs w:val="20"/>
          <w:lang w:bidi="th-TH"/>
        </w:rPr>
      </w:pPr>
    </w:p>
    <w:p w14:paraId="071815EC" w14:textId="430D51C0" w:rsidR="008C07F2" w:rsidRDefault="008C07F2" w:rsidP="00FD7FCD">
      <w:pPr>
        <w:pStyle w:val="ListParagraph"/>
        <w:numPr>
          <w:ilvl w:val="0"/>
          <w:numId w:val="23"/>
        </w:numPr>
        <w:spacing w:after="0" w:line="240" w:lineRule="auto"/>
        <w:rPr>
          <w:rFonts w:cstheme="minorHAnsi"/>
          <w:sz w:val="20"/>
          <w:szCs w:val="20"/>
          <w:lang w:bidi="th-TH"/>
        </w:rPr>
      </w:pPr>
      <w:r>
        <w:rPr>
          <w:rFonts w:cstheme="minorHAnsi"/>
          <w:sz w:val="20"/>
          <w:szCs w:val="20"/>
          <w:lang w:bidi="th-TH"/>
        </w:rPr>
        <w:t>The elderly</w:t>
      </w:r>
    </w:p>
    <w:p w14:paraId="3A74EAB8" w14:textId="77777777" w:rsidR="00FD7FCD" w:rsidRDefault="00FD7FCD" w:rsidP="00FD7FCD">
      <w:pPr>
        <w:pStyle w:val="ListParagraph"/>
        <w:numPr>
          <w:ilvl w:val="0"/>
          <w:numId w:val="23"/>
        </w:numPr>
        <w:spacing w:after="0" w:line="240" w:lineRule="auto"/>
        <w:rPr>
          <w:rFonts w:cstheme="minorHAnsi"/>
          <w:sz w:val="20"/>
          <w:szCs w:val="20"/>
          <w:lang w:bidi="th-TH"/>
        </w:rPr>
      </w:pPr>
      <w:r>
        <w:rPr>
          <w:rFonts w:cstheme="minorHAnsi"/>
          <w:sz w:val="20"/>
          <w:szCs w:val="20"/>
          <w:lang w:bidi="th-TH"/>
        </w:rPr>
        <w:t>Individuals with pre-existing medical conditions such as pulmonary or heart disease, diabetes, people with comprised immune systems, cancer patients, among others</w:t>
      </w:r>
    </w:p>
    <w:p w14:paraId="07B43CDA" w14:textId="77777777" w:rsidR="00FD7FCD" w:rsidRDefault="00FD7FCD" w:rsidP="00FD7FCD">
      <w:pPr>
        <w:pStyle w:val="ListParagraph"/>
        <w:numPr>
          <w:ilvl w:val="0"/>
          <w:numId w:val="23"/>
        </w:numPr>
        <w:spacing w:after="0" w:line="240" w:lineRule="auto"/>
        <w:rPr>
          <w:rFonts w:cstheme="minorHAnsi"/>
          <w:sz w:val="20"/>
          <w:szCs w:val="20"/>
          <w:lang w:bidi="th-TH"/>
        </w:rPr>
      </w:pPr>
      <w:r>
        <w:rPr>
          <w:rFonts w:cstheme="minorHAnsi"/>
          <w:sz w:val="20"/>
          <w:szCs w:val="20"/>
          <w:lang w:bidi="th-TH"/>
        </w:rPr>
        <w:t>Mentally or physically disabled</w:t>
      </w:r>
    </w:p>
    <w:p w14:paraId="0F771608" w14:textId="77777777" w:rsidR="00F851CB" w:rsidRPr="00B26FD4" w:rsidRDefault="00F851CB" w:rsidP="00FD7FCD">
      <w:pPr>
        <w:pStyle w:val="ListParagraph"/>
        <w:widowControl w:val="0"/>
        <w:numPr>
          <w:ilvl w:val="0"/>
          <w:numId w:val="23"/>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 xml:space="preserve">Illiterate people </w:t>
      </w:r>
    </w:p>
    <w:p w14:paraId="4B1963D8" w14:textId="4B1DB671" w:rsidR="00FD7FCD" w:rsidRDefault="00F13078" w:rsidP="00FD7FCD">
      <w:pPr>
        <w:pStyle w:val="ListParagraph"/>
        <w:numPr>
          <w:ilvl w:val="0"/>
          <w:numId w:val="23"/>
        </w:numPr>
        <w:spacing w:after="0" w:line="240" w:lineRule="auto"/>
        <w:rPr>
          <w:rFonts w:cstheme="minorHAnsi"/>
          <w:sz w:val="20"/>
          <w:szCs w:val="20"/>
          <w:lang w:bidi="th-TH"/>
        </w:rPr>
      </w:pPr>
      <w:r>
        <w:rPr>
          <w:rFonts w:cstheme="minorHAnsi"/>
          <w:sz w:val="20"/>
          <w:szCs w:val="20"/>
          <w:lang w:bidi="th-TH"/>
        </w:rPr>
        <w:t xml:space="preserve">Female </w:t>
      </w:r>
      <w:r w:rsidR="00FD7FCD">
        <w:rPr>
          <w:rFonts w:cstheme="minorHAnsi"/>
          <w:sz w:val="20"/>
          <w:szCs w:val="20"/>
          <w:lang w:bidi="th-TH"/>
        </w:rPr>
        <w:t>head of households</w:t>
      </w:r>
    </w:p>
    <w:p w14:paraId="17EED3F4" w14:textId="1206C1F7" w:rsidR="00FD7FCD" w:rsidRPr="008C07F2" w:rsidRDefault="00772D7F" w:rsidP="00E809EC">
      <w:pPr>
        <w:pStyle w:val="ListParagraph"/>
        <w:numPr>
          <w:ilvl w:val="0"/>
          <w:numId w:val="23"/>
        </w:numPr>
        <w:spacing w:after="0" w:line="240" w:lineRule="auto"/>
        <w:rPr>
          <w:rFonts w:cstheme="minorHAnsi"/>
          <w:sz w:val="20"/>
          <w:szCs w:val="20"/>
          <w:lang w:bidi="th-TH"/>
        </w:rPr>
      </w:pPr>
      <w:r>
        <w:rPr>
          <w:rFonts w:cstheme="minorHAnsi"/>
          <w:sz w:val="20"/>
          <w:szCs w:val="20"/>
          <w:lang w:bidi="th-TH"/>
        </w:rPr>
        <w:t>Victims or potential victims of Gender Based Violence</w:t>
      </w:r>
      <w:r w:rsidR="00E809EC">
        <w:rPr>
          <w:rFonts w:cstheme="minorHAnsi"/>
          <w:sz w:val="20"/>
          <w:szCs w:val="20"/>
          <w:lang w:bidi="th-TH"/>
        </w:rPr>
        <w:t xml:space="preserve"> (GBV), </w:t>
      </w:r>
      <w:r w:rsidR="00E809EC" w:rsidRPr="00E809EC">
        <w:rPr>
          <w:rFonts w:cstheme="minorHAnsi"/>
          <w:sz w:val="20"/>
          <w:szCs w:val="20"/>
          <w:lang w:bidi="th-TH"/>
        </w:rPr>
        <w:t>Sexual Exploitation, Abuse and Harassment</w:t>
      </w:r>
      <w:r w:rsidR="00E809EC">
        <w:rPr>
          <w:rFonts w:cstheme="minorHAnsi"/>
          <w:sz w:val="20"/>
          <w:szCs w:val="20"/>
          <w:lang w:bidi="th-TH"/>
        </w:rPr>
        <w:t xml:space="preserve"> (</w:t>
      </w:r>
      <w:r w:rsidR="00250A3C">
        <w:rPr>
          <w:rFonts w:cstheme="minorHAnsi"/>
          <w:sz w:val="20"/>
          <w:szCs w:val="20"/>
          <w:lang w:bidi="th-TH"/>
        </w:rPr>
        <w:t>SEA</w:t>
      </w:r>
      <w:r w:rsidR="00F13078">
        <w:rPr>
          <w:rFonts w:cstheme="minorHAnsi"/>
          <w:sz w:val="20"/>
          <w:szCs w:val="20"/>
          <w:lang w:bidi="th-TH"/>
        </w:rPr>
        <w:t>/S</w:t>
      </w:r>
      <w:r w:rsidR="00250A3C">
        <w:rPr>
          <w:rFonts w:cstheme="minorHAnsi"/>
          <w:sz w:val="20"/>
          <w:szCs w:val="20"/>
          <w:lang w:bidi="th-TH"/>
        </w:rPr>
        <w:t>H</w:t>
      </w:r>
      <w:r w:rsidR="00E809EC">
        <w:rPr>
          <w:rFonts w:cstheme="minorHAnsi"/>
          <w:sz w:val="20"/>
          <w:szCs w:val="20"/>
          <w:lang w:bidi="th-TH"/>
        </w:rPr>
        <w:t>)</w:t>
      </w:r>
      <w:r w:rsidR="00E809EC" w:rsidRPr="00E809EC">
        <w:rPr>
          <w:rFonts w:cstheme="minorHAnsi"/>
          <w:sz w:val="20"/>
          <w:szCs w:val="20"/>
          <w:lang w:bidi="th-TH"/>
        </w:rPr>
        <w:t xml:space="preserve"> </w:t>
      </w:r>
      <w:r>
        <w:rPr>
          <w:rFonts w:cstheme="minorHAnsi"/>
          <w:sz w:val="20"/>
          <w:szCs w:val="20"/>
          <w:lang w:bidi="th-TH"/>
        </w:rPr>
        <w:t xml:space="preserve"> </w:t>
      </w:r>
    </w:p>
    <w:p w14:paraId="5084E3F7" w14:textId="77777777" w:rsidR="00FD7FCD" w:rsidRPr="00B26FD4" w:rsidRDefault="00FD7FCD" w:rsidP="00FD7FCD">
      <w:pPr>
        <w:pStyle w:val="ListParagraph"/>
        <w:widowControl w:val="0"/>
        <w:numPr>
          <w:ilvl w:val="0"/>
          <w:numId w:val="23"/>
        </w:numPr>
        <w:tabs>
          <w:tab w:val="left" w:pos="450"/>
        </w:tabs>
        <w:autoSpaceDE w:val="0"/>
        <w:autoSpaceDN w:val="0"/>
        <w:adjustRightInd w:val="0"/>
        <w:spacing w:after="0" w:line="240" w:lineRule="auto"/>
        <w:contextualSpacing w:val="0"/>
        <w:rPr>
          <w:rFonts w:eastAsia="Times New Roman"/>
          <w:sz w:val="20"/>
          <w:szCs w:val="20"/>
        </w:rPr>
      </w:pPr>
      <w:r w:rsidRPr="00B26FD4">
        <w:rPr>
          <w:rFonts w:eastAsia="Times New Roman"/>
          <w:sz w:val="20"/>
          <w:szCs w:val="20"/>
        </w:rPr>
        <w:t>Vulnerable groups working in informal economy</w:t>
      </w:r>
    </w:p>
    <w:p w14:paraId="1A71A6CF" w14:textId="70392928" w:rsidR="008C07F2" w:rsidRDefault="008C07F2" w:rsidP="00FD7FCD">
      <w:pPr>
        <w:pStyle w:val="ListParagraph"/>
        <w:numPr>
          <w:ilvl w:val="0"/>
          <w:numId w:val="23"/>
        </w:numPr>
        <w:spacing w:after="0" w:line="240" w:lineRule="auto"/>
        <w:rPr>
          <w:rFonts w:cstheme="minorHAnsi"/>
          <w:sz w:val="20"/>
          <w:szCs w:val="20"/>
          <w:lang w:bidi="th-TH"/>
        </w:rPr>
      </w:pPr>
      <w:r>
        <w:rPr>
          <w:rFonts w:cstheme="minorHAnsi"/>
          <w:sz w:val="20"/>
          <w:szCs w:val="20"/>
          <w:lang w:bidi="th-TH"/>
        </w:rPr>
        <w:t>People living in remote geographic areas with limited health services or access to information</w:t>
      </w:r>
    </w:p>
    <w:p w14:paraId="362D406C" w14:textId="77777777" w:rsidR="00FD7FCD" w:rsidRDefault="00FD7FCD" w:rsidP="00FD7FCD">
      <w:pPr>
        <w:pStyle w:val="ListParagraph"/>
        <w:spacing w:after="0" w:line="240" w:lineRule="auto"/>
        <w:ind w:firstLine="0"/>
        <w:rPr>
          <w:rFonts w:cstheme="minorHAnsi"/>
          <w:sz w:val="20"/>
          <w:szCs w:val="20"/>
          <w:lang w:bidi="th-TH"/>
        </w:rPr>
      </w:pPr>
    </w:p>
    <w:p w14:paraId="39F9C66E" w14:textId="498CD7AF" w:rsidR="00B64D59" w:rsidRDefault="00B64D59" w:rsidP="00B64D59">
      <w:pPr>
        <w:spacing w:after="0" w:line="240" w:lineRule="auto"/>
        <w:rPr>
          <w:rFonts w:cstheme="minorHAnsi"/>
          <w:sz w:val="20"/>
          <w:szCs w:val="20"/>
          <w:lang w:bidi="th-TH"/>
        </w:rPr>
      </w:pPr>
      <w:r w:rsidRPr="00CA49E1">
        <w:rPr>
          <w:rFonts w:cstheme="minorHAnsi"/>
          <w:sz w:val="20"/>
          <w:szCs w:val="20"/>
          <w:lang w:bidi="th-TH"/>
        </w:rPr>
        <w:t xml:space="preserve">Vulnerable groups within the communities affected by the </w:t>
      </w:r>
      <w:r w:rsidR="00F13078">
        <w:rPr>
          <w:rFonts w:cstheme="minorHAnsi"/>
          <w:sz w:val="20"/>
          <w:szCs w:val="20"/>
          <w:lang w:bidi="th-TH"/>
        </w:rPr>
        <w:t>P</w:t>
      </w:r>
      <w:r w:rsidRPr="00CA49E1">
        <w:rPr>
          <w:rFonts w:cstheme="minorHAnsi"/>
          <w:sz w:val="20"/>
          <w:szCs w:val="20"/>
          <w:lang w:bidi="th-TH"/>
        </w:rPr>
        <w:t>roject will be further confirmed and</w:t>
      </w:r>
      <w:r w:rsidR="0072645A">
        <w:rPr>
          <w:rFonts w:cstheme="minorHAnsi"/>
          <w:sz w:val="20"/>
          <w:szCs w:val="20"/>
          <w:lang w:bidi="th-TH"/>
        </w:rPr>
        <w:t xml:space="preserve"> consulted</w:t>
      </w:r>
      <w:r w:rsidRPr="00CA49E1">
        <w:rPr>
          <w:rFonts w:cstheme="minorHAnsi"/>
          <w:sz w:val="20"/>
          <w:szCs w:val="20"/>
          <w:lang w:bidi="th-TH"/>
        </w:rPr>
        <w:t xml:space="preserve"> </w:t>
      </w:r>
      <w:r w:rsidR="0072645A">
        <w:rPr>
          <w:rFonts w:cstheme="minorHAnsi"/>
          <w:sz w:val="20"/>
          <w:szCs w:val="20"/>
          <w:lang w:bidi="th-TH"/>
        </w:rPr>
        <w:t>during the update of the SEP</w:t>
      </w:r>
      <w:r w:rsidRPr="00CA49E1">
        <w:rPr>
          <w:rFonts w:cstheme="minorHAnsi"/>
          <w:sz w:val="20"/>
          <w:szCs w:val="20"/>
          <w:lang w:bidi="th-TH"/>
        </w:rPr>
        <w:t>. Description of the methods of engagement that will be undertaken by the project is provided in the following sections.</w:t>
      </w:r>
    </w:p>
    <w:p w14:paraId="5DF8FFED" w14:textId="77777777" w:rsidR="00486FDC" w:rsidRDefault="00486FDC" w:rsidP="00CA7E8B"/>
    <w:p w14:paraId="71F04CDB" w14:textId="419721D0" w:rsidR="00B64D59" w:rsidRPr="00B27E81" w:rsidRDefault="00B64D59" w:rsidP="00B64D59">
      <w:pPr>
        <w:pStyle w:val="Heading2"/>
        <w:spacing w:after="218"/>
        <w:ind w:left="-5"/>
      </w:pPr>
      <w:r w:rsidRPr="00B27E81">
        <w:t xml:space="preserve">3. Stakeholder Engagement Program </w:t>
      </w:r>
    </w:p>
    <w:p w14:paraId="2AC152CA" w14:textId="77777777" w:rsidR="00B64D59" w:rsidRPr="00B552B2" w:rsidRDefault="00B64D59" w:rsidP="00B64D59">
      <w:pPr>
        <w:pStyle w:val="Heading3"/>
        <w:spacing w:after="0" w:line="240" w:lineRule="auto"/>
        <w:ind w:left="701"/>
      </w:pPr>
      <w:r w:rsidRPr="00B552B2">
        <w:t>3.1. Summary of stakeholder engagement done during project preparation</w:t>
      </w:r>
      <w:r>
        <w:br/>
      </w:r>
    </w:p>
    <w:p w14:paraId="5DA0D6DC" w14:textId="563AF29C" w:rsidR="00E150C6" w:rsidRDefault="00E150C6" w:rsidP="00486FDC">
      <w:pPr>
        <w:spacing w:after="0" w:line="240" w:lineRule="auto"/>
        <w:rPr>
          <w:rFonts w:cstheme="minorHAnsi"/>
          <w:sz w:val="20"/>
          <w:szCs w:val="20"/>
          <w:lang w:bidi="th-TH"/>
        </w:rPr>
      </w:pPr>
      <w:r w:rsidRPr="00486FDC">
        <w:rPr>
          <w:rFonts w:cstheme="minorHAnsi"/>
          <w:sz w:val="20"/>
          <w:szCs w:val="20"/>
          <w:lang w:bidi="th-TH"/>
        </w:rPr>
        <w:t>The speed and urgency with which this project has been developed to meet the growing threat of COVID-19 in the country (combined with recently-announced government restrictions on gatherings of people) has limited the project’s ability to develop a complete SEP before this project is approved by the World Bank. This initial SEP was developed and disclosed prior to project appraisal, as the starting point of an iterative process to develop a more comprehensive stakeholder engagement strategy and plan. It will be updated periodically as necessary, with more detail provided in the first update planned after project approval</w:t>
      </w:r>
      <w:r w:rsidR="00486FDC">
        <w:rPr>
          <w:rFonts w:cstheme="minorHAnsi"/>
          <w:sz w:val="20"/>
          <w:szCs w:val="20"/>
          <w:lang w:bidi="th-TH"/>
        </w:rPr>
        <w:t>.</w:t>
      </w:r>
    </w:p>
    <w:p w14:paraId="2E7A3273" w14:textId="77777777" w:rsidR="00486FDC" w:rsidRPr="00486FDC" w:rsidRDefault="00486FDC" w:rsidP="00486FDC">
      <w:pPr>
        <w:spacing w:after="0" w:line="240" w:lineRule="auto"/>
        <w:rPr>
          <w:rFonts w:cstheme="minorHAnsi"/>
          <w:sz w:val="20"/>
          <w:szCs w:val="20"/>
          <w:lang w:bidi="th-TH"/>
        </w:rPr>
      </w:pPr>
    </w:p>
    <w:p w14:paraId="7144B097" w14:textId="51F9B1E9" w:rsidR="00B64D59" w:rsidRDefault="00B64D59" w:rsidP="00B64D59">
      <w:pPr>
        <w:pStyle w:val="Heading3"/>
        <w:spacing w:after="218"/>
        <w:ind w:left="701"/>
      </w:pPr>
      <w:r w:rsidRPr="00B552B2">
        <w:t>3.2. Summary of project stakeholder needs and methods, tools and techniques for stakeholder engagement</w:t>
      </w:r>
    </w:p>
    <w:p w14:paraId="7EF97AB6" w14:textId="08D7BC78" w:rsidR="006470FA" w:rsidRPr="00315520" w:rsidRDefault="006470FA" w:rsidP="00315520">
      <w:pPr>
        <w:spacing w:after="0" w:line="240" w:lineRule="auto"/>
        <w:rPr>
          <w:rFonts w:cstheme="minorHAnsi"/>
          <w:sz w:val="20"/>
          <w:szCs w:val="20"/>
          <w:lang w:bidi="th-TH"/>
        </w:rPr>
      </w:pPr>
      <w:r w:rsidRPr="00315520">
        <w:rPr>
          <w:rFonts w:cstheme="minorHAnsi"/>
          <w:sz w:val="20"/>
          <w:szCs w:val="20"/>
          <w:lang w:bidi="th-TH"/>
        </w:rPr>
        <w:t xml:space="preserve">The </w:t>
      </w:r>
      <w:r>
        <w:rPr>
          <w:rFonts w:cstheme="minorHAnsi"/>
          <w:sz w:val="20"/>
          <w:szCs w:val="20"/>
          <w:lang w:bidi="th-TH"/>
        </w:rPr>
        <w:t>Project</w:t>
      </w:r>
      <w:r w:rsidRPr="00315520">
        <w:rPr>
          <w:rFonts w:cstheme="minorHAnsi"/>
          <w:sz w:val="20"/>
          <w:szCs w:val="20"/>
          <w:lang w:bidi="th-TH"/>
        </w:rPr>
        <w:t xml:space="preserve"> will rely on a range of information disclosure and participation modalities. Clearly, RMI will face significant challenges in communication and outreach given the geographic spread and relative isolation of many islands. Stakeholder engagement will rely on a variety of techniques, including but not limited to, publication of project information on MOHHS facebook page https://www.facebook.com/rmimoh/, use of social media, public service announcements through radio, and posters brochures or other print materials that can be distributed at the local level.</w:t>
      </w:r>
    </w:p>
    <w:p w14:paraId="43E58FB4" w14:textId="77777777" w:rsidR="006470FA" w:rsidRPr="00315520" w:rsidRDefault="006470FA" w:rsidP="00315520">
      <w:pPr>
        <w:spacing w:after="0" w:line="240" w:lineRule="auto"/>
        <w:rPr>
          <w:rFonts w:cstheme="minorHAnsi"/>
          <w:sz w:val="20"/>
          <w:szCs w:val="20"/>
          <w:lang w:bidi="th-TH"/>
        </w:rPr>
      </w:pPr>
    </w:p>
    <w:p w14:paraId="3102C281" w14:textId="4F28E0E1" w:rsidR="005A072B" w:rsidRPr="00315520" w:rsidRDefault="006470FA" w:rsidP="00315520">
      <w:pPr>
        <w:spacing w:after="0" w:line="240" w:lineRule="auto"/>
        <w:rPr>
          <w:rFonts w:asciiTheme="minorHAnsi" w:hAnsiTheme="minorHAnsi" w:cstheme="minorHAnsi"/>
          <w:color w:val="auto"/>
          <w:sz w:val="20"/>
          <w:szCs w:val="20"/>
          <w:lang w:bidi="th-TH"/>
        </w:rPr>
      </w:pPr>
      <w:r w:rsidRPr="00315520">
        <w:rPr>
          <w:rFonts w:cstheme="minorHAnsi"/>
          <w:sz w:val="20"/>
          <w:szCs w:val="20"/>
          <w:lang w:bidi="th-TH"/>
        </w:rPr>
        <w:t>Given the high risk of community spread of coronavirus, stakeholder engagement will minimize engagement techniques which rely on public events or which might encourage close contact among individuals.  In some locations, it may be possible to organize small focus group discussions if it is possible to rigidly enforce social and physical distancing measures.</w:t>
      </w:r>
      <w:r w:rsidR="00833922">
        <w:rPr>
          <w:rFonts w:cstheme="minorHAnsi"/>
          <w:sz w:val="20"/>
          <w:szCs w:val="20"/>
          <w:lang w:bidi="th-TH"/>
        </w:rPr>
        <w:t xml:space="preserve"> </w:t>
      </w:r>
      <w:r w:rsidR="005A072B" w:rsidRPr="00315520">
        <w:rPr>
          <w:rFonts w:asciiTheme="minorHAnsi" w:hAnsiTheme="minorHAnsi" w:cstheme="minorHAnsi"/>
          <w:color w:val="auto"/>
          <w:sz w:val="20"/>
          <w:szCs w:val="20"/>
          <w:lang w:bidi="th-TH"/>
        </w:rPr>
        <w:t xml:space="preserve">The following are some considerations </w:t>
      </w:r>
      <w:r w:rsidR="00833922">
        <w:rPr>
          <w:rFonts w:asciiTheme="minorHAnsi" w:hAnsiTheme="minorHAnsi" w:cstheme="minorHAnsi"/>
          <w:color w:val="auto"/>
          <w:sz w:val="20"/>
          <w:szCs w:val="20"/>
          <w:lang w:bidi="th-TH"/>
        </w:rPr>
        <w:t>the Project will take in</w:t>
      </w:r>
      <w:r w:rsidR="005A072B" w:rsidRPr="00315520">
        <w:rPr>
          <w:rFonts w:asciiTheme="minorHAnsi" w:hAnsiTheme="minorHAnsi" w:cstheme="minorHAnsi"/>
          <w:color w:val="auto"/>
          <w:sz w:val="20"/>
          <w:szCs w:val="20"/>
          <w:lang w:bidi="th-TH"/>
        </w:rPr>
        <w:t xml:space="preserve"> selecting channels of communication, </w:t>
      </w:r>
      <w:proofErr w:type="gramStart"/>
      <w:r w:rsidR="005A072B" w:rsidRPr="00315520">
        <w:rPr>
          <w:rFonts w:asciiTheme="minorHAnsi" w:hAnsiTheme="minorHAnsi" w:cstheme="minorHAnsi"/>
          <w:color w:val="auto"/>
          <w:sz w:val="20"/>
          <w:szCs w:val="20"/>
          <w:lang w:bidi="th-TH"/>
        </w:rPr>
        <w:t>in light of</w:t>
      </w:r>
      <w:proofErr w:type="gramEnd"/>
      <w:r w:rsidR="005A072B" w:rsidRPr="00315520">
        <w:rPr>
          <w:rFonts w:asciiTheme="minorHAnsi" w:hAnsiTheme="minorHAnsi" w:cstheme="minorHAnsi"/>
          <w:color w:val="auto"/>
          <w:sz w:val="20"/>
          <w:szCs w:val="20"/>
          <w:lang w:bidi="th-TH"/>
        </w:rPr>
        <w:t xml:space="preserve"> the current COVID-19 situation:</w:t>
      </w:r>
    </w:p>
    <w:p w14:paraId="51EC9EF6" w14:textId="77777777" w:rsidR="005A072B"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t>Avoid public gatherings (</w:t>
      </w:r>
      <w:proofErr w:type="gramStart"/>
      <w:r w:rsidRPr="006C6EC1">
        <w:rPr>
          <w:rFonts w:asciiTheme="minorHAnsi" w:hAnsiTheme="minorHAnsi" w:cstheme="minorHAnsi"/>
          <w:color w:val="auto"/>
          <w:sz w:val="20"/>
          <w:szCs w:val="20"/>
          <w:lang w:bidi="th-TH"/>
        </w:rPr>
        <w:t>taking into account</w:t>
      </w:r>
      <w:proofErr w:type="gramEnd"/>
      <w:r w:rsidRPr="006C6EC1">
        <w:rPr>
          <w:rFonts w:asciiTheme="minorHAnsi" w:hAnsiTheme="minorHAnsi" w:cstheme="minorHAnsi"/>
          <w:color w:val="auto"/>
          <w:sz w:val="20"/>
          <w:szCs w:val="20"/>
          <w:lang w:bidi="th-TH"/>
        </w:rPr>
        <w:t xml:space="preserve"> national restrictions or advisories), including public hearings, workshops and community meetings;</w:t>
      </w:r>
    </w:p>
    <w:p w14:paraId="7D9B23DF" w14:textId="77777777" w:rsidR="005A072B"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lastRenderedPageBreak/>
        <w:t>If smaller meetings are permitted/advised, conduct consultations in small-group sessions, such as focus group meetings. If not permitted or advised, make all reasonable efforts to conduct meetings through online channels;</w:t>
      </w:r>
    </w:p>
    <w:p w14:paraId="43BC206A" w14:textId="77777777" w:rsidR="005A072B"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t xml:space="preserve">Diversify means of communication and rely more on social media and online channels. Where possible and appropriate, create dedicated online platforms and chatgroups appropriate for the purpose, based on the type and category of stakeholders; </w:t>
      </w:r>
    </w:p>
    <w:p w14:paraId="23346CD5" w14:textId="77777777" w:rsidR="005A072B"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2D3FF78E" w14:textId="77777777" w:rsidR="005A072B"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0A08C3B4" w14:textId="77777777" w:rsidR="005A072B" w:rsidRPr="006C6EC1" w:rsidRDefault="005A072B" w:rsidP="005A072B">
      <w:pPr>
        <w:pStyle w:val="ListParagraph"/>
        <w:numPr>
          <w:ilvl w:val="1"/>
          <w:numId w:val="24"/>
        </w:numPr>
        <w:autoSpaceDE w:val="0"/>
        <w:autoSpaceDN w:val="0"/>
        <w:adjustRightInd w:val="0"/>
        <w:spacing w:before="120" w:after="0" w:line="240" w:lineRule="auto"/>
        <w:contextualSpacing w:val="0"/>
        <w:jc w:val="left"/>
        <w:rPr>
          <w:rFonts w:asciiTheme="minorHAnsi" w:hAnsiTheme="minorHAnsi" w:cstheme="minorHAnsi"/>
          <w:color w:val="auto"/>
          <w:sz w:val="20"/>
          <w:szCs w:val="20"/>
          <w:lang w:bidi="th-TH"/>
        </w:rPr>
      </w:pPr>
      <w:r w:rsidRPr="006C6EC1">
        <w:rPr>
          <w:rFonts w:asciiTheme="minorHAnsi" w:hAnsiTheme="minorHAnsi" w:cstheme="minorHAnsi"/>
          <w:color w:val="auto"/>
          <w:sz w:val="20"/>
          <w:szCs w:val="20"/>
          <w:lang w:bidi="th-TH"/>
        </w:rPr>
        <w:t>Each of the proposed channels of engagement should clearly specify how feedback and suggestions can be provided by stakeholders.</w:t>
      </w:r>
    </w:p>
    <w:p w14:paraId="0D487DF3" w14:textId="77777777" w:rsidR="005A072B" w:rsidRPr="00315520" w:rsidRDefault="005A072B" w:rsidP="00315520">
      <w:pPr>
        <w:autoSpaceDE w:val="0"/>
        <w:autoSpaceDN w:val="0"/>
        <w:adjustRightInd w:val="0"/>
        <w:spacing w:before="120" w:after="0" w:line="240" w:lineRule="auto"/>
        <w:jc w:val="left"/>
        <w:rPr>
          <w:rFonts w:asciiTheme="minorHAnsi" w:hAnsiTheme="minorHAnsi" w:cstheme="minorHAnsi"/>
          <w:color w:val="auto"/>
          <w:sz w:val="20"/>
          <w:szCs w:val="20"/>
          <w:lang w:bidi="th-TH"/>
        </w:rPr>
      </w:pPr>
      <w:r w:rsidRPr="00315520">
        <w:rPr>
          <w:rFonts w:asciiTheme="minorHAnsi" w:hAnsiTheme="minorHAnsi" w:cstheme="minorHAnsi"/>
          <w:color w:val="auto"/>
          <w:sz w:val="20"/>
          <w:szCs w:val="20"/>
          <w:lang w:bidi="th-TH"/>
        </w:rPr>
        <w:t xml:space="preserve">The WHO “COVID19 Strategic Preparedness and Response Plan OPERATIONAL PLANNING GUIDELINES TO SUPPORT COUNTRY PREPAREDNESS AND RESPONSE” (2020) outlines the following approach in Pillar 2 Risk Communication and Community Engagement, which will be the bases for the Project’s stakeholder engagement: </w:t>
      </w:r>
    </w:p>
    <w:p w14:paraId="745D2A2F" w14:textId="4041669D" w:rsidR="00331EAF" w:rsidRPr="00315520" w:rsidRDefault="005A072B" w:rsidP="0031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990" w:right="1080" w:firstLine="0"/>
        <w:rPr>
          <w:rFonts w:asciiTheme="minorHAnsi" w:eastAsia="Times New Roman" w:hAnsiTheme="minorHAnsi" w:cstheme="minorHAnsi"/>
          <w:i/>
          <w:color w:val="auto"/>
          <w:sz w:val="20"/>
          <w:szCs w:val="20"/>
          <w:lang w:val="en-GB"/>
        </w:rPr>
      </w:pPr>
      <w:r w:rsidRPr="00B26FD4">
        <w:rPr>
          <w:rFonts w:asciiTheme="minorHAnsi" w:eastAsia="Times New Roman" w:hAnsiTheme="minorHAnsi" w:cstheme="minorHAnsi"/>
          <w:i/>
          <w:color w:val="auto"/>
          <w:sz w:val="20"/>
          <w:szCs w:val="20"/>
          <w:lang w:val="en-GB"/>
        </w:rPr>
        <w:t>It is critical to communicate to the public what is known about COVID</w:t>
      </w:r>
      <w:r w:rsidRPr="00B26FD4">
        <w:rPr>
          <w:rFonts w:ascii="Cambria Math" w:eastAsia="Times New Roman" w:hAnsi="Cambria Math" w:cs="Cambria Math"/>
          <w:i/>
          <w:color w:val="auto"/>
          <w:sz w:val="20"/>
          <w:szCs w:val="20"/>
          <w:lang w:val="en-GB"/>
        </w:rPr>
        <w:t>‑</w:t>
      </w:r>
      <w:r w:rsidRPr="00B26FD4">
        <w:rPr>
          <w:rFonts w:asciiTheme="minorHAnsi" w:eastAsia="Times New Roman" w:hAnsiTheme="minorHAnsi" w:cstheme="minorHAnsi"/>
          <w:i/>
          <w:color w:val="auto"/>
          <w:sz w:val="20"/>
          <w:szCs w:val="20"/>
          <w:lang w:val="en-GB"/>
        </w:rPr>
        <w:t>19, what is unknown, what is being done, and actions to be taken on a regular basis. Preparedness and response activities should be conducted in a participatory, community-based way that are informed and continually optimized according to community feedback to detect and respond to concerns, rumours and misinformation. Changes in preparedness and response interventions should be announced and explained ahead of time and be developed based on community perspectives. Responsive, empathic, transparent and consistent messaging in local languages through trusted channels of communication, using community-based networks and key influencers and building capacity of local entities, is essential to establish authority and trust.</w:t>
      </w:r>
    </w:p>
    <w:p w14:paraId="34EA4807" w14:textId="42480DA2" w:rsidR="00B64D59" w:rsidRPr="00026E3B" w:rsidRDefault="00B64D59" w:rsidP="00B64D59">
      <w:pPr>
        <w:pStyle w:val="Heading3"/>
        <w:ind w:left="701"/>
        <w:rPr>
          <w:b/>
        </w:rPr>
      </w:pPr>
      <w:r w:rsidRPr="00B552B2">
        <w:t>3.3. Proposed strategy for information disclosure</w:t>
      </w:r>
      <w:r w:rsidRPr="00026E3B">
        <w:rPr>
          <w:b/>
        </w:rPr>
        <w:t xml:space="preserve"> </w:t>
      </w:r>
    </w:p>
    <w:tbl>
      <w:tblPr>
        <w:tblStyle w:val="TableGrid"/>
        <w:tblW w:w="7909" w:type="dxa"/>
        <w:jc w:val="center"/>
        <w:tblInd w:w="0" w:type="dxa"/>
        <w:tblCellMar>
          <w:top w:w="46" w:type="dxa"/>
          <w:left w:w="107" w:type="dxa"/>
          <w:right w:w="38" w:type="dxa"/>
        </w:tblCellMar>
        <w:tblLook w:val="04A0" w:firstRow="1" w:lastRow="0" w:firstColumn="1" w:lastColumn="0" w:noHBand="0" w:noVBand="1"/>
      </w:tblPr>
      <w:tblGrid>
        <w:gridCol w:w="1457"/>
        <w:gridCol w:w="1683"/>
        <w:gridCol w:w="1884"/>
        <w:gridCol w:w="2885"/>
      </w:tblGrid>
      <w:tr w:rsidR="00B93429" w14:paraId="5CEBF8E3" w14:textId="77777777" w:rsidTr="00315520">
        <w:trPr>
          <w:trHeight w:val="755"/>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2EFD9"/>
          </w:tcPr>
          <w:p w14:paraId="1AD9F4E9" w14:textId="77777777" w:rsidR="00B93429" w:rsidRDefault="00B93429" w:rsidP="00BE4D70">
            <w:pPr>
              <w:spacing w:after="0" w:line="259" w:lineRule="auto"/>
              <w:ind w:left="15" w:right="42" w:firstLine="0"/>
              <w:jc w:val="center"/>
            </w:pPr>
            <w:r>
              <w:rPr>
                <w:b/>
                <w:sz w:val="20"/>
              </w:rPr>
              <w:t xml:space="preserve">Project stage </w:t>
            </w:r>
          </w:p>
        </w:tc>
        <w:tc>
          <w:tcPr>
            <w:tcW w:w="1951" w:type="dxa"/>
            <w:tcBorders>
              <w:top w:val="single" w:sz="4" w:space="0" w:color="000000"/>
              <w:left w:val="single" w:sz="4" w:space="0" w:color="000000"/>
              <w:bottom w:val="single" w:sz="4" w:space="0" w:color="000000"/>
              <w:right w:val="single" w:sz="4" w:space="0" w:color="000000"/>
            </w:tcBorders>
            <w:shd w:val="clear" w:color="auto" w:fill="E2EFD9"/>
          </w:tcPr>
          <w:p w14:paraId="3695433F" w14:textId="6C661899" w:rsidR="00B93429" w:rsidRDefault="00B93429" w:rsidP="00B93429">
            <w:pPr>
              <w:spacing w:after="0" w:line="259" w:lineRule="auto"/>
              <w:ind w:left="0" w:right="67" w:firstLine="0"/>
              <w:jc w:val="center"/>
            </w:pPr>
            <w:r>
              <w:rPr>
                <w:b/>
                <w:sz w:val="20"/>
              </w:rPr>
              <w:t xml:space="preserve">Target stakeholders </w:t>
            </w:r>
          </w:p>
          <w:p w14:paraId="17418EFF" w14:textId="7AAA272E" w:rsidR="00B93429" w:rsidRDefault="00B93429" w:rsidP="00BE4D70">
            <w:pPr>
              <w:spacing w:after="0" w:line="259" w:lineRule="auto"/>
              <w:ind w:left="0" w:firstLine="0"/>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23CA93F4" w14:textId="30DD9D2E" w:rsidR="00B93429" w:rsidRDefault="00B93429" w:rsidP="00B93429">
            <w:pPr>
              <w:spacing w:after="0" w:line="259" w:lineRule="auto"/>
              <w:ind w:left="0" w:right="67" w:firstLine="0"/>
              <w:jc w:val="center"/>
            </w:pPr>
            <w:r>
              <w:rPr>
                <w:b/>
                <w:sz w:val="20"/>
              </w:rPr>
              <w:t xml:space="preserve">List of </w:t>
            </w:r>
          </w:p>
          <w:p w14:paraId="49178E93" w14:textId="2D9AC08C" w:rsidR="00B93429" w:rsidRDefault="00B93429" w:rsidP="00B93429">
            <w:pPr>
              <w:spacing w:after="0" w:line="259" w:lineRule="auto"/>
              <w:ind w:left="0" w:firstLine="0"/>
              <w:jc w:val="center"/>
            </w:pPr>
            <w:r>
              <w:rPr>
                <w:b/>
                <w:sz w:val="20"/>
              </w:rPr>
              <w:t>information to be disclosed</w:t>
            </w: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1028DB4E" w14:textId="0BF81802" w:rsidR="00B93429" w:rsidRDefault="00B93429" w:rsidP="00BE4D70">
            <w:pPr>
              <w:spacing w:after="0" w:line="259" w:lineRule="auto"/>
              <w:ind w:left="0" w:firstLine="0"/>
              <w:jc w:val="center"/>
            </w:pPr>
            <w:r>
              <w:rPr>
                <w:b/>
                <w:sz w:val="20"/>
              </w:rPr>
              <w:t>Methods and timing proposed</w:t>
            </w:r>
          </w:p>
        </w:tc>
      </w:tr>
      <w:tr w:rsidR="005F2369" w14:paraId="0304A8A6" w14:textId="77777777" w:rsidTr="00315520">
        <w:trPr>
          <w:trHeight w:val="535"/>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2EFD9"/>
          </w:tcPr>
          <w:p w14:paraId="63B800F1" w14:textId="47BE0449" w:rsidR="005F2369" w:rsidRDefault="005F2369" w:rsidP="005F2369">
            <w:pPr>
              <w:spacing w:after="0" w:line="259" w:lineRule="auto"/>
              <w:ind w:left="0" w:firstLine="0"/>
              <w:jc w:val="left"/>
            </w:pPr>
            <w:r w:rsidRPr="00E11534">
              <w:rPr>
                <w:rFonts w:asciiTheme="minorHAnsi" w:eastAsia="Times New Roman" w:hAnsiTheme="minorHAnsi" w:cstheme="minorHAnsi"/>
                <w:color w:val="auto"/>
                <w:sz w:val="20"/>
                <w:szCs w:val="20"/>
                <w:lang w:val="en-GB"/>
              </w:rPr>
              <w:t>Preparation prior to</w:t>
            </w:r>
            <w:r w:rsidR="00C76BEC">
              <w:rPr>
                <w:rFonts w:asciiTheme="minorHAnsi" w:eastAsia="Times New Roman" w:hAnsiTheme="minorHAnsi" w:cstheme="minorHAnsi"/>
                <w:color w:val="auto"/>
                <w:sz w:val="20"/>
                <w:szCs w:val="20"/>
                <w:lang w:val="en-GB"/>
              </w:rPr>
              <w:t xml:space="preserve"> the effective date</w:t>
            </w:r>
          </w:p>
        </w:tc>
        <w:tc>
          <w:tcPr>
            <w:tcW w:w="1951" w:type="dxa"/>
            <w:tcBorders>
              <w:top w:val="single" w:sz="4" w:space="0" w:color="000000"/>
              <w:left w:val="single" w:sz="4" w:space="0" w:color="000000"/>
              <w:bottom w:val="single" w:sz="4" w:space="0" w:color="000000"/>
              <w:right w:val="single" w:sz="4" w:space="0" w:color="000000"/>
            </w:tcBorders>
            <w:shd w:val="clear" w:color="auto" w:fill="E2EFD9"/>
          </w:tcPr>
          <w:p w14:paraId="6B9213C0" w14:textId="1F4C2230" w:rsidR="005F2369" w:rsidRDefault="005F2369" w:rsidP="005F2369">
            <w:pPr>
              <w:spacing w:after="0" w:line="259" w:lineRule="auto"/>
              <w:ind w:left="2" w:firstLine="0"/>
              <w:jc w:val="left"/>
              <w:rPr>
                <w:i/>
                <w:sz w:val="18"/>
                <w:szCs w:val="18"/>
              </w:rPr>
            </w:pPr>
            <w:r w:rsidRPr="008B59F5">
              <w:rPr>
                <w:i/>
                <w:sz w:val="18"/>
                <w:szCs w:val="18"/>
              </w:rPr>
              <w:t>Government entities; local communities; vulnerable groups; health workers;</w:t>
            </w:r>
          </w:p>
          <w:p w14:paraId="25090DA5" w14:textId="5E0C9400" w:rsidR="005F2369" w:rsidRDefault="005F2369" w:rsidP="005F2369">
            <w:pPr>
              <w:spacing w:after="0" w:line="259" w:lineRule="auto"/>
              <w:ind w:left="2" w:firstLine="0"/>
              <w:jc w:val="left"/>
            </w:pPr>
            <w:r w:rsidRPr="008B59F5">
              <w:rPr>
                <w:i/>
                <w:sz w:val="18"/>
                <w:szCs w:val="18"/>
              </w:rPr>
              <w:t>health agencies;</w:t>
            </w: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65F27E9A" w14:textId="77777777" w:rsidR="005F2369" w:rsidRDefault="005F2369" w:rsidP="005F2369">
            <w:pPr>
              <w:spacing w:after="0" w:line="259" w:lineRule="auto"/>
              <w:ind w:left="0" w:right="61" w:firstLine="0"/>
              <w:jc w:val="left"/>
              <w:rPr>
                <w:i/>
                <w:sz w:val="18"/>
                <w:szCs w:val="18"/>
              </w:rPr>
            </w:pPr>
            <w:r w:rsidRPr="00B93429">
              <w:rPr>
                <w:i/>
                <w:sz w:val="18"/>
                <w:szCs w:val="18"/>
              </w:rPr>
              <w:t>SEP</w:t>
            </w:r>
            <w:r>
              <w:rPr>
                <w:i/>
                <w:sz w:val="18"/>
                <w:szCs w:val="18"/>
              </w:rPr>
              <w:t xml:space="preserve"> with draft</w:t>
            </w:r>
          </w:p>
          <w:p w14:paraId="22EFBCA1" w14:textId="63287E15" w:rsidR="005F2369" w:rsidRDefault="005F2369" w:rsidP="005F2369">
            <w:pPr>
              <w:spacing w:after="0" w:line="259" w:lineRule="auto"/>
              <w:ind w:left="0" w:right="61" w:firstLine="0"/>
              <w:jc w:val="left"/>
              <w:rPr>
                <w:rFonts w:cstheme="minorHAnsi"/>
                <w:i/>
                <w:sz w:val="18"/>
                <w:szCs w:val="18"/>
              </w:rPr>
            </w:pPr>
            <w:r w:rsidRPr="00B93429">
              <w:rPr>
                <w:i/>
                <w:sz w:val="18"/>
                <w:szCs w:val="18"/>
              </w:rPr>
              <w:t>G</w:t>
            </w:r>
            <w:r>
              <w:rPr>
                <w:i/>
                <w:sz w:val="18"/>
                <w:szCs w:val="18"/>
              </w:rPr>
              <w:t xml:space="preserve">rievance </w:t>
            </w:r>
            <w:r w:rsidRPr="00B93429">
              <w:rPr>
                <w:i/>
                <w:sz w:val="18"/>
                <w:szCs w:val="18"/>
              </w:rPr>
              <w:t>procedure</w:t>
            </w:r>
            <w:r>
              <w:rPr>
                <w:i/>
                <w:sz w:val="18"/>
                <w:szCs w:val="18"/>
              </w:rPr>
              <w:t>s;</w:t>
            </w:r>
            <w:r w:rsidRPr="00B93429">
              <w:rPr>
                <w:rFonts w:cstheme="minorHAnsi"/>
                <w:i/>
                <w:sz w:val="18"/>
                <w:szCs w:val="18"/>
              </w:rPr>
              <w:t xml:space="preserve"> </w:t>
            </w:r>
          </w:p>
          <w:p w14:paraId="6224286E" w14:textId="77777777" w:rsidR="005F2369" w:rsidRDefault="005F2369" w:rsidP="005F2369">
            <w:pPr>
              <w:spacing w:after="0" w:line="259" w:lineRule="auto"/>
              <w:ind w:left="0" w:right="61" w:firstLine="0"/>
              <w:jc w:val="left"/>
              <w:rPr>
                <w:rFonts w:cstheme="minorHAnsi"/>
                <w:i/>
                <w:sz w:val="18"/>
                <w:szCs w:val="18"/>
              </w:rPr>
            </w:pPr>
          </w:p>
          <w:p w14:paraId="675D4297" w14:textId="202FE9CA" w:rsidR="005F2369" w:rsidRDefault="005F2369" w:rsidP="005F2369">
            <w:pPr>
              <w:spacing w:after="0" w:line="259" w:lineRule="auto"/>
              <w:ind w:left="0" w:right="61" w:firstLine="0"/>
              <w:jc w:val="left"/>
            </w:pPr>
            <w:r>
              <w:rPr>
                <w:rFonts w:cstheme="minorHAnsi"/>
                <w:i/>
                <w:sz w:val="18"/>
                <w:szCs w:val="18"/>
              </w:rPr>
              <w:t>R</w:t>
            </w:r>
            <w:r w:rsidRPr="00B93429">
              <w:rPr>
                <w:rFonts w:cstheme="minorHAnsi"/>
                <w:i/>
                <w:sz w:val="18"/>
                <w:szCs w:val="18"/>
              </w:rPr>
              <w:t>egular updates on Project development</w:t>
            </w: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580DD90C" w14:textId="0AD40B45" w:rsidR="005F2369" w:rsidRDefault="005F2369" w:rsidP="005F2369">
            <w:pPr>
              <w:spacing w:after="0" w:line="259" w:lineRule="auto"/>
              <w:jc w:val="left"/>
              <w:rPr>
                <w:rFonts w:asciiTheme="minorHAnsi" w:eastAsia="Times New Roman" w:hAnsiTheme="minorHAnsi" w:cstheme="minorHAnsi"/>
                <w:i/>
                <w:color w:val="auto"/>
                <w:sz w:val="18"/>
                <w:szCs w:val="18"/>
                <w:lang w:eastAsia="x-none"/>
              </w:rPr>
            </w:pPr>
            <w:r>
              <w:rPr>
                <w:rFonts w:asciiTheme="minorHAnsi" w:eastAsia="Times New Roman" w:hAnsiTheme="minorHAnsi" w:cstheme="minorHAnsi"/>
                <w:i/>
                <w:color w:val="auto"/>
                <w:sz w:val="18"/>
                <w:szCs w:val="18"/>
                <w:lang w:eastAsia="x-none"/>
              </w:rPr>
              <w:t>MOH</w:t>
            </w:r>
            <w:r w:rsidR="00CF57A4">
              <w:rPr>
                <w:rFonts w:asciiTheme="minorHAnsi" w:eastAsia="Times New Roman" w:hAnsiTheme="minorHAnsi" w:cstheme="minorHAnsi"/>
                <w:i/>
                <w:color w:val="auto"/>
                <w:sz w:val="18"/>
                <w:szCs w:val="18"/>
                <w:lang w:eastAsia="x-none"/>
              </w:rPr>
              <w:t>H</w:t>
            </w:r>
            <w:r>
              <w:rPr>
                <w:rFonts w:asciiTheme="minorHAnsi" w:eastAsia="Times New Roman" w:hAnsiTheme="minorHAnsi" w:cstheme="minorHAnsi"/>
                <w:i/>
                <w:color w:val="auto"/>
                <w:sz w:val="18"/>
                <w:szCs w:val="18"/>
                <w:lang w:eastAsia="x-none"/>
              </w:rPr>
              <w:t xml:space="preserve">S </w:t>
            </w:r>
            <w:r w:rsidR="003869E1">
              <w:rPr>
                <w:rFonts w:asciiTheme="minorHAnsi" w:eastAsia="Times New Roman" w:hAnsiTheme="minorHAnsi" w:cstheme="minorHAnsi"/>
                <w:i/>
                <w:color w:val="auto"/>
                <w:sz w:val="18"/>
                <w:szCs w:val="18"/>
                <w:lang w:eastAsia="x-none"/>
              </w:rPr>
              <w:t>Facebook</w:t>
            </w:r>
            <w:r w:rsidR="006719A9">
              <w:rPr>
                <w:rFonts w:asciiTheme="minorHAnsi" w:eastAsia="Times New Roman" w:hAnsiTheme="minorHAnsi" w:cstheme="minorHAnsi"/>
                <w:i/>
                <w:color w:val="auto"/>
                <w:sz w:val="18"/>
                <w:szCs w:val="18"/>
                <w:lang w:eastAsia="x-none"/>
              </w:rPr>
              <w:t xml:space="preserve"> </w:t>
            </w:r>
            <w:r w:rsidR="00833922" w:rsidRPr="00315520">
              <w:rPr>
                <w:rFonts w:asciiTheme="minorHAnsi" w:eastAsia="Times New Roman" w:hAnsiTheme="minorHAnsi" w:cstheme="minorHAnsi"/>
                <w:i/>
                <w:color w:val="auto"/>
                <w:sz w:val="18"/>
                <w:szCs w:val="18"/>
                <w:lang w:eastAsia="x-none"/>
              </w:rPr>
              <w:t>https://www.facebook.com/rmimoh</w:t>
            </w:r>
            <w:r w:rsidR="00173FED">
              <w:rPr>
                <w:rFonts w:asciiTheme="minorHAnsi" w:eastAsia="Times New Roman" w:hAnsiTheme="minorHAnsi" w:cstheme="minorHAnsi"/>
                <w:i/>
                <w:color w:val="auto"/>
                <w:sz w:val="18"/>
                <w:szCs w:val="18"/>
                <w:lang w:eastAsia="x-none"/>
              </w:rPr>
              <w:t>/</w:t>
            </w:r>
          </w:p>
          <w:p w14:paraId="5ECEA8D2"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7B953CC6" w14:textId="392F59FB" w:rsidR="005F2369" w:rsidRDefault="005F2369" w:rsidP="005F2369">
            <w:pPr>
              <w:spacing w:after="0" w:line="259" w:lineRule="auto"/>
              <w:ind w:left="2" w:firstLine="0"/>
              <w:jc w:val="left"/>
            </w:pPr>
            <w:r>
              <w:rPr>
                <w:rFonts w:asciiTheme="minorHAnsi" w:eastAsia="Times New Roman" w:hAnsiTheme="minorHAnsi" w:cstheme="minorHAnsi"/>
                <w:i/>
                <w:color w:val="auto"/>
                <w:sz w:val="18"/>
                <w:szCs w:val="18"/>
                <w:lang w:val="en-GB" w:eastAsia="x-none"/>
              </w:rPr>
              <w:t>S</w:t>
            </w:r>
            <w:r w:rsidRPr="00473E70">
              <w:rPr>
                <w:rFonts w:asciiTheme="minorHAnsi" w:eastAsia="Times New Roman" w:hAnsiTheme="minorHAnsi" w:cstheme="minorHAnsi"/>
                <w:i/>
                <w:color w:val="auto"/>
                <w:sz w:val="18"/>
                <w:szCs w:val="18"/>
                <w:lang w:val="en-GB" w:eastAsia="x-none"/>
              </w:rPr>
              <w:t>ite visits</w:t>
            </w:r>
            <w:r>
              <w:rPr>
                <w:rFonts w:asciiTheme="minorHAnsi" w:eastAsia="Times New Roman" w:hAnsiTheme="minorHAnsi" w:cstheme="minorHAnsi"/>
                <w:i/>
                <w:color w:val="auto"/>
                <w:sz w:val="18"/>
                <w:szCs w:val="18"/>
                <w:lang w:val="en-GB" w:eastAsia="x-none"/>
              </w:rPr>
              <w:t xml:space="preserve"> where feasible</w:t>
            </w:r>
          </w:p>
        </w:tc>
      </w:tr>
      <w:tr w:rsidR="005F2369" w14:paraId="413455EA" w14:textId="77777777" w:rsidTr="00315520">
        <w:trPr>
          <w:trHeight w:val="535"/>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2EFD9"/>
          </w:tcPr>
          <w:p w14:paraId="27041BBF" w14:textId="010F8E46" w:rsidR="005F2369" w:rsidRPr="00E11534" w:rsidRDefault="005F2369" w:rsidP="005F2369">
            <w:pPr>
              <w:spacing w:after="0" w:line="259" w:lineRule="auto"/>
              <w:ind w:left="0" w:firstLine="0"/>
              <w:jc w:val="left"/>
              <w:rPr>
                <w:rFonts w:asciiTheme="minorHAnsi" w:eastAsia="Times New Roman" w:hAnsiTheme="minorHAnsi" w:cstheme="minorHAnsi"/>
                <w:color w:val="auto"/>
                <w:sz w:val="20"/>
                <w:szCs w:val="20"/>
                <w:lang w:val="en-GB"/>
              </w:rPr>
            </w:pPr>
            <w:r w:rsidRPr="00E11534">
              <w:rPr>
                <w:rFonts w:asciiTheme="minorHAnsi" w:eastAsia="Times New Roman" w:hAnsiTheme="minorHAnsi" w:cstheme="minorHAnsi"/>
                <w:color w:val="auto"/>
                <w:sz w:val="20"/>
                <w:szCs w:val="20"/>
                <w:lang w:val="en-GB"/>
              </w:rPr>
              <w:t>Project Implementation</w:t>
            </w:r>
          </w:p>
        </w:tc>
        <w:tc>
          <w:tcPr>
            <w:tcW w:w="1951" w:type="dxa"/>
            <w:tcBorders>
              <w:top w:val="single" w:sz="4" w:space="0" w:color="000000"/>
              <w:left w:val="single" w:sz="4" w:space="0" w:color="000000"/>
              <w:bottom w:val="single" w:sz="4" w:space="0" w:color="000000"/>
              <w:right w:val="single" w:sz="4" w:space="0" w:color="000000"/>
            </w:tcBorders>
            <w:shd w:val="clear" w:color="auto" w:fill="E2EFD9"/>
          </w:tcPr>
          <w:p w14:paraId="4CD1B838"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Implementing entities</w:t>
            </w:r>
          </w:p>
          <w:p w14:paraId="24951D4E"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Patients</w:t>
            </w:r>
          </w:p>
          <w:p w14:paraId="0791F9EE"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Affected households and communities</w:t>
            </w:r>
          </w:p>
          <w:p w14:paraId="062DC29B"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Media</w:t>
            </w:r>
          </w:p>
          <w:p w14:paraId="63A92528" w14:textId="77777777" w:rsidR="005F2369" w:rsidRPr="008B59F5" w:rsidRDefault="005F2369" w:rsidP="005F2369">
            <w:pPr>
              <w:spacing w:after="0" w:line="259" w:lineRule="auto"/>
              <w:ind w:left="2" w:firstLine="0"/>
              <w:jc w:val="left"/>
              <w:rPr>
                <w:i/>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248F6F0E" w14:textId="77777777" w:rsidR="005F2369" w:rsidRPr="00BE3892"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ESMF</w:t>
            </w:r>
          </w:p>
          <w:p w14:paraId="2DA42F26" w14:textId="77777777" w:rsidR="005F2369"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0EB18E17" w14:textId="77777777" w:rsidR="005F2369" w:rsidRPr="00BE3892"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Final SEP</w:t>
            </w:r>
          </w:p>
          <w:p w14:paraId="4CA4AE32" w14:textId="77777777" w:rsidR="005F2369"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64BB8396" w14:textId="77777777" w:rsidR="005F2369" w:rsidRPr="00BE3892"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 xml:space="preserve">Final </w:t>
            </w:r>
            <w:proofErr w:type="spellStart"/>
            <w:r w:rsidRPr="00BE3892">
              <w:rPr>
                <w:rFonts w:asciiTheme="minorHAnsi" w:eastAsia="Times New Roman" w:hAnsiTheme="minorHAnsi" w:cstheme="minorHAnsi"/>
                <w:i/>
                <w:color w:val="auto"/>
                <w:sz w:val="18"/>
                <w:szCs w:val="18"/>
                <w:lang w:val="en-GB" w:eastAsia="x-none"/>
              </w:rPr>
              <w:t>L</w:t>
            </w:r>
            <w:r>
              <w:rPr>
                <w:rFonts w:asciiTheme="minorHAnsi" w:eastAsia="Times New Roman" w:hAnsiTheme="minorHAnsi" w:cstheme="minorHAnsi"/>
                <w:i/>
                <w:color w:val="auto"/>
                <w:sz w:val="18"/>
                <w:szCs w:val="18"/>
                <w:lang w:val="en-GB" w:eastAsia="x-none"/>
              </w:rPr>
              <w:t>abor</w:t>
            </w:r>
            <w:proofErr w:type="spellEnd"/>
            <w:r>
              <w:rPr>
                <w:rFonts w:asciiTheme="minorHAnsi" w:eastAsia="Times New Roman" w:hAnsiTheme="minorHAnsi" w:cstheme="minorHAnsi"/>
                <w:i/>
                <w:color w:val="auto"/>
                <w:sz w:val="18"/>
                <w:szCs w:val="18"/>
                <w:lang w:val="en-GB" w:eastAsia="x-none"/>
              </w:rPr>
              <w:t xml:space="preserve"> </w:t>
            </w:r>
            <w:r w:rsidRPr="00BE3892">
              <w:rPr>
                <w:rFonts w:asciiTheme="minorHAnsi" w:eastAsia="Times New Roman" w:hAnsiTheme="minorHAnsi" w:cstheme="minorHAnsi"/>
                <w:i/>
                <w:color w:val="auto"/>
                <w:sz w:val="18"/>
                <w:szCs w:val="18"/>
                <w:lang w:val="en-GB" w:eastAsia="x-none"/>
              </w:rPr>
              <w:t>M</w:t>
            </w:r>
            <w:r>
              <w:rPr>
                <w:rFonts w:asciiTheme="minorHAnsi" w:eastAsia="Times New Roman" w:hAnsiTheme="minorHAnsi" w:cstheme="minorHAnsi"/>
                <w:i/>
                <w:color w:val="auto"/>
                <w:sz w:val="18"/>
                <w:szCs w:val="18"/>
                <w:lang w:val="en-GB" w:eastAsia="x-none"/>
              </w:rPr>
              <w:t xml:space="preserve">anagement </w:t>
            </w:r>
            <w:r w:rsidRPr="00BE3892">
              <w:rPr>
                <w:rFonts w:asciiTheme="minorHAnsi" w:eastAsia="Times New Roman" w:hAnsiTheme="minorHAnsi" w:cstheme="minorHAnsi"/>
                <w:i/>
                <w:color w:val="auto"/>
                <w:sz w:val="18"/>
                <w:szCs w:val="18"/>
                <w:lang w:val="en-GB" w:eastAsia="x-none"/>
              </w:rPr>
              <w:t>P</w:t>
            </w:r>
            <w:r>
              <w:rPr>
                <w:rFonts w:asciiTheme="minorHAnsi" w:eastAsia="Times New Roman" w:hAnsiTheme="minorHAnsi" w:cstheme="minorHAnsi"/>
                <w:i/>
                <w:color w:val="auto"/>
                <w:sz w:val="18"/>
                <w:szCs w:val="18"/>
                <w:lang w:val="en-GB" w:eastAsia="x-none"/>
              </w:rPr>
              <w:t>rocedures</w:t>
            </w:r>
          </w:p>
          <w:p w14:paraId="08B40004" w14:textId="77777777" w:rsidR="005F2369"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C7149DA" w14:textId="77777777" w:rsidR="005F2369" w:rsidRDefault="005F2369" w:rsidP="005F2369">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lastRenderedPageBreak/>
              <w:t>Project progress reports and periodic updates</w:t>
            </w:r>
          </w:p>
          <w:p w14:paraId="212B3D70"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12E0B44D"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Brochures and educational materials</w:t>
            </w:r>
          </w:p>
          <w:p w14:paraId="5171B3CE"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120BCAC4"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Press releases</w:t>
            </w:r>
          </w:p>
          <w:p w14:paraId="6B036744" w14:textId="77777777" w:rsidR="005F2369" w:rsidRPr="00B93429" w:rsidRDefault="005F2369" w:rsidP="005F2369">
            <w:pPr>
              <w:spacing w:after="0" w:line="259" w:lineRule="auto"/>
              <w:ind w:left="0" w:right="61" w:firstLine="0"/>
              <w:jc w:val="left"/>
              <w:rPr>
                <w:i/>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E2EFD9"/>
          </w:tcPr>
          <w:p w14:paraId="696E8E61"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lastRenderedPageBreak/>
              <w:t xml:space="preserve">Combination of: </w:t>
            </w:r>
          </w:p>
          <w:p w14:paraId="5158FC86"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5DDC7FFD" w14:textId="77777777" w:rsidR="005F2369" w:rsidRDefault="005F2369" w:rsidP="005F2369">
            <w:pPr>
              <w:spacing w:after="0" w:line="259" w:lineRule="auto"/>
              <w:ind w:left="0"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Focus Group Meetings/ Discussions;</w:t>
            </w:r>
          </w:p>
          <w:p w14:paraId="6F26E88B"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42B42251" w14:textId="546AA495"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Community consultations</w:t>
            </w:r>
            <w:r w:rsidR="00C47D17">
              <w:rPr>
                <w:rFonts w:asciiTheme="minorHAnsi" w:eastAsia="Times New Roman" w:hAnsiTheme="minorHAnsi" w:cstheme="minorHAnsi"/>
                <w:i/>
                <w:color w:val="auto"/>
                <w:sz w:val="18"/>
                <w:szCs w:val="18"/>
                <w:lang w:val="en-GB" w:eastAsia="x-none"/>
              </w:rPr>
              <w:t xml:space="preserve"> where social and physical distancing can be enforced</w:t>
            </w:r>
            <w:r w:rsidRPr="00473E70">
              <w:rPr>
                <w:rFonts w:asciiTheme="minorHAnsi" w:eastAsia="Times New Roman" w:hAnsiTheme="minorHAnsi" w:cstheme="minorHAnsi"/>
                <w:i/>
                <w:color w:val="auto"/>
                <w:sz w:val="18"/>
                <w:szCs w:val="18"/>
                <w:lang w:val="en-GB" w:eastAsia="x-none"/>
              </w:rPr>
              <w:t xml:space="preserve">; </w:t>
            </w:r>
          </w:p>
          <w:p w14:paraId="13956727"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65A301F5"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Formal meetings</w:t>
            </w:r>
            <w:r>
              <w:rPr>
                <w:rFonts w:asciiTheme="minorHAnsi" w:eastAsia="Times New Roman" w:hAnsiTheme="minorHAnsi" w:cstheme="minorHAnsi"/>
                <w:i/>
                <w:color w:val="auto"/>
                <w:sz w:val="18"/>
                <w:szCs w:val="18"/>
                <w:lang w:val="en-GB" w:eastAsia="x-none"/>
              </w:rPr>
              <w:t xml:space="preserve"> with structured agendas</w:t>
            </w:r>
            <w:r w:rsidRPr="00473E70">
              <w:rPr>
                <w:rFonts w:asciiTheme="minorHAnsi" w:eastAsia="Times New Roman" w:hAnsiTheme="minorHAnsi" w:cstheme="minorHAnsi"/>
                <w:i/>
                <w:color w:val="auto"/>
                <w:sz w:val="18"/>
                <w:szCs w:val="18"/>
                <w:lang w:val="en-GB" w:eastAsia="x-none"/>
              </w:rPr>
              <w:t xml:space="preserve"> </w:t>
            </w:r>
          </w:p>
          <w:p w14:paraId="398EF616"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3C837AEA"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Media campaigns, press releases, public service announcements</w:t>
            </w:r>
          </w:p>
          <w:p w14:paraId="1B0F4371" w14:textId="7777777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339B1720" w14:textId="2A490FE7" w:rsidR="005F2369" w:rsidRDefault="005F2369" w:rsidP="005F2369">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 xml:space="preserve">Maintain </w:t>
            </w:r>
            <w:r w:rsidR="003869E1">
              <w:rPr>
                <w:rFonts w:asciiTheme="minorHAnsi" w:eastAsia="Times New Roman" w:hAnsiTheme="minorHAnsi" w:cstheme="minorHAnsi"/>
                <w:i/>
                <w:color w:val="auto"/>
                <w:sz w:val="18"/>
                <w:szCs w:val="18"/>
                <w:lang w:val="en-GB" w:eastAsia="x-none"/>
              </w:rPr>
              <w:t>Facebook</w:t>
            </w:r>
            <w:r>
              <w:rPr>
                <w:rFonts w:asciiTheme="minorHAnsi" w:eastAsia="Times New Roman" w:hAnsiTheme="minorHAnsi" w:cstheme="minorHAnsi"/>
                <w:i/>
                <w:color w:val="auto"/>
                <w:sz w:val="18"/>
                <w:szCs w:val="18"/>
                <w:lang w:val="en-GB" w:eastAsia="x-none"/>
              </w:rPr>
              <w:t xml:space="preserve"> with up to date facts figures and progress reports</w:t>
            </w:r>
          </w:p>
          <w:p w14:paraId="7C9D7F94" w14:textId="77777777" w:rsidR="005F2369" w:rsidRDefault="005F2369" w:rsidP="005F2369">
            <w:pPr>
              <w:spacing w:after="0" w:line="259" w:lineRule="auto"/>
              <w:jc w:val="left"/>
              <w:rPr>
                <w:rFonts w:asciiTheme="minorHAnsi" w:eastAsia="Times New Roman" w:hAnsiTheme="minorHAnsi" w:cstheme="minorHAnsi"/>
                <w:i/>
                <w:color w:val="auto"/>
                <w:sz w:val="18"/>
                <w:szCs w:val="18"/>
                <w:lang w:eastAsia="x-none"/>
              </w:rPr>
            </w:pPr>
          </w:p>
        </w:tc>
      </w:tr>
    </w:tbl>
    <w:p w14:paraId="61CC8760" w14:textId="77777777" w:rsidR="00CA7E8B" w:rsidRDefault="00CA7E8B" w:rsidP="00CA7E8B">
      <w:bookmarkStart w:id="4" w:name="_Hlk34157935"/>
    </w:p>
    <w:p w14:paraId="64C6ACDD" w14:textId="6B7E27DF" w:rsidR="00B64D59" w:rsidRPr="00B552B2" w:rsidRDefault="00B64D59" w:rsidP="00B64D59">
      <w:pPr>
        <w:pStyle w:val="Heading3"/>
        <w:ind w:left="701"/>
      </w:pPr>
      <w:r w:rsidRPr="00B552B2">
        <w:t xml:space="preserve">3.4. </w:t>
      </w:r>
      <w:r w:rsidR="007219A7">
        <w:t>Stakeholder engagement plan</w:t>
      </w:r>
      <w:r w:rsidRPr="00B552B2">
        <w:t xml:space="preserve"> </w:t>
      </w:r>
    </w:p>
    <w:tbl>
      <w:tblPr>
        <w:tblStyle w:val="TableGrid"/>
        <w:tblW w:w="7910" w:type="dxa"/>
        <w:jc w:val="center"/>
        <w:tblInd w:w="0" w:type="dxa"/>
        <w:tblCellMar>
          <w:top w:w="46" w:type="dxa"/>
          <w:left w:w="107" w:type="dxa"/>
          <w:right w:w="79" w:type="dxa"/>
        </w:tblCellMar>
        <w:tblLook w:val="04A0" w:firstRow="1" w:lastRow="0" w:firstColumn="1" w:lastColumn="0" w:noHBand="0" w:noVBand="1"/>
      </w:tblPr>
      <w:tblGrid>
        <w:gridCol w:w="1540"/>
        <w:gridCol w:w="1476"/>
        <w:gridCol w:w="1960"/>
        <w:gridCol w:w="1376"/>
        <w:gridCol w:w="1558"/>
      </w:tblGrid>
      <w:tr w:rsidR="00B93429" w:rsidRPr="00790F3E" w14:paraId="162B6DE7" w14:textId="77777777" w:rsidTr="00315520">
        <w:trPr>
          <w:trHeight w:val="86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E2EFD9"/>
          </w:tcPr>
          <w:bookmarkEnd w:id="4"/>
          <w:p w14:paraId="34E27BD8" w14:textId="77777777" w:rsidR="00B93429" w:rsidRPr="00790F3E" w:rsidRDefault="00B93429" w:rsidP="00BE4D70">
            <w:pPr>
              <w:spacing w:after="0" w:line="259" w:lineRule="auto"/>
              <w:ind w:left="0" w:firstLine="0"/>
              <w:jc w:val="center"/>
              <w:rPr>
                <w:sz w:val="20"/>
                <w:szCs w:val="20"/>
              </w:rPr>
            </w:pPr>
            <w:r w:rsidRPr="00790F3E">
              <w:rPr>
                <w:b/>
                <w:sz w:val="20"/>
                <w:szCs w:val="20"/>
              </w:rPr>
              <w:t>Project stage</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6FB5EAFA" w14:textId="6B5C38DC" w:rsidR="00B93429" w:rsidRPr="00790F3E" w:rsidRDefault="00B93429" w:rsidP="00BE4D70">
            <w:pPr>
              <w:spacing w:after="0" w:line="259" w:lineRule="auto"/>
              <w:ind w:left="0" w:firstLine="0"/>
              <w:jc w:val="center"/>
              <w:rPr>
                <w:sz w:val="20"/>
                <w:szCs w:val="20"/>
              </w:rPr>
            </w:pPr>
            <w:r w:rsidRPr="00790F3E">
              <w:rPr>
                <w:b/>
                <w:sz w:val="20"/>
                <w:szCs w:val="20"/>
              </w:rPr>
              <w:t xml:space="preserve">Topic of consultation </w:t>
            </w:r>
            <w:r>
              <w:rPr>
                <w:b/>
                <w:sz w:val="20"/>
                <w:szCs w:val="20"/>
              </w:rPr>
              <w:t>/ message</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31046D09" w14:textId="77777777" w:rsidR="00B93429" w:rsidRPr="00790F3E" w:rsidRDefault="00B93429" w:rsidP="00BE4D70">
            <w:pPr>
              <w:spacing w:after="0" w:line="259" w:lineRule="auto"/>
              <w:ind w:left="0" w:right="28" w:firstLine="0"/>
              <w:jc w:val="center"/>
              <w:rPr>
                <w:sz w:val="20"/>
                <w:szCs w:val="20"/>
              </w:rPr>
            </w:pPr>
            <w:r w:rsidRPr="00790F3E">
              <w:rPr>
                <w:b/>
                <w:sz w:val="20"/>
                <w:szCs w:val="20"/>
              </w:rPr>
              <w:t xml:space="preserve">Method used </w:t>
            </w:r>
          </w:p>
        </w:tc>
        <w:tc>
          <w:tcPr>
            <w:tcW w:w="1507" w:type="dxa"/>
            <w:tcBorders>
              <w:top w:val="single" w:sz="4" w:space="0" w:color="000000"/>
              <w:left w:val="single" w:sz="4" w:space="0" w:color="000000"/>
              <w:bottom w:val="single" w:sz="4" w:space="0" w:color="000000"/>
              <w:right w:val="single" w:sz="4" w:space="0" w:color="000000"/>
            </w:tcBorders>
            <w:shd w:val="clear" w:color="auto" w:fill="E2EFD9"/>
          </w:tcPr>
          <w:p w14:paraId="3056922B" w14:textId="77777777" w:rsidR="00B93429" w:rsidRPr="00790F3E" w:rsidRDefault="00B93429" w:rsidP="00BE4D70">
            <w:pPr>
              <w:spacing w:after="0" w:line="259" w:lineRule="auto"/>
              <w:ind w:left="0" w:firstLine="0"/>
              <w:jc w:val="center"/>
              <w:rPr>
                <w:sz w:val="20"/>
                <w:szCs w:val="20"/>
              </w:rPr>
            </w:pPr>
            <w:r w:rsidRPr="00790F3E">
              <w:rPr>
                <w:b/>
                <w:sz w:val="20"/>
                <w:szCs w:val="20"/>
              </w:rPr>
              <w:t xml:space="preserve">Target stakeholders </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04323BC4" w14:textId="77777777" w:rsidR="00B93429" w:rsidRPr="00790F3E" w:rsidRDefault="00B93429" w:rsidP="00BE4D70">
            <w:pPr>
              <w:spacing w:after="0" w:line="259" w:lineRule="auto"/>
              <w:ind w:left="44" w:firstLine="0"/>
              <w:jc w:val="left"/>
              <w:rPr>
                <w:sz w:val="20"/>
                <w:szCs w:val="20"/>
              </w:rPr>
            </w:pPr>
            <w:r w:rsidRPr="00790F3E">
              <w:rPr>
                <w:b/>
                <w:sz w:val="20"/>
                <w:szCs w:val="20"/>
              </w:rPr>
              <w:t xml:space="preserve">Responsibilities </w:t>
            </w:r>
          </w:p>
        </w:tc>
      </w:tr>
      <w:tr w:rsidR="00C47D17" w:rsidRPr="00790F3E" w14:paraId="655C2F0E" w14:textId="77777777" w:rsidTr="00315520">
        <w:trPr>
          <w:trHeight w:val="544"/>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E2EFD9"/>
          </w:tcPr>
          <w:p w14:paraId="1B23E407" w14:textId="78C218EA" w:rsidR="00C47D17" w:rsidRPr="00790F3E" w:rsidRDefault="00C47D17" w:rsidP="00C47D17">
            <w:pPr>
              <w:spacing w:after="0" w:line="259" w:lineRule="auto"/>
              <w:ind w:left="0" w:firstLine="0"/>
              <w:jc w:val="left"/>
              <w:rPr>
                <w:sz w:val="20"/>
                <w:szCs w:val="20"/>
              </w:rPr>
            </w:pPr>
            <w:r w:rsidRPr="00E11534">
              <w:rPr>
                <w:rFonts w:asciiTheme="minorHAnsi" w:eastAsia="Times New Roman" w:hAnsiTheme="minorHAnsi" w:cstheme="minorHAnsi"/>
                <w:color w:val="auto"/>
                <w:sz w:val="20"/>
                <w:szCs w:val="20"/>
                <w:lang w:val="en-GB"/>
              </w:rPr>
              <w:t>Preparation prior to effectiveness</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1F9BAC0F"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The project, its activities and potential E&amp;S risks, impacts and mitigation measures</w:t>
            </w:r>
          </w:p>
          <w:p w14:paraId="32246D0E"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3A786F01"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Introduce ESF instruments</w:t>
            </w:r>
          </w:p>
          <w:p w14:paraId="394746B1"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E6FB928" w14:textId="6A5168B2"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Present the SEP and GM</w:t>
            </w:r>
          </w:p>
          <w:p w14:paraId="4AEFA15B" w14:textId="4942B80D" w:rsidR="00C47D17" w:rsidRPr="00790F3E" w:rsidRDefault="00C47D17" w:rsidP="00C47D17">
            <w:pPr>
              <w:spacing w:after="0" w:line="259" w:lineRule="auto"/>
              <w:ind w:left="1" w:firstLine="0"/>
              <w:jc w:val="left"/>
              <w:rPr>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0AA629E8"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Virtual consultation</w:t>
            </w:r>
          </w:p>
          <w:p w14:paraId="23A26946"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660DFE77" w14:textId="6FA4C191" w:rsidR="00C47D17" w:rsidRPr="00790F3E" w:rsidRDefault="00C47D17" w:rsidP="00C47D17">
            <w:pPr>
              <w:spacing w:after="0" w:line="259" w:lineRule="auto"/>
              <w:ind w:left="1" w:firstLine="0"/>
              <w:jc w:val="left"/>
              <w:rPr>
                <w:sz w:val="20"/>
                <w:szCs w:val="20"/>
              </w:rPr>
            </w:pPr>
            <w:r w:rsidRPr="0051115A">
              <w:rPr>
                <w:rFonts w:asciiTheme="minorHAnsi" w:eastAsia="Times New Roman" w:hAnsiTheme="minorHAnsi" w:cstheme="minorHAnsi"/>
                <w:i/>
                <w:color w:val="auto"/>
                <w:sz w:val="18"/>
                <w:szCs w:val="18"/>
                <w:lang w:val="en-GB" w:eastAsia="x-none"/>
              </w:rPr>
              <w:t xml:space="preserve">Public meetings where </w:t>
            </w:r>
            <w:r w:rsidR="00B32F5B">
              <w:rPr>
                <w:rFonts w:asciiTheme="minorHAnsi" w:eastAsia="Times New Roman" w:hAnsiTheme="minorHAnsi" w:cstheme="minorHAnsi"/>
                <w:i/>
                <w:color w:val="auto"/>
                <w:sz w:val="18"/>
                <w:szCs w:val="18"/>
                <w:lang w:val="en-GB" w:eastAsia="x-none"/>
              </w:rPr>
              <w:t>physical</w:t>
            </w:r>
            <w:r w:rsidRPr="0051115A">
              <w:rPr>
                <w:rFonts w:asciiTheme="minorHAnsi" w:eastAsia="Times New Roman" w:hAnsiTheme="minorHAnsi" w:cstheme="minorHAnsi"/>
                <w:i/>
                <w:color w:val="auto"/>
                <w:sz w:val="18"/>
                <w:szCs w:val="18"/>
                <w:lang w:val="en-GB" w:eastAsia="x-none"/>
              </w:rPr>
              <w:t xml:space="preserve"> distancing can be maintained with no risks of exposure to virus</w:t>
            </w:r>
          </w:p>
        </w:tc>
        <w:tc>
          <w:tcPr>
            <w:tcW w:w="1507" w:type="dxa"/>
            <w:tcBorders>
              <w:top w:val="single" w:sz="4" w:space="0" w:color="000000"/>
              <w:left w:val="single" w:sz="4" w:space="0" w:color="000000"/>
              <w:bottom w:val="single" w:sz="4" w:space="0" w:color="000000"/>
              <w:right w:val="single" w:sz="4" w:space="0" w:color="000000"/>
            </w:tcBorders>
            <w:shd w:val="clear" w:color="auto" w:fill="E2EFD9"/>
          </w:tcPr>
          <w:p w14:paraId="137EED41"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All project affected people</w:t>
            </w:r>
          </w:p>
          <w:p w14:paraId="076095B5"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1F5BF1FC"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Other interested parties</w:t>
            </w:r>
          </w:p>
          <w:p w14:paraId="255F10FD"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4B1B757A" w14:textId="77777777" w:rsidR="00C47D17"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71EEA">
              <w:rPr>
                <w:rFonts w:asciiTheme="minorHAnsi" w:eastAsia="Times New Roman" w:hAnsiTheme="minorHAnsi" w:cstheme="minorHAnsi"/>
                <w:i/>
                <w:color w:val="auto"/>
                <w:sz w:val="18"/>
                <w:szCs w:val="18"/>
                <w:lang w:val="en-GB" w:eastAsia="x-none"/>
              </w:rPr>
              <w:t>Relevant Ministries working in, or with an interest in health sector and COVID-19</w:t>
            </w:r>
          </w:p>
          <w:p w14:paraId="7776B2AB" w14:textId="77777777" w:rsidR="00C47D17" w:rsidRPr="0051115A" w:rsidRDefault="00C47D17" w:rsidP="00C47D17">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FADCBC9" w14:textId="1FB132CC" w:rsidR="00C47D17" w:rsidRPr="00790F3E" w:rsidRDefault="00C47D17" w:rsidP="00C47D17">
            <w:pPr>
              <w:spacing w:after="0" w:line="259" w:lineRule="auto"/>
              <w:ind w:left="2" w:firstLine="0"/>
              <w:jc w:val="left"/>
              <w:rPr>
                <w:sz w:val="20"/>
                <w:szCs w:val="20"/>
              </w:rPr>
            </w:pPr>
            <w:r w:rsidRPr="0051115A">
              <w:rPr>
                <w:rFonts w:asciiTheme="minorHAnsi" w:eastAsia="Times New Roman" w:hAnsiTheme="minorHAnsi" w:cstheme="minorHAnsi"/>
                <w:i/>
                <w:color w:val="auto"/>
                <w:sz w:val="18"/>
                <w:szCs w:val="18"/>
                <w:lang w:val="en-GB" w:eastAsia="x-none"/>
              </w:rPr>
              <w:t>Vulnerable and disad</w:t>
            </w:r>
            <w:r>
              <w:rPr>
                <w:rFonts w:asciiTheme="minorHAnsi" w:eastAsia="Times New Roman" w:hAnsiTheme="minorHAnsi" w:cstheme="minorHAnsi"/>
                <w:i/>
                <w:color w:val="auto"/>
                <w:sz w:val="18"/>
                <w:szCs w:val="18"/>
                <w:lang w:val="en-GB" w:eastAsia="x-none"/>
              </w:rPr>
              <w:t>v</w:t>
            </w:r>
            <w:r w:rsidRPr="0051115A">
              <w:rPr>
                <w:rFonts w:asciiTheme="minorHAnsi" w:eastAsia="Times New Roman" w:hAnsiTheme="minorHAnsi" w:cstheme="minorHAnsi"/>
                <w:i/>
                <w:color w:val="auto"/>
                <w:sz w:val="18"/>
                <w:szCs w:val="18"/>
                <w:lang w:val="en-GB" w:eastAsia="x-none"/>
              </w:rPr>
              <w:t>a</w:t>
            </w:r>
            <w:r>
              <w:rPr>
                <w:rFonts w:asciiTheme="minorHAnsi" w:eastAsia="Times New Roman" w:hAnsiTheme="minorHAnsi" w:cstheme="minorHAnsi"/>
                <w:i/>
                <w:color w:val="auto"/>
                <w:sz w:val="18"/>
                <w:szCs w:val="18"/>
                <w:lang w:val="en-GB" w:eastAsia="x-none"/>
              </w:rPr>
              <w:t>n</w:t>
            </w:r>
            <w:r w:rsidRPr="0051115A">
              <w:rPr>
                <w:rFonts w:asciiTheme="minorHAnsi" w:eastAsia="Times New Roman" w:hAnsiTheme="minorHAnsi" w:cstheme="minorHAnsi"/>
                <w:i/>
                <w:color w:val="auto"/>
                <w:sz w:val="18"/>
                <w:szCs w:val="18"/>
                <w:lang w:val="en-GB" w:eastAsia="x-none"/>
              </w:rPr>
              <w:t>taged</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496FE976" w14:textId="679950E0" w:rsidR="00C47D17" w:rsidRPr="00790F3E" w:rsidRDefault="00C47D17" w:rsidP="00C47D17">
            <w:pPr>
              <w:spacing w:after="0" w:line="259" w:lineRule="auto"/>
              <w:ind w:left="0" w:firstLine="0"/>
              <w:jc w:val="left"/>
              <w:rPr>
                <w:sz w:val="20"/>
                <w:szCs w:val="20"/>
              </w:rPr>
            </w:pPr>
            <w:r>
              <w:rPr>
                <w:rFonts w:asciiTheme="minorHAnsi" w:eastAsia="Times New Roman" w:hAnsiTheme="minorHAnsi" w:cstheme="minorHAnsi"/>
                <w:i/>
                <w:color w:val="auto"/>
                <w:sz w:val="18"/>
                <w:szCs w:val="18"/>
                <w:lang w:val="en-GB" w:eastAsia="x-none"/>
              </w:rPr>
              <w:t>MOHHS</w:t>
            </w:r>
            <w:r w:rsidRPr="0051115A">
              <w:rPr>
                <w:rFonts w:asciiTheme="minorHAnsi" w:eastAsia="Times New Roman" w:hAnsiTheme="minorHAnsi" w:cstheme="minorHAnsi"/>
                <w:i/>
                <w:color w:val="auto"/>
                <w:sz w:val="18"/>
                <w:szCs w:val="18"/>
                <w:lang w:val="en-GB" w:eastAsia="x-none"/>
              </w:rPr>
              <w:t xml:space="preserve"> through the Project management team</w:t>
            </w:r>
          </w:p>
        </w:tc>
      </w:tr>
      <w:tr w:rsidR="00C47D17" w:rsidRPr="00790F3E" w14:paraId="7EC82107" w14:textId="77777777" w:rsidTr="00315520">
        <w:trPr>
          <w:trHeight w:val="544"/>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E2EFD9"/>
          </w:tcPr>
          <w:p w14:paraId="7786C84F" w14:textId="7FC99171" w:rsidR="00C47D17" w:rsidRPr="0097744D" w:rsidRDefault="00C47D17" w:rsidP="00C47D17">
            <w:pPr>
              <w:spacing w:after="0" w:line="259" w:lineRule="auto"/>
              <w:ind w:left="0" w:firstLine="0"/>
              <w:jc w:val="left"/>
              <w:rPr>
                <w:i/>
                <w:sz w:val="20"/>
              </w:rPr>
            </w:pPr>
            <w:r w:rsidRPr="00E11534">
              <w:rPr>
                <w:rFonts w:asciiTheme="minorHAnsi" w:eastAsia="Times New Roman" w:hAnsiTheme="minorHAnsi" w:cstheme="minorHAnsi"/>
                <w:color w:val="auto"/>
                <w:sz w:val="20"/>
                <w:szCs w:val="20"/>
                <w:lang w:val="en-GB"/>
              </w:rPr>
              <w:t>Project Implementation</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72DD87DF"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Updated ESF instruments</w:t>
            </w:r>
          </w:p>
          <w:p w14:paraId="37B25E8A"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50E19698"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Feedback from consultations</w:t>
            </w:r>
          </w:p>
          <w:p w14:paraId="795B237A"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08BF656E" w14:textId="386CEC7E" w:rsidR="00C47D17" w:rsidRPr="0097744D" w:rsidRDefault="00C47D17" w:rsidP="00C47D17">
            <w:pPr>
              <w:spacing w:after="0" w:line="259" w:lineRule="auto"/>
              <w:ind w:left="1" w:firstLine="0"/>
              <w:jc w:val="left"/>
              <w:rPr>
                <w:i/>
                <w:sz w:val="20"/>
              </w:rPr>
            </w:pPr>
            <w:r w:rsidRPr="0051115A">
              <w:rPr>
                <w:rFonts w:asciiTheme="minorHAnsi" w:eastAsia="Times New Roman" w:hAnsiTheme="minorHAnsi" w:cstheme="minorHAnsi"/>
                <w:i/>
                <w:color w:val="auto"/>
                <w:sz w:val="18"/>
                <w:szCs w:val="18"/>
                <w:lang w:val="en-GB" w:bidi="th-TH"/>
              </w:rPr>
              <w:t>Information about project activities in line with WHO guidance on risk communications and community engagement</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45B96A46"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F</w:t>
            </w:r>
            <w:r w:rsidRPr="0051115A">
              <w:rPr>
                <w:rFonts w:asciiTheme="minorHAnsi" w:eastAsia="Times New Roman" w:hAnsiTheme="minorHAnsi" w:cstheme="minorHAnsi"/>
                <w:i/>
                <w:color w:val="auto"/>
                <w:sz w:val="18"/>
                <w:szCs w:val="18"/>
                <w:lang w:val="en-GB" w:bidi="th-TH"/>
              </w:rPr>
              <w:t xml:space="preserve">or Government entities: </w:t>
            </w:r>
          </w:p>
          <w:p w14:paraId="752EEAB9"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23EFBF9B"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sidRPr="008B59F5">
              <w:rPr>
                <w:rFonts w:asciiTheme="minorHAnsi" w:eastAsia="Times New Roman" w:hAnsiTheme="minorHAnsi" w:cstheme="minorHAnsi"/>
                <w:i/>
                <w:color w:val="auto"/>
                <w:sz w:val="18"/>
                <w:szCs w:val="18"/>
                <w:lang w:val="en-GB" w:bidi="th-TH"/>
              </w:rPr>
              <w:t>Correspondence by phone/email; o</w:t>
            </w:r>
            <w:r w:rsidRPr="003629C9">
              <w:rPr>
                <w:rFonts w:asciiTheme="minorHAnsi" w:eastAsia="Times New Roman" w:hAnsiTheme="minorHAnsi" w:cstheme="minorHAnsi"/>
                <w:i/>
                <w:color w:val="auto"/>
                <w:sz w:val="18"/>
                <w:szCs w:val="18"/>
                <w:lang w:val="en-GB" w:bidi="th-TH"/>
              </w:rPr>
              <w:t>ne-on-one interviews</w:t>
            </w:r>
            <w:r w:rsidRPr="008B59F5">
              <w:rPr>
                <w:rFonts w:asciiTheme="minorHAnsi" w:eastAsia="Times New Roman" w:hAnsiTheme="minorHAnsi" w:cstheme="minorHAnsi"/>
                <w:i/>
                <w:color w:val="auto"/>
                <w:sz w:val="18"/>
                <w:szCs w:val="18"/>
                <w:lang w:val="en-GB" w:bidi="th-TH"/>
              </w:rPr>
              <w:t>; f</w:t>
            </w:r>
            <w:r w:rsidRPr="003629C9">
              <w:rPr>
                <w:rFonts w:asciiTheme="minorHAnsi" w:eastAsia="Times New Roman" w:hAnsiTheme="minorHAnsi" w:cstheme="minorHAnsi"/>
                <w:i/>
                <w:color w:val="auto"/>
                <w:sz w:val="18"/>
                <w:szCs w:val="18"/>
                <w:lang w:val="en-GB" w:bidi="th-TH"/>
              </w:rPr>
              <w:t>ormal meetings</w:t>
            </w:r>
            <w:r w:rsidRPr="008B59F5">
              <w:rPr>
                <w:rFonts w:asciiTheme="minorHAnsi" w:eastAsia="Times New Roman" w:hAnsiTheme="minorHAnsi" w:cstheme="minorHAnsi"/>
                <w:i/>
                <w:color w:val="auto"/>
                <w:sz w:val="18"/>
                <w:szCs w:val="18"/>
                <w:lang w:val="en-GB" w:bidi="th-TH"/>
              </w:rPr>
              <w:t xml:space="preserve">; roundtable discussions; </w:t>
            </w:r>
          </w:p>
          <w:p w14:paraId="3F9675A6"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0A2C4111"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F</w:t>
            </w:r>
            <w:r w:rsidRPr="008B59F5">
              <w:rPr>
                <w:rFonts w:asciiTheme="minorHAnsi" w:eastAsia="Times New Roman" w:hAnsiTheme="minorHAnsi" w:cstheme="minorHAnsi"/>
                <w:i/>
                <w:color w:val="auto"/>
                <w:sz w:val="18"/>
                <w:szCs w:val="18"/>
                <w:lang w:val="en-GB" w:bidi="th-TH"/>
              </w:rPr>
              <w:t>or local communities/vulnerable groups:</w:t>
            </w:r>
          </w:p>
          <w:p w14:paraId="5EC8E1E5"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5B8EFB49" w14:textId="22076952" w:rsidR="00C47D17" w:rsidRPr="0051115A" w:rsidRDefault="00C47D17" w:rsidP="004F595E">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 xml:space="preserve">letters </w:t>
            </w:r>
            <w:r w:rsidR="004F595E">
              <w:rPr>
                <w:rFonts w:asciiTheme="minorHAnsi" w:eastAsia="Times New Roman" w:hAnsiTheme="minorHAnsi" w:cstheme="minorHAnsi"/>
                <w:i/>
                <w:color w:val="auto"/>
                <w:sz w:val="18"/>
                <w:szCs w:val="18"/>
                <w:lang w:val="en-GB" w:bidi="th-TH"/>
              </w:rPr>
              <w:t xml:space="preserve">/ email </w:t>
            </w:r>
            <w:r w:rsidRPr="0051115A">
              <w:rPr>
                <w:rFonts w:asciiTheme="minorHAnsi" w:eastAsia="Times New Roman" w:hAnsiTheme="minorHAnsi" w:cstheme="minorHAnsi"/>
                <w:i/>
                <w:color w:val="auto"/>
                <w:sz w:val="18"/>
                <w:szCs w:val="18"/>
                <w:lang w:val="en-GB" w:bidi="th-TH"/>
              </w:rPr>
              <w:t>to village leaders;</w:t>
            </w:r>
          </w:p>
          <w:p w14:paraId="174B0B58"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34FEF10E" w14:textId="265E6EF5"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D</w:t>
            </w:r>
            <w:r w:rsidRPr="0051115A">
              <w:rPr>
                <w:rFonts w:asciiTheme="minorHAnsi" w:eastAsia="Times New Roman" w:hAnsiTheme="minorHAnsi" w:cstheme="minorHAnsi"/>
                <w:i/>
                <w:color w:val="auto"/>
                <w:sz w:val="18"/>
                <w:szCs w:val="18"/>
                <w:lang w:val="en-GB" w:bidi="th-TH"/>
              </w:rPr>
              <w:t>isclosure of Project documentation in a culturally appropriate and accessible manner;</w:t>
            </w:r>
          </w:p>
          <w:p w14:paraId="337287DE" w14:textId="77777777" w:rsidR="00C47D17" w:rsidRPr="0051115A"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0347140E"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lastRenderedPageBreak/>
              <w:t>C</w:t>
            </w:r>
            <w:r w:rsidRPr="0051115A">
              <w:rPr>
                <w:rFonts w:asciiTheme="minorHAnsi" w:eastAsia="Times New Roman" w:hAnsiTheme="minorHAnsi" w:cstheme="minorHAnsi"/>
                <w:i/>
                <w:color w:val="auto"/>
                <w:sz w:val="18"/>
                <w:szCs w:val="18"/>
                <w:lang w:val="en-GB" w:bidi="th-TH"/>
              </w:rPr>
              <w:t xml:space="preserve">ommunity meetings; </w:t>
            </w:r>
          </w:p>
          <w:p w14:paraId="17BC9440" w14:textId="77777777" w:rsidR="00C47D17" w:rsidRDefault="00C47D17" w:rsidP="00C47D17">
            <w:pPr>
              <w:spacing w:after="0" w:line="259" w:lineRule="auto"/>
              <w:ind w:left="1" w:firstLine="0"/>
              <w:jc w:val="left"/>
              <w:rPr>
                <w:rFonts w:asciiTheme="minorHAnsi" w:eastAsia="Times New Roman" w:hAnsiTheme="minorHAnsi" w:cstheme="minorHAnsi"/>
                <w:i/>
                <w:color w:val="auto"/>
                <w:sz w:val="18"/>
                <w:szCs w:val="18"/>
                <w:lang w:val="en-GB" w:bidi="th-TH"/>
              </w:rPr>
            </w:pPr>
          </w:p>
          <w:p w14:paraId="31A2E1A3" w14:textId="0732BC11" w:rsidR="00C47D17" w:rsidRPr="0097744D" w:rsidRDefault="00C47D17" w:rsidP="00C47D17">
            <w:pPr>
              <w:spacing w:after="0" w:line="259" w:lineRule="auto"/>
              <w:ind w:left="1" w:firstLine="0"/>
              <w:jc w:val="left"/>
              <w:rPr>
                <w:i/>
                <w:sz w:val="20"/>
              </w:rPr>
            </w:pPr>
            <w:r>
              <w:rPr>
                <w:rFonts w:asciiTheme="minorHAnsi" w:eastAsia="Times New Roman" w:hAnsiTheme="minorHAnsi" w:cstheme="minorHAnsi"/>
                <w:i/>
                <w:color w:val="auto"/>
                <w:sz w:val="18"/>
                <w:szCs w:val="18"/>
                <w:lang w:val="en-GB" w:bidi="th-TH"/>
              </w:rPr>
              <w:t>F</w:t>
            </w:r>
            <w:r w:rsidRPr="0051115A">
              <w:rPr>
                <w:rFonts w:asciiTheme="minorHAnsi" w:eastAsia="Times New Roman" w:hAnsiTheme="minorHAnsi" w:cstheme="minorHAnsi"/>
                <w:i/>
                <w:color w:val="auto"/>
                <w:sz w:val="18"/>
                <w:szCs w:val="18"/>
                <w:lang w:val="en-GB" w:bidi="th-TH"/>
              </w:rPr>
              <w:t>ocus group discussions; outreach activities</w:t>
            </w:r>
          </w:p>
        </w:tc>
        <w:tc>
          <w:tcPr>
            <w:tcW w:w="1507" w:type="dxa"/>
            <w:tcBorders>
              <w:top w:val="single" w:sz="4" w:space="0" w:color="000000"/>
              <w:left w:val="single" w:sz="4" w:space="0" w:color="000000"/>
              <w:bottom w:val="single" w:sz="4" w:space="0" w:color="000000"/>
              <w:right w:val="single" w:sz="4" w:space="0" w:color="000000"/>
            </w:tcBorders>
            <w:shd w:val="clear" w:color="auto" w:fill="E2EFD9"/>
          </w:tcPr>
          <w:p w14:paraId="7F27CF5D" w14:textId="77777777" w:rsidR="00C47D17" w:rsidRPr="0051115A"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lastRenderedPageBreak/>
              <w:t>All affected parties</w:t>
            </w:r>
          </w:p>
          <w:p w14:paraId="354B18B9" w14:textId="77777777" w:rsidR="00C47D17" w:rsidRPr="0051115A"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p>
          <w:p w14:paraId="1D004774" w14:textId="77777777" w:rsidR="00C47D17"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Other interested parties</w:t>
            </w:r>
          </w:p>
          <w:p w14:paraId="2EC1E33D" w14:textId="77777777" w:rsidR="00C47D17"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p>
          <w:p w14:paraId="5F377A8B" w14:textId="77777777" w:rsidR="00C47D17"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Disadvantaged and vulnerable</w:t>
            </w:r>
          </w:p>
          <w:p w14:paraId="6E650919" w14:textId="77777777" w:rsidR="00C47D17" w:rsidRDefault="00C47D17" w:rsidP="00C47D17">
            <w:pPr>
              <w:spacing w:after="0" w:line="259" w:lineRule="auto"/>
              <w:ind w:left="2" w:firstLine="0"/>
              <w:jc w:val="left"/>
              <w:rPr>
                <w:rFonts w:asciiTheme="minorHAnsi" w:eastAsia="Times New Roman" w:hAnsiTheme="minorHAnsi" w:cstheme="minorHAnsi"/>
                <w:i/>
                <w:color w:val="auto"/>
                <w:sz w:val="18"/>
                <w:szCs w:val="18"/>
                <w:lang w:val="en-GB" w:bidi="th-TH"/>
              </w:rPr>
            </w:pPr>
          </w:p>
          <w:p w14:paraId="50B6F84A" w14:textId="1AE4095F" w:rsidR="00C47D17" w:rsidRPr="0097744D" w:rsidRDefault="00C47D17" w:rsidP="00C47D17">
            <w:pPr>
              <w:spacing w:after="0" w:line="259" w:lineRule="auto"/>
              <w:ind w:left="2" w:firstLine="0"/>
              <w:jc w:val="left"/>
              <w:rPr>
                <w:i/>
                <w:sz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E2EFD9"/>
          </w:tcPr>
          <w:p w14:paraId="68B9B3AD" w14:textId="7FC09A15" w:rsidR="00C47D17" w:rsidRDefault="00C47D17" w:rsidP="00C47D17">
            <w:pPr>
              <w:spacing w:after="0" w:line="259" w:lineRule="auto"/>
              <w:ind w:left="0"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MOHHS through the Project management team</w:t>
            </w:r>
          </w:p>
          <w:p w14:paraId="372EF4E0" w14:textId="77777777" w:rsidR="00C47D17" w:rsidRDefault="00C47D17" w:rsidP="00C47D17">
            <w:pPr>
              <w:spacing w:after="0" w:line="259" w:lineRule="auto"/>
              <w:ind w:left="0" w:firstLine="0"/>
              <w:jc w:val="left"/>
              <w:rPr>
                <w:rFonts w:asciiTheme="minorHAnsi" w:eastAsia="Times New Roman" w:hAnsiTheme="minorHAnsi" w:cstheme="minorHAnsi"/>
                <w:i/>
                <w:color w:val="auto"/>
                <w:sz w:val="18"/>
                <w:szCs w:val="18"/>
                <w:lang w:val="en-GB" w:bidi="th-TH"/>
              </w:rPr>
            </w:pPr>
          </w:p>
          <w:p w14:paraId="16601311" w14:textId="1F7506F9" w:rsidR="00C47D17" w:rsidRPr="0097744D" w:rsidRDefault="00C47D17" w:rsidP="00C47D17">
            <w:pPr>
              <w:spacing w:after="0" w:line="259" w:lineRule="auto"/>
              <w:ind w:left="0" w:firstLine="0"/>
              <w:jc w:val="left"/>
              <w:rPr>
                <w:i/>
                <w:sz w:val="20"/>
              </w:rPr>
            </w:pPr>
            <w:r>
              <w:rPr>
                <w:rFonts w:asciiTheme="minorHAnsi" w:eastAsia="Times New Roman" w:hAnsiTheme="minorHAnsi" w:cstheme="minorHAnsi"/>
                <w:i/>
                <w:color w:val="auto"/>
                <w:sz w:val="18"/>
                <w:szCs w:val="18"/>
                <w:lang w:val="en-GB" w:bidi="th-TH"/>
              </w:rPr>
              <w:t>Work through CSO and/or advocacy groups representing disadvantaged and vulnerable groups</w:t>
            </w:r>
          </w:p>
        </w:tc>
      </w:tr>
    </w:tbl>
    <w:p w14:paraId="53F76293" w14:textId="77777777" w:rsidR="001A6621" w:rsidRDefault="001A6621" w:rsidP="001A6621"/>
    <w:p w14:paraId="5CF18305" w14:textId="6881BB32" w:rsidR="00B64D59" w:rsidRPr="00B552B2" w:rsidRDefault="00B64D59" w:rsidP="00B64D59">
      <w:pPr>
        <w:pStyle w:val="Heading3"/>
        <w:ind w:left="701"/>
        <w:rPr>
          <w:color w:val="538135" w:themeColor="accent6" w:themeShade="BF"/>
        </w:rPr>
      </w:pPr>
      <w:r w:rsidRPr="00B552B2">
        <w:t>3.</w:t>
      </w:r>
      <w:r w:rsidR="001A6621">
        <w:t>5</w:t>
      </w:r>
      <w:r w:rsidRPr="00B552B2">
        <w:t xml:space="preserve"> </w:t>
      </w:r>
      <w:r w:rsidRPr="00B552B2">
        <w:rPr>
          <w:color w:val="538135" w:themeColor="accent6" w:themeShade="BF"/>
        </w:rPr>
        <w:t>Future of the project</w:t>
      </w:r>
    </w:p>
    <w:p w14:paraId="383C2BC9" w14:textId="77777777" w:rsidR="00B64D59" w:rsidRPr="00B552B2" w:rsidRDefault="00B64D59" w:rsidP="00B64D59">
      <w:pPr>
        <w:rPr>
          <w:color w:val="auto"/>
          <w:sz w:val="20"/>
          <w:szCs w:val="20"/>
        </w:rPr>
      </w:pPr>
      <w:r w:rsidRPr="00B552B2">
        <w:rPr>
          <w:color w:val="auto"/>
          <w:sz w:val="20"/>
          <w:szCs w:val="20"/>
        </w:rPr>
        <w:t xml:space="preserve">Stakeholders will be kept informed as the project develops, including reporting on project environmental and social performance and implementation of the stakeholder engagement plan and grievance mechanism. </w:t>
      </w:r>
    </w:p>
    <w:p w14:paraId="7768971B" w14:textId="77777777" w:rsidR="00B64D59" w:rsidRDefault="00B64D59" w:rsidP="00B64D59">
      <w:pPr>
        <w:pStyle w:val="Heading2"/>
        <w:spacing w:after="218"/>
        <w:ind w:left="-5"/>
      </w:pPr>
      <w:r>
        <w:t>4. Resources and Responsibilities</w:t>
      </w:r>
      <w:r>
        <w:rPr>
          <w:b w:val="0"/>
        </w:rPr>
        <w:t xml:space="preserve"> </w:t>
      </w:r>
      <w:r>
        <w:t xml:space="preserve">for implementing stakeholder engagement activities </w:t>
      </w:r>
    </w:p>
    <w:p w14:paraId="0279E5E4" w14:textId="600644D9" w:rsidR="00B64D59" w:rsidRDefault="00B64D59" w:rsidP="00B64D59">
      <w:pPr>
        <w:pStyle w:val="Heading3"/>
        <w:ind w:left="701"/>
      </w:pPr>
      <w:r>
        <w:t>4.1. Resources</w:t>
      </w:r>
    </w:p>
    <w:p w14:paraId="37C4C114" w14:textId="7E47F8F8" w:rsidR="00C94D42" w:rsidRDefault="00C94D42" w:rsidP="00C94D42">
      <w:pPr>
        <w:rPr>
          <w:color w:val="auto"/>
          <w:sz w:val="20"/>
          <w:szCs w:val="20"/>
        </w:rPr>
      </w:pPr>
      <w:r>
        <w:rPr>
          <w:color w:val="auto"/>
          <w:sz w:val="20"/>
          <w:szCs w:val="20"/>
        </w:rPr>
        <w:t>The Project Director and project administrators from MOHHS will be responsible for day-to-day project management and project implementation. The project will not have a Project Implementation Unit (PIU). MOHHS will instead be supported by the Central Implementation Unit (CIU) which is housed within the Division of International Development Association (DIDA) under the Ministry of Finance, Postal and Banking Services (MOFPBS). The CIU was established by the RMI government under the direction of the World Bank in 2018. The purpose of the CIU is to maintain a staff of centrally-housed experts who support RMI ministries with World Bank funded projects. The CIU currently has two experienced safeguards specialists, one international and one national staff, who have been satisfactorily preparing and implementing World Bank safeguards instruments and monitoring environmental and social risks across the World Bank portfolio for over 18 months. These specialists are trained in the ESF and have prepared two ESF projects to date. The CIU is also in the process of recruiting a full-time social specialist who will provide additional support to the Portfolio and this Project. The additional social specialist is anticipated to start in June 2020.  The team has the capability and capacity to support MOHHS with ESF compliance.</w:t>
      </w:r>
    </w:p>
    <w:p w14:paraId="3B34F0DF" w14:textId="68AFB216" w:rsidR="00B64D59" w:rsidRPr="008F508A" w:rsidRDefault="00B64D59" w:rsidP="00B64D59">
      <w:pPr>
        <w:spacing w:after="0" w:line="240" w:lineRule="auto"/>
        <w:ind w:right="43"/>
        <w:rPr>
          <w:color w:val="auto"/>
          <w:sz w:val="20"/>
          <w:szCs w:val="20"/>
        </w:rPr>
      </w:pPr>
      <w:r w:rsidRPr="008F508A">
        <w:rPr>
          <w:color w:val="auto"/>
          <w:sz w:val="20"/>
          <w:szCs w:val="20"/>
        </w:rPr>
        <w:t xml:space="preserve">The budget for the SEP </w:t>
      </w:r>
      <w:r w:rsidR="00C47D17">
        <w:rPr>
          <w:color w:val="auto"/>
          <w:sz w:val="20"/>
          <w:szCs w:val="20"/>
        </w:rPr>
        <w:t xml:space="preserve">has not yet been determined but will be allocated in the final version of the SEP.  </w:t>
      </w:r>
    </w:p>
    <w:p w14:paraId="79097A9E" w14:textId="77777777" w:rsidR="00B64D59" w:rsidRDefault="00B64D59" w:rsidP="00B64D59">
      <w:pPr>
        <w:spacing w:after="0" w:line="240" w:lineRule="auto"/>
        <w:ind w:right="43"/>
        <w:rPr>
          <w:color w:val="FFFFFF" w:themeColor="background1"/>
          <w:sz w:val="20"/>
          <w:szCs w:val="20"/>
          <w:highlight w:val="darkGreen"/>
        </w:rPr>
      </w:pPr>
    </w:p>
    <w:p w14:paraId="7BB1F6E8" w14:textId="6B8C2686" w:rsidR="00B64D59" w:rsidRDefault="00B64D59" w:rsidP="00B64D59">
      <w:pPr>
        <w:pStyle w:val="Heading3"/>
        <w:ind w:left="701"/>
      </w:pPr>
      <w:r>
        <w:t xml:space="preserve">4.2. Management functions and responsibilities </w:t>
      </w:r>
    </w:p>
    <w:p w14:paraId="583A37D8" w14:textId="37A66CEE" w:rsidR="009029AF" w:rsidRDefault="00B64D59" w:rsidP="00052908">
      <w:pPr>
        <w:spacing w:after="0" w:line="240" w:lineRule="auto"/>
        <w:ind w:right="43"/>
        <w:rPr>
          <w:color w:val="auto"/>
          <w:sz w:val="20"/>
          <w:szCs w:val="20"/>
        </w:rPr>
      </w:pPr>
      <w:r>
        <w:rPr>
          <w:color w:val="auto"/>
          <w:sz w:val="20"/>
          <w:szCs w:val="20"/>
        </w:rPr>
        <w:t xml:space="preserve">The entities responsible for carrying out stakeholder engagement activities are </w:t>
      </w:r>
      <w:r w:rsidR="004F0F97">
        <w:rPr>
          <w:color w:val="auto"/>
          <w:sz w:val="20"/>
          <w:szCs w:val="20"/>
        </w:rPr>
        <w:t>MOHHS with and through the CIU</w:t>
      </w:r>
      <w:r w:rsidR="00052908">
        <w:rPr>
          <w:color w:val="auto"/>
          <w:sz w:val="20"/>
          <w:szCs w:val="20"/>
        </w:rPr>
        <w:t xml:space="preserve">. </w:t>
      </w:r>
      <w:r w:rsidR="009029AF" w:rsidRPr="009029AF">
        <w:rPr>
          <w:color w:val="auto"/>
          <w:sz w:val="20"/>
          <w:szCs w:val="20"/>
        </w:rPr>
        <w:t xml:space="preserve">The National Disaster Committee (NDC), chaired by the Chief Secretary will serve as the project steering committee (PSC). The </w:t>
      </w:r>
      <w:r w:rsidR="00136BD9">
        <w:rPr>
          <w:color w:val="auto"/>
          <w:sz w:val="20"/>
          <w:szCs w:val="20"/>
        </w:rPr>
        <w:t xml:space="preserve">PSC </w:t>
      </w:r>
      <w:r w:rsidR="009029AF" w:rsidRPr="009029AF">
        <w:rPr>
          <w:color w:val="auto"/>
          <w:sz w:val="20"/>
          <w:szCs w:val="20"/>
        </w:rPr>
        <w:t xml:space="preserve">will provide the oversight and guidance for the project implementation. The key responsibilities of the PSC are as follows: ensure the delivery of the project’s outputs and the attainments of outcomes by facilitating coordination, as necessary, amongst the </w:t>
      </w:r>
      <w:r w:rsidR="006719A9">
        <w:rPr>
          <w:color w:val="auto"/>
          <w:sz w:val="20"/>
          <w:szCs w:val="20"/>
        </w:rPr>
        <w:t>l</w:t>
      </w:r>
      <w:r w:rsidR="009029AF" w:rsidRPr="009029AF">
        <w:rPr>
          <w:color w:val="auto"/>
          <w:sz w:val="20"/>
          <w:szCs w:val="20"/>
        </w:rPr>
        <w:t xml:space="preserve">ine </w:t>
      </w:r>
      <w:r w:rsidR="006719A9">
        <w:rPr>
          <w:color w:val="auto"/>
          <w:sz w:val="20"/>
          <w:szCs w:val="20"/>
        </w:rPr>
        <w:t>m</w:t>
      </w:r>
      <w:r w:rsidR="009029AF" w:rsidRPr="009029AF">
        <w:rPr>
          <w:color w:val="auto"/>
          <w:sz w:val="20"/>
          <w:szCs w:val="20"/>
        </w:rPr>
        <w:t>inistries and Institutions participating in the NDC and by addressing coordination issues as they arise during the implementation of the project; review project progress reports as submitted by the Project Director</w:t>
      </w:r>
      <w:r w:rsidR="00F33A0F">
        <w:rPr>
          <w:color w:val="auto"/>
          <w:sz w:val="20"/>
          <w:szCs w:val="20"/>
        </w:rPr>
        <w:t xml:space="preserve"> </w:t>
      </w:r>
      <w:r w:rsidR="009029AF" w:rsidRPr="009029AF">
        <w:rPr>
          <w:color w:val="auto"/>
          <w:sz w:val="20"/>
          <w:szCs w:val="20"/>
        </w:rPr>
        <w:t>and make decision thereon; and assess all policy-related issues and provide guidance as needed.</w:t>
      </w:r>
    </w:p>
    <w:p w14:paraId="62D7FD52" w14:textId="77777777" w:rsidR="00052908" w:rsidRPr="009029AF" w:rsidRDefault="00052908" w:rsidP="00052908">
      <w:pPr>
        <w:spacing w:after="0" w:line="240" w:lineRule="auto"/>
        <w:ind w:right="43"/>
        <w:rPr>
          <w:color w:val="auto"/>
          <w:sz w:val="20"/>
          <w:szCs w:val="20"/>
        </w:rPr>
      </w:pPr>
    </w:p>
    <w:p w14:paraId="0E9C0745" w14:textId="00DD306D" w:rsidR="00C83C74" w:rsidRPr="00C83C74" w:rsidRDefault="00C83C74" w:rsidP="009029AF">
      <w:pPr>
        <w:rPr>
          <w:rFonts w:asciiTheme="minorHAnsi" w:hAnsiTheme="minorHAnsi" w:cstheme="minorHAnsi"/>
          <w:color w:val="auto"/>
          <w:sz w:val="20"/>
          <w:szCs w:val="20"/>
          <w:lang w:bidi="th-TH"/>
        </w:rPr>
      </w:pPr>
      <w:r w:rsidRPr="009029AF">
        <w:rPr>
          <w:color w:val="auto"/>
          <w:sz w:val="20"/>
          <w:szCs w:val="20"/>
        </w:rPr>
        <w:t>MOHHS</w:t>
      </w:r>
      <w:r w:rsidRPr="00C83C74">
        <w:rPr>
          <w:color w:val="auto"/>
          <w:sz w:val="20"/>
          <w:szCs w:val="20"/>
        </w:rPr>
        <w:t>/</w:t>
      </w:r>
      <w:r w:rsidR="00FD05F2">
        <w:rPr>
          <w:color w:val="auto"/>
          <w:sz w:val="20"/>
          <w:szCs w:val="20"/>
        </w:rPr>
        <w:t>CIU</w:t>
      </w:r>
      <w:r w:rsidR="006719A9">
        <w:rPr>
          <w:color w:val="auto"/>
          <w:sz w:val="20"/>
          <w:szCs w:val="20"/>
        </w:rPr>
        <w:t xml:space="preserve"> </w:t>
      </w:r>
      <w:r w:rsidRPr="00C83C74">
        <w:rPr>
          <w:color w:val="auto"/>
          <w:sz w:val="20"/>
          <w:szCs w:val="20"/>
        </w:rPr>
        <w:t>will be responsible for carrying out stakeholder engagement activities, while working closely together with other</w:t>
      </w:r>
      <w:r w:rsidRPr="00C83C74">
        <w:rPr>
          <w:rFonts w:asciiTheme="minorHAnsi" w:hAnsiTheme="minorHAnsi" w:cstheme="minorHAnsi"/>
          <w:color w:val="auto"/>
          <w:sz w:val="20"/>
          <w:szCs w:val="20"/>
          <w:lang w:bidi="th-TH"/>
        </w:rPr>
        <w:t xml:space="preserve"> entities, such as local government units, media outlets, health workers, UN agencies etc. </w:t>
      </w:r>
    </w:p>
    <w:p w14:paraId="12CFABB9" w14:textId="77777777" w:rsidR="00C83C74" w:rsidRPr="00C83C74" w:rsidRDefault="00C83C74" w:rsidP="00C83C74">
      <w:pPr>
        <w:autoSpaceDE w:val="0"/>
        <w:autoSpaceDN w:val="0"/>
        <w:adjustRightInd w:val="0"/>
        <w:spacing w:before="120" w:after="0" w:line="240" w:lineRule="auto"/>
        <w:jc w:val="left"/>
        <w:rPr>
          <w:rFonts w:asciiTheme="minorHAnsi" w:hAnsiTheme="minorHAnsi" w:cstheme="minorHAnsi"/>
          <w:color w:val="auto"/>
          <w:sz w:val="20"/>
          <w:szCs w:val="20"/>
          <w:lang w:bidi="th-TH"/>
        </w:rPr>
      </w:pPr>
      <w:r w:rsidRPr="00C83C74">
        <w:rPr>
          <w:rFonts w:asciiTheme="minorHAnsi" w:hAnsiTheme="minorHAnsi" w:cstheme="minorHAnsi"/>
          <w:color w:val="auto"/>
          <w:sz w:val="20"/>
          <w:szCs w:val="20"/>
          <w:lang w:bidi="th-TH"/>
        </w:rPr>
        <w:t>The stakeholder engagement activities will be documented through quarterly progress reports, to be shared with the World Bank.</w:t>
      </w:r>
    </w:p>
    <w:p w14:paraId="5B70F495" w14:textId="77777777" w:rsidR="00B64D59" w:rsidRPr="008F508A" w:rsidRDefault="00B64D59" w:rsidP="00B64D59">
      <w:pPr>
        <w:spacing w:after="0" w:line="240" w:lineRule="auto"/>
        <w:ind w:right="43"/>
        <w:rPr>
          <w:color w:val="auto"/>
          <w:sz w:val="20"/>
          <w:szCs w:val="20"/>
        </w:rPr>
      </w:pPr>
    </w:p>
    <w:p w14:paraId="1763EEE5" w14:textId="3C45DEA4" w:rsidR="00B64D59" w:rsidRDefault="00B64D59" w:rsidP="00B64D59">
      <w:pPr>
        <w:pStyle w:val="Heading2"/>
        <w:ind w:left="-5"/>
      </w:pPr>
      <w:r>
        <w:t>5. Grievance Mechanism</w:t>
      </w:r>
    </w:p>
    <w:p w14:paraId="285E1317" w14:textId="19819CC8" w:rsidR="004F595E" w:rsidRDefault="00B64D59" w:rsidP="00B64D59">
      <w:pPr>
        <w:spacing w:after="0" w:line="240" w:lineRule="auto"/>
        <w:ind w:left="0" w:firstLine="0"/>
        <w:rPr>
          <w:rFonts w:asciiTheme="minorHAnsi" w:eastAsia="Arial" w:hAnsiTheme="minorHAnsi" w:cstheme="minorHAnsi"/>
          <w:bCs/>
          <w:sz w:val="20"/>
          <w:szCs w:val="20"/>
          <w:lang w:val="en-GB"/>
        </w:rPr>
      </w:pPr>
      <w:r w:rsidRPr="00790F3E">
        <w:rPr>
          <w:rFonts w:asciiTheme="minorHAnsi" w:eastAsia="Arial" w:hAnsiTheme="minorHAnsi" w:cstheme="minorHAnsi"/>
          <w:bCs/>
          <w:sz w:val="20"/>
          <w:szCs w:val="20"/>
          <w:lang w:val="en-GB"/>
        </w:rPr>
        <w:t xml:space="preserve">The main objective of a </w:t>
      </w:r>
      <w:r w:rsidR="008538FE">
        <w:rPr>
          <w:rFonts w:asciiTheme="minorHAnsi" w:eastAsia="Arial" w:hAnsiTheme="minorHAnsi" w:cstheme="minorHAnsi"/>
          <w:bCs/>
          <w:sz w:val="20"/>
          <w:szCs w:val="20"/>
          <w:lang w:val="en-GB"/>
        </w:rPr>
        <w:t xml:space="preserve">stakeholder engagement </w:t>
      </w:r>
      <w:r w:rsidRPr="00790F3E">
        <w:rPr>
          <w:rFonts w:asciiTheme="minorHAnsi" w:eastAsia="Arial" w:hAnsiTheme="minorHAnsi" w:cstheme="minorHAnsi"/>
          <w:bCs/>
          <w:sz w:val="20"/>
          <w:szCs w:val="20"/>
          <w:lang w:val="en-GB"/>
        </w:rPr>
        <w:t xml:space="preserve">Grievance Mechanism (GM)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w:t>
      </w:r>
    </w:p>
    <w:p w14:paraId="2E655440" w14:textId="77777777" w:rsidR="004F595E" w:rsidRDefault="004F595E" w:rsidP="00B64D59">
      <w:pPr>
        <w:spacing w:after="0" w:line="240" w:lineRule="auto"/>
        <w:ind w:left="0" w:firstLine="0"/>
        <w:rPr>
          <w:rFonts w:asciiTheme="minorHAnsi" w:eastAsia="Arial" w:hAnsiTheme="minorHAnsi" w:cstheme="minorHAnsi"/>
          <w:bCs/>
          <w:sz w:val="20"/>
          <w:szCs w:val="20"/>
          <w:lang w:val="en-GB"/>
        </w:rPr>
      </w:pPr>
    </w:p>
    <w:p w14:paraId="6FD076D8" w14:textId="1C6866BF" w:rsidR="00B64D59" w:rsidRDefault="00B64D59" w:rsidP="00B64D59">
      <w:pPr>
        <w:spacing w:after="0" w:line="240" w:lineRule="auto"/>
        <w:ind w:left="0" w:firstLine="0"/>
        <w:rPr>
          <w:rFonts w:asciiTheme="minorHAnsi" w:eastAsia="Arial" w:hAnsiTheme="minorHAnsi" w:cstheme="minorHAnsi"/>
          <w:bCs/>
          <w:sz w:val="20"/>
          <w:szCs w:val="20"/>
          <w:lang w:val="en-GB"/>
        </w:rPr>
      </w:pPr>
      <w:r w:rsidRPr="00790F3E">
        <w:rPr>
          <w:rFonts w:asciiTheme="minorHAnsi" w:eastAsia="Arial" w:hAnsiTheme="minorHAnsi" w:cstheme="minorHAnsi"/>
          <w:bCs/>
          <w:sz w:val="20"/>
          <w:szCs w:val="20"/>
          <w:lang w:val="en-GB"/>
        </w:rPr>
        <w:t>Specifically, the GM:</w:t>
      </w:r>
    </w:p>
    <w:p w14:paraId="2EA48FA2" w14:textId="77777777" w:rsidR="004F595E" w:rsidRPr="00790F3E" w:rsidRDefault="004F595E" w:rsidP="00B64D59">
      <w:pPr>
        <w:spacing w:after="0" w:line="240" w:lineRule="auto"/>
        <w:ind w:left="0" w:firstLine="0"/>
        <w:rPr>
          <w:rFonts w:asciiTheme="minorHAnsi" w:eastAsia="Arial" w:hAnsiTheme="minorHAnsi" w:cstheme="minorHAnsi"/>
          <w:bCs/>
          <w:sz w:val="20"/>
          <w:szCs w:val="20"/>
          <w:lang w:val="en-GB"/>
        </w:rPr>
      </w:pPr>
    </w:p>
    <w:p w14:paraId="2B6C2A64" w14:textId="77777777" w:rsidR="00B64D59" w:rsidRPr="00790F3E"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lastRenderedPageBreak/>
        <w:t xml:space="preserve">Provides affected people with avenues for making a complaint or resolving any dispute that may arise </w:t>
      </w:r>
      <w:proofErr w:type="gramStart"/>
      <w:r w:rsidRPr="00790F3E">
        <w:rPr>
          <w:rFonts w:asciiTheme="minorHAnsi" w:eastAsia="Arial" w:hAnsiTheme="minorHAnsi" w:cstheme="minorHAnsi"/>
          <w:bCs/>
          <w:sz w:val="20"/>
          <w:szCs w:val="20"/>
        </w:rPr>
        <w:t>during the course of</w:t>
      </w:r>
      <w:proofErr w:type="gramEnd"/>
      <w:r w:rsidRPr="00790F3E">
        <w:rPr>
          <w:rFonts w:asciiTheme="minorHAnsi" w:eastAsia="Arial" w:hAnsiTheme="minorHAnsi" w:cstheme="minorHAnsi"/>
          <w:bCs/>
          <w:sz w:val="20"/>
          <w:szCs w:val="20"/>
        </w:rPr>
        <w:t xml:space="preserve"> the implementation of projects;</w:t>
      </w:r>
    </w:p>
    <w:p w14:paraId="6FA303C9" w14:textId="77777777" w:rsidR="00B64D59" w:rsidRPr="00790F3E"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Ensures that appropriate and mutually acceptable redress actions are identified and implemented to the satisfaction of complainants; and</w:t>
      </w:r>
    </w:p>
    <w:p w14:paraId="5BD51E78" w14:textId="77777777" w:rsidR="00B64D59" w:rsidRPr="00790F3E" w:rsidRDefault="00B64D59" w:rsidP="00B64D59">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Avoids the need to resort to judicial proceedings.</w:t>
      </w:r>
    </w:p>
    <w:p w14:paraId="19FEC387" w14:textId="77777777" w:rsidR="00B64D59" w:rsidRDefault="00B64D59" w:rsidP="00B64D59">
      <w:pPr>
        <w:spacing w:after="0" w:line="240" w:lineRule="auto"/>
        <w:ind w:right="43"/>
        <w:rPr>
          <w:color w:val="FFFFFF" w:themeColor="background1"/>
          <w:sz w:val="20"/>
          <w:szCs w:val="20"/>
          <w:highlight w:val="darkGreen"/>
        </w:rPr>
      </w:pPr>
    </w:p>
    <w:p w14:paraId="5D9FD507" w14:textId="6C3A68CD" w:rsidR="00B64D59" w:rsidRDefault="00B64D59" w:rsidP="00B64D59">
      <w:pPr>
        <w:pStyle w:val="Heading3"/>
        <w:ind w:left="701"/>
      </w:pPr>
      <w:r w:rsidRPr="00F67C52">
        <w:t>5.1. Description of GM</w:t>
      </w:r>
    </w:p>
    <w:p w14:paraId="5CFC342C" w14:textId="269BEC63" w:rsidR="00C1206E" w:rsidRDefault="00B64D59"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CA49E1">
        <w:rPr>
          <w:rFonts w:asciiTheme="minorHAnsi" w:hAnsiTheme="minorHAnsi" w:cstheme="minorHAnsi"/>
          <w:color w:val="auto"/>
          <w:sz w:val="20"/>
          <w:szCs w:val="20"/>
          <w:lang w:val="en-GB"/>
        </w:rPr>
        <w:t>G</w:t>
      </w:r>
      <w:r w:rsidRPr="00123217">
        <w:rPr>
          <w:rFonts w:asciiTheme="minorHAnsi" w:hAnsiTheme="minorHAnsi" w:cstheme="minorHAnsi"/>
          <w:color w:val="auto"/>
          <w:sz w:val="20"/>
          <w:szCs w:val="20"/>
          <w:lang w:val="en-GB"/>
        </w:rPr>
        <w:t xml:space="preserve">rievances </w:t>
      </w:r>
      <w:r w:rsidR="00C8510C">
        <w:rPr>
          <w:rFonts w:asciiTheme="minorHAnsi" w:hAnsiTheme="minorHAnsi" w:cstheme="minorHAnsi"/>
          <w:color w:val="auto"/>
          <w:sz w:val="20"/>
          <w:szCs w:val="20"/>
          <w:lang w:val="en-GB"/>
        </w:rPr>
        <w:t>handling i</w:t>
      </w:r>
      <w:r w:rsidR="00804225">
        <w:rPr>
          <w:rFonts w:asciiTheme="minorHAnsi" w:hAnsiTheme="minorHAnsi" w:cstheme="minorHAnsi"/>
          <w:color w:val="auto"/>
          <w:sz w:val="20"/>
          <w:szCs w:val="20"/>
          <w:lang w:val="en-GB"/>
        </w:rPr>
        <w:t>s</w:t>
      </w:r>
      <w:r w:rsidR="00C8510C">
        <w:rPr>
          <w:rFonts w:asciiTheme="minorHAnsi" w:hAnsiTheme="minorHAnsi" w:cstheme="minorHAnsi"/>
          <w:color w:val="auto"/>
          <w:sz w:val="20"/>
          <w:szCs w:val="20"/>
          <w:lang w:val="en-GB"/>
        </w:rPr>
        <w:t xml:space="preserve"> the </w:t>
      </w:r>
      <w:r w:rsidR="00804225">
        <w:rPr>
          <w:rFonts w:asciiTheme="minorHAnsi" w:hAnsiTheme="minorHAnsi" w:cstheme="minorHAnsi"/>
          <w:color w:val="auto"/>
          <w:sz w:val="20"/>
          <w:szCs w:val="20"/>
          <w:lang w:val="en-GB"/>
        </w:rPr>
        <w:t xml:space="preserve">ultimate </w:t>
      </w:r>
      <w:r w:rsidR="00C8510C">
        <w:rPr>
          <w:rFonts w:asciiTheme="minorHAnsi" w:hAnsiTheme="minorHAnsi" w:cstheme="minorHAnsi"/>
          <w:color w:val="auto"/>
          <w:sz w:val="20"/>
          <w:szCs w:val="20"/>
          <w:lang w:val="en-GB"/>
        </w:rPr>
        <w:t>responsibility of</w:t>
      </w:r>
      <w:r w:rsidR="00804225">
        <w:rPr>
          <w:rFonts w:asciiTheme="minorHAnsi" w:hAnsiTheme="minorHAnsi" w:cstheme="minorHAnsi"/>
          <w:color w:val="auto"/>
          <w:sz w:val="20"/>
          <w:szCs w:val="20"/>
          <w:lang w:val="en-GB"/>
        </w:rPr>
        <w:t xml:space="preserve"> the</w:t>
      </w:r>
      <w:r w:rsidR="00C8510C">
        <w:rPr>
          <w:rFonts w:asciiTheme="minorHAnsi" w:hAnsiTheme="minorHAnsi" w:cstheme="minorHAnsi"/>
          <w:color w:val="auto"/>
          <w:sz w:val="20"/>
          <w:szCs w:val="20"/>
          <w:lang w:val="en-GB"/>
        </w:rPr>
        <w:t xml:space="preserve"> </w:t>
      </w:r>
      <w:r w:rsidR="004F0F97">
        <w:rPr>
          <w:rFonts w:asciiTheme="minorHAnsi" w:hAnsiTheme="minorHAnsi" w:cstheme="minorHAnsi"/>
          <w:color w:val="auto"/>
          <w:sz w:val="20"/>
          <w:szCs w:val="20"/>
          <w:lang w:val="en-GB"/>
        </w:rPr>
        <w:t xml:space="preserve">MOHHS </w:t>
      </w:r>
      <w:r w:rsidR="00804225">
        <w:rPr>
          <w:rFonts w:asciiTheme="minorHAnsi" w:hAnsiTheme="minorHAnsi" w:cstheme="minorHAnsi"/>
          <w:color w:val="auto"/>
          <w:sz w:val="20"/>
          <w:szCs w:val="20"/>
          <w:lang w:val="en-GB"/>
        </w:rPr>
        <w:t>Project management team (</w:t>
      </w:r>
      <w:r w:rsidR="004F0F97">
        <w:rPr>
          <w:rFonts w:asciiTheme="minorHAnsi" w:hAnsiTheme="minorHAnsi" w:cstheme="minorHAnsi"/>
          <w:color w:val="auto"/>
          <w:sz w:val="20"/>
          <w:szCs w:val="20"/>
          <w:lang w:val="en-GB"/>
        </w:rPr>
        <w:t xml:space="preserve">the </w:t>
      </w:r>
      <w:r w:rsidR="004F595E" w:rsidRPr="00E41CFC">
        <w:rPr>
          <w:rFonts w:asciiTheme="minorHAnsi" w:hAnsiTheme="minorHAnsi" w:cstheme="minorHAnsi"/>
          <w:color w:val="auto"/>
          <w:sz w:val="20"/>
          <w:szCs w:val="20"/>
          <w:lang w:val="en-GB"/>
        </w:rPr>
        <w:t xml:space="preserve">Project </w:t>
      </w:r>
      <w:r w:rsidR="00052908" w:rsidRPr="00E41CFC">
        <w:rPr>
          <w:rFonts w:asciiTheme="minorHAnsi" w:hAnsiTheme="minorHAnsi" w:cstheme="minorHAnsi"/>
          <w:color w:val="auto"/>
          <w:sz w:val="20"/>
          <w:szCs w:val="20"/>
          <w:lang w:val="en-GB"/>
        </w:rPr>
        <w:t xml:space="preserve">Director and </w:t>
      </w:r>
      <w:r w:rsidR="00BF337D">
        <w:rPr>
          <w:rFonts w:asciiTheme="minorHAnsi" w:hAnsiTheme="minorHAnsi" w:cstheme="minorHAnsi"/>
          <w:color w:val="auto"/>
          <w:sz w:val="20"/>
          <w:szCs w:val="20"/>
          <w:lang w:val="en-GB"/>
        </w:rPr>
        <w:t>P</w:t>
      </w:r>
      <w:r w:rsidR="00052908" w:rsidRPr="00E41CFC">
        <w:rPr>
          <w:rFonts w:asciiTheme="minorHAnsi" w:hAnsiTheme="minorHAnsi" w:cstheme="minorHAnsi"/>
          <w:color w:val="auto"/>
          <w:sz w:val="20"/>
          <w:szCs w:val="20"/>
          <w:lang w:val="en-GB"/>
        </w:rPr>
        <w:t>roject Administer</w:t>
      </w:r>
      <w:r w:rsidR="00C8510C">
        <w:rPr>
          <w:rFonts w:asciiTheme="minorHAnsi" w:hAnsiTheme="minorHAnsi" w:cstheme="minorHAnsi"/>
          <w:color w:val="auto"/>
          <w:sz w:val="20"/>
          <w:szCs w:val="20"/>
          <w:lang w:val="en-GB"/>
        </w:rPr>
        <w:t>s</w:t>
      </w:r>
      <w:r w:rsidR="00804225">
        <w:rPr>
          <w:rFonts w:asciiTheme="minorHAnsi" w:hAnsiTheme="minorHAnsi" w:cstheme="minorHAnsi"/>
          <w:color w:val="auto"/>
          <w:sz w:val="20"/>
          <w:szCs w:val="20"/>
          <w:lang w:val="en-GB"/>
        </w:rPr>
        <w:t>)</w:t>
      </w:r>
      <w:r w:rsidR="00C8510C">
        <w:rPr>
          <w:rFonts w:asciiTheme="minorHAnsi" w:hAnsiTheme="minorHAnsi" w:cstheme="minorHAnsi"/>
          <w:color w:val="auto"/>
          <w:sz w:val="20"/>
          <w:szCs w:val="20"/>
          <w:lang w:val="en-GB"/>
        </w:rPr>
        <w:t xml:space="preserve">. The CIU </w:t>
      </w:r>
      <w:r w:rsidR="00804225">
        <w:rPr>
          <w:rFonts w:asciiTheme="minorHAnsi" w:hAnsiTheme="minorHAnsi" w:cstheme="minorHAnsi"/>
          <w:color w:val="auto"/>
          <w:sz w:val="20"/>
          <w:szCs w:val="20"/>
          <w:lang w:val="en-GB"/>
        </w:rPr>
        <w:t>will</w:t>
      </w:r>
      <w:r w:rsidR="00C8510C">
        <w:rPr>
          <w:rFonts w:asciiTheme="minorHAnsi" w:hAnsiTheme="minorHAnsi" w:cstheme="minorHAnsi"/>
          <w:color w:val="auto"/>
          <w:sz w:val="20"/>
          <w:szCs w:val="20"/>
          <w:lang w:val="en-GB"/>
        </w:rPr>
        <w:t xml:space="preserve"> support</w:t>
      </w:r>
      <w:r w:rsidR="002A031A">
        <w:rPr>
          <w:rFonts w:asciiTheme="minorHAnsi" w:hAnsiTheme="minorHAnsi" w:cstheme="minorHAnsi"/>
          <w:color w:val="auto"/>
          <w:sz w:val="20"/>
          <w:szCs w:val="20"/>
          <w:lang w:val="en-GB"/>
        </w:rPr>
        <w:t xml:space="preserve"> the MOHSS as</w:t>
      </w:r>
      <w:r w:rsidR="008C6168">
        <w:rPr>
          <w:rFonts w:asciiTheme="minorHAnsi" w:hAnsiTheme="minorHAnsi" w:cstheme="minorHAnsi"/>
          <w:color w:val="auto"/>
          <w:sz w:val="20"/>
          <w:szCs w:val="20"/>
          <w:lang w:val="en-GB"/>
        </w:rPr>
        <w:t xml:space="preserve"> administrators of the GM. The CIU will </w:t>
      </w:r>
      <w:r w:rsidR="002A031A">
        <w:rPr>
          <w:rFonts w:asciiTheme="minorHAnsi" w:hAnsiTheme="minorHAnsi" w:cstheme="minorHAnsi"/>
          <w:color w:val="auto"/>
          <w:sz w:val="20"/>
          <w:szCs w:val="20"/>
          <w:lang w:val="en-GB"/>
        </w:rPr>
        <w:t>collect grievances issued to the hospitals or MOHSS</w:t>
      </w:r>
      <w:r w:rsidR="0072009B">
        <w:rPr>
          <w:rFonts w:asciiTheme="minorHAnsi" w:hAnsiTheme="minorHAnsi" w:cstheme="minorHAnsi"/>
          <w:color w:val="auto"/>
          <w:sz w:val="20"/>
          <w:szCs w:val="20"/>
          <w:lang w:val="en-GB"/>
        </w:rPr>
        <w:t>;</w:t>
      </w:r>
      <w:r w:rsidR="002A031A">
        <w:rPr>
          <w:rFonts w:asciiTheme="minorHAnsi" w:hAnsiTheme="minorHAnsi" w:cstheme="minorHAnsi"/>
          <w:color w:val="auto"/>
          <w:sz w:val="20"/>
          <w:szCs w:val="20"/>
          <w:lang w:val="en-GB"/>
        </w:rPr>
        <w:t xml:space="preserve"> </w:t>
      </w:r>
      <w:r w:rsidR="008C6168">
        <w:rPr>
          <w:rFonts w:asciiTheme="minorHAnsi" w:hAnsiTheme="minorHAnsi" w:cstheme="minorHAnsi"/>
          <w:color w:val="auto"/>
          <w:sz w:val="20"/>
          <w:szCs w:val="20"/>
          <w:lang w:val="en-GB"/>
        </w:rPr>
        <w:t>receive</w:t>
      </w:r>
      <w:r w:rsidR="002A031A">
        <w:rPr>
          <w:rFonts w:asciiTheme="minorHAnsi" w:hAnsiTheme="minorHAnsi" w:cstheme="minorHAnsi"/>
          <w:color w:val="auto"/>
          <w:sz w:val="20"/>
          <w:szCs w:val="20"/>
          <w:lang w:val="en-GB"/>
        </w:rPr>
        <w:t xml:space="preserve"> grievances directly</w:t>
      </w:r>
      <w:r w:rsidR="0072009B">
        <w:rPr>
          <w:rFonts w:asciiTheme="minorHAnsi" w:hAnsiTheme="minorHAnsi" w:cstheme="minorHAnsi"/>
          <w:color w:val="auto"/>
          <w:sz w:val="20"/>
          <w:szCs w:val="20"/>
          <w:lang w:val="en-GB"/>
        </w:rPr>
        <w:t>;</w:t>
      </w:r>
      <w:r w:rsidR="008C6168">
        <w:rPr>
          <w:rFonts w:asciiTheme="minorHAnsi" w:hAnsiTheme="minorHAnsi" w:cstheme="minorHAnsi"/>
          <w:color w:val="auto"/>
          <w:sz w:val="20"/>
          <w:szCs w:val="20"/>
          <w:lang w:val="en-GB"/>
        </w:rPr>
        <w:t xml:space="preserve"> record</w:t>
      </w:r>
      <w:r w:rsidR="002A031A">
        <w:rPr>
          <w:rFonts w:asciiTheme="minorHAnsi" w:hAnsiTheme="minorHAnsi" w:cstheme="minorHAnsi"/>
          <w:color w:val="auto"/>
          <w:sz w:val="20"/>
          <w:szCs w:val="20"/>
          <w:lang w:val="en-GB"/>
        </w:rPr>
        <w:t xml:space="preserve"> grievance</w:t>
      </w:r>
      <w:r w:rsidR="008C6168">
        <w:rPr>
          <w:rFonts w:asciiTheme="minorHAnsi" w:hAnsiTheme="minorHAnsi" w:cstheme="minorHAnsi"/>
          <w:color w:val="auto"/>
          <w:sz w:val="20"/>
          <w:szCs w:val="20"/>
          <w:lang w:val="en-GB"/>
        </w:rPr>
        <w:t xml:space="preserve"> and ensure</w:t>
      </w:r>
      <w:r w:rsidR="002A031A">
        <w:rPr>
          <w:rFonts w:asciiTheme="minorHAnsi" w:hAnsiTheme="minorHAnsi" w:cstheme="minorHAnsi"/>
          <w:color w:val="auto"/>
          <w:sz w:val="20"/>
          <w:szCs w:val="20"/>
          <w:lang w:val="en-GB"/>
        </w:rPr>
        <w:t xml:space="preserve"> a</w:t>
      </w:r>
      <w:r w:rsidR="008C6168">
        <w:rPr>
          <w:rFonts w:asciiTheme="minorHAnsi" w:hAnsiTheme="minorHAnsi" w:cstheme="minorHAnsi"/>
          <w:color w:val="auto"/>
          <w:sz w:val="20"/>
          <w:szCs w:val="20"/>
          <w:lang w:val="en-GB"/>
        </w:rPr>
        <w:t xml:space="preserve"> timely response </w:t>
      </w:r>
      <w:r w:rsidR="002A031A">
        <w:rPr>
          <w:rFonts w:asciiTheme="minorHAnsi" w:hAnsiTheme="minorHAnsi" w:cstheme="minorHAnsi"/>
          <w:color w:val="auto"/>
          <w:sz w:val="20"/>
          <w:szCs w:val="20"/>
          <w:lang w:val="en-GB"/>
        </w:rPr>
        <w:t xml:space="preserve">to the complainant. </w:t>
      </w:r>
      <w:r w:rsidR="001A5100">
        <w:rPr>
          <w:rFonts w:asciiTheme="minorHAnsi" w:hAnsiTheme="minorHAnsi" w:cstheme="minorHAnsi"/>
          <w:color w:val="auto"/>
          <w:sz w:val="20"/>
          <w:szCs w:val="20"/>
          <w:lang w:val="en-GB"/>
        </w:rPr>
        <w:t>Individuals can lodge information requests and/or complaints on an identified or anonymous basis through the following established portals</w:t>
      </w:r>
      <w:r w:rsidR="0072009B">
        <w:rPr>
          <w:rFonts w:asciiTheme="minorHAnsi" w:hAnsiTheme="minorHAnsi" w:cstheme="minorHAnsi"/>
          <w:color w:val="auto"/>
          <w:sz w:val="20"/>
          <w:szCs w:val="20"/>
          <w:lang w:val="en-GB"/>
        </w:rPr>
        <w:t>. GM details will be widely distributed as part of the SEP implementation</w:t>
      </w:r>
      <w:r w:rsidR="003D5ED2">
        <w:rPr>
          <w:rFonts w:asciiTheme="minorHAnsi" w:hAnsiTheme="minorHAnsi" w:cstheme="minorHAnsi"/>
          <w:color w:val="auto"/>
          <w:sz w:val="20"/>
          <w:szCs w:val="20"/>
          <w:lang w:val="en-GB"/>
        </w:rPr>
        <w:t>, preliminary details</w:t>
      </w:r>
      <w:r w:rsidR="0072009B">
        <w:rPr>
          <w:rFonts w:asciiTheme="minorHAnsi" w:hAnsiTheme="minorHAnsi" w:cstheme="minorHAnsi"/>
          <w:color w:val="auto"/>
          <w:sz w:val="20"/>
          <w:szCs w:val="20"/>
          <w:lang w:val="en-GB"/>
        </w:rPr>
        <w:t>:</w:t>
      </w:r>
      <w:r w:rsidR="001A5100">
        <w:rPr>
          <w:rFonts w:asciiTheme="minorHAnsi" w:hAnsiTheme="minorHAnsi" w:cstheme="minorHAnsi"/>
          <w:color w:val="auto"/>
          <w:sz w:val="20"/>
          <w:szCs w:val="20"/>
          <w:lang w:val="en-GB"/>
        </w:rPr>
        <w:t xml:space="preserve"> </w:t>
      </w:r>
    </w:p>
    <w:p w14:paraId="6E80D3D5" w14:textId="77777777" w:rsidR="00C1206E" w:rsidRDefault="00C1206E"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Arial" w:hAnsiTheme="minorHAnsi" w:cstheme="minorHAnsi"/>
          <w:b/>
          <w:bCs/>
          <w:sz w:val="20"/>
          <w:szCs w:val="20"/>
        </w:rPr>
      </w:pPr>
    </w:p>
    <w:p w14:paraId="583F8539" w14:textId="7D819011" w:rsidR="00C1206E" w:rsidRDefault="0030768E"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Arial" w:hAnsiTheme="minorHAnsi" w:cstheme="minorHAnsi"/>
          <w:bCs/>
          <w:sz w:val="20"/>
          <w:szCs w:val="20"/>
        </w:rPr>
      </w:pPr>
      <w:r w:rsidRPr="00315520">
        <w:rPr>
          <w:rFonts w:asciiTheme="minorHAnsi" w:eastAsia="Arial" w:hAnsiTheme="minorHAnsi" w:cstheme="minorHAnsi"/>
          <w:b/>
          <w:bCs/>
          <w:sz w:val="20"/>
          <w:szCs w:val="20"/>
        </w:rPr>
        <w:t xml:space="preserve">RMI COVID19 Emergency Response </w:t>
      </w:r>
      <w:r w:rsidR="002A031A" w:rsidRPr="00315520">
        <w:rPr>
          <w:rFonts w:asciiTheme="minorHAnsi" w:eastAsia="Arial" w:hAnsiTheme="minorHAnsi" w:cstheme="minorHAnsi"/>
          <w:b/>
          <w:bCs/>
          <w:sz w:val="20"/>
          <w:szCs w:val="20"/>
        </w:rPr>
        <w:t>Grievance Mechanism</w:t>
      </w:r>
      <w:r w:rsidRPr="00315520">
        <w:rPr>
          <w:rFonts w:asciiTheme="minorHAnsi" w:eastAsia="Arial" w:hAnsiTheme="minorHAnsi" w:cstheme="minorHAnsi"/>
          <w:b/>
          <w:bCs/>
          <w:sz w:val="20"/>
          <w:szCs w:val="20"/>
        </w:rPr>
        <w:t>.</w:t>
      </w:r>
      <w:r>
        <w:rPr>
          <w:rFonts w:asciiTheme="minorHAnsi" w:eastAsia="Arial" w:hAnsiTheme="minorHAnsi" w:cstheme="minorHAnsi"/>
          <w:bCs/>
          <w:sz w:val="20"/>
          <w:szCs w:val="20"/>
        </w:rPr>
        <w:t xml:space="preserve"> </w:t>
      </w:r>
    </w:p>
    <w:p w14:paraId="0ADD95DE" w14:textId="77777777" w:rsidR="00C1206E" w:rsidRDefault="002A031A"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eastAsia="Arial" w:hAnsiTheme="minorHAnsi" w:cstheme="minorHAnsi"/>
          <w:bCs/>
          <w:sz w:val="20"/>
          <w:szCs w:val="20"/>
        </w:rPr>
        <w:t>Contact person</w:t>
      </w:r>
      <w:r w:rsidR="00D8748B">
        <w:rPr>
          <w:rFonts w:asciiTheme="minorHAnsi" w:eastAsia="Arial" w:hAnsiTheme="minorHAnsi" w:cstheme="minorHAnsi"/>
          <w:bCs/>
          <w:sz w:val="20"/>
          <w:szCs w:val="20"/>
        </w:rPr>
        <w:t xml:space="preserve">: </w:t>
      </w:r>
      <w:r w:rsidR="0030768E">
        <w:rPr>
          <w:rFonts w:asciiTheme="minorHAnsi" w:hAnsiTheme="minorHAnsi" w:cstheme="minorHAnsi"/>
          <w:color w:val="auto"/>
          <w:sz w:val="20"/>
          <w:szCs w:val="20"/>
          <w:lang w:val="en-GB"/>
        </w:rPr>
        <w:t>CIU</w:t>
      </w:r>
      <w:r w:rsidR="0030768E" w:rsidRPr="0038355F">
        <w:rPr>
          <w:rFonts w:asciiTheme="minorHAnsi" w:hAnsiTheme="minorHAnsi" w:cstheme="minorHAnsi"/>
          <w:color w:val="auto"/>
          <w:sz w:val="20"/>
          <w:szCs w:val="20"/>
          <w:lang w:val="en-GB"/>
        </w:rPr>
        <w:t xml:space="preserve"> Safeguards Advisor Garry Venus</w:t>
      </w:r>
      <w:r w:rsidR="0030768E">
        <w:rPr>
          <w:rFonts w:asciiTheme="minorHAnsi" w:hAnsiTheme="minorHAnsi" w:cstheme="minorHAnsi"/>
          <w:color w:val="auto"/>
          <w:sz w:val="20"/>
          <w:szCs w:val="20"/>
          <w:lang w:val="en-GB"/>
        </w:rPr>
        <w:t xml:space="preserve">. </w:t>
      </w:r>
    </w:p>
    <w:p w14:paraId="19757C72" w14:textId="77777777" w:rsidR="00C1206E" w:rsidRDefault="0030768E"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Phone:</w:t>
      </w:r>
      <w:r w:rsidRPr="0038355F">
        <w:rPr>
          <w:rFonts w:asciiTheme="minorHAnsi" w:hAnsiTheme="minorHAnsi" w:cstheme="minorHAnsi"/>
          <w:color w:val="auto"/>
          <w:sz w:val="20"/>
          <w:szCs w:val="20"/>
          <w:lang w:val="en-GB"/>
        </w:rPr>
        <w:t xml:space="preserve"> (692) 455 3648</w:t>
      </w:r>
      <w:r>
        <w:rPr>
          <w:rFonts w:asciiTheme="minorHAnsi" w:hAnsiTheme="minorHAnsi" w:cstheme="minorHAnsi"/>
          <w:color w:val="auto"/>
          <w:sz w:val="20"/>
          <w:szCs w:val="20"/>
          <w:lang w:val="en-GB"/>
        </w:rPr>
        <w:t xml:space="preserve">. </w:t>
      </w:r>
    </w:p>
    <w:p w14:paraId="1D898B5E" w14:textId="77777777" w:rsidR="00C1206E" w:rsidRDefault="0030768E"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Email: </w:t>
      </w:r>
      <w:hyperlink r:id="rId14" w:history="1">
        <w:r w:rsidRPr="005E643B">
          <w:rPr>
            <w:rStyle w:val="Hyperlink"/>
            <w:rFonts w:asciiTheme="minorHAnsi" w:hAnsiTheme="minorHAnsi" w:cstheme="minorHAnsi"/>
            <w:color w:val="000000" w:themeColor="text1"/>
            <w:sz w:val="20"/>
            <w:szCs w:val="20"/>
            <w:lang w:val="en-GB"/>
          </w:rPr>
          <w:t>gazza700@gmail.com</w:t>
        </w:r>
      </w:hyperlink>
      <w:r>
        <w:rPr>
          <w:rFonts w:asciiTheme="minorHAnsi" w:hAnsiTheme="minorHAnsi" w:cstheme="minorHAnsi"/>
          <w:color w:val="auto"/>
          <w:sz w:val="20"/>
          <w:szCs w:val="20"/>
          <w:lang w:val="en-GB"/>
        </w:rPr>
        <w:t xml:space="preserve">. </w:t>
      </w:r>
    </w:p>
    <w:p w14:paraId="160CA0CD" w14:textId="77777777" w:rsidR="00C1206E" w:rsidRDefault="00C1206E"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Mail </w:t>
      </w:r>
      <w:r w:rsidR="0030768E">
        <w:rPr>
          <w:rFonts w:asciiTheme="minorHAnsi" w:hAnsiTheme="minorHAnsi" w:cstheme="minorHAnsi"/>
          <w:color w:val="auto"/>
          <w:sz w:val="20"/>
          <w:szCs w:val="20"/>
          <w:lang w:val="en-GB"/>
        </w:rPr>
        <w:t xml:space="preserve">Address: </w:t>
      </w:r>
      <w:r w:rsidR="0030768E" w:rsidRPr="00F57324">
        <w:rPr>
          <w:rFonts w:asciiTheme="minorHAnsi" w:eastAsia="Arial" w:hAnsiTheme="minorHAnsi" w:cstheme="minorHAnsi"/>
          <w:bCs/>
          <w:sz w:val="20"/>
          <w:szCs w:val="20"/>
        </w:rPr>
        <w:t>DIDA</w:t>
      </w:r>
      <w:r w:rsidR="0030768E" w:rsidRPr="00315520">
        <w:rPr>
          <w:rFonts w:asciiTheme="minorHAnsi" w:hAnsiTheme="minorHAnsi" w:cstheme="minorHAnsi"/>
          <w:color w:val="auto"/>
          <w:sz w:val="20"/>
          <w:szCs w:val="20"/>
          <w:lang w:val="en-GB"/>
        </w:rPr>
        <w:t>, P.O. Box D Majuro, MH 96960.</w:t>
      </w:r>
      <w:r w:rsidR="00173FED">
        <w:rPr>
          <w:rFonts w:asciiTheme="minorHAnsi" w:hAnsiTheme="minorHAnsi" w:cstheme="minorHAnsi"/>
          <w:color w:val="auto"/>
          <w:sz w:val="20"/>
          <w:szCs w:val="20"/>
          <w:lang w:val="en-GB"/>
        </w:rPr>
        <w:t xml:space="preserve"> </w:t>
      </w:r>
    </w:p>
    <w:p w14:paraId="7D7B5225" w14:textId="46C84DFB" w:rsidR="004F0F97" w:rsidRPr="00E41CFC" w:rsidRDefault="00AC3603" w:rsidP="00B64D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315520">
        <w:rPr>
          <w:rFonts w:asciiTheme="minorHAnsi" w:hAnsiTheme="minorHAnsi" w:cstheme="minorHAnsi"/>
          <w:color w:val="auto"/>
          <w:sz w:val="20"/>
          <w:szCs w:val="20"/>
          <w:lang w:val="en-GB"/>
        </w:rPr>
        <w:t>Facebook:</w:t>
      </w:r>
      <w:r w:rsidR="00173FED" w:rsidRPr="00315520">
        <w:rPr>
          <w:rFonts w:asciiTheme="minorHAnsi" w:hAnsiTheme="minorHAnsi" w:cstheme="minorHAnsi"/>
          <w:color w:val="auto"/>
          <w:sz w:val="20"/>
          <w:szCs w:val="20"/>
          <w:lang w:val="en-GB"/>
        </w:rPr>
        <w:t xml:space="preserve"> https://www.facebook.com/rmimoh/</w:t>
      </w:r>
      <w:r w:rsidR="00173FED">
        <w:rPr>
          <w:rFonts w:asciiTheme="minorHAnsi" w:hAnsiTheme="minorHAnsi" w:cstheme="minorHAnsi"/>
          <w:color w:val="auto"/>
          <w:sz w:val="20"/>
          <w:szCs w:val="20"/>
          <w:lang w:val="en-GB"/>
        </w:rPr>
        <w:t>.</w:t>
      </w:r>
      <w:r w:rsidRPr="00315520">
        <w:rPr>
          <w:rFonts w:asciiTheme="minorHAnsi" w:hAnsiTheme="minorHAnsi" w:cstheme="minorHAnsi"/>
          <w:color w:val="auto"/>
          <w:sz w:val="20"/>
          <w:szCs w:val="20"/>
          <w:lang w:val="en-GB"/>
        </w:rPr>
        <w:t xml:space="preserve"> </w:t>
      </w:r>
    </w:p>
    <w:p w14:paraId="6FFE56D4" w14:textId="47BA6728" w:rsidR="004F0F97" w:rsidRPr="00BB72C9" w:rsidRDefault="00B64D59" w:rsidP="00BB72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123217">
        <w:rPr>
          <w:rFonts w:asciiTheme="minorHAnsi" w:hAnsiTheme="minorHAnsi" w:cstheme="minorHAnsi"/>
          <w:color w:val="auto"/>
          <w:sz w:val="20"/>
          <w:szCs w:val="20"/>
          <w:lang w:val="en-GB"/>
        </w:rPr>
        <w:t xml:space="preserve"> </w:t>
      </w:r>
    </w:p>
    <w:p w14:paraId="314C3781" w14:textId="3446BFE9" w:rsidR="00F35600" w:rsidRPr="00315520" w:rsidRDefault="004F0F97" w:rsidP="0031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Arial" w:hAnsiTheme="minorHAnsi" w:cstheme="minorHAnsi"/>
          <w:bCs/>
          <w:sz w:val="20"/>
          <w:szCs w:val="20"/>
        </w:rPr>
      </w:pPr>
      <w:r w:rsidRPr="00123217">
        <w:rPr>
          <w:rFonts w:asciiTheme="minorHAnsi" w:hAnsiTheme="minorHAnsi" w:cstheme="minorHAnsi"/>
          <w:color w:val="auto"/>
          <w:sz w:val="20"/>
          <w:szCs w:val="20"/>
          <w:lang w:val="en-GB"/>
        </w:rPr>
        <w:t>The GM will include the following steps:</w:t>
      </w:r>
    </w:p>
    <w:p w14:paraId="108C02AF" w14:textId="15FCE271" w:rsidR="00C35F5B" w:rsidRPr="002A028E" w:rsidRDefault="0030768E" w:rsidP="00315520">
      <w:pPr>
        <w:numPr>
          <w:ilvl w:val="0"/>
          <w:numId w:val="17"/>
        </w:numPr>
        <w:spacing w:after="0" w:line="240" w:lineRule="auto"/>
        <w:contextualSpacing/>
        <w:jc w:val="left"/>
        <w:rPr>
          <w:rFonts w:asciiTheme="minorHAnsi" w:eastAsia="Arial" w:hAnsiTheme="minorHAnsi" w:cstheme="minorHAnsi"/>
          <w:bCs/>
          <w:sz w:val="20"/>
          <w:szCs w:val="20"/>
        </w:rPr>
      </w:pPr>
      <w:r>
        <w:rPr>
          <w:rFonts w:eastAsia="Times New Roman"/>
          <w:sz w:val="20"/>
          <w:szCs w:val="20"/>
        </w:rPr>
        <w:t>S</w:t>
      </w:r>
      <w:r w:rsidR="009405B5" w:rsidRPr="00B26FD4">
        <w:rPr>
          <w:rFonts w:eastAsia="Times New Roman"/>
          <w:sz w:val="20"/>
          <w:szCs w:val="20"/>
        </w:rPr>
        <w:t xml:space="preserve">tep </w:t>
      </w:r>
      <w:r>
        <w:rPr>
          <w:rFonts w:eastAsia="Times New Roman"/>
          <w:sz w:val="20"/>
          <w:szCs w:val="20"/>
        </w:rPr>
        <w:t>1</w:t>
      </w:r>
      <w:r w:rsidR="009405B5" w:rsidRPr="00B26FD4">
        <w:rPr>
          <w:rFonts w:eastAsia="Times New Roman"/>
          <w:sz w:val="20"/>
          <w:szCs w:val="20"/>
        </w:rPr>
        <w:t xml:space="preserve">: </w:t>
      </w:r>
      <w:r w:rsidR="004F0F97" w:rsidRPr="002A028E">
        <w:rPr>
          <w:rFonts w:asciiTheme="minorHAnsi" w:eastAsia="Arial" w:hAnsiTheme="minorHAnsi" w:cstheme="minorHAnsi"/>
          <w:bCs/>
          <w:sz w:val="20"/>
          <w:szCs w:val="20"/>
        </w:rPr>
        <w:t>Submission of grievances</w:t>
      </w:r>
      <w:r w:rsidR="00AC3603">
        <w:rPr>
          <w:rFonts w:asciiTheme="minorHAnsi" w:eastAsia="Arial" w:hAnsiTheme="minorHAnsi" w:cstheme="minorHAnsi"/>
          <w:bCs/>
          <w:sz w:val="20"/>
          <w:szCs w:val="20"/>
        </w:rPr>
        <w:t xml:space="preserve"> and/or information request</w:t>
      </w:r>
      <w:r w:rsidR="004F0F97" w:rsidRPr="002A028E">
        <w:rPr>
          <w:rFonts w:asciiTheme="minorHAnsi" w:eastAsia="Arial" w:hAnsiTheme="minorHAnsi" w:cstheme="minorHAnsi"/>
          <w:bCs/>
          <w:sz w:val="20"/>
          <w:szCs w:val="20"/>
        </w:rPr>
        <w:t xml:space="preserve"> either orally or in writing to </w:t>
      </w:r>
      <w:r w:rsidR="004F0F97" w:rsidRPr="00640702">
        <w:rPr>
          <w:rFonts w:asciiTheme="minorHAnsi" w:eastAsia="Arial" w:hAnsiTheme="minorHAnsi" w:cstheme="minorHAnsi"/>
          <w:bCs/>
          <w:sz w:val="20"/>
          <w:szCs w:val="20"/>
        </w:rPr>
        <w:t>designated focal point in each hospital</w:t>
      </w:r>
      <w:r w:rsidR="00173FED">
        <w:rPr>
          <w:rFonts w:asciiTheme="minorHAnsi" w:eastAsia="Arial" w:hAnsiTheme="minorHAnsi" w:cstheme="minorHAnsi"/>
          <w:bCs/>
          <w:sz w:val="20"/>
          <w:szCs w:val="20"/>
        </w:rPr>
        <w:t xml:space="preserve">, </w:t>
      </w:r>
      <w:r w:rsidR="004F0F97" w:rsidRPr="00640702">
        <w:rPr>
          <w:rFonts w:asciiTheme="minorHAnsi" w:eastAsia="Arial" w:hAnsiTheme="minorHAnsi" w:cstheme="minorHAnsi"/>
          <w:bCs/>
          <w:sz w:val="20"/>
          <w:szCs w:val="20"/>
        </w:rPr>
        <w:t>MOH</w:t>
      </w:r>
      <w:r w:rsidR="001A78AD">
        <w:rPr>
          <w:rFonts w:asciiTheme="minorHAnsi" w:eastAsia="Arial" w:hAnsiTheme="minorHAnsi" w:cstheme="minorHAnsi"/>
          <w:bCs/>
          <w:sz w:val="20"/>
          <w:szCs w:val="20"/>
        </w:rPr>
        <w:t>H</w:t>
      </w:r>
      <w:r w:rsidR="004F0F97" w:rsidRPr="00640702">
        <w:rPr>
          <w:rFonts w:asciiTheme="minorHAnsi" w:eastAsia="Arial" w:hAnsiTheme="minorHAnsi" w:cstheme="minorHAnsi"/>
          <w:bCs/>
          <w:sz w:val="20"/>
          <w:szCs w:val="20"/>
        </w:rPr>
        <w:t>S</w:t>
      </w:r>
      <w:r w:rsidR="004550FA">
        <w:rPr>
          <w:rFonts w:asciiTheme="minorHAnsi" w:eastAsia="Arial" w:hAnsiTheme="minorHAnsi" w:cstheme="minorHAnsi"/>
          <w:bCs/>
          <w:sz w:val="20"/>
          <w:szCs w:val="20"/>
        </w:rPr>
        <w:t xml:space="preserve"> staff</w:t>
      </w:r>
      <w:r w:rsidR="00173FED">
        <w:rPr>
          <w:rFonts w:asciiTheme="minorHAnsi" w:eastAsia="Arial" w:hAnsiTheme="minorHAnsi" w:cstheme="minorHAnsi"/>
          <w:bCs/>
          <w:sz w:val="20"/>
          <w:szCs w:val="20"/>
        </w:rPr>
        <w:t xml:space="preserve"> or the </w:t>
      </w:r>
      <w:r w:rsidR="00A8560B">
        <w:rPr>
          <w:rFonts w:asciiTheme="minorHAnsi" w:eastAsia="Arial" w:hAnsiTheme="minorHAnsi" w:cstheme="minorHAnsi"/>
          <w:bCs/>
          <w:sz w:val="20"/>
          <w:szCs w:val="20"/>
        </w:rPr>
        <w:t>CIU</w:t>
      </w:r>
      <w:r w:rsidR="00E558DC">
        <w:rPr>
          <w:rFonts w:asciiTheme="minorHAnsi" w:eastAsia="Arial" w:hAnsiTheme="minorHAnsi" w:cstheme="minorHAnsi"/>
          <w:bCs/>
          <w:sz w:val="20"/>
          <w:szCs w:val="20"/>
        </w:rPr>
        <w:t>.</w:t>
      </w:r>
      <w:r w:rsidR="00933DBF">
        <w:rPr>
          <w:rFonts w:asciiTheme="minorHAnsi" w:eastAsia="Arial" w:hAnsiTheme="minorHAnsi" w:cstheme="minorHAnsi"/>
          <w:bCs/>
          <w:sz w:val="20"/>
          <w:szCs w:val="20"/>
        </w:rPr>
        <w:t xml:space="preserve"> </w:t>
      </w:r>
    </w:p>
    <w:p w14:paraId="3AE8D3BB" w14:textId="1478F257" w:rsidR="004F0F97" w:rsidRPr="006D07E1" w:rsidRDefault="001C48C1" w:rsidP="004F0F97">
      <w:pPr>
        <w:numPr>
          <w:ilvl w:val="0"/>
          <w:numId w:val="17"/>
        </w:numPr>
        <w:spacing w:after="0" w:line="240" w:lineRule="auto"/>
        <w:contextualSpacing/>
        <w:jc w:val="left"/>
        <w:rPr>
          <w:rFonts w:asciiTheme="minorHAnsi" w:eastAsia="Arial" w:hAnsiTheme="minorHAnsi" w:cstheme="minorHAnsi"/>
          <w:bCs/>
          <w:sz w:val="20"/>
          <w:szCs w:val="20"/>
        </w:rPr>
      </w:pPr>
      <w:r w:rsidRPr="00B26FD4">
        <w:rPr>
          <w:rFonts w:eastAsia="Times New Roman"/>
          <w:sz w:val="20"/>
          <w:szCs w:val="20"/>
        </w:rPr>
        <w:t xml:space="preserve">Step </w:t>
      </w:r>
      <w:r w:rsidR="0030768E">
        <w:rPr>
          <w:rFonts w:eastAsia="Times New Roman"/>
          <w:sz w:val="20"/>
          <w:szCs w:val="20"/>
        </w:rPr>
        <w:t>2</w:t>
      </w:r>
      <w:r w:rsidRPr="00B26FD4">
        <w:rPr>
          <w:rFonts w:eastAsia="Times New Roman"/>
          <w:sz w:val="20"/>
          <w:szCs w:val="20"/>
        </w:rPr>
        <w:t xml:space="preserve">: </w:t>
      </w:r>
      <w:r w:rsidR="00324B1B">
        <w:rPr>
          <w:rFonts w:eastAsia="Times New Roman"/>
          <w:sz w:val="20"/>
          <w:szCs w:val="20"/>
        </w:rPr>
        <w:t xml:space="preserve">CIU </w:t>
      </w:r>
      <w:r w:rsidR="004550FA">
        <w:rPr>
          <w:rFonts w:eastAsia="Times New Roman"/>
          <w:sz w:val="20"/>
          <w:szCs w:val="20"/>
        </w:rPr>
        <w:t xml:space="preserve">collect and </w:t>
      </w:r>
      <w:r w:rsidR="00324B1B">
        <w:rPr>
          <w:rFonts w:asciiTheme="minorHAnsi" w:eastAsia="Arial" w:hAnsiTheme="minorHAnsi" w:cstheme="minorHAnsi"/>
          <w:bCs/>
          <w:sz w:val="20"/>
          <w:szCs w:val="20"/>
        </w:rPr>
        <w:t>r</w:t>
      </w:r>
      <w:r w:rsidR="004F0F97" w:rsidRPr="006D07E1">
        <w:rPr>
          <w:rFonts w:asciiTheme="minorHAnsi" w:eastAsia="Arial" w:hAnsiTheme="minorHAnsi" w:cstheme="minorHAnsi"/>
          <w:bCs/>
          <w:sz w:val="20"/>
          <w:szCs w:val="20"/>
        </w:rPr>
        <w:t>ecord grievance and providing the initial response within 24 hours</w:t>
      </w:r>
      <w:r w:rsidR="004F0F97">
        <w:rPr>
          <w:rFonts w:asciiTheme="minorHAnsi" w:eastAsia="Arial" w:hAnsiTheme="minorHAnsi" w:cstheme="minorHAnsi"/>
          <w:bCs/>
          <w:sz w:val="20"/>
          <w:szCs w:val="20"/>
        </w:rPr>
        <w:t>.</w:t>
      </w:r>
    </w:p>
    <w:p w14:paraId="110F83A1" w14:textId="15550528" w:rsidR="004F0F97" w:rsidRPr="006D07E1" w:rsidRDefault="005B2D33" w:rsidP="004F0F97">
      <w:pPr>
        <w:numPr>
          <w:ilvl w:val="0"/>
          <w:numId w:val="17"/>
        </w:numPr>
        <w:spacing w:after="0" w:line="240" w:lineRule="auto"/>
        <w:contextualSpacing/>
        <w:jc w:val="left"/>
        <w:rPr>
          <w:rFonts w:asciiTheme="minorHAnsi" w:eastAsia="Arial" w:hAnsiTheme="minorHAnsi" w:cstheme="minorHAnsi"/>
          <w:bCs/>
          <w:sz w:val="20"/>
          <w:szCs w:val="20"/>
        </w:rPr>
      </w:pPr>
      <w:r w:rsidRPr="00B26FD4">
        <w:rPr>
          <w:rFonts w:eastAsia="Times New Roman"/>
          <w:sz w:val="20"/>
          <w:szCs w:val="20"/>
        </w:rPr>
        <w:t xml:space="preserve">Step </w:t>
      </w:r>
      <w:r w:rsidR="0030768E">
        <w:rPr>
          <w:rFonts w:eastAsia="Times New Roman"/>
          <w:sz w:val="20"/>
          <w:szCs w:val="20"/>
        </w:rPr>
        <w:t>3</w:t>
      </w:r>
      <w:r w:rsidRPr="00B26FD4">
        <w:rPr>
          <w:rFonts w:eastAsia="Times New Roman"/>
          <w:sz w:val="20"/>
          <w:szCs w:val="20"/>
        </w:rPr>
        <w:t xml:space="preserve">: </w:t>
      </w:r>
      <w:r w:rsidR="00324B1B" w:rsidRPr="00640702">
        <w:rPr>
          <w:rFonts w:asciiTheme="minorHAnsi" w:eastAsia="Arial" w:hAnsiTheme="minorHAnsi" w:cstheme="minorHAnsi"/>
          <w:bCs/>
          <w:sz w:val="20"/>
          <w:szCs w:val="20"/>
        </w:rPr>
        <w:t>MOH</w:t>
      </w:r>
      <w:r w:rsidR="00324B1B">
        <w:rPr>
          <w:rFonts w:asciiTheme="minorHAnsi" w:eastAsia="Arial" w:hAnsiTheme="minorHAnsi" w:cstheme="minorHAnsi"/>
          <w:bCs/>
          <w:sz w:val="20"/>
          <w:szCs w:val="20"/>
        </w:rPr>
        <w:t>H</w:t>
      </w:r>
      <w:r w:rsidR="00324B1B" w:rsidRPr="00640702">
        <w:rPr>
          <w:rFonts w:asciiTheme="minorHAnsi" w:eastAsia="Arial" w:hAnsiTheme="minorHAnsi" w:cstheme="minorHAnsi"/>
          <w:bCs/>
          <w:sz w:val="20"/>
          <w:szCs w:val="20"/>
        </w:rPr>
        <w:t>S</w:t>
      </w:r>
      <w:r w:rsidR="00324B1B">
        <w:rPr>
          <w:rFonts w:asciiTheme="minorHAnsi" w:eastAsia="Arial" w:hAnsiTheme="minorHAnsi" w:cstheme="minorHAnsi"/>
          <w:bCs/>
          <w:sz w:val="20"/>
          <w:szCs w:val="20"/>
        </w:rPr>
        <w:t>/CIU</w:t>
      </w:r>
      <w:r w:rsidR="00324B1B" w:rsidRPr="006D07E1">
        <w:rPr>
          <w:rFonts w:asciiTheme="minorHAnsi" w:eastAsia="Arial" w:hAnsiTheme="minorHAnsi" w:cstheme="minorHAnsi"/>
          <w:bCs/>
          <w:sz w:val="20"/>
          <w:szCs w:val="20"/>
        </w:rPr>
        <w:t xml:space="preserve"> </w:t>
      </w:r>
      <w:r w:rsidR="004550FA">
        <w:rPr>
          <w:rFonts w:asciiTheme="minorHAnsi" w:eastAsia="Arial" w:hAnsiTheme="minorHAnsi" w:cstheme="minorHAnsi"/>
          <w:bCs/>
          <w:sz w:val="20"/>
          <w:szCs w:val="20"/>
        </w:rPr>
        <w:t>i</w:t>
      </w:r>
      <w:r w:rsidR="004F0F97" w:rsidRPr="006D07E1">
        <w:rPr>
          <w:rFonts w:asciiTheme="minorHAnsi" w:eastAsia="Arial" w:hAnsiTheme="minorHAnsi" w:cstheme="minorHAnsi"/>
          <w:bCs/>
          <w:sz w:val="20"/>
          <w:szCs w:val="20"/>
        </w:rPr>
        <w:t>nvestigat</w:t>
      </w:r>
      <w:r w:rsidR="00324B1B">
        <w:rPr>
          <w:rFonts w:asciiTheme="minorHAnsi" w:eastAsia="Arial" w:hAnsiTheme="minorHAnsi" w:cstheme="minorHAnsi"/>
          <w:bCs/>
          <w:sz w:val="20"/>
          <w:szCs w:val="20"/>
        </w:rPr>
        <w:t>e</w:t>
      </w:r>
      <w:r w:rsidR="004F0F97" w:rsidRPr="006D07E1">
        <w:rPr>
          <w:rFonts w:asciiTheme="minorHAnsi" w:eastAsia="Arial" w:hAnsiTheme="minorHAnsi" w:cstheme="minorHAnsi"/>
          <w:bCs/>
          <w:sz w:val="20"/>
          <w:szCs w:val="20"/>
        </w:rPr>
        <w:t xml:space="preserve"> the grievance and </w:t>
      </w:r>
      <w:r w:rsidR="00324B1B">
        <w:rPr>
          <w:rFonts w:asciiTheme="minorHAnsi" w:eastAsia="Arial" w:hAnsiTheme="minorHAnsi" w:cstheme="minorHAnsi"/>
          <w:bCs/>
          <w:sz w:val="20"/>
          <w:szCs w:val="20"/>
        </w:rPr>
        <w:t xml:space="preserve">CIU </w:t>
      </w:r>
      <w:r w:rsidR="00804225">
        <w:rPr>
          <w:rFonts w:asciiTheme="minorHAnsi" w:eastAsia="Arial" w:hAnsiTheme="minorHAnsi" w:cstheme="minorHAnsi"/>
          <w:bCs/>
          <w:sz w:val="20"/>
          <w:szCs w:val="20"/>
        </w:rPr>
        <w:t>communicate the r</w:t>
      </w:r>
      <w:r w:rsidR="004F0F97" w:rsidRPr="006D07E1">
        <w:rPr>
          <w:rFonts w:asciiTheme="minorHAnsi" w:eastAsia="Arial" w:hAnsiTheme="minorHAnsi" w:cstheme="minorHAnsi"/>
          <w:bCs/>
          <w:sz w:val="20"/>
          <w:szCs w:val="20"/>
        </w:rPr>
        <w:t>esponse</w:t>
      </w:r>
      <w:r w:rsidR="00804225">
        <w:rPr>
          <w:rFonts w:asciiTheme="minorHAnsi" w:eastAsia="Arial" w:hAnsiTheme="minorHAnsi" w:cstheme="minorHAnsi"/>
          <w:bCs/>
          <w:sz w:val="20"/>
          <w:szCs w:val="20"/>
        </w:rPr>
        <w:t xml:space="preserve"> to the complainant</w:t>
      </w:r>
      <w:r w:rsidR="004F0F97" w:rsidRPr="006D07E1">
        <w:rPr>
          <w:rFonts w:asciiTheme="minorHAnsi" w:eastAsia="Arial" w:hAnsiTheme="minorHAnsi" w:cstheme="minorHAnsi"/>
          <w:bCs/>
          <w:sz w:val="20"/>
          <w:szCs w:val="20"/>
        </w:rPr>
        <w:t xml:space="preserve"> within 7 days</w:t>
      </w:r>
      <w:r w:rsidR="004F0F97">
        <w:rPr>
          <w:rFonts w:asciiTheme="minorHAnsi" w:eastAsia="Arial" w:hAnsiTheme="minorHAnsi" w:cstheme="minorHAnsi"/>
          <w:bCs/>
          <w:sz w:val="20"/>
          <w:szCs w:val="20"/>
        </w:rPr>
        <w:t>.</w:t>
      </w:r>
    </w:p>
    <w:p w14:paraId="01D3D867" w14:textId="79B39729" w:rsidR="00BE32CE" w:rsidRPr="006D07E1" w:rsidRDefault="00716008" w:rsidP="004F0F97">
      <w:pPr>
        <w:numPr>
          <w:ilvl w:val="0"/>
          <w:numId w:val="17"/>
        </w:numPr>
        <w:spacing w:after="0" w:line="240" w:lineRule="auto"/>
        <w:contextualSpacing/>
        <w:jc w:val="left"/>
        <w:rPr>
          <w:rFonts w:asciiTheme="minorHAnsi" w:eastAsia="Arial" w:hAnsiTheme="minorHAnsi" w:cstheme="minorHAnsi"/>
          <w:bCs/>
          <w:sz w:val="20"/>
          <w:szCs w:val="20"/>
        </w:rPr>
      </w:pPr>
      <w:r w:rsidRPr="00B26FD4">
        <w:rPr>
          <w:rFonts w:eastAsia="Times New Roman"/>
          <w:sz w:val="20"/>
          <w:szCs w:val="20"/>
        </w:rPr>
        <w:t xml:space="preserve">Step </w:t>
      </w:r>
      <w:r w:rsidR="0030768E">
        <w:rPr>
          <w:rFonts w:eastAsia="Times New Roman"/>
          <w:sz w:val="20"/>
          <w:szCs w:val="20"/>
        </w:rPr>
        <w:t>4</w:t>
      </w:r>
      <w:r w:rsidRPr="00B26FD4">
        <w:rPr>
          <w:rFonts w:eastAsia="Times New Roman"/>
          <w:sz w:val="20"/>
          <w:szCs w:val="20"/>
        </w:rPr>
        <w:t xml:space="preserve">: </w:t>
      </w:r>
      <w:r w:rsidR="004F0F97" w:rsidRPr="006D07E1">
        <w:rPr>
          <w:rFonts w:asciiTheme="minorHAnsi" w:eastAsia="Arial" w:hAnsiTheme="minorHAnsi" w:cstheme="minorHAnsi"/>
          <w:bCs/>
          <w:sz w:val="20"/>
          <w:szCs w:val="20"/>
        </w:rPr>
        <w:t xml:space="preserve">Complainant Response: </w:t>
      </w:r>
      <w:r w:rsidR="004550FA">
        <w:rPr>
          <w:rFonts w:asciiTheme="minorHAnsi" w:eastAsia="Arial" w:hAnsiTheme="minorHAnsi" w:cstheme="minorHAnsi"/>
          <w:bCs/>
          <w:sz w:val="20"/>
          <w:szCs w:val="20"/>
        </w:rPr>
        <w:t xml:space="preserve">CIU confirms </w:t>
      </w:r>
      <w:r w:rsidR="004F0F97" w:rsidRPr="006D07E1">
        <w:rPr>
          <w:rFonts w:asciiTheme="minorHAnsi" w:eastAsia="Arial" w:hAnsiTheme="minorHAnsi" w:cstheme="minorHAnsi"/>
          <w:bCs/>
          <w:sz w:val="20"/>
          <w:szCs w:val="20"/>
        </w:rPr>
        <w:t xml:space="preserve">either grievance closure or taking further steps if the grievance remains open. If grievance remains open, complainant will be given opportunity to appeal to </w:t>
      </w:r>
      <w:r w:rsidR="004F0F97">
        <w:rPr>
          <w:rFonts w:asciiTheme="minorHAnsi" w:eastAsia="Arial" w:hAnsiTheme="minorHAnsi" w:cstheme="minorHAnsi"/>
          <w:bCs/>
          <w:sz w:val="20"/>
          <w:szCs w:val="20"/>
        </w:rPr>
        <w:t xml:space="preserve">MOHHS </w:t>
      </w:r>
      <w:r w:rsidR="004F0F97" w:rsidRPr="006D07E1">
        <w:rPr>
          <w:rFonts w:asciiTheme="minorHAnsi" w:eastAsia="Arial" w:hAnsiTheme="minorHAnsi" w:cstheme="minorHAnsi"/>
          <w:bCs/>
          <w:sz w:val="20"/>
          <w:szCs w:val="20"/>
        </w:rPr>
        <w:t>Project Management Team</w:t>
      </w:r>
      <w:r w:rsidR="00324B1B">
        <w:rPr>
          <w:rFonts w:asciiTheme="minorHAnsi" w:eastAsia="Arial" w:hAnsiTheme="minorHAnsi" w:cstheme="minorHAnsi"/>
          <w:bCs/>
          <w:sz w:val="20"/>
          <w:szCs w:val="20"/>
        </w:rPr>
        <w:t xml:space="preserve"> (Project Director and Administrators)</w:t>
      </w:r>
      <w:r w:rsidR="004550FA">
        <w:rPr>
          <w:rFonts w:asciiTheme="minorHAnsi" w:eastAsia="Arial" w:hAnsiTheme="minorHAnsi" w:cstheme="minorHAnsi"/>
          <w:bCs/>
          <w:sz w:val="20"/>
          <w:szCs w:val="20"/>
        </w:rPr>
        <w:t>, CIU will facilitate the appeals process</w:t>
      </w:r>
      <w:r w:rsidR="004F0F97">
        <w:rPr>
          <w:rFonts w:asciiTheme="minorHAnsi" w:eastAsia="Arial" w:hAnsiTheme="minorHAnsi" w:cstheme="minorHAnsi"/>
          <w:bCs/>
          <w:sz w:val="20"/>
          <w:szCs w:val="20"/>
        </w:rPr>
        <w:t>.</w:t>
      </w:r>
    </w:p>
    <w:p w14:paraId="134CD687" w14:textId="79BAF29B" w:rsidR="00BB72C9" w:rsidRDefault="0030768E" w:rsidP="002A308B">
      <w:pPr>
        <w:numPr>
          <w:ilvl w:val="0"/>
          <w:numId w:val="17"/>
        </w:numPr>
        <w:spacing w:after="0" w:line="240" w:lineRule="auto"/>
        <w:contextualSpacing/>
        <w:jc w:val="left"/>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 xml:space="preserve">Step 5: </w:t>
      </w:r>
      <w:r w:rsidR="00B64D59" w:rsidRPr="00123217">
        <w:rPr>
          <w:rFonts w:asciiTheme="minorHAnsi" w:eastAsia="Times New Roman" w:hAnsiTheme="minorHAnsi" w:cstheme="minorHAnsi"/>
          <w:color w:val="auto"/>
          <w:sz w:val="20"/>
          <w:szCs w:val="20"/>
          <w:lang w:val="en-GB"/>
        </w:rPr>
        <w:t xml:space="preserve">Once all possible redress has been proposed and if the complainant is still not satisfied then they </w:t>
      </w:r>
      <w:r w:rsidR="004550FA">
        <w:rPr>
          <w:rFonts w:asciiTheme="minorHAnsi" w:eastAsia="Times New Roman" w:hAnsiTheme="minorHAnsi" w:cstheme="minorHAnsi"/>
          <w:color w:val="auto"/>
          <w:sz w:val="20"/>
          <w:szCs w:val="20"/>
          <w:lang w:val="en-GB"/>
        </w:rPr>
        <w:t>will</w:t>
      </w:r>
      <w:r w:rsidR="004550FA" w:rsidRPr="00123217">
        <w:rPr>
          <w:rFonts w:asciiTheme="minorHAnsi" w:eastAsia="Times New Roman" w:hAnsiTheme="minorHAnsi" w:cstheme="minorHAnsi"/>
          <w:color w:val="auto"/>
          <w:sz w:val="20"/>
          <w:szCs w:val="20"/>
          <w:lang w:val="en-GB"/>
        </w:rPr>
        <w:t xml:space="preserve"> </w:t>
      </w:r>
      <w:r w:rsidR="00B64D59" w:rsidRPr="00123217">
        <w:rPr>
          <w:rFonts w:asciiTheme="minorHAnsi" w:eastAsia="Times New Roman" w:hAnsiTheme="minorHAnsi" w:cstheme="minorHAnsi"/>
          <w:color w:val="auto"/>
          <w:sz w:val="20"/>
          <w:szCs w:val="20"/>
          <w:lang w:val="en-GB"/>
        </w:rPr>
        <w:t>be advised of their right to legal recourse.</w:t>
      </w:r>
      <w:r w:rsidR="00BB72C9">
        <w:rPr>
          <w:rStyle w:val="FootnoteReference"/>
          <w:rFonts w:asciiTheme="minorHAnsi" w:eastAsia="Times New Roman" w:hAnsiTheme="minorHAnsi" w:cstheme="minorHAnsi"/>
          <w:color w:val="auto"/>
          <w:sz w:val="20"/>
          <w:szCs w:val="20"/>
          <w:lang w:val="en-GB"/>
        </w:rPr>
        <w:footnoteReference w:id="2"/>
      </w:r>
      <w:r w:rsidR="00B64D59">
        <w:rPr>
          <w:rFonts w:asciiTheme="minorHAnsi" w:eastAsia="Times New Roman" w:hAnsiTheme="minorHAnsi" w:cstheme="minorHAnsi"/>
          <w:color w:val="auto"/>
          <w:sz w:val="20"/>
          <w:szCs w:val="20"/>
          <w:lang w:val="en-GB"/>
        </w:rPr>
        <w:tab/>
      </w:r>
    </w:p>
    <w:p w14:paraId="55E19223" w14:textId="09DDF9ED" w:rsidR="00F40A76" w:rsidRDefault="00F40A76" w:rsidP="00B64D59">
      <w:pPr>
        <w:spacing w:after="0" w:line="240" w:lineRule="auto"/>
        <w:ind w:left="0" w:firstLine="0"/>
        <w:jc w:val="thaiDistribute"/>
        <w:rPr>
          <w:rFonts w:asciiTheme="minorHAnsi" w:eastAsia="Times New Roman" w:hAnsiTheme="minorHAnsi" w:cstheme="minorHAnsi"/>
          <w:color w:val="auto"/>
          <w:sz w:val="20"/>
          <w:szCs w:val="20"/>
          <w:lang w:val="en-GB"/>
        </w:rPr>
      </w:pPr>
    </w:p>
    <w:p w14:paraId="148C9249" w14:textId="467298F2" w:rsidR="00A64DA1" w:rsidRDefault="00F40A76" w:rsidP="00B64D59">
      <w:pPr>
        <w:spacing w:after="0" w:line="240" w:lineRule="auto"/>
        <w:ind w:left="0" w:firstLine="0"/>
        <w:jc w:val="thaiDistribute"/>
        <w:rPr>
          <w:rFonts w:asciiTheme="minorHAnsi" w:hAnsiTheme="minorHAnsi" w:cstheme="minorHAnsi"/>
          <w:color w:val="auto"/>
          <w:sz w:val="20"/>
          <w:szCs w:val="20"/>
          <w:lang w:val="en-GB"/>
        </w:rPr>
      </w:pPr>
      <w:r w:rsidRPr="00B26FD4">
        <w:rPr>
          <w:rFonts w:asciiTheme="minorHAnsi" w:hAnsiTheme="minorHAnsi" w:cstheme="minorHAnsi"/>
          <w:color w:val="auto"/>
          <w:sz w:val="20"/>
          <w:szCs w:val="20"/>
          <w:lang w:val="en-GB"/>
        </w:rPr>
        <w:t>In the instance of the COVID 19 emergency, existing grievance procedures should be used to encourage reporting of co-workers if they show outward symptoms, such as ongoing and severe coughing with fever, and do not voluntarily submit to testing.</w:t>
      </w:r>
      <w:r w:rsidR="008538FE">
        <w:rPr>
          <w:rFonts w:asciiTheme="minorHAnsi" w:hAnsiTheme="minorHAnsi" w:cstheme="minorHAnsi"/>
          <w:color w:val="auto"/>
          <w:sz w:val="20"/>
          <w:szCs w:val="20"/>
          <w:lang w:val="en-GB"/>
        </w:rPr>
        <w:t xml:space="preserve"> </w:t>
      </w:r>
      <w:r w:rsidR="00D14C4E">
        <w:rPr>
          <w:rFonts w:asciiTheme="minorHAnsi" w:hAnsiTheme="minorHAnsi" w:cstheme="minorHAnsi"/>
          <w:color w:val="auto"/>
          <w:sz w:val="20"/>
          <w:szCs w:val="20"/>
          <w:lang w:val="en-GB"/>
        </w:rPr>
        <w:t xml:space="preserve">Consistent with ESS2, </w:t>
      </w:r>
      <w:r w:rsidR="001F6E7C">
        <w:rPr>
          <w:rFonts w:asciiTheme="minorHAnsi" w:hAnsiTheme="minorHAnsi" w:cstheme="minorHAnsi"/>
          <w:color w:val="auto"/>
          <w:sz w:val="20"/>
          <w:szCs w:val="20"/>
          <w:lang w:val="en-GB"/>
        </w:rPr>
        <w:t xml:space="preserve">the project will also establish a separate </w:t>
      </w:r>
      <w:r w:rsidR="00D14C4E">
        <w:rPr>
          <w:rFonts w:asciiTheme="minorHAnsi" w:hAnsiTheme="minorHAnsi" w:cstheme="minorHAnsi"/>
          <w:color w:val="auto"/>
          <w:sz w:val="20"/>
          <w:szCs w:val="20"/>
          <w:lang w:val="en-GB"/>
        </w:rPr>
        <w:t>GM for</w:t>
      </w:r>
      <w:r w:rsidR="004016D0">
        <w:rPr>
          <w:rFonts w:asciiTheme="minorHAnsi" w:hAnsiTheme="minorHAnsi" w:cstheme="minorHAnsi"/>
          <w:color w:val="auto"/>
          <w:sz w:val="20"/>
          <w:szCs w:val="20"/>
          <w:lang w:val="en-GB"/>
        </w:rPr>
        <w:t xml:space="preserve"> project workers </w:t>
      </w:r>
      <w:r w:rsidR="001F6E7C">
        <w:rPr>
          <w:rFonts w:cstheme="minorHAnsi"/>
          <w:sz w:val="20"/>
          <w:szCs w:val="20"/>
        </w:rPr>
        <w:t>as part of the Project’s</w:t>
      </w:r>
      <w:r w:rsidR="00D14C4E" w:rsidRPr="00E515F1">
        <w:rPr>
          <w:rFonts w:cstheme="minorHAnsi"/>
          <w:sz w:val="20"/>
          <w:szCs w:val="20"/>
        </w:rPr>
        <w:t xml:space="preserve"> Labor Management Procedures (LMP)</w:t>
      </w:r>
      <w:r w:rsidR="001F6E7C">
        <w:rPr>
          <w:rFonts w:cstheme="minorHAnsi"/>
          <w:sz w:val="20"/>
          <w:szCs w:val="20"/>
        </w:rPr>
        <w:t>.</w:t>
      </w:r>
    </w:p>
    <w:p w14:paraId="175F0B99" w14:textId="77777777" w:rsidR="00240ECE" w:rsidRDefault="00240ECE" w:rsidP="00B64D59">
      <w:pPr>
        <w:spacing w:after="0" w:line="240" w:lineRule="auto"/>
        <w:ind w:left="0" w:firstLine="0"/>
        <w:jc w:val="thaiDistribute"/>
        <w:rPr>
          <w:rFonts w:asciiTheme="minorHAnsi" w:hAnsiTheme="minorHAnsi" w:cstheme="minorHAnsi"/>
          <w:color w:val="auto"/>
          <w:sz w:val="20"/>
          <w:szCs w:val="20"/>
          <w:lang w:val="en-GB"/>
        </w:rPr>
      </w:pPr>
    </w:p>
    <w:p w14:paraId="51205366" w14:textId="27CC54A0" w:rsidR="00A64DA1" w:rsidRDefault="00A64DA1" w:rsidP="00B64D59">
      <w:pPr>
        <w:spacing w:after="0" w:line="240" w:lineRule="auto"/>
        <w:ind w:left="0" w:firstLine="0"/>
        <w:jc w:val="thaiDistribute"/>
        <w:rPr>
          <w:rFonts w:asciiTheme="minorHAnsi" w:hAnsiTheme="minorHAnsi" w:cstheme="minorHAnsi"/>
          <w:color w:val="auto"/>
          <w:sz w:val="20"/>
          <w:szCs w:val="20"/>
          <w:lang w:val="en-GB"/>
        </w:rPr>
      </w:pPr>
      <w:r>
        <w:rPr>
          <w:rFonts w:asciiTheme="minorHAnsi" w:hAnsiTheme="minorHAnsi" w:cstheme="minorHAnsi"/>
          <w:color w:val="auto"/>
          <w:sz w:val="20"/>
          <w:szCs w:val="20"/>
        </w:rPr>
        <w:t>Final</w:t>
      </w:r>
      <w:r w:rsidRPr="00B26FD4">
        <w:rPr>
          <w:rFonts w:asciiTheme="minorHAnsi" w:hAnsiTheme="minorHAnsi" w:cstheme="minorHAnsi"/>
          <w:color w:val="auto"/>
          <w:sz w:val="20"/>
          <w:szCs w:val="20"/>
        </w:rPr>
        <w:t xml:space="preserve"> details will be outlined in the Updated SEP, to be prepared within 30 days of </w:t>
      </w:r>
      <w:r w:rsidR="00C76BEC">
        <w:rPr>
          <w:rFonts w:asciiTheme="minorHAnsi" w:hAnsiTheme="minorHAnsi" w:cstheme="minorHAnsi"/>
          <w:color w:val="auto"/>
          <w:sz w:val="20"/>
          <w:szCs w:val="20"/>
        </w:rPr>
        <w:t xml:space="preserve">the </w:t>
      </w:r>
      <w:r w:rsidRPr="00B26FD4">
        <w:rPr>
          <w:rFonts w:asciiTheme="minorHAnsi" w:hAnsiTheme="minorHAnsi" w:cstheme="minorHAnsi"/>
          <w:color w:val="auto"/>
          <w:sz w:val="20"/>
          <w:szCs w:val="20"/>
        </w:rPr>
        <w:t>effective</w:t>
      </w:r>
      <w:r w:rsidR="00C76BEC">
        <w:rPr>
          <w:rFonts w:asciiTheme="minorHAnsi" w:hAnsiTheme="minorHAnsi" w:cstheme="minorHAnsi"/>
          <w:color w:val="auto"/>
          <w:sz w:val="20"/>
          <w:szCs w:val="20"/>
        </w:rPr>
        <w:t xml:space="preserve"> date. </w:t>
      </w:r>
    </w:p>
    <w:p w14:paraId="42DA8567" w14:textId="05BAC7BC" w:rsidR="000B4A3C" w:rsidRDefault="000B4A3C" w:rsidP="002A308B">
      <w:pPr>
        <w:spacing w:after="0" w:line="240" w:lineRule="auto"/>
        <w:ind w:left="0" w:firstLine="0"/>
        <w:jc w:val="left"/>
        <w:rPr>
          <w:b/>
          <w:color w:val="538135"/>
        </w:rPr>
      </w:pPr>
    </w:p>
    <w:p w14:paraId="76869603" w14:textId="4066CD30" w:rsidR="00B64D59" w:rsidRDefault="00B64D59" w:rsidP="002A308B">
      <w:pPr>
        <w:spacing w:after="0" w:line="240" w:lineRule="auto"/>
        <w:ind w:left="0" w:firstLine="0"/>
        <w:jc w:val="left"/>
      </w:pPr>
      <w:r w:rsidRPr="00E41CFC">
        <w:rPr>
          <w:b/>
          <w:color w:val="538135"/>
        </w:rPr>
        <w:t>6. Monitoring and Reporting</w:t>
      </w:r>
      <w:r>
        <w:t xml:space="preserve"> </w:t>
      </w:r>
    </w:p>
    <w:p w14:paraId="363E4060" w14:textId="77777777" w:rsidR="00E41CFC" w:rsidRDefault="00E41CFC" w:rsidP="002A308B">
      <w:pPr>
        <w:spacing w:after="0" w:line="240" w:lineRule="auto"/>
        <w:ind w:left="0" w:firstLine="0"/>
        <w:jc w:val="left"/>
      </w:pPr>
    </w:p>
    <w:p w14:paraId="44CCD81D" w14:textId="3C1963B7" w:rsidR="00B64D59" w:rsidRDefault="001A6621" w:rsidP="00B64D59">
      <w:pPr>
        <w:pStyle w:val="Heading3"/>
        <w:ind w:left="701"/>
      </w:pPr>
      <w:r>
        <w:t>5</w:t>
      </w:r>
      <w:r w:rsidR="00B64D59">
        <w:t>.</w:t>
      </w:r>
      <w:r>
        <w:t>2</w:t>
      </w:r>
      <w:r w:rsidR="00B64D59">
        <w:t>. Reporting back to stakeholder groups</w:t>
      </w:r>
    </w:p>
    <w:p w14:paraId="2DD4240F" w14:textId="77777777" w:rsidR="00BB72C9" w:rsidRDefault="00B64D59" w:rsidP="00B64D59">
      <w:pPr>
        <w:spacing w:after="0" w:line="240" w:lineRule="auto"/>
        <w:ind w:left="0" w:firstLine="0"/>
        <w:jc w:val="left"/>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The </w:t>
      </w:r>
      <w:r>
        <w:rPr>
          <w:rFonts w:asciiTheme="minorHAnsi" w:hAnsiTheme="minorHAnsi" w:cstheme="minorHAnsi"/>
          <w:color w:val="auto"/>
          <w:sz w:val="20"/>
          <w:szCs w:val="20"/>
          <w:lang w:bidi="th-TH"/>
        </w:rPr>
        <w:t>SEP</w:t>
      </w:r>
      <w:r w:rsidRPr="00CA49E1">
        <w:rPr>
          <w:rFonts w:asciiTheme="minorHAnsi" w:hAnsiTheme="minorHAnsi" w:cstheme="minorHAnsi"/>
          <w:color w:val="auto"/>
          <w:sz w:val="20"/>
          <w:szCs w:val="20"/>
          <w:lang w:bidi="th-TH"/>
        </w:rPr>
        <w:t xml:space="preserve">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w:t>
      </w:r>
      <w:r>
        <w:rPr>
          <w:rFonts w:asciiTheme="minorHAnsi" w:hAnsiTheme="minorHAnsi" w:cstheme="minorHAnsi"/>
          <w:color w:val="auto"/>
          <w:sz w:val="20"/>
          <w:szCs w:val="20"/>
          <w:lang w:bidi="th-TH"/>
        </w:rPr>
        <w:t xml:space="preserve"> </w:t>
      </w:r>
    </w:p>
    <w:p w14:paraId="1E805A55" w14:textId="77777777" w:rsidR="00BB72C9" w:rsidRDefault="00BB72C9" w:rsidP="00B64D59">
      <w:pPr>
        <w:spacing w:after="0" w:line="240" w:lineRule="auto"/>
        <w:ind w:left="0" w:firstLine="0"/>
        <w:jc w:val="left"/>
        <w:rPr>
          <w:rFonts w:asciiTheme="minorHAnsi" w:hAnsiTheme="minorHAnsi" w:cstheme="minorHAnsi"/>
          <w:color w:val="auto"/>
          <w:sz w:val="20"/>
          <w:szCs w:val="20"/>
          <w:lang w:bidi="th-TH"/>
        </w:rPr>
      </w:pPr>
    </w:p>
    <w:p w14:paraId="1CF39D44" w14:textId="2A4D7C55" w:rsidR="00BB72C9" w:rsidRDefault="00BB72C9" w:rsidP="00B64D59">
      <w:pPr>
        <w:spacing w:after="0" w:line="240" w:lineRule="auto"/>
        <w:ind w:left="0" w:firstLine="0"/>
        <w:jc w:val="left"/>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 xml:space="preserve">Monthly </w:t>
      </w:r>
      <w:r w:rsidR="00B64D59" w:rsidRPr="00CA49E1">
        <w:rPr>
          <w:rFonts w:asciiTheme="minorHAnsi" w:hAnsiTheme="minorHAnsi" w:cstheme="minorHAnsi"/>
          <w:color w:val="auto"/>
          <w:sz w:val="20"/>
          <w:szCs w:val="20"/>
          <w:lang w:bidi="th-TH"/>
        </w:rPr>
        <w:t xml:space="preserve">summaries and internal reports on public grievances, enquiries and related incidents, together with the status of implementation of associated corrective/preventative actions will be collated by </w:t>
      </w:r>
      <w:r w:rsidR="00997CC0">
        <w:rPr>
          <w:rFonts w:asciiTheme="minorHAnsi" w:hAnsiTheme="minorHAnsi" w:cstheme="minorHAnsi"/>
          <w:color w:val="auto"/>
          <w:sz w:val="20"/>
          <w:szCs w:val="20"/>
          <w:lang w:bidi="th-TH"/>
        </w:rPr>
        <w:t>the CIU safeguards staff</w:t>
      </w:r>
      <w:r w:rsidR="004B079E">
        <w:rPr>
          <w:rFonts w:asciiTheme="minorHAnsi" w:hAnsiTheme="minorHAnsi" w:cstheme="minorHAnsi"/>
          <w:color w:val="auto"/>
          <w:sz w:val="20"/>
          <w:szCs w:val="20"/>
          <w:lang w:bidi="th-TH"/>
        </w:rPr>
        <w:t xml:space="preserve"> </w:t>
      </w:r>
      <w:r w:rsidR="00B64D59" w:rsidRPr="00CA49E1">
        <w:rPr>
          <w:rFonts w:asciiTheme="minorHAnsi" w:hAnsiTheme="minorHAnsi" w:cstheme="minorHAnsi"/>
          <w:color w:val="auto"/>
          <w:sz w:val="20"/>
          <w:szCs w:val="20"/>
          <w:lang w:bidi="th-TH"/>
        </w:rPr>
        <w:t xml:space="preserve">and referred to the </w:t>
      </w:r>
      <w:r w:rsidR="00997CC0">
        <w:rPr>
          <w:rFonts w:asciiTheme="minorHAnsi" w:hAnsiTheme="minorHAnsi" w:cstheme="minorHAnsi"/>
          <w:color w:val="auto"/>
          <w:sz w:val="20"/>
          <w:szCs w:val="20"/>
          <w:lang w:bidi="th-TH"/>
        </w:rPr>
        <w:t>MOHSS Project Director</w:t>
      </w:r>
      <w:r w:rsidR="00B64D59" w:rsidRPr="00CA49E1">
        <w:rPr>
          <w:rFonts w:asciiTheme="minorHAnsi" w:hAnsiTheme="minorHAnsi" w:cstheme="minorHAnsi"/>
          <w:color w:val="auto"/>
          <w:sz w:val="20"/>
          <w:szCs w:val="20"/>
          <w:lang w:bidi="th-TH"/>
        </w:rPr>
        <w:t>. The</w:t>
      </w:r>
      <w:r>
        <w:rPr>
          <w:rFonts w:asciiTheme="minorHAnsi" w:hAnsiTheme="minorHAnsi" w:cstheme="minorHAnsi"/>
          <w:color w:val="auto"/>
          <w:sz w:val="20"/>
          <w:szCs w:val="20"/>
          <w:lang w:bidi="th-TH"/>
        </w:rPr>
        <w:t xml:space="preserve"> monthly </w:t>
      </w:r>
      <w:r w:rsidR="00B64D59" w:rsidRPr="00CA49E1">
        <w:rPr>
          <w:rFonts w:asciiTheme="minorHAnsi" w:hAnsiTheme="minorHAnsi" w:cstheme="minorHAnsi"/>
          <w:color w:val="auto"/>
          <w:sz w:val="20"/>
          <w:szCs w:val="20"/>
          <w:lang w:bidi="th-TH"/>
        </w:rPr>
        <w:t>summaries will provide a mechanism for assessing both the number and the nature of complaints and requests for information, along with the Project’s ability to address those in a timely and effective manner.</w:t>
      </w:r>
      <w:r w:rsidR="00B64D59">
        <w:rPr>
          <w:rFonts w:asciiTheme="minorHAnsi" w:hAnsiTheme="minorHAnsi" w:cstheme="minorHAnsi"/>
          <w:color w:val="auto"/>
          <w:sz w:val="20"/>
          <w:szCs w:val="20"/>
          <w:lang w:bidi="th-TH"/>
        </w:rPr>
        <w:t xml:space="preserve"> </w:t>
      </w:r>
    </w:p>
    <w:p w14:paraId="11C4EB60" w14:textId="77777777" w:rsidR="00BB72C9" w:rsidRDefault="00BB72C9" w:rsidP="00B64D59">
      <w:pPr>
        <w:spacing w:after="0" w:line="240" w:lineRule="auto"/>
        <w:ind w:left="0" w:firstLine="0"/>
        <w:jc w:val="left"/>
        <w:rPr>
          <w:rFonts w:asciiTheme="minorHAnsi" w:hAnsiTheme="minorHAnsi" w:cstheme="minorHAnsi"/>
          <w:color w:val="auto"/>
          <w:sz w:val="20"/>
          <w:szCs w:val="20"/>
          <w:lang w:bidi="th-TH"/>
        </w:rPr>
      </w:pPr>
    </w:p>
    <w:p w14:paraId="367FCE85" w14:textId="353DF66E" w:rsidR="00BB72C9" w:rsidRDefault="00B64D59" w:rsidP="00BB72C9">
      <w:pPr>
        <w:spacing w:after="0" w:line="240" w:lineRule="auto"/>
        <w:ind w:left="0" w:firstLine="0"/>
        <w:jc w:val="left"/>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Information on public engagement activities undertaken by the Project during the year </w:t>
      </w:r>
      <w:r w:rsidR="00BB72C9">
        <w:rPr>
          <w:rFonts w:asciiTheme="minorHAnsi" w:hAnsiTheme="minorHAnsi" w:cstheme="minorHAnsi"/>
          <w:color w:val="auto"/>
          <w:sz w:val="20"/>
          <w:szCs w:val="20"/>
          <w:lang w:bidi="th-TH"/>
        </w:rPr>
        <w:t>will</w:t>
      </w:r>
      <w:r w:rsidRPr="00CA49E1">
        <w:rPr>
          <w:rFonts w:asciiTheme="minorHAnsi" w:hAnsiTheme="minorHAnsi" w:cstheme="minorHAnsi"/>
          <w:color w:val="auto"/>
          <w:sz w:val="20"/>
          <w:szCs w:val="20"/>
          <w:lang w:bidi="th-TH"/>
        </w:rPr>
        <w:t xml:space="preserve"> be conveyed to the stakeholders in</w:t>
      </w:r>
      <w:r w:rsidR="00BB72C9">
        <w:rPr>
          <w:rFonts w:asciiTheme="minorHAnsi" w:hAnsiTheme="minorHAnsi" w:cstheme="minorHAnsi"/>
          <w:color w:val="auto"/>
          <w:sz w:val="20"/>
          <w:szCs w:val="20"/>
          <w:lang w:bidi="th-TH"/>
        </w:rPr>
        <w:t xml:space="preserve"> quarterly progress reports describing </w:t>
      </w:r>
      <w:r w:rsidR="00BB72C9">
        <w:rPr>
          <w:rFonts w:asciiTheme="minorHAnsi" w:hAnsiTheme="minorHAnsi" w:cstheme="minorHAnsi"/>
          <w:color w:val="auto"/>
          <w:sz w:val="20"/>
          <w:szCs w:val="20"/>
        </w:rPr>
        <w:t>on the</w:t>
      </w:r>
      <w:r w:rsidRPr="00CA49E1">
        <w:rPr>
          <w:rFonts w:asciiTheme="minorHAnsi" w:hAnsiTheme="minorHAnsi" w:cstheme="minorHAnsi"/>
          <w:color w:val="auto"/>
          <w:sz w:val="20"/>
          <w:szCs w:val="20"/>
        </w:rPr>
        <w:t xml:space="preserve"> project’s interaction with the stakeholders</w:t>
      </w:r>
      <w:r w:rsidR="00BB72C9">
        <w:rPr>
          <w:rFonts w:asciiTheme="minorHAnsi" w:hAnsiTheme="minorHAnsi" w:cstheme="minorHAnsi"/>
          <w:color w:val="auto"/>
          <w:sz w:val="20"/>
          <w:szCs w:val="20"/>
        </w:rPr>
        <w:t xml:space="preserve"> (See reporting requirements specified in the ESCP)</w:t>
      </w:r>
      <w:r w:rsidRPr="00CA49E1">
        <w:rPr>
          <w:rFonts w:asciiTheme="minorHAnsi" w:hAnsiTheme="minorHAnsi" w:cstheme="minorHAnsi"/>
          <w:color w:val="auto"/>
          <w:sz w:val="20"/>
          <w:szCs w:val="20"/>
        </w:rPr>
        <w:t>.</w:t>
      </w:r>
    </w:p>
    <w:p w14:paraId="2FA5B5FF" w14:textId="77777777" w:rsidR="00BB72C9" w:rsidRPr="00BB72C9" w:rsidRDefault="00BB72C9" w:rsidP="00BB72C9">
      <w:pPr>
        <w:spacing w:after="0" w:line="240" w:lineRule="auto"/>
        <w:contextualSpacing/>
        <w:jc w:val="left"/>
        <w:rPr>
          <w:rFonts w:asciiTheme="minorHAnsi" w:hAnsiTheme="minorHAnsi" w:cstheme="minorHAnsi"/>
          <w:color w:val="auto"/>
          <w:sz w:val="20"/>
          <w:szCs w:val="20"/>
        </w:rPr>
      </w:pPr>
    </w:p>
    <w:p w14:paraId="05790735" w14:textId="1C16B836" w:rsidR="00760984" w:rsidRDefault="00B64D59" w:rsidP="00BB72C9">
      <w:pPr>
        <w:spacing w:after="0" w:line="240" w:lineRule="auto"/>
        <w:ind w:left="0" w:firstLine="0"/>
        <w:contextualSpacing/>
        <w:jc w:val="left"/>
        <w:rPr>
          <w:rFonts w:asciiTheme="minorHAnsi" w:hAnsiTheme="minorHAnsi" w:cstheme="minorHAnsi"/>
          <w:color w:val="auto"/>
          <w:sz w:val="20"/>
          <w:szCs w:val="20"/>
        </w:rPr>
      </w:pPr>
      <w:proofErr w:type="gramStart"/>
      <w:r w:rsidRPr="00BB72C9">
        <w:rPr>
          <w:rFonts w:asciiTheme="minorHAnsi" w:hAnsiTheme="minorHAnsi" w:cstheme="minorHAnsi"/>
          <w:color w:val="auto"/>
          <w:sz w:val="20"/>
          <w:szCs w:val="20"/>
        </w:rPr>
        <w:t>A number of</w:t>
      </w:r>
      <w:proofErr w:type="gramEnd"/>
      <w:r w:rsidRPr="00BB72C9">
        <w:rPr>
          <w:rFonts w:asciiTheme="minorHAnsi" w:hAnsiTheme="minorHAnsi" w:cstheme="minorHAnsi"/>
          <w:color w:val="auto"/>
          <w:sz w:val="20"/>
          <w:szCs w:val="20"/>
        </w:rPr>
        <w:t xml:space="preserve"> Key Performance Indicators (KPIs) will also be monitored by the project on a regular basis, including the following parameters</w:t>
      </w:r>
      <w:r w:rsidR="00BB72C9">
        <w:rPr>
          <w:rFonts w:asciiTheme="minorHAnsi" w:hAnsiTheme="minorHAnsi" w:cstheme="minorHAnsi"/>
          <w:color w:val="auto"/>
          <w:sz w:val="20"/>
          <w:szCs w:val="20"/>
        </w:rPr>
        <w:t>:</w:t>
      </w:r>
    </w:p>
    <w:p w14:paraId="2EA5BBE5" w14:textId="27261696" w:rsidR="00BB72C9" w:rsidRDefault="00BB72C9" w:rsidP="00BB72C9">
      <w:pPr>
        <w:spacing w:after="0" w:line="240" w:lineRule="auto"/>
        <w:ind w:left="0" w:firstLine="0"/>
        <w:contextualSpacing/>
        <w:jc w:val="left"/>
        <w:rPr>
          <w:rFonts w:asciiTheme="minorHAnsi" w:hAnsiTheme="minorHAnsi" w:cstheme="minorHAnsi"/>
          <w:color w:val="auto"/>
          <w:sz w:val="20"/>
          <w:szCs w:val="20"/>
        </w:rPr>
      </w:pPr>
    </w:p>
    <w:p w14:paraId="7747DE2E" w14:textId="77777777" w:rsidR="00BB72C9" w:rsidRPr="00640702" w:rsidRDefault="00BB72C9" w:rsidP="00BB72C9">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 xml:space="preserve">Frequency and type of public engagement activities; </w:t>
      </w:r>
    </w:p>
    <w:p w14:paraId="1B239482" w14:textId="77777777" w:rsidR="00BB72C9" w:rsidRPr="00640702" w:rsidRDefault="00BB72C9" w:rsidP="00BB72C9">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Numbers of Grievances received within a reporting period (e.g. monthly, quarterly, or annually)</w:t>
      </w:r>
    </w:p>
    <w:p w14:paraId="29820FC7" w14:textId="77777777" w:rsidR="00BB72C9" w:rsidRPr="00BB72C9" w:rsidRDefault="00BB72C9" w:rsidP="00BB72C9">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Number of grievance</w:t>
      </w:r>
      <w:r>
        <w:rPr>
          <w:rFonts w:asciiTheme="minorHAnsi" w:hAnsiTheme="minorHAnsi" w:cstheme="minorHAnsi"/>
          <w:i/>
          <w:color w:val="auto"/>
          <w:sz w:val="18"/>
          <w:szCs w:val="18"/>
        </w:rPr>
        <w:t>s</w:t>
      </w:r>
      <w:r w:rsidRPr="00640702">
        <w:rPr>
          <w:rFonts w:asciiTheme="minorHAnsi" w:hAnsiTheme="minorHAnsi" w:cstheme="minorHAnsi"/>
          <w:i/>
          <w:color w:val="auto"/>
          <w:sz w:val="18"/>
          <w:szCs w:val="18"/>
        </w:rPr>
        <w:t xml:space="preserve"> resolved within the prescribed timeline; </w:t>
      </w:r>
    </w:p>
    <w:p w14:paraId="3F04F434" w14:textId="4B9EE87B" w:rsidR="00BB72C9" w:rsidRPr="002A308B" w:rsidRDefault="00BB72C9" w:rsidP="00BB72C9">
      <w:pPr>
        <w:numPr>
          <w:ilvl w:val="1"/>
          <w:numId w:val="15"/>
        </w:numPr>
        <w:spacing w:after="0" w:line="240" w:lineRule="auto"/>
        <w:contextualSpacing/>
        <w:jc w:val="left"/>
        <w:rPr>
          <w:rFonts w:asciiTheme="minorHAnsi" w:hAnsiTheme="minorHAnsi" w:cstheme="minorHAnsi"/>
          <w:color w:val="auto"/>
          <w:sz w:val="20"/>
          <w:szCs w:val="20"/>
        </w:rPr>
      </w:pPr>
      <w:r>
        <w:rPr>
          <w:rFonts w:asciiTheme="minorHAnsi" w:hAnsiTheme="minorHAnsi" w:cstheme="minorHAnsi"/>
          <w:i/>
          <w:color w:val="auto"/>
          <w:sz w:val="18"/>
          <w:szCs w:val="18"/>
        </w:rPr>
        <w:t>N</w:t>
      </w:r>
      <w:r w:rsidRPr="00640702">
        <w:rPr>
          <w:rFonts w:asciiTheme="minorHAnsi" w:hAnsiTheme="minorHAnsi" w:cstheme="minorHAnsi"/>
          <w:i/>
          <w:color w:val="auto"/>
          <w:sz w:val="18"/>
          <w:szCs w:val="18"/>
        </w:rPr>
        <w:t xml:space="preserve">umber </w:t>
      </w:r>
      <w:r>
        <w:rPr>
          <w:rFonts w:asciiTheme="minorHAnsi" w:hAnsiTheme="minorHAnsi" w:cstheme="minorHAnsi"/>
          <w:i/>
          <w:color w:val="auto"/>
          <w:sz w:val="18"/>
          <w:szCs w:val="18"/>
        </w:rPr>
        <w:t xml:space="preserve">and type of media </w:t>
      </w:r>
      <w:r w:rsidRPr="00640702">
        <w:rPr>
          <w:rFonts w:asciiTheme="minorHAnsi" w:hAnsiTheme="minorHAnsi" w:cstheme="minorHAnsi"/>
          <w:i/>
          <w:color w:val="auto"/>
          <w:sz w:val="18"/>
          <w:szCs w:val="18"/>
        </w:rPr>
        <w:t>materials published/</w:t>
      </w:r>
      <w:r w:rsidR="00E41CFC" w:rsidRPr="00640702">
        <w:rPr>
          <w:rFonts w:asciiTheme="minorHAnsi" w:hAnsiTheme="minorHAnsi" w:cstheme="minorHAnsi"/>
          <w:i/>
          <w:color w:val="auto"/>
          <w:sz w:val="18"/>
          <w:szCs w:val="18"/>
        </w:rPr>
        <w:t>broadcasting</w:t>
      </w:r>
      <w:r w:rsidRPr="00640702">
        <w:rPr>
          <w:rFonts w:asciiTheme="minorHAnsi" w:hAnsiTheme="minorHAnsi" w:cstheme="minorHAnsi"/>
          <w:i/>
          <w:color w:val="auto"/>
          <w:sz w:val="18"/>
          <w:szCs w:val="18"/>
        </w:rPr>
        <w:t xml:space="preserve"> the local, regional, and national media</w:t>
      </w:r>
    </w:p>
    <w:p w14:paraId="70E476CF" w14:textId="77777777" w:rsidR="00E71006" w:rsidRDefault="00E71006" w:rsidP="00E71006">
      <w:pPr>
        <w:spacing w:after="0" w:line="259" w:lineRule="auto"/>
        <w:jc w:val="left"/>
        <w:rPr>
          <w:rFonts w:asciiTheme="minorHAnsi" w:hAnsiTheme="minorHAnsi" w:cstheme="minorHAnsi"/>
          <w:color w:val="auto"/>
          <w:sz w:val="20"/>
          <w:szCs w:val="20"/>
        </w:rPr>
      </w:pPr>
    </w:p>
    <w:p w14:paraId="0AC2F385" w14:textId="6CE9171E" w:rsidR="003174AB" w:rsidRDefault="00E71006" w:rsidP="00E41CFC">
      <w:pPr>
        <w:spacing w:after="0" w:line="259" w:lineRule="auto"/>
        <w:jc w:val="left"/>
      </w:pPr>
      <w:r w:rsidRPr="002A308B">
        <w:rPr>
          <w:rFonts w:asciiTheme="minorHAnsi" w:hAnsiTheme="minorHAnsi" w:cstheme="minorHAnsi"/>
          <w:color w:val="auto"/>
          <w:sz w:val="20"/>
          <w:szCs w:val="20"/>
        </w:rPr>
        <w:t xml:space="preserve">Further details will be outlined in the </w:t>
      </w:r>
      <w:r w:rsidR="004B079E">
        <w:rPr>
          <w:rFonts w:asciiTheme="minorHAnsi" w:hAnsiTheme="minorHAnsi" w:cstheme="minorHAnsi"/>
          <w:color w:val="auto"/>
          <w:sz w:val="20"/>
          <w:szCs w:val="20"/>
        </w:rPr>
        <w:t>u</w:t>
      </w:r>
      <w:r w:rsidRPr="002A308B">
        <w:rPr>
          <w:rFonts w:asciiTheme="minorHAnsi" w:hAnsiTheme="minorHAnsi" w:cstheme="minorHAnsi"/>
          <w:color w:val="auto"/>
          <w:sz w:val="20"/>
          <w:szCs w:val="20"/>
        </w:rPr>
        <w:t>pdated SEP, to be prepared within 30 days of effectiveness.</w:t>
      </w:r>
    </w:p>
    <w:sectPr w:rsidR="003174AB" w:rsidSect="00B64D59">
      <w:headerReference w:type="even" r:id="rId15"/>
      <w:headerReference w:type="default" r:id="rId16"/>
      <w:footerReference w:type="even" r:id="rId17"/>
      <w:footerReference w:type="default" r:id="rId18"/>
      <w:headerReference w:type="first" r:id="rId19"/>
      <w:footerReference w:type="first" r:id="rId20"/>
      <w:pgSz w:w="12240" w:h="15840"/>
      <w:pgMar w:top="170" w:right="1440" w:bottom="1448" w:left="1440" w:header="60" w:footer="718"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ebekah Beatrice Ramsay" w:date="2020-04-06T16:41:00Z" w:initials="RBR">
    <w:p w14:paraId="639756EE"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Style w:val="CommentReference"/>
        </w:rPr>
        <w:annotationRef/>
      </w:r>
      <w:r>
        <w:rPr>
          <w:rFonts w:eastAsiaTheme="minorEastAsia"/>
          <w:color w:val="auto"/>
        </w:rPr>
        <w:t>Component 1 - Foundational skills and support to students from outer islands will support remedial instruction and</w:t>
      </w:r>
    </w:p>
    <w:p w14:paraId="3FEED4E2"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specific support for outer island students to enroll and complete courses. This component may include building or</w:t>
      </w:r>
    </w:p>
    <w:p w14:paraId="4869B592"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upgrading student accommodation which may involve foreign workers and will require waste and materials</w:t>
      </w:r>
    </w:p>
    <w:p w14:paraId="1A678938"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 xml:space="preserve">management and good construction </w:t>
      </w:r>
      <w:proofErr w:type="gramStart"/>
      <w:r>
        <w:rPr>
          <w:rFonts w:eastAsiaTheme="minorEastAsia"/>
          <w:color w:val="auto"/>
        </w:rPr>
        <w:t>practices .</w:t>
      </w:r>
      <w:proofErr w:type="gramEnd"/>
      <w:r>
        <w:rPr>
          <w:rFonts w:eastAsiaTheme="minorEastAsia"/>
          <w:color w:val="auto"/>
        </w:rPr>
        <w:t xml:space="preserve"> The works will be on existing Ministry of Education leased land in</w:t>
      </w:r>
    </w:p>
    <w:p w14:paraId="1107E165"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 xml:space="preserve">Majuro, Ebeye, Jaluit and / or </w:t>
      </w:r>
      <w:proofErr w:type="spellStart"/>
      <w:r>
        <w:rPr>
          <w:rFonts w:eastAsiaTheme="minorEastAsia"/>
          <w:color w:val="auto"/>
        </w:rPr>
        <w:t>Wotje</w:t>
      </w:r>
      <w:proofErr w:type="spellEnd"/>
      <w:r>
        <w:rPr>
          <w:rFonts w:eastAsiaTheme="minorEastAsia"/>
          <w:color w:val="auto"/>
        </w:rPr>
        <w:t xml:space="preserve"> where the high schools and post-secondary educational facilities are located.</w:t>
      </w:r>
    </w:p>
    <w:p w14:paraId="765E8E12"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The outer island students are vulnerable due to a lack of quality education on-island, low incomes to pay for travel</w:t>
      </w:r>
    </w:p>
    <w:p w14:paraId="247D3317"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and accommodation, and risks from privately boarding in the urban centers to attend school. Outer island students</w:t>
      </w:r>
    </w:p>
    <w:p w14:paraId="721DB838"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 xml:space="preserve">stay with relatives in conditions that are relatively precarious and not adequate for </w:t>
      </w:r>
      <w:proofErr w:type="spellStart"/>
      <w:r>
        <w:rPr>
          <w:rFonts w:eastAsiaTheme="minorEastAsia"/>
          <w:color w:val="auto"/>
        </w:rPr>
        <w:t>stuyding</w:t>
      </w:r>
      <w:proofErr w:type="spellEnd"/>
      <w:r>
        <w:rPr>
          <w:rFonts w:eastAsiaTheme="minorEastAsia"/>
          <w:color w:val="auto"/>
        </w:rPr>
        <w:t xml:space="preserve"> (poor nutrition and sleep,</w:t>
      </w:r>
    </w:p>
    <w:p w14:paraId="79312564"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little space to study, need to continuously relocate to not overstay their welcome, and potential for domestic</w:t>
      </w:r>
    </w:p>
    <w:p w14:paraId="6D7460A4"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violence, etc.).</w:t>
      </w:r>
    </w:p>
    <w:p w14:paraId="24AC6266"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Component 2 - Strengthening and expanding access to technical and vocational skills development will fund the</w:t>
      </w:r>
    </w:p>
    <w:p w14:paraId="0447AF69"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expansion of TVET courses and facilities at secondary and post-secondary levels. This may fund the construction or</w:t>
      </w:r>
    </w:p>
    <w:p w14:paraId="4D210624"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renovation of educational facilities and the procurement and maintenance of equipment, which may have waste or</w:t>
      </w:r>
    </w:p>
    <w:p w14:paraId="06F5795C"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hazardous materials to manage. Sub component 2.2 may include subsidies to the wages of graduates, which will be</w:t>
      </w:r>
    </w:p>
    <w:p w14:paraId="123D6F94"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subject to labor and working conditions assessment.</w:t>
      </w:r>
    </w:p>
    <w:p w14:paraId="59EE3A3C"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Component 3 - Strengthening the institutions for workforce development and the civil service will fund a number of</w:t>
      </w:r>
    </w:p>
    <w:p w14:paraId="233CF5DA"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technical advisory services some relating to revising human resource planning and recruitment, remuneration,</w:t>
      </w:r>
    </w:p>
    <w:p w14:paraId="74B06ECE"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performance management and other factors of managing the public sector workforce. This component will also be</w:t>
      </w:r>
    </w:p>
    <w:p w14:paraId="2F97C109"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subject to labor and working conditions assessment.</w:t>
      </w:r>
    </w:p>
    <w:p w14:paraId="6BD534D5"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Component 4 - Project implementation support will include recruiting staff to manage and implement the project.</w:t>
      </w:r>
    </w:p>
    <w:p w14:paraId="6D58C2EA" w14:textId="77777777" w:rsidR="00C17EEC" w:rsidRDefault="00C17EEC" w:rsidP="00C17EEC">
      <w:pPr>
        <w:autoSpaceDE w:val="0"/>
        <w:autoSpaceDN w:val="0"/>
        <w:adjustRightInd w:val="0"/>
        <w:spacing w:after="0" w:line="240" w:lineRule="auto"/>
        <w:ind w:left="0" w:firstLine="0"/>
        <w:jc w:val="left"/>
        <w:rPr>
          <w:rFonts w:eastAsiaTheme="minorEastAsia"/>
          <w:color w:val="auto"/>
        </w:rPr>
      </w:pPr>
      <w:r>
        <w:rPr>
          <w:rFonts w:eastAsiaTheme="minorEastAsia"/>
          <w:color w:val="auto"/>
        </w:rPr>
        <w:t>Other aspects of project administration, including environmental and social risk management support provided by the</w:t>
      </w:r>
    </w:p>
    <w:p w14:paraId="153821D0" w14:textId="013A8ED0" w:rsidR="00C17EEC" w:rsidRDefault="00C17EEC" w:rsidP="00C17EEC">
      <w:pPr>
        <w:pStyle w:val="CommentText"/>
      </w:pPr>
      <w:r>
        <w:rPr>
          <w:rFonts w:eastAsiaTheme="minorEastAsia"/>
          <w:color w:val="auto"/>
        </w:rPr>
        <w:t>Central Implementation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821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821D0" w16cid:durableId="2235D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BA1D" w14:textId="77777777" w:rsidR="004C0897" w:rsidRDefault="004C0897">
      <w:pPr>
        <w:spacing w:after="0" w:line="240" w:lineRule="auto"/>
      </w:pPr>
      <w:r>
        <w:separator/>
      </w:r>
    </w:p>
  </w:endnote>
  <w:endnote w:type="continuationSeparator" w:id="0">
    <w:p w14:paraId="03E668B1" w14:textId="77777777" w:rsidR="004C0897" w:rsidRDefault="004C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6C3"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5C6D03E8" w14:textId="77777777" w:rsidR="00F67C52" w:rsidRDefault="00F67C5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5DE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39762B35" w14:textId="77777777" w:rsidR="00F67C52" w:rsidRDefault="00F67C5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77C0" w14:textId="77777777" w:rsidR="004C0897" w:rsidRDefault="004C0897">
      <w:pPr>
        <w:spacing w:after="0" w:line="240" w:lineRule="auto"/>
      </w:pPr>
      <w:r>
        <w:separator/>
      </w:r>
    </w:p>
  </w:footnote>
  <w:footnote w:type="continuationSeparator" w:id="0">
    <w:p w14:paraId="4C7D6224" w14:textId="77777777" w:rsidR="004C0897" w:rsidRDefault="004C0897">
      <w:pPr>
        <w:spacing w:after="0" w:line="240" w:lineRule="auto"/>
      </w:pPr>
      <w:r>
        <w:continuationSeparator/>
      </w:r>
    </w:p>
  </w:footnote>
  <w:footnote w:id="1">
    <w:p w14:paraId="2F7241D1" w14:textId="77777777" w:rsidR="00B64D59" w:rsidRPr="00CA06A3" w:rsidRDefault="00B64D59" w:rsidP="00B64D59">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2">
    <w:p w14:paraId="3D453C5E" w14:textId="27E3D439" w:rsidR="00BB72C9" w:rsidRDefault="00BB72C9">
      <w:pPr>
        <w:pStyle w:val="FootnoteText"/>
      </w:pPr>
      <w:r>
        <w:rPr>
          <w:rStyle w:val="FootnoteReference"/>
        </w:rPr>
        <w:footnoteRef/>
      </w:r>
      <w:r>
        <w:t xml:space="preserve"> </w:t>
      </w:r>
      <w:r w:rsidRPr="007E4DE6">
        <w:rPr>
          <w:rFonts w:eastAsia="Times New Roman" w:cstheme="minorHAnsi"/>
          <w:lang w:val="en-GB"/>
        </w:rPr>
        <w:t xml:space="preserve">On revision of this SEP, this section will detail how the GM will be operationalised including provisions </w:t>
      </w:r>
      <w:r>
        <w:rPr>
          <w:rFonts w:eastAsia="Times New Roman" w:cstheme="minorHAnsi"/>
          <w:lang w:val="en-GB"/>
        </w:rPr>
        <w:t xml:space="preserve">to </w:t>
      </w:r>
      <w:r w:rsidRPr="007E4DE6">
        <w:rPr>
          <w:rFonts w:eastAsia="Times New Roman" w:cstheme="minorHAnsi"/>
          <w:lang w:val="en-GB"/>
        </w:rPr>
        <w:t>allow anonymous grievances to be raised and addressed and how any complaints of gender-based violence will be handled, as well as detailed contact numbers and addresses.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657" w14:textId="060BC6FA" w:rsidR="00315520" w:rsidRDefault="00315520">
    <w:pPr>
      <w:pStyle w:val="Header"/>
    </w:pPr>
  </w:p>
  <w:p w14:paraId="0CDD209E" w14:textId="1A38FEEE" w:rsidR="00315520" w:rsidRDefault="00315520">
    <w:pPr>
      <w:pStyle w:val="Header"/>
    </w:pPr>
  </w:p>
  <w:p w14:paraId="1798A669" w14:textId="77777777" w:rsidR="00315520" w:rsidRDefault="0031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58EA" w14:textId="77777777" w:rsidR="00315520" w:rsidRDefault="00315520">
    <w:pPr>
      <w:spacing w:after="0" w:line="259" w:lineRule="auto"/>
      <w:ind w:left="0" w:right="56" w:firstLine="0"/>
      <w:jc w:val="right"/>
      <w:rPr>
        <w:b/>
        <w:sz w:val="24"/>
      </w:rPr>
    </w:pPr>
  </w:p>
  <w:p w14:paraId="56D6D57A" w14:textId="60A47EAB" w:rsidR="00F67C52" w:rsidRDefault="002C4D3C">
    <w:pPr>
      <w:spacing w:after="0" w:line="259" w:lineRule="auto"/>
      <w:ind w:left="0" w:right="56" w:firstLine="0"/>
      <w:jc w:val="right"/>
    </w:pPr>
    <w:r>
      <w:rPr>
        <w:b/>
        <w:sz w:val="24"/>
      </w:rPr>
      <w:t>4</w:t>
    </w:r>
    <w:r w:rsidR="00040A1D">
      <w:rPr>
        <w:b/>
        <w:sz w:val="24"/>
      </w:rPr>
      <w:t>/</w:t>
    </w:r>
    <w:r>
      <w:rPr>
        <w:b/>
        <w:sz w:val="24"/>
      </w:rPr>
      <w:t>5</w:t>
    </w:r>
    <w:r w:rsidR="00040A1D">
      <w:rPr>
        <w:b/>
        <w:sz w:val="24"/>
      </w:rPr>
      <w:t>/20</w:t>
    </w:r>
    <w:r w:rsidR="00F67C52">
      <w:rPr>
        <w:b/>
        <w:sz w:val="24"/>
      </w:rPr>
      <w:t xml:space="preserve"> </w:t>
    </w:r>
  </w:p>
  <w:p w14:paraId="365806AE" w14:textId="77777777" w:rsidR="00C75185" w:rsidRDefault="00C75185" w:rsidP="00C75185">
    <w:pPr>
      <w:pStyle w:val="Heading1"/>
      <w:rPr>
        <w:i/>
      </w:rPr>
    </w:pPr>
  </w:p>
  <w:p w14:paraId="682F3AF3" w14:textId="54114A30" w:rsidR="00C75185" w:rsidRDefault="00C75185" w:rsidP="00C75185">
    <w:pPr>
      <w:pStyle w:val="Heading1"/>
      <w:rPr>
        <w:i/>
      </w:rPr>
    </w:pPr>
    <w:r w:rsidRPr="00C75185">
      <w:rPr>
        <w:i/>
      </w:rPr>
      <w:t>REPUBLIC OF THE MARSHALL ISLAND COVID-19 EMERGENCY RESPONSE PROJECT (P173887)</w:t>
    </w:r>
  </w:p>
  <w:p w14:paraId="3DA87567" w14:textId="0039AAC1" w:rsidR="00B64D59" w:rsidRDefault="00B64D59" w:rsidP="00B64D59">
    <w:pPr>
      <w:shd w:val="clear" w:color="auto" w:fill="548235"/>
      <w:spacing w:after="294" w:line="259" w:lineRule="auto"/>
      <w:ind w:left="0" w:firstLine="0"/>
      <w:jc w:val="center"/>
      <w:rPr>
        <w:color w:val="FFFFFF" w:themeColor="background1"/>
        <w:sz w:val="20"/>
        <w:szCs w:val="20"/>
      </w:rPr>
    </w:pPr>
  </w:p>
  <w:p w14:paraId="236F652A" w14:textId="71C34B78" w:rsidR="00040A1D" w:rsidRPr="00B64D59" w:rsidRDefault="00814E2C" w:rsidP="00040A1D">
    <w:pPr>
      <w:spacing w:after="0" w:line="259" w:lineRule="auto"/>
      <w:ind w:left="0" w:right="65" w:firstLine="0"/>
      <w:jc w:val="center"/>
      <w:rPr>
        <w:b/>
        <w:sz w:val="24"/>
        <w:szCs w:val="24"/>
      </w:rPr>
    </w:pPr>
    <w:r>
      <w:rPr>
        <w:b/>
        <w:sz w:val="24"/>
        <w:szCs w:val="24"/>
      </w:rPr>
      <w:t xml:space="preserve">Preliminary </w:t>
    </w:r>
    <w:r w:rsidR="00B64D59" w:rsidRPr="00B64D59">
      <w:rPr>
        <w:b/>
        <w:sz w:val="24"/>
        <w:szCs w:val="24"/>
      </w:rPr>
      <w:t>Stakeholder Engagement Plan (SEP)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FE1"/>
    <w:multiLevelType w:val="hybridMultilevel"/>
    <w:tmpl w:val="BB60C786"/>
    <w:lvl w:ilvl="0" w:tplc="7048DA32">
      <w:start w:val="1"/>
      <w:numFmt w:val="decimal"/>
      <w:lvlText w:val="%1."/>
      <w:lvlJc w:val="left"/>
      <w:pPr>
        <w:ind w:left="360" w:hanging="360"/>
      </w:pPr>
      <w:rPr>
        <w:sz w:val="22"/>
        <w:szCs w:val="22"/>
      </w:rPr>
    </w:lvl>
    <w:lvl w:ilvl="1" w:tplc="3328CE10">
      <w:start w:val="1"/>
      <w:numFmt w:val="lowerLetter"/>
      <w:lvlText w:val="%2."/>
      <w:lvlJc w:val="left"/>
      <w:pPr>
        <w:ind w:left="1080" w:hanging="360"/>
      </w:pPr>
    </w:lvl>
    <w:lvl w:ilvl="2" w:tplc="C49AD4B6" w:tentative="1">
      <w:start w:val="1"/>
      <w:numFmt w:val="lowerRoman"/>
      <w:lvlText w:val="%3."/>
      <w:lvlJc w:val="right"/>
      <w:pPr>
        <w:ind w:left="1800" w:hanging="180"/>
      </w:pPr>
    </w:lvl>
    <w:lvl w:ilvl="3" w:tplc="E812A85A" w:tentative="1">
      <w:start w:val="1"/>
      <w:numFmt w:val="decimal"/>
      <w:lvlText w:val="%4."/>
      <w:lvlJc w:val="left"/>
      <w:pPr>
        <w:ind w:left="2520" w:hanging="360"/>
      </w:pPr>
    </w:lvl>
    <w:lvl w:ilvl="4" w:tplc="388A7E12" w:tentative="1">
      <w:start w:val="1"/>
      <w:numFmt w:val="lowerLetter"/>
      <w:lvlText w:val="%5."/>
      <w:lvlJc w:val="left"/>
      <w:pPr>
        <w:ind w:left="3240" w:hanging="360"/>
      </w:pPr>
    </w:lvl>
    <w:lvl w:ilvl="5" w:tplc="0D8E4170" w:tentative="1">
      <w:start w:val="1"/>
      <w:numFmt w:val="lowerRoman"/>
      <w:lvlText w:val="%6."/>
      <w:lvlJc w:val="right"/>
      <w:pPr>
        <w:ind w:left="3960" w:hanging="180"/>
      </w:pPr>
    </w:lvl>
    <w:lvl w:ilvl="6" w:tplc="E8CC72DC" w:tentative="1">
      <w:start w:val="1"/>
      <w:numFmt w:val="decimal"/>
      <w:lvlText w:val="%7."/>
      <w:lvlJc w:val="left"/>
      <w:pPr>
        <w:ind w:left="4680" w:hanging="360"/>
      </w:pPr>
    </w:lvl>
    <w:lvl w:ilvl="7" w:tplc="D228E16C" w:tentative="1">
      <w:start w:val="1"/>
      <w:numFmt w:val="lowerLetter"/>
      <w:lvlText w:val="%8."/>
      <w:lvlJc w:val="left"/>
      <w:pPr>
        <w:ind w:left="5400" w:hanging="360"/>
      </w:pPr>
    </w:lvl>
    <w:lvl w:ilvl="8" w:tplc="82F2F582" w:tentative="1">
      <w:start w:val="1"/>
      <w:numFmt w:val="lowerRoman"/>
      <w:lvlText w:val="%9."/>
      <w:lvlJc w:val="right"/>
      <w:pPr>
        <w:ind w:left="6120" w:hanging="180"/>
      </w:pPr>
    </w:lvl>
  </w:abstractNum>
  <w:abstractNum w:abstractNumId="2" w15:restartNumberingAfterBreak="0">
    <w:nsid w:val="06DE3354"/>
    <w:multiLevelType w:val="hybridMultilevel"/>
    <w:tmpl w:val="A9A8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556A6"/>
    <w:multiLevelType w:val="hybridMultilevel"/>
    <w:tmpl w:val="D4380134"/>
    <w:lvl w:ilvl="0" w:tplc="A2BCA0F4">
      <w:start w:val="1"/>
      <w:numFmt w:val="bullet"/>
      <w:lvlText w:val=""/>
      <w:lvlJc w:val="left"/>
      <w:pPr>
        <w:ind w:left="180" w:hanging="360"/>
      </w:pPr>
      <w:rPr>
        <w:rFonts w:ascii="Symbol" w:hAnsi="Symbol" w:hint="default"/>
      </w:rPr>
    </w:lvl>
    <w:lvl w:ilvl="1" w:tplc="5AB8A872" w:tentative="1">
      <w:start w:val="1"/>
      <w:numFmt w:val="bullet"/>
      <w:lvlText w:val="o"/>
      <w:lvlJc w:val="left"/>
      <w:pPr>
        <w:ind w:left="900" w:hanging="360"/>
      </w:pPr>
      <w:rPr>
        <w:rFonts w:ascii="Courier New" w:hAnsi="Courier New" w:cs="Courier New" w:hint="default"/>
      </w:rPr>
    </w:lvl>
    <w:lvl w:ilvl="2" w:tplc="AEB6FE22" w:tentative="1">
      <w:start w:val="1"/>
      <w:numFmt w:val="bullet"/>
      <w:lvlText w:val=""/>
      <w:lvlJc w:val="left"/>
      <w:pPr>
        <w:ind w:left="1620" w:hanging="360"/>
      </w:pPr>
      <w:rPr>
        <w:rFonts w:ascii="Wingdings" w:hAnsi="Wingdings" w:hint="default"/>
      </w:rPr>
    </w:lvl>
    <w:lvl w:ilvl="3" w:tplc="E9BC800E" w:tentative="1">
      <w:start w:val="1"/>
      <w:numFmt w:val="bullet"/>
      <w:lvlText w:val=""/>
      <w:lvlJc w:val="left"/>
      <w:pPr>
        <w:ind w:left="2340" w:hanging="360"/>
      </w:pPr>
      <w:rPr>
        <w:rFonts w:ascii="Symbol" w:hAnsi="Symbol" w:hint="default"/>
      </w:rPr>
    </w:lvl>
    <w:lvl w:ilvl="4" w:tplc="3D321FC2" w:tentative="1">
      <w:start w:val="1"/>
      <w:numFmt w:val="bullet"/>
      <w:lvlText w:val="o"/>
      <w:lvlJc w:val="left"/>
      <w:pPr>
        <w:ind w:left="3060" w:hanging="360"/>
      </w:pPr>
      <w:rPr>
        <w:rFonts w:ascii="Courier New" w:hAnsi="Courier New" w:cs="Courier New" w:hint="default"/>
      </w:rPr>
    </w:lvl>
    <w:lvl w:ilvl="5" w:tplc="CEDA195E" w:tentative="1">
      <w:start w:val="1"/>
      <w:numFmt w:val="bullet"/>
      <w:lvlText w:val=""/>
      <w:lvlJc w:val="left"/>
      <w:pPr>
        <w:ind w:left="3780" w:hanging="360"/>
      </w:pPr>
      <w:rPr>
        <w:rFonts w:ascii="Wingdings" w:hAnsi="Wingdings" w:hint="default"/>
      </w:rPr>
    </w:lvl>
    <w:lvl w:ilvl="6" w:tplc="69C4FD94" w:tentative="1">
      <w:start w:val="1"/>
      <w:numFmt w:val="bullet"/>
      <w:lvlText w:val=""/>
      <w:lvlJc w:val="left"/>
      <w:pPr>
        <w:ind w:left="4500" w:hanging="360"/>
      </w:pPr>
      <w:rPr>
        <w:rFonts w:ascii="Symbol" w:hAnsi="Symbol" w:hint="default"/>
      </w:rPr>
    </w:lvl>
    <w:lvl w:ilvl="7" w:tplc="D43A6988" w:tentative="1">
      <w:start w:val="1"/>
      <w:numFmt w:val="bullet"/>
      <w:lvlText w:val="o"/>
      <w:lvlJc w:val="left"/>
      <w:pPr>
        <w:ind w:left="5220" w:hanging="360"/>
      </w:pPr>
      <w:rPr>
        <w:rFonts w:ascii="Courier New" w:hAnsi="Courier New" w:cs="Courier New" w:hint="default"/>
      </w:rPr>
    </w:lvl>
    <w:lvl w:ilvl="8" w:tplc="0388AFCC" w:tentative="1">
      <w:start w:val="1"/>
      <w:numFmt w:val="bullet"/>
      <w:lvlText w:val=""/>
      <w:lvlJc w:val="left"/>
      <w:pPr>
        <w:ind w:left="5940" w:hanging="360"/>
      </w:pPr>
      <w:rPr>
        <w:rFonts w:ascii="Wingdings" w:hAnsi="Wingdings" w:hint="default"/>
      </w:rPr>
    </w:lvl>
  </w:abstractNum>
  <w:abstractNum w:abstractNumId="6" w15:restartNumberingAfterBreak="0">
    <w:nsid w:val="13380C01"/>
    <w:multiLevelType w:val="hybridMultilevel"/>
    <w:tmpl w:val="80723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B7CE8"/>
    <w:multiLevelType w:val="hybridMultilevel"/>
    <w:tmpl w:val="23BC43BA"/>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E65F4D"/>
    <w:multiLevelType w:val="hybridMultilevel"/>
    <w:tmpl w:val="AEAC963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4335E"/>
    <w:multiLevelType w:val="hybridMultilevel"/>
    <w:tmpl w:val="DB0A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D20BC"/>
    <w:multiLevelType w:val="hybridMultilevel"/>
    <w:tmpl w:val="1D9E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26F"/>
    <w:multiLevelType w:val="hybridMultilevel"/>
    <w:tmpl w:val="E6F49D20"/>
    <w:lvl w:ilvl="0" w:tplc="775C7C5C">
      <w:start w:val="1"/>
      <w:numFmt w:val="decimal"/>
      <w:lvlText w:val="%1."/>
      <w:lvlJc w:val="left"/>
      <w:pPr>
        <w:ind w:left="360" w:hanging="360"/>
      </w:pPr>
      <w:rPr>
        <w:b/>
        <w:i w:val="0"/>
      </w:rPr>
    </w:lvl>
    <w:lvl w:ilvl="1" w:tplc="3ACE40C4">
      <w:start w:val="1"/>
      <w:numFmt w:val="decimal"/>
      <w:lvlText w:val="%2."/>
      <w:lvlJc w:val="left"/>
      <w:pPr>
        <w:ind w:left="1530" w:hanging="360"/>
      </w:pPr>
      <w:rPr>
        <w:rFonts w:hint="default"/>
        <w:b w:val="0"/>
        <w:i w:val="0"/>
      </w:rPr>
    </w:lvl>
    <w:lvl w:ilvl="2" w:tplc="09B6FE14">
      <w:start w:val="1"/>
      <w:numFmt w:val="lowerRoman"/>
      <w:lvlText w:val="%3."/>
      <w:lvlJc w:val="right"/>
      <w:pPr>
        <w:ind w:left="2250" w:hanging="180"/>
      </w:pPr>
    </w:lvl>
    <w:lvl w:ilvl="3" w:tplc="E62A58C4">
      <w:start w:val="1"/>
      <w:numFmt w:val="bullet"/>
      <w:lvlText w:val=""/>
      <w:lvlJc w:val="left"/>
      <w:pPr>
        <w:ind w:left="2970" w:hanging="360"/>
      </w:pPr>
      <w:rPr>
        <w:rFonts w:ascii="Symbol" w:hAnsi="Symbol" w:hint="default"/>
      </w:rPr>
    </w:lvl>
    <w:lvl w:ilvl="4" w:tplc="B22A9188">
      <w:start w:val="1"/>
      <w:numFmt w:val="lowerLetter"/>
      <w:lvlText w:val="%5."/>
      <w:lvlJc w:val="left"/>
      <w:pPr>
        <w:ind w:left="3690" w:hanging="360"/>
      </w:pPr>
      <w:rPr>
        <w:b/>
        <w:i w:val="0"/>
      </w:rPr>
    </w:lvl>
    <w:lvl w:ilvl="5" w:tplc="BCD4B774">
      <w:start w:val="1"/>
      <w:numFmt w:val="lowerRoman"/>
      <w:lvlText w:val="%6."/>
      <w:lvlJc w:val="right"/>
      <w:pPr>
        <w:ind w:left="4410" w:hanging="180"/>
      </w:pPr>
    </w:lvl>
    <w:lvl w:ilvl="6" w:tplc="75944016">
      <w:start w:val="1"/>
      <w:numFmt w:val="decimal"/>
      <w:lvlText w:val="%7."/>
      <w:lvlJc w:val="left"/>
      <w:pPr>
        <w:ind w:left="5130" w:hanging="360"/>
      </w:pPr>
    </w:lvl>
    <w:lvl w:ilvl="7" w:tplc="E534B674" w:tentative="1">
      <w:start w:val="1"/>
      <w:numFmt w:val="lowerLetter"/>
      <w:lvlText w:val="%8."/>
      <w:lvlJc w:val="left"/>
      <w:pPr>
        <w:ind w:left="5850" w:hanging="360"/>
      </w:pPr>
    </w:lvl>
    <w:lvl w:ilvl="8" w:tplc="F08CCE52" w:tentative="1">
      <w:start w:val="1"/>
      <w:numFmt w:val="lowerRoman"/>
      <w:lvlText w:val="%9."/>
      <w:lvlJc w:val="right"/>
      <w:pPr>
        <w:ind w:left="6570" w:hanging="180"/>
      </w:pPr>
    </w:lvl>
  </w:abstractNum>
  <w:abstractNum w:abstractNumId="18"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4"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2608E"/>
    <w:multiLevelType w:val="hybridMultilevel"/>
    <w:tmpl w:val="0256F7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D04F19"/>
    <w:multiLevelType w:val="hybridMultilevel"/>
    <w:tmpl w:val="727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D74F8"/>
    <w:multiLevelType w:val="hybridMultilevel"/>
    <w:tmpl w:val="293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0"/>
  </w:num>
  <w:num w:numId="4">
    <w:abstractNumId w:val="3"/>
  </w:num>
  <w:num w:numId="5">
    <w:abstractNumId w:val="18"/>
  </w:num>
  <w:num w:numId="6">
    <w:abstractNumId w:val="20"/>
  </w:num>
  <w:num w:numId="7">
    <w:abstractNumId w:val="8"/>
  </w:num>
  <w:num w:numId="8">
    <w:abstractNumId w:val="21"/>
  </w:num>
  <w:num w:numId="9">
    <w:abstractNumId w:val="9"/>
  </w:num>
  <w:num w:numId="10">
    <w:abstractNumId w:val="7"/>
  </w:num>
  <w:num w:numId="11">
    <w:abstractNumId w:val="27"/>
  </w:num>
  <w:num w:numId="12">
    <w:abstractNumId w:val="14"/>
  </w:num>
  <w:num w:numId="13">
    <w:abstractNumId w:val="0"/>
  </w:num>
  <w:num w:numId="14">
    <w:abstractNumId w:val="26"/>
  </w:num>
  <w:num w:numId="15">
    <w:abstractNumId w:val="12"/>
  </w:num>
  <w:num w:numId="16">
    <w:abstractNumId w:val="4"/>
  </w:num>
  <w:num w:numId="17">
    <w:abstractNumId w:val="24"/>
  </w:num>
  <w:num w:numId="18">
    <w:abstractNumId w:val="23"/>
  </w:num>
  <w:num w:numId="19">
    <w:abstractNumId w:val="22"/>
  </w:num>
  <w:num w:numId="20">
    <w:abstractNumId w:val="13"/>
  </w:num>
  <w:num w:numId="21">
    <w:abstractNumId w:val="11"/>
  </w:num>
  <w:num w:numId="22">
    <w:abstractNumId w:val="6"/>
  </w:num>
  <w:num w:numId="23">
    <w:abstractNumId w:val="16"/>
  </w:num>
  <w:num w:numId="24">
    <w:abstractNumId w:val="28"/>
  </w:num>
  <w:num w:numId="25">
    <w:abstractNumId w:val="15"/>
  </w:num>
  <w:num w:numId="26">
    <w:abstractNumId w:val="1"/>
  </w:num>
  <w:num w:numId="27">
    <w:abstractNumId w:val="5"/>
  </w:num>
  <w:num w:numId="28">
    <w:abstractNumId w:val="30"/>
  </w:num>
  <w:num w:numId="29">
    <w:abstractNumId w:val="2"/>
  </w:num>
  <w:num w:numId="30">
    <w:abstractNumId w:val="29"/>
  </w:num>
  <w:num w:numId="31">
    <w:abstractNumId w:val="1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kah Beatrice Ramsay">
    <w15:presenceInfo w15:providerId="AD" w15:userId="S::rramsay@worldbank.org::a9df1926-11c0-4b09-a023-120ae051a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5BC6"/>
    <w:rsid w:val="00007F4C"/>
    <w:rsid w:val="00017EE6"/>
    <w:rsid w:val="000252EB"/>
    <w:rsid w:val="00025A52"/>
    <w:rsid w:val="00026E3B"/>
    <w:rsid w:val="00040468"/>
    <w:rsid w:val="00040A1D"/>
    <w:rsid w:val="0004570A"/>
    <w:rsid w:val="0005258D"/>
    <w:rsid w:val="00052908"/>
    <w:rsid w:val="00067EA4"/>
    <w:rsid w:val="00072CC5"/>
    <w:rsid w:val="000734C0"/>
    <w:rsid w:val="00076972"/>
    <w:rsid w:val="00080D6B"/>
    <w:rsid w:val="00081204"/>
    <w:rsid w:val="000B4A3C"/>
    <w:rsid w:val="000C085E"/>
    <w:rsid w:val="00100B54"/>
    <w:rsid w:val="0011127E"/>
    <w:rsid w:val="001170B6"/>
    <w:rsid w:val="00123217"/>
    <w:rsid w:val="00124ACB"/>
    <w:rsid w:val="00127628"/>
    <w:rsid w:val="00136BD9"/>
    <w:rsid w:val="00145FCD"/>
    <w:rsid w:val="00164C83"/>
    <w:rsid w:val="00173FED"/>
    <w:rsid w:val="001918F1"/>
    <w:rsid w:val="00195559"/>
    <w:rsid w:val="00195D2C"/>
    <w:rsid w:val="001A5100"/>
    <w:rsid w:val="001A6621"/>
    <w:rsid w:val="001A75A6"/>
    <w:rsid w:val="001A78AD"/>
    <w:rsid w:val="001A7E85"/>
    <w:rsid w:val="001B28A4"/>
    <w:rsid w:val="001B7533"/>
    <w:rsid w:val="001C48C1"/>
    <w:rsid w:val="001C74F6"/>
    <w:rsid w:val="001D212E"/>
    <w:rsid w:val="001D6488"/>
    <w:rsid w:val="001E7FC9"/>
    <w:rsid w:val="001F12B3"/>
    <w:rsid w:val="001F6E7C"/>
    <w:rsid w:val="00225E82"/>
    <w:rsid w:val="00240ECE"/>
    <w:rsid w:val="00250A3C"/>
    <w:rsid w:val="002526F8"/>
    <w:rsid w:val="00256B6A"/>
    <w:rsid w:val="0026318F"/>
    <w:rsid w:val="00267CF6"/>
    <w:rsid w:val="002959D5"/>
    <w:rsid w:val="002A031A"/>
    <w:rsid w:val="002A0B48"/>
    <w:rsid w:val="002A308B"/>
    <w:rsid w:val="002A751B"/>
    <w:rsid w:val="002B2E90"/>
    <w:rsid w:val="002B3651"/>
    <w:rsid w:val="002C4D3C"/>
    <w:rsid w:val="002D4D9E"/>
    <w:rsid w:val="002D74A3"/>
    <w:rsid w:val="002E21F1"/>
    <w:rsid w:val="002E2F59"/>
    <w:rsid w:val="002E50ED"/>
    <w:rsid w:val="0030284D"/>
    <w:rsid w:val="00306EBB"/>
    <w:rsid w:val="0030768E"/>
    <w:rsid w:val="00315520"/>
    <w:rsid w:val="003174AB"/>
    <w:rsid w:val="00324B1B"/>
    <w:rsid w:val="0032638F"/>
    <w:rsid w:val="00331114"/>
    <w:rsid w:val="00331EAF"/>
    <w:rsid w:val="00333202"/>
    <w:rsid w:val="003629C9"/>
    <w:rsid w:val="00363F4A"/>
    <w:rsid w:val="0037592F"/>
    <w:rsid w:val="00385E03"/>
    <w:rsid w:val="003869E1"/>
    <w:rsid w:val="003914FA"/>
    <w:rsid w:val="003A2227"/>
    <w:rsid w:val="003A2F47"/>
    <w:rsid w:val="003A6B1E"/>
    <w:rsid w:val="003B10ED"/>
    <w:rsid w:val="003C41B7"/>
    <w:rsid w:val="003D2BF2"/>
    <w:rsid w:val="003D5ED2"/>
    <w:rsid w:val="003F47F1"/>
    <w:rsid w:val="003F6D23"/>
    <w:rsid w:val="004016D0"/>
    <w:rsid w:val="00427C57"/>
    <w:rsid w:val="00454661"/>
    <w:rsid w:val="004550FA"/>
    <w:rsid w:val="00455104"/>
    <w:rsid w:val="00486FDC"/>
    <w:rsid w:val="00496606"/>
    <w:rsid w:val="004A543E"/>
    <w:rsid w:val="004A651A"/>
    <w:rsid w:val="004B079E"/>
    <w:rsid w:val="004B25C1"/>
    <w:rsid w:val="004B4F40"/>
    <w:rsid w:val="004B65DF"/>
    <w:rsid w:val="004C0897"/>
    <w:rsid w:val="004C5E01"/>
    <w:rsid w:val="004D387D"/>
    <w:rsid w:val="004D51D2"/>
    <w:rsid w:val="004E3DDA"/>
    <w:rsid w:val="004E78BF"/>
    <w:rsid w:val="004E79A1"/>
    <w:rsid w:val="004F0F97"/>
    <w:rsid w:val="004F4AAE"/>
    <w:rsid w:val="004F595E"/>
    <w:rsid w:val="0050341D"/>
    <w:rsid w:val="00541872"/>
    <w:rsid w:val="005460D0"/>
    <w:rsid w:val="00552A62"/>
    <w:rsid w:val="00557F2E"/>
    <w:rsid w:val="0056323E"/>
    <w:rsid w:val="005717F6"/>
    <w:rsid w:val="005A072B"/>
    <w:rsid w:val="005B2D33"/>
    <w:rsid w:val="005D1290"/>
    <w:rsid w:val="005D7A3A"/>
    <w:rsid w:val="005E2C8F"/>
    <w:rsid w:val="005F2369"/>
    <w:rsid w:val="0061145D"/>
    <w:rsid w:val="0062301E"/>
    <w:rsid w:val="006249E6"/>
    <w:rsid w:val="00641036"/>
    <w:rsid w:val="006470FA"/>
    <w:rsid w:val="00652AB5"/>
    <w:rsid w:val="00654EA6"/>
    <w:rsid w:val="006611D0"/>
    <w:rsid w:val="00661DB6"/>
    <w:rsid w:val="00663AF4"/>
    <w:rsid w:val="006719A9"/>
    <w:rsid w:val="00673573"/>
    <w:rsid w:val="006E2042"/>
    <w:rsid w:val="006E656B"/>
    <w:rsid w:val="006F7021"/>
    <w:rsid w:val="00706B6B"/>
    <w:rsid w:val="00716008"/>
    <w:rsid w:val="0072009B"/>
    <w:rsid w:val="007219A7"/>
    <w:rsid w:val="0072602E"/>
    <w:rsid w:val="0072645A"/>
    <w:rsid w:val="007324D4"/>
    <w:rsid w:val="007445C1"/>
    <w:rsid w:val="00747B12"/>
    <w:rsid w:val="00760984"/>
    <w:rsid w:val="00771BB1"/>
    <w:rsid w:val="00772D7F"/>
    <w:rsid w:val="007820DA"/>
    <w:rsid w:val="00782255"/>
    <w:rsid w:val="00783723"/>
    <w:rsid w:val="0078464C"/>
    <w:rsid w:val="00785DC0"/>
    <w:rsid w:val="00787061"/>
    <w:rsid w:val="00790F3E"/>
    <w:rsid w:val="007A5513"/>
    <w:rsid w:val="007A587C"/>
    <w:rsid w:val="007A72FC"/>
    <w:rsid w:val="007B1731"/>
    <w:rsid w:val="007B1765"/>
    <w:rsid w:val="007B4627"/>
    <w:rsid w:val="007B60BC"/>
    <w:rsid w:val="007D733C"/>
    <w:rsid w:val="007F355B"/>
    <w:rsid w:val="007F7697"/>
    <w:rsid w:val="00804225"/>
    <w:rsid w:val="008132F0"/>
    <w:rsid w:val="00814E2C"/>
    <w:rsid w:val="0083130C"/>
    <w:rsid w:val="00833922"/>
    <w:rsid w:val="00845319"/>
    <w:rsid w:val="008538FE"/>
    <w:rsid w:val="008639DF"/>
    <w:rsid w:val="00877E6A"/>
    <w:rsid w:val="00885520"/>
    <w:rsid w:val="008B2E99"/>
    <w:rsid w:val="008B59F5"/>
    <w:rsid w:val="008C07F2"/>
    <w:rsid w:val="008C22AC"/>
    <w:rsid w:val="008C6168"/>
    <w:rsid w:val="008E191C"/>
    <w:rsid w:val="008F508A"/>
    <w:rsid w:val="008F6BCD"/>
    <w:rsid w:val="009029AF"/>
    <w:rsid w:val="00916D4E"/>
    <w:rsid w:val="00933DBF"/>
    <w:rsid w:val="009405B5"/>
    <w:rsid w:val="00940BEA"/>
    <w:rsid w:val="009661C7"/>
    <w:rsid w:val="0096660C"/>
    <w:rsid w:val="00973F72"/>
    <w:rsid w:val="00974E04"/>
    <w:rsid w:val="0097744D"/>
    <w:rsid w:val="00981DEC"/>
    <w:rsid w:val="00990C99"/>
    <w:rsid w:val="00997CC0"/>
    <w:rsid w:val="009B7E88"/>
    <w:rsid w:val="009C5292"/>
    <w:rsid w:val="009D156E"/>
    <w:rsid w:val="009D251C"/>
    <w:rsid w:val="009D7357"/>
    <w:rsid w:val="009E74ED"/>
    <w:rsid w:val="009F299E"/>
    <w:rsid w:val="009F6AEB"/>
    <w:rsid w:val="00A02644"/>
    <w:rsid w:val="00A130B8"/>
    <w:rsid w:val="00A16A46"/>
    <w:rsid w:val="00A170C9"/>
    <w:rsid w:val="00A51A75"/>
    <w:rsid w:val="00A64DA1"/>
    <w:rsid w:val="00A676B1"/>
    <w:rsid w:val="00A8560B"/>
    <w:rsid w:val="00AA778F"/>
    <w:rsid w:val="00AB241D"/>
    <w:rsid w:val="00AC3603"/>
    <w:rsid w:val="00AE4978"/>
    <w:rsid w:val="00AF5395"/>
    <w:rsid w:val="00B1224C"/>
    <w:rsid w:val="00B1310E"/>
    <w:rsid w:val="00B24BDB"/>
    <w:rsid w:val="00B26FEC"/>
    <w:rsid w:val="00B27E81"/>
    <w:rsid w:val="00B32F5B"/>
    <w:rsid w:val="00B552B2"/>
    <w:rsid w:val="00B64D59"/>
    <w:rsid w:val="00B80F06"/>
    <w:rsid w:val="00B85F99"/>
    <w:rsid w:val="00B90656"/>
    <w:rsid w:val="00B93429"/>
    <w:rsid w:val="00BB72C9"/>
    <w:rsid w:val="00BC1D7F"/>
    <w:rsid w:val="00BE32CE"/>
    <w:rsid w:val="00BF337D"/>
    <w:rsid w:val="00BF4325"/>
    <w:rsid w:val="00C0026C"/>
    <w:rsid w:val="00C1206E"/>
    <w:rsid w:val="00C17EEC"/>
    <w:rsid w:val="00C230FB"/>
    <w:rsid w:val="00C35F5B"/>
    <w:rsid w:val="00C40000"/>
    <w:rsid w:val="00C47D17"/>
    <w:rsid w:val="00C61542"/>
    <w:rsid w:val="00C6166A"/>
    <w:rsid w:val="00C6264C"/>
    <w:rsid w:val="00C64693"/>
    <w:rsid w:val="00C75185"/>
    <w:rsid w:val="00C75743"/>
    <w:rsid w:val="00C76BEC"/>
    <w:rsid w:val="00C77CAF"/>
    <w:rsid w:val="00C83C74"/>
    <w:rsid w:val="00C8510C"/>
    <w:rsid w:val="00C94D42"/>
    <w:rsid w:val="00CA06A3"/>
    <w:rsid w:val="00CA49E1"/>
    <w:rsid w:val="00CA639F"/>
    <w:rsid w:val="00CA7E8B"/>
    <w:rsid w:val="00CB10C2"/>
    <w:rsid w:val="00CB6791"/>
    <w:rsid w:val="00CC2176"/>
    <w:rsid w:val="00CC497A"/>
    <w:rsid w:val="00CC75E6"/>
    <w:rsid w:val="00CC7EB0"/>
    <w:rsid w:val="00CF57A4"/>
    <w:rsid w:val="00D14C4E"/>
    <w:rsid w:val="00D35EBB"/>
    <w:rsid w:val="00D536BF"/>
    <w:rsid w:val="00D86C56"/>
    <w:rsid w:val="00D8748B"/>
    <w:rsid w:val="00D92822"/>
    <w:rsid w:val="00DA742A"/>
    <w:rsid w:val="00DB3003"/>
    <w:rsid w:val="00DD4DD6"/>
    <w:rsid w:val="00DD7F8B"/>
    <w:rsid w:val="00E06231"/>
    <w:rsid w:val="00E150C6"/>
    <w:rsid w:val="00E17D66"/>
    <w:rsid w:val="00E2585F"/>
    <w:rsid w:val="00E349C0"/>
    <w:rsid w:val="00E41CFC"/>
    <w:rsid w:val="00E558DC"/>
    <w:rsid w:val="00E654B6"/>
    <w:rsid w:val="00E66A97"/>
    <w:rsid w:val="00E66C60"/>
    <w:rsid w:val="00E71006"/>
    <w:rsid w:val="00E76019"/>
    <w:rsid w:val="00E809EC"/>
    <w:rsid w:val="00E82238"/>
    <w:rsid w:val="00E83A13"/>
    <w:rsid w:val="00EA7AB9"/>
    <w:rsid w:val="00EB4C48"/>
    <w:rsid w:val="00EB7A53"/>
    <w:rsid w:val="00EC2AB7"/>
    <w:rsid w:val="00EC35C5"/>
    <w:rsid w:val="00F12DCA"/>
    <w:rsid w:val="00F13078"/>
    <w:rsid w:val="00F13C46"/>
    <w:rsid w:val="00F33A0F"/>
    <w:rsid w:val="00F35600"/>
    <w:rsid w:val="00F40A76"/>
    <w:rsid w:val="00F56FD2"/>
    <w:rsid w:val="00F57E29"/>
    <w:rsid w:val="00F61A29"/>
    <w:rsid w:val="00F6555A"/>
    <w:rsid w:val="00F67C52"/>
    <w:rsid w:val="00F70F10"/>
    <w:rsid w:val="00F83798"/>
    <w:rsid w:val="00F851CB"/>
    <w:rsid w:val="00F94261"/>
    <w:rsid w:val="00FA1739"/>
    <w:rsid w:val="00FC704A"/>
    <w:rsid w:val="00FC79F7"/>
    <w:rsid w:val="00FC7E4A"/>
    <w:rsid w:val="00FD05F2"/>
    <w:rsid w:val="00FD7FCD"/>
    <w:rsid w:val="00F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449CBE"/>
  <w15:docId w15:val="{34777F33-F453-4FEB-9583-EF24150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0026C"/>
    <w:pPr>
      <w:spacing w:after="0" w:line="240" w:lineRule="auto"/>
      <w:ind w:left="0" w:firstLine="0"/>
      <w:jc w:val="left"/>
    </w:pPr>
    <w:rPr>
      <w:rFonts w:eastAsiaTheme="minorHAnsi" w:cstheme="minorBidi"/>
      <w:color w:val="auto"/>
      <w:szCs w:val="21"/>
    </w:rPr>
  </w:style>
  <w:style w:type="character" w:customStyle="1" w:styleId="PlainTextChar">
    <w:name w:val="Plain Text Char"/>
    <w:basedOn w:val="DefaultParagraphFont"/>
    <w:link w:val="PlainText"/>
    <w:uiPriority w:val="99"/>
    <w:rsid w:val="00C0026C"/>
    <w:rPr>
      <w:rFonts w:ascii="Calibri" w:eastAsiaTheme="minorHAnsi" w:hAnsi="Calibri"/>
      <w:szCs w:val="21"/>
    </w:rPr>
  </w:style>
  <w:style w:type="paragraph" w:styleId="NoSpacing">
    <w:name w:val="No Spacing"/>
    <w:uiPriority w:val="1"/>
    <w:qFormat/>
    <w:rsid w:val="00C0026C"/>
    <w:pPr>
      <w:spacing w:after="0" w:line="240" w:lineRule="auto"/>
      <w:ind w:left="10" w:hanging="10"/>
      <w:jc w:val="both"/>
    </w:pPr>
    <w:rPr>
      <w:rFonts w:ascii="Calibri" w:eastAsia="Calibri" w:hAnsi="Calibri" w:cs="Calibri"/>
      <w:color w:val="000000"/>
    </w:rPr>
  </w:style>
  <w:style w:type="character" w:styleId="CommentReference">
    <w:name w:val="annotation reference"/>
    <w:basedOn w:val="DefaultParagraphFont"/>
    <w:uiPriority w:val="99"/>
    <w:unhideWhenUsed/>
    <w:rsid w:val="009B7E88"/>
    <w:rPr>
      <w:sz w:val="16"/>
      <w:szCs w:val="16"/>
    </w:rPr>
  </w:style>
  <w:style w:type="paragraph" w:styleId="CommentText">
    <w:name w:val="annotation text"/>
    <w:basedOn w:val="Normal"/>
    <w:link w:val="CommentTextChar"/>
    <w:uiPriority w:val="99"/>
    <w:semiHidden/>
    <w:unhideWhenUsed/>
    <w:rsid w:val="009B7E88"/>
    <w:pPr>
      <w:spacing w:line="240" w:lineRule="auto"/>
    </w:pPr>
    <w:rPr>
      <w:sz w:val="20"/>
      <w:szCs w:val="20"/>
    </w:rPr>
  </w:style>
  <w:style w:type="character" w:customStyle="1" w:styleId="CommentTextChar">
    <w:name w:val="Comment Text Char"/>
    <w:basedOn w:val="DefaultParagraphFont"/>
    <w:link w:val="CommentText"/>
    <w:uiPriority w:val="99"/>
    <w:semiHidden/>
    <w:rsid w:val="009B7E8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7E88"/>
    <w:rPr>
      <w:b/>
      <w:bCs/>
    </w:rPr>
  </w:style>
  <w:style w:type="character" w:customStyle="1" w:styleId="CommentSubjectChar">
    <w:name w:val="Comment Subject Char"/>
    <w:basedOn w:val="CommentTextChar"/>
    <w:link w:val="CommentSubject"/>
    <w:uiPriority w:val="99"/>
    <w:semiHidden/>
    <w:rsid w:val="009B7E88"/>
    <w:rPr>
      <w:rFonts w:ascii="Calibri" w:eastAsia="Calibri" w:hAnsi="Calibri" w:cs="Calibri"/>
      <w:b/>
      <w:bCs/>
      <w:color w:val="000000"/>
      <w:sz w:val="20"/>
      <w:szCs w:val="20"/>
    </w:rPr>
  </w:style>
  <w:style w:type="paragraph" w:styleId="Revision">
    <w:name w:val="Revision"/>
    <w:hidden/>
    <w:uiPriority w:val="99"/>
    <w:semiHidden/>
    <w:rsid w:val="002959D5"/>
    <w:pPr>
      <w:spacing w:after="0" w:line="240" w:lineRule="auto"/>
    </w:pPr>
    <w:rPr>
      <w:rFonts w:ascii="Calibri" w:eastAsia="Calibri" w:hAnsi="Calibri" w:cs="Calibri"/>
      <w:color w:val="000000"/>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7820DA"/>
    <w:rPr>
      <w:rFonts w:ascii="Calibri" w:eastAsia="Calibri" w:hAnsi="Calibri" w:cs="Calibri"/>
      <w:color w:val="000000"/>
    </w:rPr>
  </w:style>
  <w:style w:type="paragraph" w:customStyle="1" w:styleId="Default">
    <w:name w:val="Default"/>
    <w:rsid w:val="00E809E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32F0"/>
    <w:rPr>
      <w:color w:val="0000FF"/>
      <w:u w:val="single"/>
    </w:rPr>
  </w:style>
  <w:style w:type="character" w:styleId="UnresolvedMention">
    <w:name w:val="Unresolved Mention"/>
    <w:basedOn w:val="DefaultParagraphFont"/>
    <w:uiPriority w:val="99"/>
    <w:semiHidden/>
    <w:unhideWhenUsed/>
    <w:rsid w:val="0081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2302">
      <w:bodyDiv w:val="1"/>
      <w:marLeft w:val="0"/>
      <w:marRight w:val="0"/>
      <w:marTop w:val="0"/>
      <w:marBottom w:val="0"/>
      <w:divBdr>
        <w:top w:val="none" w:sz="0" w:space="0" w:color="auto"/>
        <w:left w:val="none" w:sz="0" w:space="0" w:color="auto"/>
        <w:bottom w:val="none" w:sz="0" w:space="0" w:color="auto"/>
        <w:right w:val="none" w:sz="0" w:space="0" w:color="auto"/>
      </w:divBdr>
    </w:div>
    <w:div w:id="225381814">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42192475">
      <w:bodyDiv w:val="1"/>
      <w:marLeft w:val="0"/>
      <w:marRight w:val="0"/>
      <w:marTop w:val="0"/>
      <w:marBottom w:val="0"/>
      <w:divBdr>
        <w:top w:val="none" w:sz="0" w:space="0" w:color="auto"/>
        <w:left w:val="none" w:sz="0" w:space="0" w:color="auto"/>
        <w:bottom w:val="none" w:sz="0" w:space="0" w:color="auto"/>
        <w:right w:val="none" w:sz="0" w:space="0" w:color="auto"/>
      </w:divBdr>
    </w:div>
    <w:div w:id="99125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zza700@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ProofOfDelivery xmlns="6e998281-2f2f-45fb-a552-ccf96d41eacc" xsi:nil="true"/>
    <SubmitToImageBank xmlns="6e998281-2f2f-45fb-a552-ccf96d41ea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BD6415E1EF8498887B3BD1634328C" ma:contentTypeVersion="7" ma:contentTypeDescription="Create a new document." ma:contentTypeScope="" ma:versionID="78114042fe1036987c71956e4d072a5d">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705-5943-4BF2-9563-513603634812}">
  <ds:schemaRefs>
    <ds:schemaRef ds:uri="5bfaf461-13e0-45a0-a2e0-de503fc4cc75"/>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4AD633-1CA4-4C6F-AD73-DC3AF38074A5}"/>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56A8AE34-EBCF-499B-8531-D21F1774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RMI COVID SEP 11Apr</dc:title>
  <dc:subject/>
  <dc:creator>Anne-Katrin Arnold</dc:creator>
  <cp:keywords/>
  <cp:lastModifiedBy>Rebekah Beatrice Ramsay</cp:lastModifiedBy>
  <cp:revision>10</cp:revision>
  <dcterms:created xsi:type="dcterms:W3CDTF">2020-04-05T08:36:00Z</dcterms:created>
  <dcterms:modified xsi:type="dcterms:W3CDTF">2020-04-06T06:41:00Z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0x01010064EBD6415E1EF8498887B3BD1634328C</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PROJDOCSEP001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P173887</vt:lpwstr>
  </property>
  <property fmtid="{D5CDD505-2E9C-101B-9397-08002B2CF9AE}" pid="21" name="Task ID">
    <vt:lpwstr>PRC0014021</vt:lpwstr>
  </property>
  <property fmtid="{D5CDD505-2E9C-101B-9397-08002B2CF9AE}" pid="22" name="HasUserUploaded">
    <vt:bool>true</vt:bool>
  </property>
  <property fmtid="{D5CDD505-2E9C-101B-9397-08002B2CF9AE}" pid="23" name="DocStatus">
    <vt:lpwstr>23</vt:lpwstr>
  </property>
  <property fmtid="{D5CDD505-2E9C-101B-9397-08002B2CF9AE}" pid="24" name="LockStatus">
    <vt:lpwstr/>
  </property>
  <property fmtid="{D5CDD505-2E9C-101B-9397-08002B2CF9AE}" pid="25" name="ApprovedVersion">
    <vt:lpwstr>APR:3.0</vt:lpwstr>
  </property>
  <property fmtid="{D5CDD505-2E9C-101B-9397-08002B2CF9AE}" pid="26" name="DisclosedVersion">
    <vt:lpwstr>APR:4.0</vt:lpwstr>
  </property>
</Properties>
</file>