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09" w:rsidRDefault="00626C09">
      <w:pPr>
        <w:jc w:val="center"/>
        <w:rPr>
          <w:b/>
          <w:bCs/>
        </w:rPr>
      </w:pPr>
      <w:r>
        <w:rPr>
          <w:b/>
          <w:bCs/>
        </w:rPr>
        <w:t>PROJECT INFORMATION DOCUMENT (PID)</w:t>
      </w:r>
    </w:p>
    <w:p w:rsidR="00626C09" w:rsidRDefault="00626C09">
      <w:pPr>
        <w:jc w:val="center"/>
        <w:rPr>
          <w:b/>
          <w:bCs/>
        </w:rPr>
      </w:pPr>
      <w:r>
        <w:rPr>
          <w:b/>
          <w:bCs/>
        </w:rPr>
        <w:t>APPRAISAL STAGE</w:t>
      </w:r>
    </w:p>
    <w:p w:rsidR="00626C09" w:rsidRDefault="00626C09">
      <w:pPr>
        <w:jc w:val="right"/>
      </w:pPr>
      <w:r>
        <w:t xml:space="preserve">Report No.:  </w:t>
      </w:r>
      <w:bookmarkStart w:id="0" w:name="ReportNo"/>
      <w:r>
        <w:t>AB5068</w:t>
      </w:r>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2880"/>
        <w:gridCol w:w="6660"/>
      </w:tblGrid>
      <w:tr w:rsidR="00626C09">
        <w:tc>
          <w:tcPr>
            <w:tcW w:w="2880" w:type="dxa"/>
            <w:tcBorders>
              <w:top w:val="single" w:sz="4" w:space="0" w:color="auto"/>
              <w:left w:val="single" w:sz="4" w:space="0" w:color="auto"/>
              <w:bottom w:val="single" w:sz="4" w:space="0" w:color="auto"/>
              <w:right w:val="single" w:sz="4" w:space="0" w:color="auto"/>
            </w:tcBorders>
          </w:tcPr>
          <w:p w:rsidR="00626C09" w:rsidRDefault="00626C09">
            <w:pPr>
              <w:pStyle w:val="Heading1"/>
              <w:rPr>
                <w:rFonts w:eastAsia="Arial Unicode MS"/>
              </w:rPr>
            </w:pPr>
            <w:r>
              <w:t>Project Name</w:t>
            </w:r>
          </w:p>
        </w:tc>
        <w:tc>
          <w:tcPr>
            <w:tcW w:w="6660" w:type="dxa"/>
            <w:tcBorders>
              <w:top w:val="single" w:sz="4" w:space="0" w:color="auto"/>
              <w:left w:val="single" w:sz="4" w:space="0" w:color="auto"/>
              <w:bottom w:val="single" w:sz="4" w:space="0" w:color="auto"/>
              <w:right w:val="single" w:sz="4" w:space="0" w:color="auto"/>
            </w:tcBorders>
          </w:tcPr>
          <w:p w:rsidR="00626C09" w:rsidRDefault="004C45E6" w:rsidP="007E0EE6">
            <w:bookmarkStart w:id="1" w:name="PROJECTNAME"/>
            <w:r>
              <w:t>Second HNP</w:t>
            </w:r>
            <w:r w:rsidR="00626C09">
              <w:t xml:space="preserve"> and HIV/AIDS </w:t>
            </w:r>
            <w:r w:rsidR="00CA25C8">
              <w:t xml:space="preserve"> </w:t>
            </w:r>
            <w:r w:rsidR="00626C09">
              <w:t>Project</w:t>
            </w:r>
            <w:bookmarkEnd w:id="1"/>
          </w:p>
        </w:tc>
      </w:tr>
      <w:tr w:rsidR="00626C09">
        <w:tc>
          <w:tcPr>
            <w:tcW w:w="2880" w:type="dxa"/>
            <w:tcBorders>
              <w:top w:val="single" w:sz="4" w:space="0" w:color="auto"/>
              <w:left w:val="single" w:sz="4" w:space="0" w:color="auto"/>
              <w:bottom w:val="single" w:sz="4" w:space="0" w:color="auto"/>
              <w:right w:val="single" w:sz="4" w:space="0" w:color="auto"/>
            </w:tcBorders>
          </w:tcPr>
          <w:p w:rsidR="00626C09" w:rsidRDefault="00626C09">
            <w:pPr>
              <w:rPr>
                <w:b/>
                <w:bCs/>
              </w:rPr>
            </w:pPr>
            <w:r>
              <w:rPr>
                <w:b/>
                <w:bCs/>
              </w:rPr>
              <w:t>Region</w:t>
            </w:r>
          </w:p>
        </w:tc>
        <w:tc>
          <w:tcPr>
            <w:tcW w:w="6660" w:type="dxa"/>
            <w:tcBorders>
              <w:top w:val="single" w:sz="4" w:space="0" w:color="auto"/>
              <w:left w:val="single" w:sz="4" w:space="0" w:color="auto"/>
              <w:bottom w:val="single" w:sz="4" w:space="0" w:color="auto"/>
              <w:right w:val="single" w:sz="4" w:space="0" w:color="auto"/>
            </w:tcBorders>
          </w:tcPr>
          <w:p w:rsidR="00626C09" w:rsidRDefault="00626C09">
            <w:bookmarkStart w:id="2" w:name="REGION"/>
            <w:r>
              <w:t>SOUTH ASIA</w:t>
            </w:r>
            <w:bookmarkEnd w:id="2"/>
          </w:p>
        </w:tc>
      </w:tr>
      <w:tr w:rsidR="00626C09">
        <w:tc>
          <w:tcPr>
            <w:tcW w:w="2880" w:type="dxa"/>
            <w:tcBorders>
              <w:top w:val="single" w:sz="4" w:space="0" w:color="auto"/>
              <w:left w:val="single" w:sz="4" w:space="0" w:color="auto"/>
              <w:bottom w:val="single" w:sz="4" w:space="0" w:color="auto"/>
              <w:right w:val="single" w:sz="4" w:space="0" w:color="auto"/>
            </w:tcBorders>
          </w:tcPr>
          <w:p w:rsidR="00626C09" w:rsidRDefault="00626C09">
            <w:pPr>
              <w:rPr>
                <w:b/>
                <w:bCs/>
              </w:rPr>
            </w:pPr>
            <w:r>
              <w:rPr>
                <w:b/>
                <w:bCs/>
              </w:rPr>
              <w:t>Sector</w:t>
            </w:r>
          </w:p>
        </w:tc>
        <w:tc>
          <w:tcPr>
            <w:tcW w:w="6660" w:type="dxa"/>
            <w:tcBorders>
              <w:top w:val="single" w:sz="4" w:space="0" w:color="auto"/>
              <w:left w:val="single" w:sz="4" w:space="0" w:color="auto"/>
              <w:bottom w:val="single" w:sz="4" w:space="0" w:color="auto"/>
              <w:right w:val="single" w:sz="4" w:space="0" w:color="auto"/>
            </w:tcBorders>
          </w:tcPr>
          <w:p w:rsidR="00626C09" w:rsidRDefault="00626C09">
            <w:bookmarkStart w:id="3" w:name="SECTOR"/>
            <w:r>
              <w:t>Health (100%)</w:t>
            </w:r>
            <w:bookmarkEnd w:id="3"/>
          </w:p>
        </w:tc>
      </w:tr>
      <w:tr w:rsidR="00626C09">
        <w:tc>
          <w:tcPr>
            <w:tcW w:w="2880" w:type="dxa"/>
            <w:tcBorders>
              <w:top w:val="single" w:sz="4" w:space="0" w:color="auto"/>
              <w:left w:val="single" w:sz="4" w:space="0" w:color="auto"/>
              <w:bottom w:val="single" w:sz="4" w:space="0" w:color="auto"/>
              <w:right w:val="single" w:sz="4" w:space="0" w:color="auto"/>
            </w:tcBorders>
          </w:tcPr>
          <w:p w:rsidR="00626C09" w:rsidRDefault="00626C09">
            <w:pPr>
              <w:rPr>
                <w:b/>
                <w:bCs/>
              </w:rPr>
            </w:pPr>
            <w:r>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626C09" w:rsidRDefault="00626C09">
            <w:bookmarkStart w:id="4" w:name="PROJECTCODE"/>
            <w:r>
              <w:t>P117417</w:t>
            </w:r>
            <w:bookmarkEnd w:id="4"/>
          </w:p>
        </w:tc>
      </w:tr>
      <w:tr w:rsidR="00626C09">
        <w:tc>
          <w:tcPr>
            <w:tcW w:w="2880" w:type="dxa"/>
            <w:tcBorders>
              <w:top w:val="single" w:sz="4" w:space="0" w:color="auto"/>
              <w:left w:val="single" w:sz="4" w:space="0" w:color="auto"/>
              <w:bottom w:val="single" w:sz="4" w:space="0" w:color="auto"/>
              <w:right w:val="single" w:sz="4" w:space="0" w:color="auto"/>
            </w:tcBorders>
          </w:tcPr>
          <w:p w:rsidR="00626C09" w:rsidRDefault="00626C09">
            <w:pPr>
              <w:rPr>
                <w:b/>
                <w:bCs/>
              </w:rPr>
            </w:pPr>
            <w:r>
              <w:rPr>
                <w:b/>
                <w:bCs/>
              </w:rPr>
              <w:t>Borrower(s)</w:t>
            </w:r>
          </w:p>
        </w:tc>
        <w:tc>
          <w:tcPr>
            <w:tcW w:w="6660" w:type="dxa"/>
            <w:tcBorders>
              <w:top w:val="single" w:sz="4" w:space="0" w:color="auto"/>
              <w:left w:val="single" w:sz="4" w:space="0" w:color="auto"/>
              <w:bottom w:val="single" w:sz="4" w:space="0" w:color="auto"/>
              <w:right w:val="single" w:sz="4" w:space="0" w:color="auto"/>
            </w:tcBorders>
          </w:tcPr>
          <w:p w:rsidR="00626C09" w:rsidRDefault="00626C09">
            <w:bookmarkStart w:id="5" w:name="BORROWERNAME"/>
            <w:r>
              <w:t>GOVERNMENT OF NEPAL</w:t>
            </w:r>
            <w:bookmarkEnd w:id="5"/>
          </w:p>
        </w:tc>
      </w:tr>
      <w:tr w:rsidR="00626C09">
        <w:trPr>
          <w:trHeight w:val="140"/>
        </w:trPr>
        <w:tc>
          <w:tcPr>
            <w:tcW w:w="2880" w:type="dxa"/>
            <w:tcBorders>
              <w:top w:val="single" w:sz="4" w:space="0" w:color="auto"/>
              <w:left w:val="single" w:sz="4" w:space="0" w:color="auto"/>
              <w:bottom w:val="nil"/>
              <w:right w:val="single" w:sz="4" w:space="0" w:color="auto"/>
            </w:tcBorders>
          </w:tcPr>
          <w:p w:rsidR="00626C09" w:rsidRDefault="00626C09">
            <w:pPr>
              <w:rPr>
                <w:b/>
                <w:bCs/>
              </w:rPr>
            </w:pPr>
          </w:p>
        </w:tc>
        <w:tc>
          <w:tcPr>
            <w:tcW w:w="6660" w:type="dxa"/>
            <w:tcBorders>
              <w:top w:val="single" w:sz="4" w:space="0" w:color="auto"/>
              <w:left w:val="single" w:sz="4" w:space="0" w:color="auto"/>
              <w:bottom w:val="nil"/>
              <w:right w:val="single" w:sz="4" w:space="0" w:color="auto"/>
            </w:tcBorders>
          </w:tcPr>
          <w:p w:rsidR="00626C09" w:rsidRDefault="00626C09">
            <w:r>
              <w:t>Ministry of Finance</w:t>
            </w:r>
          </w:p>
          <w:p w:rsidR="00626C09" w:rsidRDefault="00626C09">
            <w:r>
              <w:t>Singh Durbar</w:t>
            </w:r>
          </w:p>
          <w:p w:rsidR="00626C09" w:rsidRDefault="00626C09">
            <w:r>
              <w:t>Nepal</w:t>
            </w:r>
          </w:p>
          <w:p w:rsidR="00626C09" w:rsidRDefault="00626C09">
            <w:r>
              <w:t>Tel: 977-1-425-9820</w:t>
            </w:r>
            <w:r>
              <w:tab/>
              <w:t>Fax: 977-1-425-7854</w:t>
            </w:r>
          </w:p>
        </w:tc>
      </w:tr>
      <w:tr w:rsidR="00626C09">
        <w:trPr>
          <w:trHeight w:val="140"/>
        </w:trPr>
        <w:tc>
          <w:tcPr>
            <w:tcW w:w="2880" w:type="dxa"/>
            <w:tcBorders>
              <w:top w:val="single" w:sz="4" w:space="0" w:color="auto"/>
              <w:left w:val="single" w:sz="4" w:space="0" w:color="auto"/>
              <w:bottom w:val="nil"/>
              <w:right w:val="single" w:sz="4" w:space="0" w:color="auto"/>
            </w:tcBorders>
          </w:tcPr>
          <w:p w:rsidR="00626C09" w:rsidRDefault="00626C09">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626C09" w:rsidRDefault="00626C09">
            <w:bookmarkStart w:id="6" w:name="IMPLEMENTINGAGENCY"/>
            <w:bookmarkEnd w:id="6"/>
          </w:p>
        </w:tc>
      </w:tr>
      <w:tr w:rsidR="00626C09">
        <w:trPr>
          <w:trHeight w:val="285"/>
        </w:trPr>
        <w:tc>
          <w:tcPr>
            <w:tcW w:w="2880" w:type="dxa"/>
            <w:tcBorders>
              <w:top w:val="single" w:sz="4" w:space="0" w:color="auto"/>
              <w:left w:val="single" w:sz="4" w:space="0" w:color="auto"/>
              <w:bottom w:val="single" w:sz="4" w:space="0" w:color="auto"/>
              <w:right w:val="single" w:sz="4" w:space="0" w:color="auto"/>
            </w:tcBorders>
          </w:tcPr>
          <w:p w:rsidR="00626C09" w:rsidRDefault="00626C09">
            <w:pPr>
              <w:rPr>
                <w:b/>
                <w:bCs/>
              </w:rPr>
            </w:pPr>
          </w:p>
        </w:tc>
        <w:tc>
          <w:tcPr>
            <w:tcW w:w="6660" w:type="dxa"/>
            <w:tcBorders>
              <w:top w:val="single" w:sz="4" w:space="0" w:color="auto"/>
              <w:left w:val="single" w:sz="4" w:space="0" w:color="auto"/>
              <w:bottom w:val="single" w:sz="4" w:space="0" w:color="auto"/>
              <w:right w:val="single" w:sz="4" w:space="0" w:color="auto"/>
            </w:tcBorders>
          </w:tcPr>
          <w:p w:rsidR="00626C09" w:rsidRDefault="00626C09">
            <w:r>
              <w:t>Ministry of Health</w:t>
            </w:r>
            <w:r w:rsidR="007E0EE6">
              <w:t xml:space="preserve"> and Population</w:t>
            </w:r>
          </w:p>
          <w:p w:rsidR="00626C09" w:rsidRDefault="00626C09">
            <w:proofErr w:type="spellStart"/>
            <w:r>
              <w:t>Singha</w:t>
            </w:r>
            <w:proofErr w:type="spellEnd"/>
            <w:r>
              <w:t xml:space="preserve"> Durbar</w:t>
            </w:r>
            <w:r w:rsidR="007E0EE6">
              <w:t xml:space="preserve">, Kathmandu </w:t>
            </w:r>
          </w:p>
          <w:p w:rsidR="00626C09" w:rsidRDefault="00626C09">
            <w:r>
              <w:t>Nepal</w:t>
            </w:r>
          </w:p>
        </w:tc>
      </w:tr>
      <w:tr w:rsidR="00626C09">
        <w:trPr>
          <w:trHeight w:val="285"/>
        </w:trPr>
        <w:tc>
          <w:tcPr>
            <w:tcW w:w="2880" w:type="dxa"/>
            <w:tcBorders>
              <w:top w:val="single" w:sz="4" w:space="0" w:color="auto"/>
              <w:left w:val="single" w:sz="4" w:space="0" w:color="auto"/>
              <w:bottom w:val="single" w:sz="4" w:space="0" w:color="auto"/>
              <w:right w:val="single" w:sz="4" w:space="0" w:color="auto"/>
            </w:tcBorders>
          </w:tcPr>
          <w:p w:rsidR="00626C09" w:rsidRDefault="00626C09">
            <w:pPr>
              <w:rPr>
                <w:b/>
                <w:bCs/>
              </w:rPr>
            </w:pPr>
            <w:r>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626C09" w:rsidRDefault="00626C09">
            <w:r>
              <w:t>[</w:t>
            </w:r>
            <w:bookmarkStart w:id="7" w:name="ENVCAT_A"/>
            <w:r>
              <w:t xml:space="preserve"> </w:t>
            </w:r>
            <w:bookmarkEnd w:id="7"/>
            <w:r>
              <w:t>] A   [</w:t>
            </w:r>
            <w:bookmarkStart w:id="8" w:name="ENVCAT_B"/>
            <w:r>
              <w:t>X</w:t>
            </w:r>
            <w:bookmarkEnd w:id="8"/>
            <w:r>
              <w:t>] B   [</w:t>
            </w:r>
            <w:bookmarkStart w:id="9" w:name="ENVCAT_C"/>
            <w:r>
              <w:t xml:space="preserve"> </w:t>
            </w:r>
            <w:bookmarkEnd w:id="9"/>
            <w:r>
              <w:t>] C   [</w:t>
            </w:r>
            <w:bookmarkStart w:id="10" w:name="ENVCAT_FI"/>
            <w:r>
              <w:t xml:space="preserve"> </w:t>
            </w:r>
            <w:bookmarkEnd w:id="10"/>
            <w:r>
              <w:t>] FI   [</w:t>
            </w:r>
            <w:bookmarkStart w:id="11" w:name="ENVCAT_TBD"/>
            <w:r>
              <w:t xml:space="preserve"> </w:t>
            </w:r>
            <w:bookmarkEnd w:id="11"/>
            <w:r>
              <w:t>] TBD (to be determined)</w:t>
            </w:r>
          </w:p>
        </w:tc>
      </w:tr>
      <w:tr w:rsidR="00626C09">
        <w:tc>
          <w:tcPr>
            <w:tcW w:w="2880" w:type="dxa"/>
            <w:tcBorders>
              <w:top w:val="single" w:sz="4" w:space="0" w:color="auto"/>
              <w:left w:val="single" w:sz="4" w:space="0" w:color="auto"/>
              <w:bottom w:val="single" w:sz="4" w:space="0" w:color="auto"/>
              <w:right w:val="single" w:sz="4" w:space="0" w:color="auto"/>
            </w:tcBorders>
          </w:tcPr>
          <w:p w:rsidR="00626C09" w:rsidRDefault="00626C09">
            <w:pPr>
              <w:rPr>
                <w:b/>
                <w:bCs/>
              </w:rPr>
            </w:pPr>
            <w:r>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B0496D" w:rsidRDefault="00B14C00">
            <w:r>
              <w:t>February 1, 2010</w:t>
            </w:r>
          </w:p>
        </w:tc>
      </w:tr>
      <w:tr w:rsidR="00626C09">
        <w:tc>
          <w:tcPr>
            <w:tcW w:w="2880" w:type="dxa"/>
            <w:tcBorders>
              <w:top w:val="single" w:sz="4" w:space="0" w:color="auto"/>
              <w:left w:val="single" w:sz="4" w:space="0" w:color="auto"/>
              <w:bottom w:val="single" w:sz="4" w:space="0" w:color="auto"/>
              <w:right w:val="single" w:sz="4" w:space="0" w:color="auto"/>
            </w:tcBorders>
          </w:tcPr>
          <w:p w:rsidR="00626C09" w:rsidRDefault="00626C09">
            <w:pPr>
              <w:rPr>
                <w:b/>
                <w:bCs/>
              </w:rPr>
            </w:pPr>
            <w:r>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626C09" w:rsidRDefault="00B14C00">
            <w:bookmarkStart w:id="12" w:name="APPRAISALDATE"/>
            <w:bookmarkEnd w:id="12"/>
            <w:r>
              <w:t>January 27, 2010</w:t>
            </w:r>
          </w:p>
        </w:tc>
      </w:tr>
      <w:tr w:rsidR="00626C09">
        <w:tc>
          <w:tcPr>
            <w:tcW w:w="2880" w:type="dxa"/>
            <w:tcBorders>
              <w:top w:val="single" w:sz="4" w:space="0" w:color="auto"/>
              <w:left w:val="single" w:sz="4" w:space="0" w:color="auto"/>
              <w:bottom w:val="single" w:sz="4" w:space="0" w:color="auto"/>
              <w:right w:val="single" w:sz="4" w:space="0" w:color="auto"/>
            </w:tcBorders>
          </w:tcPr>
          <w:p w:rsidR="00626C09" w:rsidRDefault="00626C09">
            <w:pPr>
              <w:rPr>
                <w:b/>
                <w:bCs/>
              </w:rPr>
            </w:pPr>
            <w:r>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626C09" w:rsidRDefault="00B14C00">
            <w:r>
              <w:t>April 20, 2010</w:t>
            </w:r>
          </w:p>
        </w:tc>
      </w:tr>
    </w:tbl>
    <w:p w:rsidR="00626C09" w:rsidRDefault="00626C09"/>
    <w:p w:rsidR="00626C09" w:rsidRPr="000A656F" w:rsidRDefault="00626C09">
      <w:pPr>
        <w:numPr>
          <w:ilvl w:val="0"/>
          <w:numId w:val="6"/>
        </w:numPr>
        <w:tabs>
          <w:tab w:val="clear" w:pos="720"/>
          <w:tab w:val="num" w:pos="360"/>
        </w:tabs>
        <w:ind w:left="360"/>
        <w:rPr>
          <w:b/>
        </w:rPr>
      </w:pPr>
      <w:r w:rsidRPr="000A656F">
        <w:rPr>
          <w:b/>
        </w:rPr>
        <w:t>Country and Sector Background</w:t>
      </w:r>
      <w:bookmarkStart w:id="13" w:name="CountrySectorBackground"/>
    </w:p>
    <w:p w:rsidR="00626C09" w:rsidRDefault="00626C09"/>
    <w:p w:rsidR="00626C09" w:rsidRDefault="00626C09" w:rsidP="00626C09">
      <w:pPr>
        <w:jc w:val="both"/>
        <w:rPr>
          <w:szCs w:val="22"/>
        </w:rPr>
      </w:pPr>
      <w:r w:rsidRPr="00F95A34">
        <w:t>Nepal is a landlocked country with an average per capita GDP of US$470.  Its population of</w:t>
      </w:r>
      <w:r>
        <w:t xml:space="preserve"> 28</w:t>
      </w:r>
      <w:r w:rsidRPr="000E5A39">
        <w:t xml:space="preserve"> million is culturally, ethnically</w:t>
      </w:r>
      <w:r>
        <w:t xml:space="preserve"> and</w:t>
      </w:r>
      <w:r w:rsidRPr="000E5A39">
        <w:t xml:space="preserve"> religiously diverse</w:t>
      </w:r>
      <w:r>
        <w:t>,</w:t>
      </w:r>
      <w:r w:rsidRPr="000E5A39">
        <w:t xml:space="preserve"> comes from more than 100 caste/ethnic groups, </w:t>
      </w:r>
      <w:r>
        <w:t xml:space="preserve">and </w:t>
      </w:r>
      <w:r w:rsidRPr="000E5A39">
        <w:t>speak</w:t>
      </w:r>
      <w:r>
        <w:t>s</w:t>
      </w:r>
      <w:r w:rsidRPr="000E5A39">
        <w:t xml:space="preserve"> more than 90 languages and dialects. </w:t>
      </w:r>
      <w:r w:rsidR="004C45E6">
        <w:t xml:space="preserve"> </w:t>
      </w:r>
      <w:r w:rsidR="00CA25C8" w:rsidRPr="000E5A39">
        <w:t xml:space="preserve">There are three distinct eco-zones- the mountains, the hills and the </w:t>
      </w:r>
      <w:proofErr w:type="spellStart"/>
      <w:r w:rsidR="00CA25C8">
        <w:rPr>
          <w:i/>
        </w:rPr>
        <w:t>terai</w:t>
      </w:r>
      <w:proofErr w:type="spellEnd"/>
      <w:r w:rsidR="00CA25C8" w:rsidRPr="000E5A39">
        <w:t xml:space="preserve"> plains - running north to south and five east-to-west development regions.</w:t>
      </w:r>
      <w:r w:rsidR="00CA25C8">
        <w:t xml:space="preserve"> </w:t>
      </w:r>
      <w:r w:rsidR="004C45E6">
        <w:t xml:space="preserve"> </w:t>
      </w:r>
      <w:r w:rsidRPr="000E5A39">
        <w:t>Poverty is widespread with 31 percent of the population living below the poverty line</w:t>
      </w:r>
      <w:r>
        <w:t xml:space="preserve">, but increases to </w:t>
      </w:r>
      <w:r w:rsidRPr="000E5A39">
        <w:t>35 percent in rural areas</w:t>
      </w:r>
      <w:r>
        <w:rPr>
          <w:szCs w:val="22"/>
        </w:rPr>
        <w:t xml:space="preserve"> where about 85 percent of the population lives. </w:t>
      </w:r>
      <w:r w:rsidR="004C45E6">
        <w:rPr>
          <w:szCs w:val="22"/>
        </w:rPr>
        <w:t xml:space="preserve"> </w:t>
      </w:r>
      <w:r>
        <w:rPr>
          <w:szCs w:val="22"/>
        </w:rPr>
        <w:t xml:space="preserve">Various forms of social exclusion based on caste, religion, </w:t>
      </w:r>
      <w:r w:rsidR="000A656F">
        <w:rPr>
          <w:szCs w:val="22"/>
        </w:rPr>
        <w:t xml:space="preserve">gender, </w:t>
      </w:r>
      <w:r>
        <w:rPr>
          <w:szCs w:val="22"/>
        </w:rPr>
        <w:t xml:space="preserve">language and ethnicity have exacerbated poverty with higher poverty rates among minorities, lower caste and tribal groups. </w:t>
      </w:r>
    </w:p>
    <w:p w:rsidR="00626C09" w:rsidRDefault="00626C09" w:rsidP="00626C09">
      <w:pPr>
        <w:jc w:val="both"/>
        <w:rPr>
          <w:szCs w:val="22"/>
        </w:rPr>
      </w:pPr>
    </w:p>
    <w:p w:rsidR="00626C09" w:rsidRPr="00F95A34" w:rsidRDefault="00626C09" w:rsidP="00626C09">
      <w:pPr>
        <w:jc w:val="both"/>
      </w:pPr>
      <w:r w:rsidRPr="00F95A34">
        <w:t xml:space="preserve">The country emerged </w:t>
      </w:r>
      <w:r w:rsidR="00CA25C8">
        <w:t>from</w:t>
      </w:r>
      <w:r w:rsidRPr="00F95A34">
        <w:t xml:space="preserve"> prolonged conflict with the signing of t</w:t>
      </w:r>
      <w:r w:rsidR="004C45E6">
        <w:t>he Comprehensive Peace Accord</w:t>
      </w:r>
      <w:r w:rsidRPr="00F95A34">
        <w:t xml:space="preserve"> in November 2006, laying</w:t>
      </w:r>
      <w:r w:rsidRPr="00F95A34">
        <w:rPr>
          <w:color w:val="000000"/>
        </w:rPr>
        <w:t xml:space="preserve"> out a roadmap to a lasting peace and the construction of a new governance structure. </w:t>
      </w:r>
      <w:r w:rsidR="004C45E6">
        <w:rPr>
          <w:color w:val="000000"/>
        </w:rPr>
        <w:t xml:space="preserve"> </w:t>
      </w:r>
      <w:r w:rsidRPr="00F95A34">
        <w:rPr>
          <w:color w:val="000000"/>
        </w:rPr>
        <w:t xml:space="preserve">Constituent Assembly (CA) elections were peacefully held on April 10, 2008, creating the structure to draft a new constitution. </w:t>
      </w:r>
      <w:r w:rsidR="004C45E6">
        <w:rPr>
          <w:color w:val="000000"/>
        </w:rPr>
        <w:t xml:space="preserve"> </w:t>
      </w:r>
      <w:r w:rsidRPr="00F95A34">
        <w:rPr>
          <w:color w:val="000000"/>
        </w:rPr>
        <w:t>T</w:t>
      </w:r>
      <w:r w:rsidRPr="00F95A34">
        <w:t>he political system remains unsteady and the security environment remains delicate.</w:t>
      </w:r>
    </w:p>
    <w:p w:rsidR="00626C09" w:rsidRPr="00F95A34" w:rsidRDefault="00626C09" w:rsidP="00626C09">
      <w:pPr>
        <w:jc w:val="both"/>
      </w:pPr>
      <w:r w:rsidRPr="00F95A34">
        <w:t xml:space="preserve"> </w:t>
      </w:r>
    </w:p>
    <w:p w:rsidR="00626C09" w:rsidRDefault="00626C09" w:rsidP="00626C09">
      <w:pPr>
        <w:jc w:val="both"/>
        <w:rPr>
          <w:rFonts w:eastAsiaTheme="minorHAnsi"/>
        </w:rPr>
      </w:pPr>
      <w:r w:rsidRPr="00F95A34">
        <w:rPr>
          <w:szCs w:val="22"/>
        </w:rPr>
        <w:t>Despite the decade-</w:t>
      </w:r>
      <w:r w:rsidRPr="00F95A34">
        <w:t>long conflict, Nepal has made significant strides in reducing poverty in the past decade.</w:t>
      </w:r>
      <w:r w:rsidRPr="00443C28">
        <w:t xml:space="preserve"> </w:t>
      </w:r>
      <w:r w:rsidR="004C45E6">
        <w:t xml:space="preserve"> </w:t>
      </w:r>
      <w:r>
        <w:t>The h</w:t>
      </w:r>
      <w:r w:rsidRPr="00443C28">
        <w:t>ead count poverty rate decreased dramatically from 42 percent in 1995/96 to 31</w:t>
      </w:r>
      <w:r>
        <w:t xml:space="preserve"> </w:t>
      </w:r>
      <w:r w:rsidRPr="00443C28">
        <w:t xml:space="preserve">percent in 2003/04. </w:t>
      </w:r>
      <w:r w:rsidR="004C45E6">
        <w:t xml:space="preserve"> </w:t>
      </w:r>
      <w:r>
        <w:rPr>
          <w:color w:val="000000"/>
        </w:rPr>
        <w:t>T</w:t>
      </w:r>
      <w:r w:rsidRPr="00443C28">
        <w:rPr>
          <w:color w:val="000000"/>
        </w:rPr>
        <w:t xml:space="preserve">he incidence of poverty in urban areas </w:t>
      </w:r>
      <w:r>
        <w:rPr>
          <w:color w:val="000000"/>
        </w:rPr>
        <w:t>d</w:t>
      </w:r>
      <w:r w:rsidRPr="00443C28">
        <w:rPr>
          <w:color w:val="000000"/>
        </w:rPr>
        <w:t>eclin</w:t>
      </w:r>
      <w:r>
        <w:rPr>
          <w:color w:val="000000"/>
        </w:rPr>
        <w:t>ed</w:t>
      </w:r>
      <w:r w:rsidRPr="00443C28">
        <w:rPr>
          <w:color w:val="000000"/>
        </w:rPr>
        <w:t xml:space="preserve"> from 22 percent to 10 percent, while poverty in rural areas also declined notably from 43 percent to 35 percent, but remains high. </w:t>
      </w:r>
      <w:r w:rsidR="00CA25C8" w:rsidRPr="0005631A">
        <w:rPr>
          <w:rFonts w:eastAsiaTheme="minorHAnsi"/>
        </w:rPr>
        <w:t xml:space="preserve"> </w:t>
      </w:r>
    </w:p>
    <w:p w:rsidR="000D17A0" w:rsidRDefault="000D17A0" w:rsidP="00626C09">
      <w:pPr>
        <w:jc w:val="both"/>
        <w:rPr>
          <w:rFonts w:eastAsiaTheme="minorHAnsi"/>
        </w:rPr>
      </w:pPr>
    </w:p>
    <w:p w:rsidR="00994E91" w:rsidRPr="001D4908" w:rsidRDefault="007B0E03" w:rsidP="00994E91">
      <w:pPr>
        <w:pStyle w:val="ListParagraph"/>
        <w:autoSpaceDE w:val="0"/>
        <w:autoSpaceDN w:val="0"/>
        <w:adjustRightInd w:val="0"/>
        <w:ind w:left="0"/>
        <w:jc w:val="both"/>
        <w:rPr>
          <w:rFonts w:eastAsiaTheme="minorHAnsi"/>
          <w:lang w:eastAsia="ja-JP"/>
        </w:rPr>
      </w:pPr>
      <w:r>
        <w:lastRenderedPageBreak/>
        <w:t>In</w:t>
      </w:r>
      <w:r w:rsidR="00000434">
        <w:t xml:space="preserve"> </w:t>
      </w:r>
      <w:r w:rsidR="00A765E0" w:rsidRPr="00A765E0">
        <w:t xml:space="preserve">2004, </w:t>
      </w:r>
      <w:r w:rsidR="00000434">
        <w:t xml:space="preserve">donors </w:t>
      </w:r>
      <w:r>
        <w:t>began</w:t>
      </w:r>
      <w:r w:rsidR="00391C1B">
        <w:t xml:space="preserve"> support</w:t>
      </w:r>
      <w:r>
        <w:t>ing</w:t>
      </w:r>
      <w:r w:rsidR="00391C1B">
        <w:t xml:space="preserve"> a sector-wide approach (</w:t>
      </w:r>
      <w:proofErr w:type="spellStart"/>
      <w:r w:rsidR="00391C1B">
        <w:t>SWAp</w:t>
      </w:r>
      <w:proofErr w:type="spellEnd"/>
      <w:r w:rsidR="00391C1B">
        <w:t xml:space="preserve">) in Nepal </w:t>
      </w:r>
      <w:r w:rsidR="00A765E0" w:rsidRPr="00A765E0">
        <w:t>to reduce transaction cost</w:t>
      </w:r>
      <w:r w:rsidR="00994E91">
        <w:t>s</w:t>
      </w:r>
      <w:r w:rsidR="00A765E0" w:rsidRPr="00A765E0">
        <w:t xml:space="preserve"> to the government by aligning external support with </w:t>
      </w:r>
      <w:r w:rsidR="00676668">
        <w:t xml:space="preserve">the Government of Nepal’s </w:t>
      </w:r>
      <w:r w:rsidR="00117DE0">
        <w:t xml:space="preserve">(GON) </w:t>
      </w:r>
      <w:r>
        <w:t xml:space="preserve">health </w:t>
      </w:r>
      <w:r w:rsidR="00A765E0" w:rsidRPr="00A765E0">
        <w:t>sector plan</w:t>
      </w:r>
      <w:r w:rsidR="00CA25C8" w:rsidRPr="00464B26">
        <w:rPr>
          <w:b/>
        </w:rPr>
        <w:t xml:space="preserve"> </w:t>
      </w:r>
      <w:r w:rsidR="00CA25C8">
        <w:t>and</w:t>
      </w:r>
      <w:r w:rsidR="00CA25C8" w:rsidRPr="00022EA4">
        <w:t xml:space="preserve"> strengthen</w:t>
      </w:r>
      <w:r w:rsidR="00CA25C8">
        <w:t>ing</w:t>
      </w:r>
      <w:r w:rsidR="00CA25C8" w:rsidRPr="00022EA4">
        <w:t xml:space="preserve"> harmonization among the development partners in the health secto</w:t>
      </w:r>
      <w:r w:rsidR="00676668">
        <w:t>r</w:t>
      </w:r>
      <w:r w:rsidR="00CA25C8" w:rsidRPr="00022EA4">
        <w:t xml:space="preserve">. </w:t>
      </w:r>
      <w:r w:rsidR="004C45E6">
        <w:t xml:space="preserve"> </w:t>
      </w:r>
      <w:r>
        <w:t xml:space="preserve">Under the </w:t>
      </w:r>
      <w:r w:rsidRPr="00022EA4">
        <w:t>GON’s leadership, t</w:t>
      </w:r>
      <w:r w:rsidRPr="00022EA4">
        <w:rPr>
          <w:lang w:val="en-GB"/>
        </w:rPr>
        <w:t xml:space="preserve">he donors support a common sector program </w:t>
      </w:r>
      <w:r w:rsidR="004C45E6">
        <w:rPr>
          <w:lang w:val="en-GB"/>
        </w:rPr>
        <w:t>–</w:t>
      </w:r>
      <w:r w:rsidRPr="00022EA4">
        <w:rPr>
          <w:lang w:val="en-GB"/>
        </w:rPr>
        <w:t xml:space="preserve"> </w:t>
      </w:r>
      <w:r w:rsidR="004C45E6">
        <w:rPr>
          <w:lang w:val="en-GB"/>
        </w:rPr>
        <w:t xml:space="preserve">the </w:t>
      </w:r>
      <w:r w:rsidRPr="00022EA4">
        <w:rPr>
          <w:lang w:val="en-GB"/>
        </w:rPr>
        <w:t xml:space="preserve">Nepal Health Sector Program. </w:t>
      </w:r>
      <w:r w:rsidR="004C45E6">
        <w:rPr>
          <w:lang w:val="en-GB"/>
        </w:rPr>
        <w:t xml:space="preserve"> </w:t>
      </w:r>
      <w:r w:rsidRPr="00022EA4">
        <w:rPr>
          <w:lang w:val="en-GB"/>
        </w:rPr>
        <w:t xml:space="preserve">The performance of the program is jointly reviewed by </w:t>
      </w:r>
      <w:r>
        <w:rPr>
          <w:lang w:val="en-GB"/>
        </w:rPr>
        <w:t xml:space="preserve">all stakeholders </w:t>
      </w:r>
      <w:r w:rsidRPr="00022EA4">
        <w:rPr>
          <w:lang w:val="en-GB"/>
        </w:rPr>
        <w:t xml:space="preserve">on a yearly basis. </w:t>
      </w:r>
      <w:r w:rsidR="004C45E6">
        <w:rPr>
          <w:lang w:val="en-GB"/>
        </w:rPr>
        <w:t xml:space="preserve"> </w:t>
      </w:r>
      <w:r w:rsidR="00CA25C8" w:rsidRPr="00022EA4">
        <w:t>All the main health donors</w:t>
      </w:r>
      <w:r w:rsidR="00CA25C8" w:rsidRPr="00022EA4">
        <w:rPr>
          <w:rStyle w:val="FootnoteReference"/>
        </w:rPr>
        <w:footnoteReference w:id="1"/>
      </w:r>
      <w:r w:rsidR="00CA25C8" w:rsidRPr="00022EA4">
        <w:t xml:space="preserve"> are participating in the </w:t>
      </w:r>
      <w:proofErr w:type="spellStart"/>
      <w:r w:rsidR="00CA25C8" w:rsidRPr="00022EA4">
        <w:t>SWAp</w:t>
      </w:r>
      <w:proofErr w:type="spellEnd"/>
      <w:r w:rsidR="004C45E6">
        <w:t xml:space="preserve">.  </w:t>
      </w:r>
      <w:r w:rsidR="00CA25C8" w:rsidRPr="00022EA4">
        <w:t>IDA, the Department for International Development, UK</w:t>
      </w:r>
      <w:r w:rsidR="00676668">
        <w:t xml:space="preserve"> </w:t>
      </w:r>
      <w:r w:rsidR="00CA25C8" w:rsidRPr="00022EA4">
        <w:t>(</w:t>
      </w:r>
      <w:proofErr w:type="spellStart"/>
      <w:r w:rsidR="00994E91">
        <w:t>Df</w:t>
      </w:r>
      <w:r w:rsidR="00CA25C8" w:rsidRPr="00022EA4">
        <w:t>ID</w:t>
      </w:r>
      <w:proofErr w:type="spellEnd"/>
      <w:r w:rsidR="00CA25C8" w:rsidRPr="00022EA4">
        <w:t xml:space="preserve">) and </w:t>
      </w:r>
      <w:r w:rsidR="00994E91">
        <w:t xml:space="preserve">the </w:t>
      </w:r>
      <w:r w:rsidR="00CA25C8" w:rsidRPr="00022EA4">
        <w:t>Australian Agency for International Development (</w:t>
      </w:r>
      <w:proofErr w:type="spellStart"/>
      <w:r w:rsidR="00CA25C8" w:rsidRPr="00022EA4">
        <w:t>AusAID</w:t>
      </w:r>
      <w:proofErr w:type="spellEnd"/>
      <w:r w:rsidR="00CA25C8" w:rsidRPr="00022EA4">
        <w:t>) are currently pooling funds</w:t>
      </w:r>
      <w:r w:rsidR="00676668">
        <w:t xml:space="preserve">. </w:t>
      </w:r>
      <w:r w:rsidR="004C45E6">
        <w:t xml:space="preserve"> </w:t>
      </w:r>
      <w:r w:rsidR="00676668" w:rsidRPr="00022EA4">
        <w:t>Nepal is also one of the seven first-wave countries to benefit from</w:t>
      </w:r>
      <w:r w:rsidR="00676668" w:rsidRPr="00022EA4">
        <w:rPr>
          <w:lang w:val="en-GB"/>
        </w:rPr>
        <w:t xml:space="preserve"> the </w:t>
      </w:r>
      <w:r w:rsidR="00676668" w:rsidRPr="00022EA4">
        <w:t xml:space="preserve">International Health Partnership (IHP). </w:t>
      </w:r>
      <w:r w:rsidR="004C45E6">
        <w:t xml:space="preserve"> </w:t>
      </w:r>
      <w:r w:rsidR="00676668" w:rsidRPr="00022EA4">
        <w:t>Th</w:t>
      </w:r>
      <w:r w:rsidR="00512E06">
        <w:t>is partnership strives to</w:t>
      </w:r>
      <w:r w:rsidR="00676668" w:rsidRPr="00022EA4">
        <w:t xml:space="preserve"> further consolidate harmonization and </w:t>
      </w:r>
      <w:r w:rsidR="00994E91">
        <w:t xml:space="preserve">further </w:t>
      </w:r>
      <w:r w:rsidR="00676668" w:rsidRPr="00022EA4">
        <w:t xml:space="preserve">strengthen the </w:t>
      </w:r>
      <w:proofErr w:type="spellStart"/>
      <w:r w:rsidR="00676668" w:rsidRPr="00022EA4">
        <w:t>SWAp</w:t>
      </w:r>
      <w:proofErr w:type="spellEnd"/>
      <w:r w:rsidR="00676668" w:rsidRPr="00022EA4">
        <w:t>.</w:t>
      </w:r>
      <w:r w:rsidR="00994E91" w:rsidRPr="00994E91">
        <w:rPr>
          <w:rFonts w:eastAsia="MS Mincho"/>
          <w:szCs w:val="22"/>
          <w:lang w:eastAsia="ja-JP"/>
        </w:rPr>
        <w:t xml:space="preserve"> </w:t>
      </w:r>
      <w:r w:rsidR="004C45E6">
        <w:rPr>
          <w:rFonts w:eastAsia="MS Mincho"/>
          <w:szCs w:val="22"/>
          <w:lang w:eastAsia="ja-JP"/>
        </w:rPr>
        <w:t xml:space="preserve"> </w:t>
      </w:r>
      <w:r w:rsidR="00994E91" w:rsidRPr="001D4908">
        <w:rPr>
          <w:rFonts w:eastAsia="MS Mincho"/>
          <w:szCs w:val="22"/>
          <w:lang w:eastAsia="ja-JP"/>
        </w:rPr>
        <w:t xml:space="preserve">Reviews of the </w:t>
      </w:r>
      <w:r w:rsidR="00994E91" w:rsidRPr="001D4908">
        <w:rPr>
          <w:rFonts w:eastAsiaTheme="minorHAnsi"/>
          <w:lang w:eastAsia="ja-JP"/>
        </w:rPr>
        <w:t xml:space="preserve">current sector program </w:t>
      </w:r>
      <w:r w:rsidR="00994E91">
        <w:rPr>
          <w:rFonts w:eastAsiaTheme="minorHAnsi"/>
          <w:lang w:eastAsia="ja-JP"/>
        </w:rPr>
        <w:t>concluded</w:t>
      </w:r>
      <w:r w:rsidR="00994E91" w:rsidRPr="001D4908">
        <w:rPr>
          <w:rFonts w:eastAsiaTheme="minorHAnsi"/>
          <w:lang w:eastAsia="ja-JP"/>
        </w:rPr>
        <w:t xml:space="preserve"> that it is performing well and has ac</w:t>
      </w:r>
      <w:r w:rsidR="00994E91">
        <w:rPr>
          <w:rFonts w:eastAsiaTheme="minorHAnsi"/>
          <w:lang w:eastAsia="ja-JP"/>
        </w:rPr>
        <w:t xml:space="preserve">hieved good progress. </w:t>
      </w:r>
    </w:p>
    <w:p w:rsidR="00676668" w:rsidRDefault="00676668" w:rsidP="00676668">
      <w:pPr>
        <w:pStyle w:val="ListParagraph"/>
        <w:autoSpaceDE w:val="0"/>
        <w:autoSpaceDN w:val="0"/>
        <w:adjustRightInd w:val="0"/>
        <w:ind w:left="0"/>
        <w:jc w:val="both"/>
        <w:rPr>
          <w:b/>
          <w:szCs w:val="22"/>
        </w:rPr>
      </w:pPr>
    </w:p>
    <w:p w:rsidR="00117DE0" w:rsidRDefault="00F95A34" w:rsidP="00676668">
      <w:pPr>
        <w:pStyle w:val="ListParagraph"/>
        <w:autoSpaceDE w:val="0"/>
        <w:autoSpaceDN w:val="0"/>
        <w:adjustRightInd w:val="0"/>
        <w:ind w:left="0"/>
        <w:jc w:val="both"/>
        <w:rPr>
          <w:rFonts w:eastAsia="Calibri"/>
        </w:rPr>
      </w:pPr>
      <w:r w:rsidRPr="00F95A34">
        <w:rPr>
          <w:szCs w:val="22"/>
        </w:rPr>
        <w:t>The</w:t>
      </w:r>
      <w:r w:rsidR="00626C09" w:rsidRPr="00F95A34">
        <w:rPr>
          <w:rFonts w:eastAsiaTheme="minorHAnsi"/>
        </w:rPr>
        <w:t xml:space="preserve"> health sector has made impressive progress in the past few years</w:t>
      </w:r>
      <w:r w:rsidR="00626C09" w:rsidRPr="008F6F94">
        <w:rPr>
          <w:rFonts w:eastAsiaTheme="minorHAnsi"/>
          <w:b/>
        </w:rPr>
        <w:t xml:space="preserve">.  </w:t>
      </w:r>
      <w:r w:rsidR="00626C09" w:rsidRPr="00F35877">
        <w:rPr>
          <w:rFonts w:eastAsiaTheme="minorHAnsi"/>
        </w:rPr>
        <w:t xml:space="preserve">Infant  mortality declined by 39 percent over the last fifteen years from 79 deaths per 1,000 live births in 1991-94 to 48 deaths </w:t>
      </w:r>
      <w:r w:rsidR="00DC7E76">
        <w:rPr>
          <w:rFonts w:eastAsiaTheme="minorHAnsi"/>
        </w:rPr>
        <w:t xml:space="preserve">per 1,000 live births </w:t>
      </w:r>
      <w:r w:rsidR="00626C09" w:rsidRPr="00F35877">
        <w:rPr>
          <w:rFonts w:eastAsiaTheme="minorHAnsi"/>
        </w:rPr>
        <w:t>in 2001-2005 (DHS 2006).</w:t>
      </w:r>
      <w:r w:rsidR="00626C09">
        <w:rPr>
          <w:rFonts w:eastAsiaTheme="minorHAnsi"/>
        </w:rPr>
        <w:t xml:space="preserve"> </w:t>
      </w:r>
      <w:r w:rsidR="004C45E6">
        <w:rPr>
          <w:rFonts w:eastAsiaTheme="minorHAnsi"/>
        </w:rPr>
        <w:t xml:space="preserve"> </w:t>
      </w:r>
      <w:r w:rsidR="00626C09" w:rsidRPr="00F35877">
        <w:rPr>
          <w:rFonts w:eastAsiaTheme="minorHAnsi"/>
        </w:rPr>
        <w:t xml:space="preserve">An even more impressive decline was observed in under-five mortality, which declined by 48 percent from 118 </w:t>
      </w:r>
      <w:r w:rsidR="00626C09">
        <w:rPr>
          <w:rFonts w:eastAsiaTheme="minorHAnsi"/>
        </w:rPr>
        <w:t xml:space="preserve">to 61 </w:t>
      </w:r>
      <w:r w:rsidR="00626C09" w:rsidRPr="00F35877">
        <w:rPr>
          <w:rFonts w:eastAsiaTheme="minorHAnsi"/>
        </w:rPr>
        <w:t>deaths per 1,000 live births</w:t>
      </w:r>
      <w:r w:rsidR="00626C09">
        <w:rPr>
          <w:rFonts w:eastAsiaTheme="minorHAnsi"/>
        </w:rPr>
        <w:t xml:space="preserve"> over the same period while n</w:t>
      </w:r>
      <w:r w:rsidR="00626C09" w:rsidRPr="00F35877">
        <w:rPr>
          <w:rFonts w:eastAsiaTheme="minorHAnsi"/>
        </w:rPr>
        <w:t>eonatal and postnatal mortality also decreased by 34 percent and 48 percent, respectively</w:t>
      </w:r>
      <w:r w:rsidR="00626C09">
        <w:rPr>
          <w:rFonts w:eastAsiaTheme="minorHAnsi"/>
        </w:rPr>
        <w:t>.</w:t>
      </w:r>
      <w:r w:rsidR="004C45E6">
        <w:rPr>
          <w:rFonts w:eastAsiaTheme="minorHAnsi"/>
        </w:rPr>
        <w:t xml:space="preserve"> </w:t>
      </w:r>
      <w:r w:rsidR="00626C09" w:rsidRPr="00F35877">
        <w:rPr>
          <w:rFonts w:eastAsiaTheme="minorHAnsi"/>
        </w:rPr>
        <w:t xml:space="preserve"> </w:t>
      </w:r>
      <w:r w:rsidR="007B0E03">
        <w:rPr>
          <w:rFonts w:eastAsiaTheme="minorHAnsi"/>
        </w:rPr>
        <w:t xml:space="preserve">Further declines </w:t>
      </w:r>
      <w:r w:rsidR="00676668">
        <w:rPr>
          <w:rFonts w:eastAsia="Calibri"/>
        </w:rPr>
        <w:t>in mortality rate</w:t>
      </w:r>
      <w:r w:rsidR="007B0E03">
        <w:rPr>
          <w:rFonts w:eastAsia="Calibri"/>
        </w:rPr>
        <w:t>s were</w:t>
      </w:r>
      <w:r w:rsidR="00676668">
        <w:rPr>
          <w:rFonts w:eastAsia="Calibri"/>
        </w:rPr>
        <w:t xml:space="preserve"> confirmed by a recent survey </w:t>
      </w:r>
      <w:r w:rsidR="007B0E03">
        <w:rPr>
          <w:rFonts w:eastAsia="Calibri"/>
        </w:rPr>
        <w:t xml:space="preserve">showing </w:t>
      </w:r>
      <w:r w:rsidR="00676668">
        <w:rPr>
          <w:rFonts w:eastAsia="Calibri"/>
        </w:rPr>
        <w:t>inf</w:t>
      </w:r>
      <w:r w:rsidR="00DC7E76">
        <w:rPr>
          <w:rFonts w:eastAsia="Calibri"/>
        </w:rPr>
        <w:t xml:space="preserve">ant and under-five mortality </w:t>
      </w:r>
      <w:r w:rsidR="00676668">
        <w:rPr>
          <w:rFonts w:eastAsia="Calibri"/>
        </w:rPr>
        <w:t>declin</w:t>
      </w:r>
      <w:r w:rsidR="006F42B6">
        <w:rPr>
          <w:rFonts w:eastAsia="Calibri"/>
        </w:rPr>
        <w:t>ing</w:t>
      </w:r>
      <w:r w:rsidR="00676668">
        <w:rPr>
          <w:rFonts w:eastAsia="Calibri"/>
        </w:rPr>
        <w:t xml:space="preserve"> to 41 and 50 </w:t>
      </w:r>
      <w:r w:rsidR="00512E06">
        <w:rPr>
          <w:rFonts w:eastAsia="Calibri"/>
        </w:rPr>
        <w:t>per 1</w:t>
      </w:r>
      <w:r w:rsidR="00F128D9">
        <w:rPr>
          <w:rFonts w:eastAsia="Calibri"/>
        </w:rPr>
        <w:t>,</w:t>
      </w:r>
      <w:r w:rsidR="00512E06">
        <w:rPr>
          <w:rFonts w:eastAsia="Calibri"/>
        </w:rPr>
        <w:t xml:space="preserve">000 live </w:t>
      </w:r>
      <w:r w:rsidR="00F128D9">
        <w:rPr>
          <w:rFonts w:eastAsia="Calibri"/>
        </w:rPr>
        <w:t>births</w:t>
      </w:r>
      <w:r w:rsidR="00512E06">
        <w:rPr>
          <w:rFonts w:eastAsia="Calibri"/>
        </w:rPr>
        <w:t xml:space="preserve"> </w:t>
      </w:r>
      <w:r w:rsidR="00F128D9">
        <w:rPr>
          <w:rFonts w:eastAsia="Calibri"/>
        </w:rPr>
        <w:t xml:space="preserve">respectively </w:t>
      </w:r>
      <w:r w:rsidR="00512E06">
        <w:rPr>
          <w:rFonts w:eastAsia="Calibri"/>
        </w:rPr>
        <w:t xml:space="preserve">in </w:t>
      </w:r>
      <w:r w:rsidR="00676668">
        <w:rPr>
          <w:rFonts w:eastAsia="Calibri"/>
        </w:rPr>
        <w:t xml:space="preserve">2004-2008 (NFHP 2009). </w:t>
      </w:r>
      <w:r w:rsidR="00676668" w:rsidRPr="007B0E03">
        <w:rPr>
          <w:rFonts w:eastAsia="Calibri"/>
        </w:rPr>
        <w:t xml:space="preserve">Similarly, maternal mortality declined significantly from 530 per 100,000 live births in 1996 to </w:t>
      </w:r>
      <w:r w:rsidR="00F128D9" w:rsidRPr="007B0E03">
        <w:rPr>
          <w:rFonts w:eastAsia="Calibri"/>
        </w:rPr>
        <w:t xml:space="preserve">281 in 2006 (DHS 2006), a trend </w:t>
      </w:r>
      <w:r w:rsidR="0049036D" w:rsidRPr="007B0E03">
        <w:rPr>
          <w:rFonts w:eastAsia="Calibri"/>
        </w:rPr>
        <w:t>consistent</w:t>
      </w:r>
      <w:r w:rsidR="00F128D9" w:rsidRPr="007B0E03">
        <w:rPr>
          <w:rFonts w:eastAsia="Calibri"/>
        </w:rPr>
        <w:t xml:space="preserve"> w</w:t>
      </w:r>
      <w:r w:rsidR="007B0E03">
        <w:rPr>
          <w:rFonts w:eastAsia="Calibri"/>
        </w:rPr>
        <w:t>ith</w:t>
      </w:r>
      <w:r w:rsidR="00F128D9" w:rsidRPr="007B0E03">
        <w:rPr>
          <w:rFonts w:eastAsia="Calibri"/>
        </w:rPr>
        <w:t xml:space="preserve"> the </w:t>
      </w:r>
      <w:r w:rsidR="0049036D" w:rsidRPr="007B0E03">
        <w:rPr>
          <w:rFonts w:eastAsia="Calibri"/>
        </w:rPr>
        <w:t>data</w:t>
      </w:r>
      <w:r w:rsidR="00F128D9" w:rsidRPr="007B0E03">
        <w:rPr>
          <w:rFonts w:eastAsia="Calibri"/>
        </w:rPr>
        <w:t xml:space="preserve"> </w:t>
      </w:r>
      <w:r w:rsidR="0049036D" w:rsidRPr="007B0E03">
        <w:rPr>
          <w:rFonts w:eastAsia="Calibri"/>
        </w:rPr>
        <w:t>from</w:t>
      </w:r>
      <w:r w:rsidR="00F128D9" w:rsidRPr="007B0E03">
        <w:rPr>
          <w:rFonts w:eastAsia="Calibri"/>
        </w:rPr>
        <w:t xml:space="preserve"> the “mini” DHS in 2009 which showed a MMR of </w:t>
      </w:r>
      <w:r w:rsidR="00676668" w:rsidRPr="007B0E03">
        <w:rPr>
          <w:rFonts w:eastAsia="Calibri"/>
        </w:rPr>
        <w:t>229 (NHFS 2009</w:t>
      </w:r>
      <w:r w:rsidR="00676668" w:rsidRPr="0049036D">
        <w:rPr>
          <w:rFonts w:eastAsia="Calibri"/>
        </w:rPr>
        <w:t>).</w:t>
      </w:r>
      <w:r w:rsidR="00676668">
        <w:rPr>
          <w:rFonts w:eastAsia="Calibri"/>
        </w:rPr>
        <w:t xml:space="preserve"> </w:t>
      </w:r>
      <w:r w:rsidR="00626C09" w:rsidRPr="00F35877">
        <w:rPr>
          <w:rFonts w:eastAsiaTheme="minorHAnsi"/>
        </w:rPr>
        <w:t>Coverage of maternal and child health services increased significantly in the five years preceding 2005.</w:t>
      </w:r>
      <w:r w:rsidR="004C45E6">
        <w:rPr>
          <w:rFonts w:eastAsiaTheme="minorHAnsi"/>
        </w:rPr>
        <w:t xml:space="preserve"> </w:t>
      </w:r>
      <w:r w:rsidR="00626C09" w:rsidRPr="00F35877">
        <w:rPr>
          <w:rFonts w:eastAsiaTheme="minorHAnsi"/>
        </w:rPr>
        <w:t xml:space="preserve"> Skilled antenatal care increased from 34.9 percent in 2001 to 43.7 pe</w:t>
      </w:r>
      <w:r w:rsidR="00626C09">
        <w:rPr>
          <w:rFonts w:eastAsiaTheme="minorHAnsi"/>
        </w:rPr>
        <w:t>rcent in 2006 (DHS 2001, 2006) and</w:t>
      </w:r>
      <w:r w:rsidR="00626C09" w:rsidRPr="00F35877">
        <w:rPr>
          <w:rFonts w:eastAsiaTheme="minorHAnsi"/>
        </w:rPr>
        <w:t xml:space="preserve"> </w:t>
      </w:r>
      <w:r w:rsidR="00626C09">
        <w:rPr>
          <w:rFonts w:eastAsiaTheme="minorHAnsi"/>
        </w:rPr>
        <w:t xml:space="preserve">the </w:t>
      </w:r>
      <w:r w:rsidR="00626C09" w:rsidRPr="00F35877">
        <w:rPr>
          <w:rFonts w:eastAsiaTheme="minorHAnsi"/>
        </w:rPr>
        <w:t>rate of skilled birth attendance increased by 72 percent, from 10.9 to 18.7 during the same period. Similarly</w:t>
      </w:r>
      <w:r w:rsidR="00626C09">
        <w:rPr>
          <w:rFonts w:eastAsiaTheme="minorHAnsi"/>
        </w:rPr>
        <w:t>,</w:t>
      </w:r>
      <w:r w:rsidR="00626C09" w:rsidRPr="00F35877">
        <w:rPr>
          <w:rFonts w:eastAsiaTheme="minorHAnsi"/>
        </w:rPr>
        <w:t xml:space="preserve"> coverage of DPT3 increased from 72 percen</w:t>
      </w:r>
      <w:r w:rsidR="00626C09">
        <w:rPr>
          <w:rFonts w:eastAsiaTheme="minorHAnsi"/>
        </w:rPr>
        <w:t>t in 2001 to 89 percent in 2005</w:t>
      </w:r>
      <w:r w:rsidR="00626C09" w:rsidRPr="00F35877">
        <w:rPr>
          <w:rFonts w:eastAsiaTheme="minorHAnsi"/>
        </w:rPr>
        <w:t xml:space="preserve"> and full immunization increased from 66 percent to 8</w:t>
      </w:r>
      <w:r w:rsidR="00626C09">
        <w:rPr>
          <w:rFonts w:eastAsiaTheme="minorHAnsi"/>
        </w:rPr>
        <w:t>3 percent</w:t>
      </w:r>
      <w:r w:rsidR="00626C09" w:rsidRPr="00F35877">
        <w:rPr>
          <w:rFonts w:eastAsiaTheme="minorHAnsi"/>
        </w:rPr>
        <w:t>.</w:t>
      </w:r>
      <w:r w:rsidR="00626C09">
        <w:rPr>
          <w:rFonts w:eastAsiaTheme="minorHAnsi"/>
        </w:rPr>
        <w:t xml:space="preserve"> </w:t>
      </w:r>
      <w:r w:rsidR="00676668" w:rsidRPr="00C947DB">
        <w:rPr>
          <w:rFonts w:eastAsia="Calibri"/>
        </w:rPr>
        <w:t xml:space="preserve">Several of Nepal’s nutrition programs are also performing very well. For example, more than 90 percent </w:t>
      </w:r>
      <w:r w:rsidR="00626C09">
        <w:rPr>
          <w:rFonts w:eastAsia="Calibri"/>
        </w:rPr>
        <w:t>of children 6-5</w:t>
      </w:r>
      <w:r w:rsidR="004C45E6">
        <w:rPr>
          <w:rFonts w:eastAsia="Calibri"/>
        </w:rPr>
        <w:t>9 months receive V</w:t>
      </w:r>
      <w:r w:rsidR="00626C09">
        <w:rPr>
          <w:rFonts w:eastAsia="Calibri"/>
        </w:rPr>
        <w:t xml:space="preserve">itamin A supplementation and de-worming twice yearly, </w:t>
      </w:r>
      <w:r w:rsidR="00676668">
        <w:rPr>
          <w:rFonts w:eastAsia="Calibri"/>
        </w:rPr>
        <w:t xml:space="preserve">and </w:t>
      </w:r>
      <w:r w:rsidR="00626C09">
        <w:rPr>
          <w:rFonts w:eastAsia="Calibri"/>
        </w:rPr>
        <w:t xml:space="preserve">iron and folic acid (IFA) supplementation coverage during pregnancy increased from 23 percent in 2001 to 60 percent in 2006, with a related decrease in maternal anemia. </w:t>
      </w:r>
      <w:r w:rsidR="00676668" w:rsidRPr="00C947DB">
        <w:rPr>
          <w:rFonts w:eastAsia="Calibri"/>
        </w:rPr>
        <w:t xml:space="preserve">Virtually all the salt consumed in the country contains some iodine to protect newborns from mental impairment. </w:t>
      </w:r>
    </w:p>
    <w:p w:rsidR="00117DE0" w:rsidRDefault="00117DE0" w:rsidP="006F42B6">
      <w:pPr>
        <w:pStyle w:val="ListParagraph"/>
        <w:ind w:left="0"/>
        <w:jc w:val="both"/>
        <w:rPr>
          <w:szCs w:val="22"/>
        </w:rPr>
      </w:pPr>
    </w:p>
    <w:p w:rsidR="00117DE0" w:rsidRDefault="00626C09" w:rsidP="00117DE0">
      <w:pPr>
        <w:pStyle w:val="ListParagraph"/>
        <w:ind w:left="0"/>
        <w:jc w:val="both"/>
        <w:rPr>
          <w:rFonts w:eastAsia="Calibri"/>
        </w:rPr>
      </w:pPr>
      <w:r w:rsidRPr="00F95A34">
        <w:rPr>
          <w:szCs w:val="22"/>
        </w:rPr>
        <w:t>Despite the progress, enormous challenges remain.</w:t>
      </w:r>
      <w:r>
        <w:rPr>
          <w:szCs w:val="22"/>
        </w:rPr>
        <w:t xml:space="preserve"> </w:t>
      </w:r>
      <w:r w:rsidR="004C45E6">
        <w:rPr>
          <w:szCs w:val="22"/>
        </w:rPr>
        <w:t xml:space="preserve"> </w:t>
      </w:r>
      <w:r w:rsidR="00676668" w:rsidRPr="001D4908">
        <w:rPr>
          <w:rFonts w:eastAsia="Calibri"/>
        </w:rPr>
        <w:t xml:space="preserve">Inequality is a major issue that needs to be addressed. </w:t>
      </w:r>
      <w:r w:rsidR="004C45E6">
        <w:rPr>
          <w:rFonts w:eastAsia="Calibri"/>
        </w:rPr>
        <w:t xml:space="preserve"> </w:t>
      </w:r>
      <w:r w:rsidR="00117DE0">
        <w:t xml:space="preserve">There is wide disparity in health conditions as reflected in all health outcome indicators. </w:t>
      </w:r>
      <w:r w:rsidR="004C45E6">
        <w:t xml:space="preserve"> </w:t>
      </w:r>
      <w:r w:rsidR="00117DE0">
        <w:t xml:space="preserve">Infant mortality in rural areas, for instance, is 73 percent higher than urban areas and those of mountain zones is more than twice of the hill zones. </w:t>
      </w:r>
      <w:r w:rsidR="006C4700">
        <w:t xml:space="preserve"> </w:t>
      </w:r>
      <w:r w:rsidR="00117DE0">
        <w:t xml:space="preserve">Similarly, infant, child and under five mortality rates among the poor are significantly higher than the non-poor (DHS 2006).  </w:t>
      </w:r>
      <w:r w:rsidR="00676668">
        <w:rPr>
          <w:rFonts w:eastAsia="Calibri"/>
        </w:rPr>
        <w:t>Nutritional outcomes are far from ideal and</w:t>
      </w:r>
      <w:r w:rsidR="00676668">
        <w:t xml:space="preserve"> some of the successful nutrition programs have yet to </w:t>
      </w:r>
      <w:r w:rsidR="00DC7E76">
        <w:t xml:space="preserve">be </w:t>
      </w:r>
      <w:r w:rsidR="00676668">
        <w:t>scale</w:t>
      </w:r>
      <w:r w:rsidR="00DC7E76">
        <w:t>d</w:t>
      </w:r>
      <w:r w:rsidR="00676668">
        <w:t xml:space="preserve"> up</w:t>
      </w:r>
      <w:r w:rsidR="00676668">
        <w:rPr>
          <w:rFonts w:eastAsia="Calibri"/>
        </w:rPr>
        <w:t xml:space="preserve">. </w:t>
      </w:r>
      <w:r w:rsidR="006C4700">
        <w:rPr>
          <w:rFonts w:eastAsia="Calibri"/>
        </w:rPr>
        <w:t xml:space="preserve"> </w:t>
      </w:r>
      <w:r w:rsidR="00117DE0" w:rsidRPr="00B90EBA">
        <w:t xml:space="preserve">Chronic energy deficiency in women (as measured in BMI) remains </w:t>
      </w:r>
      <w:r w:rsidR="00117DE0" w:rsidRPr="00B90EBA">
        <w:lastRenderedPageBreak/>
        <w:t xml:space="preserve">unacceptably high at 24.4 percent in 2006, only slightly down from 28.3 percent in 1996. </w:t>
      </w:r>
      <w:r w:rsidR="006C4700">
        <w:t xml:space="preserve"> </w:t>
      </w:r>
      <w:r w:rsidR="00117DE0" w:rsidRPr="00B90EBA">
        <w:t xml:space="preserve">The prevalence of </w:t>
      </w:r>
      <w:r w:rsidR="00117DE0">
        <w:t xml:space="preserve">low birth weight babies is reported as between 20-32 percent in hospital based studies and 14-19 percent in community-based studies. </w:t>
      </w:r>
      <w:r w:rsidR="006C4700">
        <w:t xml:space="preserve"> </w:t>
      </w:r>
      <w:r w:rsidR="00117DE0">
        <w:t>Child underweight has shown a slight improvement between 1996 and 2006 but more than a third of children weigh less than they should for their age.</w:t>
      </w:r>
      <w:r w:rsidR="006C4700">
        <w:t xml:space="preserve"> </w:t>
      </w:r>
      <w:r w:rsidR="00117DE0">
        <w:t xml:space="preserve"> It is alarming that wasting, which reflects more short-term under-nutrition or increase in infections, became worse during the 1996-2006 period and currently stands at 13 percent.</w:t>
      </w:r>
      <w:r w:rsidR="006C4700">
        <w:t xml:space="preserve"> </w:t>
      </w:r>
      <w:r w:rsidR="00117DE0">
        <w:t xml:space="preserve"> Sustained effort is also required to maintain the gains made in reducing mater</w:t>
      </w:r>
      <w:r w:rsidR="006C4700">
        <w:t>nal mortality, V</w:t>
      </w:r>
      <w:r w:rsidR="00117DE0">
        <w:t xml:space="preserve">itamin </w:t>
      </w:r>
      <w:proofErr w:type="gramStart"/>
      <w:r w:rsidR="00117DE0">
        <w:t>A</w:t>
      </w:r>
      <w:proofErr w:type="gramEnd"/>
      <w:r w:rsidR="00117DE0">
        <w:t xml:space="preserve"> supplementation and immunization coverage. </w:t>
      </w:r>
    </w:p>
    <w:p w:rsidR="00117DE0" w:rsidRDefault="00117DE0" w:rsidP="00117DE0">
      <w:pPr>
        <w:jc w:val="both"/>
        <w:rPr>
          <w:rFonts w:eastAsia="MS Mincho"/>
          <w:lang w:eastAsia="ja-JP"/>
        </w:rPr>
      </w:pPr>
    </w:p>
    <w:p w:rsidR="00A765E0" w:rsidRDefault="00117DE0" w:rsidP="00A765E0">
      <w:pPr>
        <w:pStyle w:val="ListParagraph"/>
        <w:ind w:left="0"/>
        <w:jc w:val="both"/>
      </w:pPr>
      <w:r w:rsidRPr="00A765E0">
        <w:t>Nepal has the highest HIV prevalence in South Asia with 0.49 percent of the population aged 15-49 infected with HIV</w:t>
      </w:r>
      <w:r w:rsidRPr="00A765E0">
        <w:rPr>
          <w:rStyle w:val="FootnoteReference"/>
        </w:rPr>
        <w:footnoteReference w:id="2"/>
      </w:r>
      <w:r w:rsidRPr="00A765E0">
        <w:t>.</w:t>
      </w:r>
      <w:r w:rsidRPr="00F31F74">
        <w:t xml:space="preserve"> </w:t>
      </w:r>
      <w:r w:rsidR="006C4700">
        <w:t xml:space="preserve"> </w:t>
      </w:r>
      <w:r w:rsidRPr="00F31F74">
        <w:t xml:space="preserve">Like </w:t>
      </w:r>
      <w:r>
        <w:t xml:space="preserve">other South Asian countries, Nepal’s HIV epidemic is concentrated </w:t>
      </w:r>
      <w:r w:rsidRPr="00F31F74">
        <w:t xml:space="preserve">mainly </w:t>
      </w:r>
      <w:r>
        <w:t xml:space="preserve">in </w:t>
      </w:r>
      <w:r w:rsidRPr="00F31F74">
        <w:t xml:space="preserve">high risk populations such as </w:t>
      </w:r>
      <w:r>
        <w:t>i</w:t>
      </w:r>
      <w:r w:rsidRPr="00F31F74">
        <w:t xml:space="preserve">njecting </w:t>
      </w:r>
      <w:r>
        <w:t>d</w:t>
      </w:r>
      <w:r w:rsidRPr="00F31F74">
        <w:t xml:space="preserve">rug </w:t>
      </w:r>
      <w:r>
        <w:t>u</w:t>
      </w:r>
      <w:r w:rsidRPr="00F31F74">
        <w:t>sers (IDU), male and female sex workers (SW) and their clients, men-having-sex-with-men (MSM), and migrants to high risk districts in India (</w:t>
      </w:r>
      <w:r>
        <w:t>e</w:t>
      </w:r>
      <w:r w:rsidRPr="00F31F74">
        <w:t>specially Mumbai)</w:t>
      </w:r>
      <w:r>
        <w:t xml:space="preserve"> and their partners</w:t>
      </w:r>
      <w:r w:rsidRPr="00F31F74">
        <w:t xml:space="preserve">. </w:t>
      </w:r>
      <w:r w:rsidR="006C4700">
        <w:t xml:space="preserve"> </w:t>
      </w:r>
      <w:r w:rsidRPr="00F31F74">
        <w:t xml:space="preserve">Although Nepal has some effective prevention, diagnosis, treatment and care programs already reaching some of the key risk groups identified above, there are large areas of the country with an unknown prevalence and where no programs are being implemented. </w:t>
      </w:r>
      <w:r w:rsidR="006C4700">
        <w:t xml:space="preserve"> </w:t>
      </w:r>
      <w:r w:rsidRPr="00F31F74">
        <w:t xml:space="preserve">Moreover, current coverage needs to be sustained, and </w:t>
      </w:r>
      <w:r>
        <w:t xml:space="preserve">intervention </w:t>
      </w:r>
      <w:r w:rsidRPr="00F31F74">
        <w:t xml:space="preserve">effectiveness </w:t>
      </w:r>
      <w:r>
        <w:t>improved</w:t>
      </w:r>
      <w:r w:rsidRPr="00F31F74">
        <w:t xml:space="preserve"> as HIV prevalence has increased slightly amongst FSW and MSM.  </w:t>
      </w:r>
    </w:p>
    <w:p w:rsidR="00117DE0" w:rsidRDefault="00117DE0" w:rsidP="00A765E0">
      <w:pPr>
        <w:pStyle w:val="ListParagraph"/>
        <w:ind w:left="0"/>
        <w:jc w:val="both"/>
      </w:pPr>
    </w:p>
    <w:p w:rsidR="00A765E0" w:rsidRDefault="00077D02" w:rsidP="007A5CDB">
      <w:pPr>
        <w:pStyle w:val="ListParagraph"/>
        <w:ind w:left="0"/>
        <w:jc w:val="both"/>
      </w:pPr>
      <w:r>
        <w:rPr>
          <w:rFonts w:eastAsia="MS Mincho"/>
          <w:lang w:eastAsia="ja-JP"/>
        </w:rPr>
        <w:t>GON has</w:t>
      </w:r>
      <w:r w:rsidR="00284D6B" w:rsidRPr="0005631A">
        <w:rPr>
          <w:rFonts w:eastAsia="MS Mincho"/>
          <w:lang w:eastAsia="ja-JP"/>
        </w:rPr>
        <w:t xml:space="preserve"> established universal </w:t>
      </w:r>
      <w:r w:rsidR="00284D6B">
        <w:rPr>
          <w:rFonts w:eastAsia="MS Mincho"/>
          <w:lang w:eastAsia="ja-JP"/>
        </w:rPr>
        <w:t>free</w:t>
      </w:r>
      <w:r w:rsidR="00284D6B">
        <w:rPr>
          <w:rStyle w:val="FootnoteReference"/>
          <w:rFonts w:eastAsia="MS Mincho"/>
          <w:lang w:eastAsia="ja-JP"/>
        </w:rPr>
        <w:footnoteReference w:id="3"/>
      </w:r>
      <w:r w:rsidR="00284D6B" w:rsidRPr="0005631A">
        <w:rPr>
          <w:rFonts w:eastAsia="MS Mincho"/>
          <w:lang w:eastAsia="ja-JP"/>
        </w:rPr>
        <w:t>essential health services at the health post and sub-health post levels</w:t>
      </w:r>
      <w:r>
        <w:rPr>
          <w:rFonts w:eastAsia="MS Mincho"/>
          <w:lang w:eastAsia="ja-JP"/>
        </w:rPr>
        <w:t xml:space="preserve"> and has </w:t>
      </w:r>
      <w:r w:rsidR="00284D6B">
        <w:rPr>
          <w:rFonts w:eastAsia="MS Mincho"/>
          <w:lang w:eastAsia="ja-JP"/>
        </w:rPr>
        <w:t xml:space="preserve">introduced </w:t>
      </w:r>
      <w:r w:rsidR="00284D6B" w:rsidRPr="0005631A">
        <w:rPr>
          <w:rFonts w:eastAsia="MS Mincho"/>
          <w:lang w:eastAsia="ja-JP"/>
        </w:rPr>
        <w:t xml:space="preserve">targeted </w:t>
      </w:r>
      <w:r w:rsidR="00284D6B">
        <w:rPr>
          <w:rFonts w:eastAsia="MS Mincho"/>
          <w:lang w:eastAsia="ja-JP"/>
        </w:rPr>
        <w:t>free</w:t>
      </w:r>
      <w:r w:rsidR="007A5CDB">
        <w:rPr>
          <w:rFonts w:eastAsia="MS Mincho"/>
          <w:lang w:eastAsia="ja-JP"/>
        </w:rPr>
        <w:t xml:space="preserve"> health care in primary health c</w:t>
      </w:r>
      <w:r w:rsidR="00284D6B" w:rsidRPr="0005631A">
        <w:rPr>
          <w:rFonts w:eastAsia="MS Mincho"/>
          <w:lang w:eastAsia="ja-JP"/>
        </w:rPr>
        <w:t xml:space="preserve">enters and </w:t>
      </w:r>
      <w:r w:rsidR="007A5CDB">
        <w:rPr>
          <w:rFonts w:eastAsia="MS Mincho"/>
          <w:lang w:eastAsia="ja-JP"/>
        </w:rPr>
        <w:t>district h</w:t>
      </w:r>
      <w:r w:rsidR="00284D6B" w:rsidRPr="0005631A">
        <w:rPr>
          <w:rFonts w:eastAsia="MS Mincho"/>
          <w:lang w:eastAsia="ja-JP"/>
        </w:rPr>
        <w:t>ospitals, and plans to expand these</w:t>
      </w:r>
      <w:r w:rsidR="007A5CDB">
        <w:rPr>
          <w:rFonts w:eastAsia="MS Mincho"/>
          <w:lang w:eastAsia="ja-JP"/>
        </w:rPr>
        <w:t xml:space="preserve"> programs up to higher levels. </w:t>
      </w:r>
      <w:r w:rsidR="006C4700">
        <w:rPr>
          <w:rFonts w:eastAsia="MS Mincho"/>
          <w:lang w:eastAsia="ja-JP"/>
        </w:rPr>
        <w:t xml:space="preserve"> </w:t>
      </w:r>
      <w:r w:rsidR="00000434" w:rsidRPr="001E206B">
        <w:t>The</w:t>
      </w:r>
      <w:r w:rsidR="00000434">
        <w:t xml:space="preserve"> </w:t>
      </w:r>
      <w:r w:rsidR="00000434" w:rsidRPr="0083366D">
        <w:t xml:space="preserve">universal </w:t>
      </w:r>
      <w:r w:rsidR="00000434">
        <w:t>publicly financed free</w:t>
      </w:r>
      <w:r w:rsidR="00000434" w:rsidRPr="0083366D">
        <w:t xml:space="preserve"> care policy may have contributed to increased utilization of health care services by the poor and marginalized</w:t>
      </w:r>
      <w:r w:rsidR="006F4915">
        <w:t xml:space="preserve"> but </w:t>
      </w:r>
      <w:r w:rsidR="00000434" w:rsidRPr="0083366D">
        <w:t>the availability of resource</w:t>
      </w:r>
      <w:r w:rsidR="007A5CDB">
        <w:t>s</w:t>
      </w:r>
      <w:r w:rsidR="00000434" w:rsidRPr="0083366D">
        <w:t xml:space="preserve"> to adequately supply health facilities may have limited the </w:t>
      </w:r>
      <w:r w:rsidR="00000434">
        <w:t>benefit</w:t>
      </w:r>
      <w:r w:rsidR="00000434" w:rsidRPr="0083366D">
        <w:t xml:space="preserve"> of the policy. </w:t>
      </w:r>
      <w:r w:rsidR="006C4700">
        <w:t xml:space="preserve"> </w:t>
      </w:r>
      <w:r w:rsidR="00000434" w:rsidRPr="0083366D">
        <w:t xml:space="preserve">For instance, with universal </w:t>
      </w:r>
      <w:r w:rsidR="00000434">
        <w:t>publicly financed free</w:t>
      </w:r>
      <w:r w:rsidR="00000434" w:rsidRPr="0083366D">
        <w:t xml:space="preserve"> care</w:t>
      </w:r>
      <w:r w:rsidR="006F4915">
        <w:t>,</w:t>
      </w:r>
      <w:r w:rsidR="00000434" w:rsidRPr="0083366D">
        <w:t xml:space="preserve"> drug stock-outs </w:t>
      </w:r>
      <w:r w:rsidR="006F4915">
        <w:t>occur</w:t>
      </w:r>
      <w:r w:rsidR="00000434" w:rsidRPr="0083366D">
        <w:t xml:space="preserve"> at 66.8 percent of the facilities</w:t>
      </w:r>
      <w:r w:rsidR="006F4915">
        <w:t xml:space="preserve"> while u</w:t>
      </w:r>
      <w:r w:rsidR="00000434" w:rsidRPr="0083366D">
        <w:t xml:space="preserve">nder the targeted </w:t>
      </w:r>
      <w:r w:rsidR="00000434">
        <w:t>publicly financed free</w:t>
      </w:r>
      <w:r w:rsidR="00000434" w:rsidRPr="0083366D">
        <w:t xml:space="preserve"> care program, </w:t>
      </w:r>
      <w:r w:rsidR="00000434">
        <w:t xml:space="preserve">where </w:t>
      </w:r>
      <w:r w:rsidR="00000434" w:rsidRPr="0083366D">
        <w:t>free care is targeted to the poor and vulnerable</w:t>
      </w:r>
      <w:r w:rsidR="006F4915">
        <w:t xml:space="preserve"> (and </w:t>
      </w:r>
      <w:r w:rsidR="00000434" w:rsidRPr="0083366D">
        <w:t>utilization</w:t>
      </w:r>
      <w:r w:rsidR="006F4915">
        <w:t xml:space="preserve"> has </w:t>
      </w:r>
      <w:r w:rsidR="00000434" w:rsidRPr="0083366D">
        <w:t>also increased</w:t>
      </w:r>
      <w:r w:rsidR="006F4915">
        <w:t>)</w:t>
      </w:r>
      <w:r w:rsidR="00000434" w:rsidRPr="0083366D">
        <w:t xml:space="preserve"> drug stock-outs are less at 25 percent of the health facilities. </w:t>
      </w:r>
      <w:r w:rsidR="006C4700">
        <w:t xml:space="preserve"> </w:t>
      </w:r>
      <w:r w:rsidR="00000434" w:rsidRPr="0083366D">
        <w:t xml:space="preserve">This shows the potential gain from further refining </w:t>
      </w:r>
      <w:r w:rsidR="006F4915">
        <w:t xml:space="preserve">and targeting </w:t>
      </w:r>
      <w:r w:rsidR="00000434" w:rsidRPr="0083366D">
        <w:t xml:space="preserve">the free care policy. </w:t>
      </w:r>
    </w:p>
    <w:p w:rsidR="00A765E0" w:rsidRDefault="00A765E0" w:rsidP="00A765E0">
      <w:pPr>
        <w:pStyle w:val="ListParagraph"/>
        <w:autoSpaceDE w:val="0"/>
        <w:autoSpaceDN w:val="0"/>
        <w:adjustRightInd w:val="0"/>
        <w:ind w:left="0"/>
        <w:jc w:val="both"/>
        <w:rPr>
          <w:rFonts w:eastAsia="MS Mincho"/>
          <w:lang w:eastAsia="ja-JP"/>
        </w:rPr>
      </w:pPr>
    </w:p>
    <w:p w:rsidR="00284D6B" w:rsidRPr="006341F8" w:rsidRDefault="007A5CDB" w:rsidP="006F42B6">
      <w:pPr>
        <w:pStyle w:val="ListParagraph"/>
        <w:autoSpaceDE w:val="0"/>
        <w:autoSpaceDN w:val="0"/>
        <w:adjustRightInd w:val="0"/>
        <w:ind w:left="0"/>
        <w:jc w:val="both"/>
      </w:pPr>
      <w:r w:rsidRPr="007A5CDB">
        <w:rPr>
          <w:rFonts w:eastAsia="MS Mincho"/>
          <w:lang w:eastAsia="ja-JP"/>
        </w:rPr>
        <w:t>T</w:t>
      </w:r>
      <w:r w:rsidR="00284D6B" w:rsidRPr="007A5CDB">
        <w:rPr>
          <w:rFonts w:eastAsia="MS Mincho"/>
          <w:lang w:eastAsia="ja-JP"/>
        </w:rPr>
        <w:t>he main challenges facing the sector include</w:t>
      </w:r>
      <w:r w:rsidR="00284D6B" w:rsidRPr="007A5CDB">
        <w:rPr>
          <w:rFonts w:eastAsia="MS Mincho"/>
          <w:i/>
          <w:lang w:eastAsia="ja-JP"/>
        </w:rPr>
        <w:t xml:space="preserve">: </w:t>
      </w:r>
      <w:proofErr w:type="spellStart"/>
      <w:r w:rsidR="006341F8">
        <w:rPr>
          <w:rFonts w:eastAsia="MS Mincho"/>
          <w:lang w:eastAsia="ja-JP"/>
        </w:rPr>
        <w:t>i</w:t>
      </w:r>
      <w:proofErr w:type="spellEnd"/>
      <w:r w:rsidR="006341F8">
        <w:rPr>
          <w:rFonts w:eastAsia="MS Mincho"/>
          <w:lang w:eastAsia="ja-JP"/>
        </w:rPr>
        <w:t xml:space="preserve">) </w:t>
      </w:r>
      <w:r w:rsidR="006341F8" w:rsidRPr="006341F8">
        <w:rPr>
          <w:rFonts w:eastAsia="MS Mincho"/>
          <w:i/>
          <w:lang w:eastAsia="ja-JP"/>
        </w:rPr>
        <w:t>e</w:t>
      </w:r>
      <w:r w:rsidR="00284D6B" w:rsidRPr="006341F8">
        <w:rPr>
          <w:rFonts w:eastAsia="MS Mincho"/>
          <w:i/>
          <w:lang w:eastAsia="ja-JP"/>
        </w:rPr>
        <w:t>nhancing access, social inclusion and equality in health service utilization</w:t>
      </w:r>
      <w:r w:rsidR="00284D6B" w:rsidRPr="006341F8">
        <w:rPr>
          <w:rFonts w:eastAsia="MS Mincho"/>
          <w:lang w:eastAsia="ja-JP"/>
        </w:rPr>
        <w:t xml:space="preserve">: though </w:t>
      </w:r>
      <w:r w:rsidR="006F4915">
        <w:rPr>
          <w:rFonts w:eastAsia="MS Mincho"/>
          <w:lang w:eastAsia="ja-JP"/>
        </w:rPr>
        <w:t xml:space="preserve">Nepal </w:t>
      </w:r>
      <w:r w:rsidR="00284D6B" w:rsidRPr="006341F8">
        <w:rPr>
          <w:rFonts w:eastAsia="MS Mincho"/>
          <w:lang w:eastAsia="ja-JP"/>
        </w:rPr>
        <w:t>has</w:t>
      </w:r>
      <w:r w:rsidR="00284D6B" w:rsidRPr="005A28AA">
        <w:rPr>
          <w:rFonts w:eastAsia="MS Mincho"/>
          <w:lang w:eastAsia="ja-JP"/>
        </w:rPr>
        <w:t xml:space="preserve"> made significant progress, not </w:t>
      </w:r>
      <w:r w:rsidR="006341F8">
        <w:rPr>
          <w:rFonts w:eastAsia="MS Mincho"/>
          <w:lang w:eastAsia="ja-JP"/>
        </w:rPr>
        <w:t xml:space="preserve">everyone </w:t>
      </w:r>
      <w:r w:rsidR="00284D6B" w:rsidRPr="005A28AA">
        <w:rPr>
          <w:rFonts w:eastAsia="MS Mincho"/>
          <w:lang w:eastAsia="ja-JP"/>
        </w:rPr>
        <w:t>benefit</w:t>
      </w:r>
      <w:r w:rsidR="006341F8">
        <w:rPr>
          <w:rFonts w:eastAsia="MS Mincho"/>
          <w:lang w:eastAsia="ja-JP"/>
        </w:rPr>
        <w:t>s equally</w:t>
      </w:r>
      <w:r w:rsidR="00284D6B" w:rsidRPr="005A28AA">
        <w:rPr>
          <w:rFonts w:eastAsia="MS Mincho"/>
          <w:lang w:eastAsia="ja-JP"/>
        </w:rPr>
        <w:t xml:space="preserve"> from the progress. </w:t>
      </w:r>
      <w:r w:rsidR="006C4700">
        <w:rPr>
          <w:rFonts w:eastAsia="MS Mincho"/>
          <w:lang w:eastAsia="ja-JP"/>
        </w:rPr>
        <w:t xml:space="preserve"> </w:t>
      </w:r>
      <w:r w:rsidR="00284D6B" w:rsidRPr="001D28E8">
        <w:t xml:space="preserve">The poor have the largest unmet demand for family planning, make the lowest use of maternal care, have the lowest vaccination coverage, and are least likely to seek care when ill. </w:t>
      </w:r>
      <w:r w:rsidR="006C4700">
        <w:t xml:space="preserve"> </w:t>
      </w:r>
      <w:r w:rsidR="00284D6B">
        <w:t xml:space="preserve">The poor also have the lowest physical access to health care. </w:t>
      </w:r>
      <w:r w:rsidR="00284D6B" w:rsidRPr="001D28E8">
        <w:t xml:space="preserve">In geographical terms, the mid and far west regions have the worst access to health services. </w:t>
      </w:r>
      <w:r w:rsidR="006C4700">
        <w:t xml:space="preserve"> </w:t>
      </w:r>
      <w:r w:rsidR="006F4915">
        <w:t>S</w:t>
      </w:r>
      <w:r w:rsidR="00284D6B" w:rsidRPr="001D28E8">
        <w:t xml:space="preserve">urveys have shown that </w:t>
      </w:r>
      <w:proofErr w:type="spellStart"/>
      <w:r w:rsidR="00284D6B" w:rsidRPr="001D28E8">
        <w:t>Dalits</w:t>
      </w:r>
      <w:proofErr w:type="spellEnd"/>
      <w:r w:rsidR="00284D6B" w:rsidRPr="001D28E8">
        <w:t xml:space="preserve"> and ethnic and religious minorities have </w:t>
      </w:r>
      <w:r w:rsidR="00284D6B" w:rsidRPr="006341F8">
        <w:t xml:space="preserve">lower utilization of health services. </w:t>
      </w:r>
      <w:r w:rsidR="00284D6B" w:rsidRPr="006341F8">
        <w:rPr>
          <w:rFonts w:eastAsia="MS Mincho"/>
          <w:i/>
          <w:lang w:eastAsia="ja-JP"/>
        </w:rPr>
        <w:t>ii)</w:t>
      </w:r>
      <w:r w:rsidR="00284D6B" w:rsidRPr="006341F8">
        <w:rPr>
          <w:rFonts w:eastAsia="MS Mincho"/>
          <w:lang w:eastAsia="ja-JP"/>
        </w:rPr>
        <w:t xml:space="preserve"> </w:t>
      </w:r>
      <w:r w:rsidR="00284D6B" w:rsidRPr="006341F8">
        <w:rPr>
          <w:rFonts w:eastAsia="MS Mincho"/>
          <w:i/>
          <w:lang w:eastAsia="ja-JP"/>
        </w:rPr>
        <w:t>MDG targets for nutrition and HIV/AIDS are not on track;</w:t>
      </w:r>
      <w:r w:rsidR="00284D6B" w:rsidRPr="006341F8">
        <w:rPr>
          <w:rFonts w:eastAsia="MS Mincho"/>
          <w:lang w:eastAsia="ja-JP"/>
        </w:rPr>
        <w:t xml:space="preserve"> a</w:t>
      </w:r>
      <w:r w:rsidR="006F4915">
        <w:rPr>
          <w:rFonts w:eastAsia="MS Mincho"/>
          <w:lang w:eastAsia="ja-JP"/>
        </w:rPr>
        <w:t>nd</w:t>
      </w:r>
      <w:r w:rsidR="00284D6B" w:rsidRPr="006341F8">
        <w:rPr>
          <w:rFonts w:eastAsia="MS Mincho"/>
          <w:lang w:eastAsia="ja-JP"/>
        </w:rPr>
        <w:t xml:space="preserve"> additional efforts will be required to make progress in improving the nutrition and HIV/AIDS indicators; </w:t>
      </w:r>
      <w:r w:rsidR="00284D6B" w:rsidRPr="006341F8">
        <w:rPr>
          <w:rFonts w:eastAsia="MS Mincho"/>
          <w:i/>
          <w:lang w:eastAsia="ja-JP"/>
        </w:rPr>
        <w:t>iii)</w:t>
      </w:r>
      <w:r w:rsidR="00284D6B" w:rsidRPr="006341F8">
        <w:rPr>
          <w:rFonts w:eastAsia="MS Mincho"/>
          <w:lang w:eastAsia="ja-JP"/>
        </w:rPr>
        <w:t xml:space="preserve"> </w:t>
      </w:r>
      <w:r w:rsidR="00284D6B" w:rsidRPr="006341F8">
        <w:rPr>
          <w:rFonts w:eastAsia="MS Mincho"/>
          <w:i/>
          <w:lang w:eastAsia="ja-JP"/>
        </w:rPr>
        <w:t>Governance and accountability</w:t>
      </w:r>
      <w:r w:rsidR="00284D6B" w:rsidRPr="006341F8">
        <w:rPr>
          <w:rFonts w:eastAsia="MS Mincho"/>
          <w:lang w:eastAsia="ja-JP"/>
        </w:rPr>
        <w:t>: g</w:t>
      </w:r>
      <w:r w:rsidR="00284D6B" w:rsidRPr="006341F8">
        <w:t xml:space="preserve">overnance issues are pervasive in Nepal and are exacerbated by the fluid political situation and resulting uncertainty surrounding law and order. </w:t>
      </w:r>
      <w:r w:rsidR="006C4700">
        <w:t xml:space="preserve"> </w:t>
      </w:r>
      <w:r w:rsidR="006F4915">
        <w:t>T</w:t>
      </w:r>
      <w:r w:rsidR="00284D6B" w:rsidRPr="006341F8">
        <w:t xml:space="preserve">here are significant fiduciary risks, especially with regard to financial management and procurement where procurement processes have been interfered with through collusion, intimidation and corruption. </w:t>
      </w:r>
      <w:r w:rsidR="00284D6B" w:rsidRPr="006341F8">
        <w:rPr>
          <w:i/>
        </w:rPr>
        <w:t>iv)</w:t>
      </w:r>
      <w:r w:rsidRPr="006341F8">
        <w:rPr>
          <w:i/>
        </w:rPr>
        <w:t xml:space="preserve"> </w:t>
      </w:r>
      <w:proofErr w:type="gramStart"/>
      <w:r w:rsidR="006341F8" w:rsidRPr="006341F8">
        <w:rPr>
          <w:i/>
        </w:rPr>
        <w:t>w</w:t>
      </w:r>
      <w:r w:rsidR="00284D6B" w:rsidRPr="006341F8">
        <w:rPr>
          <w:i/>
        </w:rPr>
        <w:t>orking</w:t>
      </w:r>
      <w:proofErr w:type="gramEnd"/>
      <w:r w:rsidR="00284D6B" w:rsidRPr="006341F8">
        <w:rPr>
          <w:i/>
        </w:rPr>
        <w:t xml:space="preserve"> multi-</w:t>
      </w:r>
      <w:proofErr w:type="spellStart"/>
      <w:r w:rsidR="00284D6B" w:rsidRPr="006341F8">
        <w:rPr>
          <w:i/>
        </w:rPr>
        <w:t>sectorally</w:t>
      </w:r>
      <w:proofErr w:type="spellEnd"/>
      <w:r w:rsidR="00284D6B" w:rsidRPr="006341F8">
        <w:rPr>
          <w:i/>
        </w:rPr>
        <w:t xml:space="preserve"> across ministries which poses significant coordination challenges is </w:t>
      </w:r>
      <w:r w:rsidR="00284D6B" w:rsidRPr="006341F8">
        <w:rPr>
          <w:i/>
        </w:rPr>
        <w:lastRenderedPageBreak/>
        <w:t>key for additional gains in health outcomes:</w:t>
      </w:r>
      <w:r w:rsidR="00284D6B" w:rsidRPr="006341F8">
        <w:t xml:space="preserve"> the most significant gains in health status are likely to be dependent on more complex multi-</w:t>
      </w:r>
      <w:proofErr w:type="spellStart"/>
      <w:r w:rsidR="00284D6B" w:rsidRPr="006341F8">
        <w:t>sectoral</w:t>
      </w:r>
      <w:proofErr w:type="spellEnd"/>
      <w:r w:rsidR="00284D6B" w:rsidRPr="006341F8">
        <w:t xml:space="preserve"> activities and community participation, particularly in the area of water, sanitation and hygiene, in the area of nutrition and in the area of road safety. </w:t>
      </w:r>
      <w:r w:rsidR="00284D6B" w:rsidRPr="006341F8">
        <w:rPr>
          <w:i/>
        </w:rPr>
        <w:t>v)</w:t>
      </w:r>
      <w:r w:rsidR="00284D6B" w:rsidRPr="006341F8">
        <w:t xml:space="preserve"> </w:t>
      </w:r>
      <w:proofErr w:type="gramStart"/>
      <w:r w:rsidR="006341F8" w:rsidRPr="006341F8">
        <w:rPr>
          <w:i/>
        </w:rPr>
        <w:t>maintaining</w:t>
      </w:r>
      <w:proofErr w:type="gramEnd"/>
      <w:r w:rsidR="00284D6B" w:rsidRPr="006341F8">
        <w:rPr>
          <w:i/>
        </w:rPr>
        <w:t xml:space="preserve"> the gains made so far</w:t>
      </w:r>
      <w:r w:rsidR="00284D6B" w:rsidRPr="006341F8">
        <w:t xml:space="preserve">: Nepal has made impressive progress in reducing maternal mortality and in increasing the coverage of Vitamin A supplementation and immunization. The challenge is maintaining the focus so that these services </w:t>
      </w:r>
      <w:r w:rsidR="006341F8" w:rsidRPr="006341F8">
        <w:t xml:space="preserve">do </w:t>
      </w:r>
      <w:r w:rsidR="00284D6B" w:rsidRPr="006341F8">
        <w:t xml:space="preserve">not slip. </w:t>
      </w:r>
    </w:p>
    <w:p w:rsidR="00626C09" w:rsidRDefault="00626C09"/>
    <w:bookmarkEnd w:id="13"/>
    <w:p w:rsidR="00626C09" w:rsidRPr="007A5CDB" w:rsidRDefault="00626C09">
      <w:pPr>
        <w:numPr>
          <w:ilvl w:val="0"/>
          <w:numId w:val="6"/>
        </w:numPr>
        <w:tabs>
          <w:tab w:val="clear" w:pos="720"/>
          <w:tab w:val="num" w:pos="360"/>
        </w:tabs>
        <w:ind w:left="360"/>
        <w:rPr>
          <w:b/>
        </w:rPr>
      </w:pPr>
      <w:r w:rsidRPr="007A5CDB">
        <w:rPr>
          <w:b/>
        </w:rPr>
        <w:t>Objectives</w:t>
      </w:r>
      <w:bookmarkStart w:id="14" w:name="Objectives"/>
    </w:p>
    <w:p w:rsidR="00626C09" w:rsidRDefault="00626C09"/>
    <w:p w:rsidR="00284D6B" w:rsidRPr="006341F8" w:rsidRDefault="00284D6B" w:rsidP="000D0DAA">
      <w:pPr>
        <w:jc w:val="both"/>
        <w:rPr>
          <w:rFonts w:eastAsia="MS Mincho"/>
          <w:lang w:eastAsia="ja-JP"/>
        </w:rPr>
      </w:pPr>
      <w:r w:rsidRPr="006341F8">
        <w:rPr>
          <w:rFonts w:eastAsia="MS Mincho"/>
          <w:lang w:eastAsia="ja-JP"/>
        </w:rPr>
        <w:t xml:space="preserve">The development objective for the proposed project is to assist the Government of Nepal in improving the equitable delivery of health care services, specifically by increasing access to essential health care services and their utilization by the underserved and the poor.  Progress towards achieving this objective will be tracked using an agreed up on set of indicators disaggregated by income, geographic and social characteristics. </w:t>
      </w:r>
      <w:r w:rsidR="00ED7332">
        <w:rPr>
          <w:rFonts w:eastAsia="MS Mincho"/>
          <w:lang w:eastAsia="ja-JP"/>
        </w:rPr>
        <w:t xml:space="preserve"> </w:t>
      </w:r>
      <w:r w:rsidRPr="006341F8">
        <w:rPr>
          <w:rFonts w:eastAsia="MS Mincho"/>
          <w:lang w:eastAsia="ja-JP"/>
        </w:rPr>
        <w:t>These indicators include both health service delivery and health system indicators</w:t>
      </w:r>
      <w:r w:rsidR="006F42B6" w:rsidRPr="006341F8">
        <w:rPr>
          <w:rFonts w:eastAsia="MS Mincho"/>
          <w:lang w:eastAsia="ja-JP"/>
        </w:rPr>
        <w:t>.</w:t>
      </w:r>
      <w:r w:rsidRPr="006341F8">
        <w:rPr>
          <w:rFonts w:eastAsia="MS Mincho"/>
          <w:lang w:eastAsia="ja-JP"/>
        </w:rPr>
        <w:t xml:space="preserve"> </w:t>
      </w:r>
    </w:p>
    <w:p w:rsidR="00626C09" w:rsidRDefault="00626C09"/>
    <w:bookmarkEnd w:id="14"/>
    <w:p w:rsidR="00626C09" w:rsidRPr="007A5CDB" w:rsidRDefault="00626C09">
      <w:pPr>
        <w:numPr>
          <w:ilvl w:val="0"/>
          <w:numId w:val="6"/>
        </w:numPr>
        <w:tabs>
          <w:tab w:val="clear" w:pos="720"/>
          <w:tab w:val="num" w:pos="360"/>
        </w:tabs>
        <w:ind w:left="360"/>
        <w:rPr>
          <w:b/>
        </w:rPr>
      </w:pPr>
      <w:r w:rsidRPr="007A5CDB">
        <w:rPr>
          <w:b/>
        </w:rPr>
        <w:t>Rationale for Bank Involvement</w:t>
      </w:r>
      <w:bookmarkStart w:id="15" w:name="RationaleBankInvolvement"/>
    </w:p>
    <w:p w:rsidR="00626C09" w:rsidRDefault="00626C09"/>
    <w:p w:rsidR="00D459A3" w:rsidRDefault="00284D6B" w:rsidP="00D459A3">
      <w:pPr>
        <w:pStyle w:val="ListParagraph"/>
        <w:autoSpaceDE w:val="0"/>
        <w:autoSpaceDN w:val="0"/>
        <w:adjustRightInd w:val="0"/>
        <w:ind w:left="0"/>
        <w:jc w:val="both"/>
      </w:pPr>
      <w:r w:rsidRPr="007A5CDB">
        <w:rPr>
          <w:rFonts w:eastAsia="MS Mincho"/>
          <w:lang w:eastAsia="ja-JP"/>
        </w:rPr>
        <w:t>The proposed project is a continuation of on-going and evolving support to Nepal’s health sector.</w:t>
      </w:r>
      <w:r w:rsidRPr="007A5CDB">
        <w:t xml:space="preserve"> The Bank has been working closely with the government and development partners in supporting the government’s sector program</w:t>
      </w:r>
      <w:r w:rsidRPr="007A5CDB">
        <w:rPr>
          <w:rFonts w:eastAsia="MS Mincho"/>
          <w:lang w:eastAsia="ja-JP"/>
        </w:rPr>
        <w:t xml:space="preserve"> since 2004</w:t>
      </w:r>
      <w:r w:rsidRPr="007A5CDB">
        <w:t xml:space="preserve">. </w:t>
      </w:r>
      <w:r w:rsidR="00ED7332">
        <w:t xml:space="preserve"> </w:t>
      </w:r>
      <w:r w:rsidRPr="007A5CDB">
        <w:t xml:space="preserve">The Bank has significant experience in </w:t>
      </w:r>
      <w:proofErr w:type="spellStart"/>
      <w:r w:rsidRPr="007A5CDB">
        <w:t>SWAp</w:t>
      </w:r>
      <w:proofErr w:type="spellEnd"/>
      <w:r w:rsidRPr="007A5CDB">
        <w:t xml:space="preserve">, and is well-placed to assist the Ministry of Health and Population (MOHP) in coordinating partners under the </w:t>
      </w:r>
      <w:proofErr w:type="spellStart"/>
      <w:r w:rsidRPr="007A5CDB">
        <w:t>SWAp</w:t>
      </w:r>
      <w:proofErr w:type="spellEnd"/>
      <w:r w:rsidRPr="007A5CDB">
        <w:t xml:space="preserve"> framework. </w:t>
      </w:r>
      <w:r w:rsidR="00ED7332">
        <w:t xml:space="preserve"> </w:t>
      </w:r>
      <w:r w:rsidRPr="007A5CDB">
        <w:t>The Bank’s financial inputs will supplement those from government and other partners, while its technical expertise in nutrition, health care financing, governance, pro-poor health strategies, multi-</w:t>
      </w:r>
      <w:proofErr w:type="spellStart"/>
      <w:r w:rsidRPr="007A5CDB">
        <w:t>sectoral</w:t>
      </w:r>
      <w:proofErr w:type="spellEnd"/>
      <w:r w:rsidRPr="007A5CDB">
        <w:t xml:space="preserve"> action for AIDS, and monitoring and evaluation will complement that of other partners.</w:t>
      </w:r>
      <w:r w:rsidRPr="007A5CDB">
        <w:rPr>
          <w:bCs/>
          <w:color w:val="000000"/>
          <w:szCs w:val="20"/>
        </w:rPr>
        <w:t xml:space="preserve"> </w:t>
      </w:r>
      <w:r w:rsidR="00ED7332">
        <w:rPr>
          <w:bCs/>
          <w:color w:val="000000"/>
          <w:szCs w:val="20"/>
        </w:rPr>
        <w:t xml:space="preserve"> </w:t>
      </w:r>
      <w:r w:rsidR="00D459A3" w:rsidRPr="00CE6F99">
        <w:t>The preliminary and early assessment of the outcomes of the Bank’s support to the health sector has been rated as satisfactory</w:t>
      </w:r>
      <w:r w:rsidR="00D459A3" w:rsidRPr="00CE6F99">
        <w:rPr>
          <w:rStyle w:val="FootnoteReference"/>
        </w:rPr>
        <w:footnoteReference w:id="4"/>
      </w:r>
      <w:r w:rsidR="00D459A3" w:rsidRPr="00CE6F99">
        <w:t xml:space="preserve"> and the Bank is well placed to continue its engagement in the sector and build on its knowledge and on past achievements.</w:t>
      </w:r>
      <w:r w:rsidR="00ED7332">
        <w:t xml:space="preserve"> </w:t>
      </w:r>
      <w:r w:rsidR="00D459A3" w:rsidRPr="00CE6F99">
        <w:t xml:space="preserve"> The project would broaden the scope of the existing operation to include non-governmental entities and involvement of other sectors to provide, among other services, HIV and AIDS prevention, mitigation, and treatment services.</w:t>
      </w:r>
    </w:p>
    <w:p w:rsidR="00D459A3" w:rsidRDefault="00D459A3" w:rsidP="00D459A3">
      <w:pPr>
        <w:pStyle w:val="ListParagraph"/>
        <w:autoSpaceDE w:val="0"/>
        <w:autoSpaceDN w:val="0"/>
        <w:adjustRightInd w:val="0"/>
        <w:ind w:left="0"/>
        <w:jc w:val="both"/>
      </w:pPr>
    </w:p>
    <w:p w:rsidR="00284D6B" w:rsidRPr="00CE6F99" w:rsidRDefault="000D17A0" w:rsidP="006F42B6">
      <w:pPr>
        <w:pStyle w:val="ListParagraph"/>
        <w:autoSpaceDE w:val="0"/>
        <w:autoSpaceDN w:val="0"/>
        <w:adjustRightInd w:val="0"/>
        <w:ind w:left="0"/>
        <w:jc w:val="both"/>
      </w:pPr>
      <w:r>
        <w:rPr>
          <w:rStyle w:val="Strong"/>
          <w:b w:val="0"/>
        </w:rPr>
        <w:t>While the Bank has not significantly financed HIV and AIDS services, its current engagement in HIV related activities in Nepal will allow it to rapidly fill in financing gaps</w:t>
      </w:r>
      <w:r w:rsidRPr="004C334A">
        <w:rPr>
          <w:rStyle w:val="Strong"/>
          <w:b w:val="0"/>
        </w:rPr>
        <w:t xml:space="preserve">. </w:t>
      </w:r>
      <w:r w:rsidR="00ED7332">
        <w:rPr>
          <w:rStyle w:val="Strong"/>
          <w:b w:val="0"/>
        </w:rPr>
        <w:t xml:space="preserve"> </w:t>
      </w:r>
      <w:r w:rsidR="00284D6B" w:rsidRPr="007A5CDB">
        <w:rPr>
          <w:rStyle w:val="Strong"/>
          <w:b w:val="0"/>
        </w:rPr>
        <w:t xml:space="preserve">Bank financing would build on </w:t>
      </w:r>
      <w:r w:rsidRPr="000D17A0">
        <w:rPr>
          <w:bCs/>
        </w:rPr>
        <w:t xml:space="preserve">long-term technical assistance provided </w:t>
      </w:r>
      <w:r w:rsidR="00143AF0">
        <w:rPr>
          <w:bCs/>
        </w:rPr>
        <w:t xml:space="preserve">both </w:t>
      </w:r>
      <w:r w:rsidRPr="000D17A0">
        <w:rPr>
          <w:bCs/>
        </w:rPr>
        <w:t>to establish institutional options to address non-health based interventions, fund</w:t>
      </w:r>
      <w:r w:rsidR="00143AF0">
        <w:rPr>
          <w:bCs/>
        </w:rPr>
        <w:t>ing</w:t>
      </w:r>
      <w:r w:rsidRPr="000D17A0">
        <w:rPr>
          <w:bCs/>
        </w:rPr>
        <w:t xml:space="preserve"> innovative pilot projects to address stigma, a mapping and size estimation study of most-at-risk groups to better target the program, and the development of quality assurance instruments.</w:t>
      </w:r>
      <w:r w:rsidR="00ED7332">
        <w:rPr>
          <w:bCs/>
        </w:rPr>
        <w:t xml:space="preserve"> </w:t>
      </w:r>
      <w:r w:rsidRPr="000D17A0">
        <w:rPr>
          <w:bCs/>
        </w:rPr>
        <w:t xml:space="preserve"> </w:t>
      </w:r>
      <w:r w:rsidR="00143AF0">
        <w:rPr>
          <w:bCs/>
        </w:rPr>
        <w:t xml:space="preserve">To date, most financing for HIV has come through earmarked project financing (USAID, </w:t>
      </w:r>
      <w:proofErr w:type="spellStart"/>
      <w:r w:rsidR="00143AF0">
        <w:rPr>
          <w:bCs/>
        </w:rPr>
        <w:t>DfID</w:t>
      </w:r>
      <w:proofErr w:type="spellEnd"/>
      <w:r w:rsidR="00143AF0">
        <w:rPr>
          <w:bCs/>
        </w:rPr>
        <w:t xml:space="preserve"> and GFATM) and financing from these sources is declining. </w:t>
      </w:r>
      <w:proofErr w:type="spellStart"/>
      <w:r w:rsidR="006C69C7">
        <w:rPr>
          <w:rStyle w:val="Strong"/>
          <w:b w:val="0"/>
        </w:rPr>
        <w:t>DfID</w:t>
      </w:r>
      <w:proofErr w:type="spellEnd"/>
      <w:r w:rsidR="006C69C7">
        <w:rPr>
          <w:rStyle w:val="Strong"/>
          <w:b w:val="0"/>
        </w:rPr>
        <w:t xml:space="preserve"> </w:t>
      </w:r>
      <w:r w:rsidR="00284D6B" w:rsidRPr="004C334A">
        <w:rPr>
          <w:rStyle w:val="Strong"/>
          <w:b w:val="0"/>
        </w:rPr>
        <w:t>expects</w:t>
      </w:r>
      <w:r w:rsidR="00284D6B">
        <w:rPr>
          <w:rStyle w:val="Strong"/>
          <w:b w:val="0"/>
        </w:rPr>
        <w:t xml:space="preserve"> to complete </w:t>
      </w:r>
      <w:r w:rsidR="00284D6B" w:rsidRPr="004C334A">
        <w:rPr>
          <w:rStyle w:val="Strong"/>
          <w:b w:val="0"/>
        </w:rPr>
        <w:t xml:space="preserve">its bilateral parallel financing </w:t>
      </w:r>
      <w:r w:rsidR="006C69C7">
        <w:rPr>
          <w:rStyle w:val="Strong"/>
          <w:b w:val="0"/>
        </w:rPr>
        <w:t xml:space="preserve">for HIV activities </w:t>
      </w:r>
      <w:r w:rsidR="00284D6B">
        <w:rPr>
          <w:rStyle w:val="Strong"/>
          <w:b w:val="0"/>
        </w:rPr>
        <w:t>in</w:t>
      </w:r>
      <w:r w:rsidR="00284D6B" w:rsidRPr="004C334A">
        <w:rPr>
          <w:rStyle w:val="Strong"/>
          <w:b w:val="0"/>
        </w:rPr>
        <w:t xml:space="preserve"> March 2011, and funding through Round 9 of GFATM, the main remaining funder, has not been approved.</w:t>
      </w:r>
      <w:r w:rsidR="00ED7332">
        <w:rPr>
          <w:rStyle w:val="Strong"/>
          <w:b w:val="0"/>
        </w:rPr>
        <w:t xml:space="preserve"> </w:t>
      </w:r>
      <w:r w:rsidR="00284D6B" w:rsidRPr="004C334A">
        <w:rPr>
          <w:rStyle w:val="Strong"/>
          <w:b w:val="0"/>
        </w:rPr>
        <w:t xml:space="preserve"> Thus, several of the ongoing programs are at risk of being under-funded.</w:t>
      </w:r>
      <w:r w:rsidR="00ED7332">
        <w:rPr>
          <w:rStyle w:val="Strong"/>
          <w:b w:val="0"/>
        </w:rPr>
        <w:t xml:space="preserve"> </w:t>
      </w:r>
      <w:r w:rsidR="006C69C7">
        <w:rPr>
          <w:rStyle w:val="Strong"/>
          <w:b w:val="0"/>
        </w:rPr>
        <w:t xml:space="preserve"> </w:t>
      </w:r>
      <w:r w:rsidR="00284D6B" w:rsidRPr="00CE6F99">
        <w:rPr>
          <w:rStyle w:val="Strong"/>
          <w:b w:val="0"/>
        </w:rPr>
        <w:t xml:space="preserve">The Bank has been </w:t>
      </w:r>
      <w:r w:rsidR="006C69C7">
        <w:rPr>
          <w:rStyle w:val="Strong"/>
          <w:b w:val="0"/>
        </w:rPr>
        <w:t xml:space="preserve">a </w:t>
      </w:r>
      <w:r w:rsidR="00284D6B" w:rsidRPr="00CE6F99">
        <w:rPr>
          <w:rStyle w:val="Strong"/>
          <w:b w:val="0"/>
        </w:rPr>
        <w:t xml:space="preserve">lead donor for nutritional activities and </w:t>
      </w:r>
      <w:r w:rsidR="006C69C7">
        <w:rPr>
          <w:rStyle w:val="Strong"/>
          <w:b w:val="0"/>
        </w:rPr>
        <w:t xml:space="preserve">played a key role </w:t>
      </w:r>
      <w:r w:rsidR="00284D6B" w:rsidRPr="00CE6F99">
        <w:rPr>
          <w:rStyle w:val="Strong"/>
          <w:b w:val="0"/>
        </w:rPr>
        <w:t xml:space="preserve">in a Nutrition Assessment and Gap Analysis (NAGA). </w:t>
      </w:r>
      <w:r w:rsidR="00ED7332">
        <w:rPr>
          <w:rStyle w:val="Strong"/>
          <w:b w:val="0"/>
        </w:rPr>
        <w:t xml:space="preserve"> </w:t>
      </w:r>
      <w:r w:rsidR="00284D6B" w:rsidRPr="00CE6F99">
        <w:rPr>
          <w:rStyle w:val="Strong"/>
          <w:b w:val="0"/>
        </w:rPr>
        <w:t xml:space="preserve">The NAGA </w:t>
      </w:r>
      <w:r w:rsidR="00284D6B" w:rsidRPr="00CE6F99">
        <w:t>has catalyzed commitment within the M</w:t>
      </w:r>
      <w:r w:rsidR="00D459A3">
        <w:t>OHP</w:t>
      </w:r>
      <w:r w:rsidR="00284D6B" w:rsidRPr="00CE6F99">
        <w:t xml:space="preserve"> and other Ministries to intensify national efforts to address nutrition. </w:t>
      </w:r>
      <w:r w:rsidR="00ED7332">
        <w:t xml:space="preserve"> </w:t>
      </w:r>
      <w:r w:rsidR="00284D6B" w:rsidRPr="00CE6F99">
        <w:t xml:space="preserve">The financial </w:t>
      </w:r>
      <w:r w:rsidR="00284D6B" w:rsidRPr="00CE6F99">
        <w:lastRenderedPageBreak/>
        <w:t>resources and technical assistance for nutrition provided through the proposed project would enable to government to further scale-up successful interventions as well as pilot innovations to address some of the gaps identified in the NAGA process. </w:t>
      </w:r>
    </w:p>
    <w:p w:rsidR="00D459A3" w:rsidRPr="00CE6F99" w:rsidRDefault="00D459A3" w:rsidP="006F42B6">
      <w:pPr>
        <w:pStyle w:val="ListParagraph"/>
        <w:autoSpaceDE w:val="0"/>
        <w:autoSpaceDN w:val="0"/>
        <w:adjustRightInd w:val="0"/>
        <w:ind w:left="0"/>
        <w:jc w:val="both"/>
      </w:pPr>
    </w:p>
    <w:bookmarkEnd w:id="15"/>
    <w:p w:rsidR="00626C09" w:rsidRPr="00CE6F99" w:rsidRDefault="00626C09">
      <w:pPr>
        <w:numPr>
          <w:ilvl w:val="0"/>
          <w:numId w:val="6"/>
        </w:numPr>
        <w:tabs>
          <w:tab w:val="clear" w:pos="720"/>
          <w:tab w:val="num" w:pos="360"/>
        </w:tabs>
        <w:ind w:left="360"/>
        <w:rPr>
          <w:b/>
        </w:rPr>
      </w:pPr>
      <w:r w:rsidRPr="00CE6F99">
        <w:rPr>
          <w:b/>
        </w:rPr>
        <w:t>Description</w:t>
      </w:r>
      <w:bookmarkStart w:id="16" w:name="Description"/>
    </w:p>
    <w:p w:rsidR="00D459A3" w:rsidRDefault="00D459A3" w:rsidP="006C69C7">
      <w:pPr>
        <w:pStyle w:val="ListParagraph"/>
        <w:autoSpaceDE w:val="0"/>
        <w:autoSpaceDN w:val="0"/>
        <w:adjustRightInd w:val="0"/>
        <w:ind w:left="0"/>
        <w:jc w:val="both"/>
      </w:pPr>
    </w:p>
    <w:p w:rsidR="00143AF0" w:rsidRPr="004903F8" w:rsidRDefault="00284D6B" w:rsidP="004903F8">
      <w:pPr>
        <w:autoSpaceDE w:val="0"/>
        <w:autoSpaceDN w:val="0"/>
        <w:adjustRightInd w:val="0"/>
        <w:jc w:val="both"/>
        <w:rPr>
          <w:color w:val="000000"/>
        </w:rPr>
      </w:pPr>
      <w:r w:rsidRPr="00CE6F99">
        <w:t>The project, which supports the government’s five year (2010/11-2014/15) sector program (NHSP 2), comprises two components: (</w:t>
      </w:r>
      <w:proofErr w:type="spellStart"/>
      <w:r w:rsidRPr="00CE6F99">
        <w:t>i</w:t>
      </w:r>
      <w:proofErr w:type="spellEnd"/>
      <w:r w:rsidRPr="00CE6F99">
        <w:t xml:space="preserve">) Service Delivery and (ii) Health Systems Strengthening. </w:t>
      </w:r>
      <w:r w:rsidR="00ED7332">
        <w:t xml:space="preserve"> </w:t>
      </w:r>
      <w:r w:rsidRPr="00CE6F99">
        <w:t>The total program cost is esti</w:t>
      </w:r>
      <w:r w:rsidR="00ED7332">
        <w:t>mated at US$</w:t>
      </w:r>
      <w:r w:rsidRPr="00CE6F99">
        <w:t>1527 million over fi</w:t>
      </w:r>
      <w:r w:rsidR="00D459A3">
        <w:t xml:space="preserve">ve years, equivalent of which </w:t>
      </w:r>
      <w:proofErr w:type="spellStart"/>
      <w:r w:rsidR="00D459A3">
        <w:t>Df</w:t>
      </w:r>
      <w:r w:rsidRPr="00CE6F99">
        <w:t>ID</w:t>
      </w:r>
      <w:proofErr w:type="spellEnd"/>
      <w:r w:rsidRPr="00CE6F99">
        <w:t xml:space="preserve">, </w:t>
      </w:r>
      <w:proofErr w:type="spellStart"/>
      <w:r w:rsidRPr="00CE6F99">
        <w:t>AusAid</w:t>
      </w:r>
      <w:proofErr w:type="spellEnd"/>
      <w:r w:rsidRPr="00CE6F99">
        <w:t xml:space="preserve"> and IDA w</w:t>
      </w:r>
      <w:r w:rsidR="00143AF0">
        <w:t>ill provide US$225</w:t>
      </w:r>
      <w:r w:rsidRPr="00CE6F99">
        <w:t xml:space="preserve"> million through pooled funds.</w:t>
      </w:r>
      <w:r w:rsidR="00143AF0">
        <w:t xml:space="preserve"> IDA’s total financing of US$115 million includes </w:t>
      </w:r>
      <w:r w:rsidR="00ED7332">
        <w:t xml:space="preserve">approximately </w:t>
      </w:r>
      <w:r w:rsidR="00143AF0">
        <w:t>US$30</w:t>
      </w:r>
      <w:r w:rsidRPr="00CE6F99">
        <w:t xml:space="preserve"> mill</w:t>
      </w:r>
      <w:r w:rsidR="00331EB7">
        <w:t>ion made available</w:t>
      </w:r>
      <w:r w:rsidR="00D459A3">
        <w:t xml:space="preserve"> through the Crisi</w:t>
      </w:r>
      <w:r w:rsidR="00331EB7">
        <w:t>s Response W</w:t>
      </w:r>
      <w:r w:rsidRPr="00CE6F99">
        <w:t xml:space="preserve">indow. </w:t>
      </w:r>
      <w:r w:rsidR="00ED7332">
        <w:t xml:space="preserve"> </w:t>
      </w:r>
      <w:r w:rsidRPr="00CE6F99">
        <w:t>The total IDA financing w</w:t>
      </w:r>
      <w:r w:rsidR="00ED7332">
        <w:t>ill comprise a grant of US$</w:t>
      </w:r>
      <w:r w:rsidR="00143AF0">
        <w:t>51.75</w:t>
      </w:r>
      <w:r w:rsidRPr="00CE6F99">
        <w:t xml:space="preserve"> </w:t>
      </w:r>
      <w:r w:rsidR="00ED7332">
        <w:t>million and a credit of US$</w:t>
      </w:r>
      <w:r w:rsidR="00143AF0">
        <w:t>63.25</w:t>
      </w:r>
      <w:r w:rsidRPr="00CE6F99">
        <w:t xml:space="preserve"> million. </w:t>
      </w:r>
      <w:r w:rsidR="00ED7332">
        <w:t xml:space="preserve"> </w:t>
      </w:r>
      <w:r w:rsidR="00143AF0" w:rsidRPr="004903F8">
        <w:rPr>
          <w:color w:val="000000"/>
        </w:rPr>
        <w:t xml:space="preserve">IDA’s financing will disburse against the entire program expenditure, which follows an agreed annual work plan and budget (AWPB). Although IDA resources will be disbursed against the reviewed and approved total annual work plan and budget, there are a number of areas of special attention within the two components as described below. </w:t>
      </w:r>
      <w:r w:rsidR="00ED7332">
        <w:rPr>
          <w:color w:val="000000"/>
        </w:rPr>
        <w:t xml:space="preserve"> </w:t>
      </w:r>
      <w:r w:rsidR="00143AF0" w:rsidRPr="004903F8">
        <w:rPr>
          <w:color w:val="000000"/>
        </w:rPr>
        <w:t xml:space="preserve">Results, rather than financing, in these areas will be “ring-fenced” and treated as high priority. </w:t>
      </w:r>
      <w:r w:rsidR="00ED7332">
        <w:rPr>
          <w:color w:val="000000"/>
        </w:rPr>
        <w:t xml:space="preserve"> </w:t>
      </w:r>
      <w:r w:rsidR="00143AF0" w:rsidRPr="004903F8">
        <w:rPr>
          <w:color w:val="000000"/>
        </w:rPr>
        <w:t>The results framework for the project reflects the results framework of the sector program.</w:t>
      </w:r>
    </w:p>
    <w:p w:rsidR="006C69C7" w:rsidRDefault="006C69C7" w:rsidP="006C69C7">
      <w:pPr>
        <w:pStyle w:val="ListParagraph"/>
        <w:autoSpaceDE w:val="0"/>
        <w:autoSpaceDN w:val="0"/>
        <w:adjustRightInd w:val="0"/>
        <w:ind w:left="0"/>
        <w:jc w:val="both"/>
        <w:rPr>
          <w:bCs/>
          <w:iCs/>
          <w:u w:val="single"/>
        </w:rPr>
      </w:pPr>
    </w:p>
    <w:p w:rsidR="00626C09" w:rsidRPr="000D0DAA" w:rsidRDefault="00626C09" w:rsidP="00626C09">
      <w:pPr>
        <w:pStyle w:val="BodyText"/>
        <w:jc w:val="both"/>
        <w:rPr>
          <w:bCs/>
          <w:u w:val="single"/>
        </w:rPr>
      </w:pPr>
      <w:r w:rsidRPr="000D0DAA">
        <w:rPr>
          <w:bCs/>
          <w:iCs/>
          <w:u w:val="single"/>
        </w:rPr>
        <w:t>Component 1: Health Service Delivery</w:t>
      </w:r>
      <w:r w:rsidRPr="000D0DAA">
        <w:rPr>
          <w:bCs/>
          <w:u w:val="single"/>
        </w:rPr>
        <w:t xml:space="preserve">: </w:t>
      </w:r>
    </w:p>
    <w:p w:rsidR="00284D6B" w:rsidRDefault="00284D6B" w:rsidP="00A337B6">
      <w:pPr>
        <w:pStyle w:val="ListParagraph"/>
        <w:autoSpaceDE w:val="0"/>
        <w:autoSpaceDN w:val="0"/>
        <w:adjustRightInd w:val="0"/>
        <w:ind w:left="0"/>
        <w:jc w:val="both"/>
      </w:pPr>
      <w:r w:rsidRPr="00D459A3">
        <w:rPr>
          <w:i/>
          <w:iCs/>
        </w:rPr>
        <w:t>Increasing access to, and utilization of, an affordable package of essential health services</w:t>
      </w:r>
      <w:r w:rsidRPr="00D459A3">
        <w:rPr>
          <w:i/>
        </w:rPr>
        <w:t xml:space="preserve"> by the underserved and poor in line with MOHP’s Gender and Social Inclusion strategy</w:t>
      </w:r>
      <w:r w:rsidRPr="00331EB7">
        <w:t xml:space="preserve">: </w:t>
      </w:r>
      <w:r>
        <w:t xml:space="preserve">The project will support the expansion and strengthening of </w:t>
      </w:r>
      <w:r w:rsidR="00331EB7">
        <w:t xml:space="preserve">“essential health services” </w:t>
      </w:r>
      <w:r>
        <w:t>wit</w:t>
      </w:r>
      <w:r w:rsidR="00143AF0">
        <w:t>h a focus on better reaching</w:t>
      </w:r>
      <w:r>
        <w:t xml:space="preserve"> poor and excluded </w:t>
      </w:r>
      <w:r w:rsidR="00331EB7">
        <w:t>populations</w:t>
      </w:r>
      <w:r w:rsidR="006C69C7">
        <w:t xml:space="preserve"> (</w:t>
      </w:r>
      <w:r w:rsidR="00143AF0">
        <w:t>i.e.</w:t>
      </w:r>
      <w:r w:rsidR="006C69C7">
        <w:t xml:space="preserve"> </w:t>
      </w:r>
      <w:r>
        <w:t>women, d</w:t>
      </w:r>
      <w:r w:rsidR="00331EB7">
        <w:rPr>
          <w:rFonts w:eastAsia="MS Mincho"/>
          <w:lang w:eastAsia="ja-JP"/>
        </w:rPr>
        <w:t>isadvantaged i</w:t>
      </w:r>
      <w:r w:rsidRPr="001F3725">
        <w:rPr>
          <w:rFonts w:eastAsia="MS Mincho"/>
          <w:lang w:eastAsia="ja-JP"/>
        </w:rPr>
        <w:t xml:space="preserve">ndigenous </w:t>
      </w:r>
      <w:r w:rsidR="00331EB7">
        <w:rPr>
          <w:rFonts w:eastAsia="MS Mincho"/>
          <w:lang w:eastAsia="ja-JP"/>
        </w:rPr>
        <w:t>p</w:t>
      </w:r>
      <w:r>
        <w:rPr>
          <w:rFonts w:eastAsia="MS Mincho"/>
          <w:lang w:eastAsia="ja-JP"/>
        </w:rPr>
        <w:t>eoples</w:t>
      </w:r>
      <w:r w:rsidRPr="001F3725">
        <w:rPr>
          <w:rFonts w:eastAsia="MS Mincho"/>
          <w:lang w:eastAsia="ja-JP"/>
        </w:rPr>
        <w:t xml:space="preserve">, </w:t>
      </w:r>
      <w:r>
        <w:rPr>
          <w:rFonts w:eastAsia="MS Mincho"/>
          <w:lang w:eastAsia="ja-JP"/>
        </w:rPr>
        <w:t xml:space="preserve">the </w:t>
      </w:r>
      <w:r w:rsidRPr="001F3725">
        <w:rPr>
          <w:rFonts w:eastAsia="MS Mincho"/>
          <w:lang w:eastAsia="ja-JP"/>
        </w:rPr>
        <w:t>formerly “untouchable” occupational castes, religious minorities</w:t>
      </w:r>
      <w:r>
        <w:rPr>
          <w:rFonts w:eastAsia="MS Mincho"/>
          <w:lang w:eastAsia="ja-JP"/>
        </w:rPr>
        <w:t xml:space="preserve"> (including Muslims),</w:t>
      </w:r>
      <w:r w:rsidRPr="001F3725">
        <w:rPr>
          <w:rFonts w:eastAsia="MS Mincho"/>
          <w:lang w:eastAsia="ja-JP"/>
        </w:rPr>
        <w:t xml:space="preserve"> people from the southern plains belt of Nepal and those from the remote Far West region</w:t>
      </w:r>
      <w:r w:rsidR="006C69C7">
        <w:rPr>
          <w:rFonts w:eastAsia="MS Mincho"/>
          <w:lang w:eastAsia="ja-JP"/>
        </w:rPr>
        <w:t>)</w:t>
      </w:r>
      <w:r w:rsidRPr="00172B31">
        <w:t>.</w:t>
      </w:r>
      <w:r>
        <w:t xml:space="preserve"> </w:t>
      </w:r>
      <w:r w:rsidR="00ED7332">
        <w:t xml:space="preserve"> </w:t>
      </w:r>
      <w:r>
        <w:t>Th</w:t>
      </w:r>
      <w:r w:rsidR="00A91C34">
        <w:t xml:space="preserve">is will be </w:t>
      </w:r>
      <w:r>
        <w:t xml:space="preserve">achieved </w:t>
      </w:r>
      <w:r w:rsidR="00A91C34">
        <w:t xml:space="preserve">through </w:t>
      </w:r>
      <w:r>
        <w:t xml:space="preserve">a combination of interventions related to improved human resource availability in underserved areas, exemption and incentive schemes for the poor and underserved to utilize specified health services, improving and expanding physical infrastructure and the introduction of feedback mechanisms for communities to raise issues of quality of care, any form of discrimination, and governance of health facilities. </w:t>
      </w:r>
    </w:p>
    <w:p w:rsidR="00284D6B" w:rsidRDefault="00284D6B" w:rsidP="00284D6B">
      <w:pPr>
        <w:autoSpaceDE w:val="0"/>
        <w:autoSpaceDN w:val="0"/>
        <w:adjustRightInd w:val="0"/>
        <w:jc w:val="both"/>
      </w:pPr>
    </w:p>
    <w:p w:rsidR="004903F8" w:rsidRPr="004903F8" w:rsidRDefault="00284D6B" w:rsidP="004903F8">
      <w:pPr>
        <w:autoSpaceDE w:val="0"/>
        <w:autoSpaceDN w:val="0"/>
        <w:adjustRightInd w:val="0"/>
        <w:jc w:val="both"/>
        <w:rPr>
          <w:rFonts w:eastAsia="MS Mincho"/>
          <w:lang w:eastAsia="ja-JP"/>
        </w:rPr>
      </w:pPr>
      <w:proofErr w:type="gramStart"/>
      <w:r w:rsidRPr="004903F8">
        <w:rPr>
          <w:rFonts w:eastAsia="MS Mincho"/>
          <w:i/>
          <w:lang w:eastAsia="ja-JP"/>
        </w:rPr>
        <w:t>Improving the nutritional status of children and pregnant women</w:t>
      </w:r>
      <w:r w:rsidRPr="004903F8">
        <w:rPr>
          <w:rFonts w:eastAsia="MS Mincho"/>
          <w:b/>
          <w:i/>
          <w:lang w:eastAsia="ja-JP"/>
        </w:rPr>
        <w:t>:</w:t>
      </w:r>
      <w:r w:rsidRPr="004903F8">
        <w:rPr>
          <w:rFonts w:eastAsia="MS Mincho"/>
          <w:i/>
          <w:lang w:eastAsia="ja-JP"/>
        </w:rPr>
        <w:t xml:space="preserve"> </w:t>
      </w:r>
      <w:r w:rsidRPr="004903F8">
        <w:rPr>
          <w:rFonts w:eastAsia="MS Mincho"/>
          <w:lang w:eastAsia="ja-JP"/>
        </w:rPr>
        <w:t xml:space="preserve">The project will support </w:t>
      </w:r>
      <w:r w:rsidR="00331EB7" w:rsidRPr="004903F8">
        <w:rPr>
          <w:rFonts w:eastAsia="MS Mincho"/>
          <w:lang w:eastAsia="ja-JP"/>
        </w:rPr>
        <w:t>GON</w:t>
      </w:r>
      <w:r w:rsidRPr="004903F8">
        <w:rPr>
          <w:rFonts w:eastAsia="MS Mincho"/>
          <w:lang w:eastAsia="ja-JP"/>
        </w:rPr>
        <w:t>’s strategy to reduce malnutrition with a particular focus on the “critical window” of opportunity of -9 to +24 months.</w:t>
      </w:r>
      <w:proofErr w:type="gramEnd"/>
      <w:r w:rsidRPr="004903F8">
        <w:rPr>
          <w:rFonts w:eastAsia="MS Mincho"/>
          <w:lang w:eastAsia="ja-JP"/>
        </w:rPr>
        <w:t xml:space="preserve"> </w:t>
      </w:r>
      <w:r w:rsidR="00ED7332">
        <w:rPr>
          <w:rFonts w:eastAsia="MS Mincho"/>
          <w:lang w:eastAsia="ja-JP"/>
        </w:rPr>
        <w:t xml:space="preserve"> </w:t>
      </w:r>
      <w:r w:rsidRPr="004903F8">
        <w:rPr>
          <w:rFonts w:eastAsia="MS Mincho"/>
          <w:lang w:eastAsia="ja-JP"/>
        </w:rPr>
        <w:t>The project will support the consolidation of existing government programs that are curr</w:t>
      </w:r>
      <w:r w:rsidR="00ED7332">
        <w:rPr>
          <w:rFonts w:eastAsia="MS Mincho"/>
          <w:lang w:eastAsia="ja-JP"/>
        </w:rPr>
        <w:t>ently operating at scale (e.g. V</w:t>
      </w:r>
      <w:r w:rsidRPr="004903F8">
        <w:rPr>
          <w:rFonts w:eastAsia="MS Mincho"/>
          <w:lang w:eastAsia="ja-JP"/>
        </w:rPr>
        <w:t xml:space="preserve">itamin A supplementation and de-worming for children 6-24 months, IFA supplementation and de-worming for women during pregnancy, iodized salt promotion) but which require additional inputs to enhance sustainability and improve equity. </w:t>
      </w:r>
      <w:r w:rsidR="00ED7332">
        <w:rPr>
          <w:rFonts w:eastAsia="MS Mincho"/>
          <w:lang w:eastAsia="ja-JP"/>
        </w:rPr>
        <w:t xml:space="preserve"> </w:t>
      </w:r>
      <w:r w:rsidRPr="004903F8">
        <w:rPr>
          <w:rFonts w:eastAsia="MS Mincho"/>
          <w:lang w:eastAsia="ja-JP"/>
        </w:rPr>
        <w:t xml:space="preserve">It will also support increases in coverage of well-proven nutrition interventions that are within the responsibility of the MOHP to deliver (e.g. zinc supplementation along with ORS for the treatment of diarrhea, interventions to promote and support early and exclusive breastfeeding). </w:t>
      </w:r>
      <w:r w:rsidR="00ED7332">
        <w:rPr>
          <w:rFonts w:eastAsia="MS Mincho"/>
          <w:lang w:eastAsia="ja-JP"/>
        </w:rPr>
        <w:t xml:space="preserve"> </w:t>
      </w:r>
      <w:r w:rsidRPr="004903F8">
        <w:rPr>
          <w:rFonts w:eastAsia="MS Mincho"/>
          <w:lang w:eastAsia="ja-JP"/>
        </w:rPr>
        <w:t>Special focus will also be given to strengthening the capacity to work multi-</w:t>
      </w:r>
      <w:proofErr w:type="spellStart"/>
      <w:r w:rsidRPr="004903F8">
        <w:rPr>
          <w:rFonts w:eastAsia="MS Mincho"/>
          <w:lang w:eastAsia="ja-JP"/>
        </w:rPr>
        <w:t>sectorally</w:t>
      </w:r>
      <w:proofErr w:type="spellEnd"/>
      <w:r w:rsidRPr="004903F8">
        <w:rPr>
          <w:rFonts w:eastAsia="MS Mincho"/>
          <w:lang w:eastAsia="ja-JP"/>
        </w:rPr>
        <w:t xml:space="preserve"> to address more comprehensively the underlying factors that are hindering progress in reducing basic under-nutrition. </w:t>
      </w:r>
      <w:r w:rsidR="00ED7332">
        <w:rPr>
          <w:rFonts w:eastAsia="MS Mincho"/>
          <w:lang w:eastAsia="ja-JP"/>
        </w:rPr>
        <w:t xml:space="preserve"> </w:t>
      </w:r>
      <w:r w:rsidRPr="004903F8">
        <w:rPr>
          <w:rFonts w:eastAsia="MS Mincho"/>
          <w:lang w:eastAsia="ja-JP"/>
        </w:rPr>
        <w:t>The project will promote the establishment of a high-level multi-</w:t>
      </w:r>
      <w:proofErr w:type="spellStart"/>
      <w:r w:rsidRPr="004903F8">
        <w:rPr>
          <w:rFonts w:eastAsia="MS Mincho"/>
          <w:lang w:eastAsia="ja-JP"/>
        </w:rPr>
        <w:t>sectoral</w:t>
      </w:r>
      <w:proofErr w:type="spellEnd"/>
      <w:r w:rsidRPr="004903F8">
        <w:rPr>
          <w:rFonts w:eastAsia="MS Mincho"/>
          <w:lang w:eastAsia="ja-JP"/>
        </w:rPr>
        <w:t xml:space="preserve"> coordination mechanism for nutrition and food security to enable better </w:t>
      </w:r>
      <w:r w:rsidRPr="004903F8">
        <w:rPr>
          <w:rFonts w:eastAsia="MS Mincho"/>
          <w:lang w:eastAsia="ja-JP"/>
        </w:rPr>
        <w:lastRenderedPageBreak/>
        <w:t>planning for nutrit</w:t>
      </w:r>
      <w:r w:rsidR="00A91C34" w:rsidRPr="004903F8">
        <w:rPr>
          <w:rFonts w:eastAsia="MS Mincho"/>
          <w:lang w:eastAsia="ja-JP"/>
        </w:rPr>
        <w:t>ion within relevant ministries.</w:t>
      </w:r>
      <w:r w:rsidR="004903F8" w:rsidRPr="004903F8">
        <w:rPr>
          <w:rFonts w:eastAsia="MS Mincho"/>
          <w:lang w:eastAsia="ja-JP"/>
        </w:rPr>
        <w:t xml:space="preserve"> </w:t>
      </w:r>
      <w:r w:rsidR="00ED7332">
        <w:rPr>
          <w:rFonts w:eastAsia="MS Mincho"/>
          <w:lang w:eastAsia="ja-JP"/>
        </w:rPr>
        <w:t xml:space="preserve"> </w:t>
      </w:r>
      <w:r w:rsidR="004903F8" w:rsidRPr="004903F8">
        <w:rPr>
          <w:rFonts w:eastAsia="MS Mincho"/>
          <w:lang w:eastAsia="ja-JP"/>
        </w:rPr>
        <w:t>Much of the remaining effort to eliminate under-nutrition involves behavior change and this, in turn, requires working with non-government entities at various levels.  The project will pilot innovative approaches to engage communities, including the private sector, more pro-actively in addressing nutrition challenges.</w:t>
      </w:r>
    </w:p>
    <w:p w:rsidR="00284D6B" w:rsidRDefault="00284D6B" w:rsidP="00284D6B">
      <w:pPr>
        <w:autoSpaceDE w:val="0"/>
        <w:autoSpaceDN w:val="0"/>
        <w:adjustRightInd w:val="0"/>
        <w:jc w:val="both"/>
        <w:rPr>
          <w:rFonts w:eastAsia="MS Mincho"/>
          <w:i/>
          <w:lang w:eastAsia="ja-JP"/>
        </w:rPr>
      </w:pPr>
    </w:p>
    <w:p w:rsidR="004903F8" w:rsidRPr="004903F8" w:rsidRDefault="00284D6B" w:rsidP="004903F8">
      <w:pPr>
        <w:autoSpaceDE w:val="0"/>
        <w:autoSpaceDN w:val="0"/>
        <w:adjustRightInd w:val="0"/>
        <w:jc w:val="both"/>
        <w:rPr>
          <w:rFonts w:eastAsia="MS Mincho"/>
          <w:lang w:eastAsia="ja-JP"/>
        </w:rPr>
      </w:pPr>
      <w:r w:rsidRPr="004903F8">
        <w:rPr>
          <w:rFonts w:eastAsia="MS Mincho"/>
          <w:i/>
          <w:lang w:eastAsia="ja-JP"/>
        </w:rPr>
        <w:t>Expanding coverage, and improving the effectiveness in the response to HIV and AIDS</w:t>
      </w:r>
      <w:r w:rsidRPr="004903F8">
        <w:rPr>
          <w:rFonts w:eastAsia="MS Mincho"/>
          <w:b/>
          <w:i/>
          <w:lang w:eastAsia="ja-JP"/>
        </w:rPr>
        <w:t>:</w:t>
      </w:r>
      <w:r w:rsidRPr="004903F8">
        <w:rPr>
          <w:rFonts w:eastAsia="MS Mincho"/>
          <w:i/>
          <w:lang w:eastAsia="ja-JP"/>
        </w:rPr>
        <w:t xml:space="preserve"> </w:t>
      </w:r>
      <w:r w:rsidRPr="004903F8">
        <w:rPr>
          <w:rFonts w:eastAsia="MS Mincho"/>
          <w:lang w:eastAsia="ja-JP"/>
        </w:rPr>
        <w:t xml:space="preserve">The project will support the expansion of coverage of interventions (prevention, diagnosis and treatment) for underserved high risk groups and the quality of services provided by: </w:t>
      </w:r>
      <w:proofErr w:type="spellStart"/>
      <w:r w:rsidRPr="004903F8">
        <w:rPr>
          <w:rFonts w:eastAsia="MS Mincho"/>
          <w:lang w:eastAsia="ja-JP"/>
        </w:rPr>
        <w:t>i</w:t>
      </w:r>
      <w:proofErr w:type="spellEnd"/>
      <w:r w:rsidRPr="004903F8">
        <w:rPr>
          <w:rFonts w:eastAsia="MS Mincho"/>
          <w:lang w:eastAsia="ja-JP"/>
        </w:rPr>
        <w:t xml:space="preserve">) contracting out service delivery targeting these groups to non-state entities; ii) improving the targeting of existing services; iii) developing quality assurance mechanisms; and iv) strengthened monitoring. </w:t>
      </w:r>
      <w:r w:rsidR="00ED7332">
        <w:rPr>
          <w:rFonts w:eastAsia="MS Mincho"/>
          <w:lang w:eastAsia="ja-JP"/>
        </w:rPr>
        <w:t xml:space="preserve"> </w:t>
      </w:r>
      <w:r w:rsidRPr="004903F8">
        <w:rPr>
          <w:rFonts w:eastAsia="MS Mincho"/>
          <w:lang w:eastAsia="ja-JP"/>
        </w:rPr>
        <w:t>It will also expand the coverage and quality of public health facility based services including diagnosis and treatment of HIV</w:t>
      </w:r>
      <w:r w:rsidR="00C413D9" w:rsidRPr="004903F8">
        <w:rPr>
          <w:rFonts w:eastAsia="MS Mincho"/>
          <w:lang w:eastAsia="ja-JP"/>
        </w:rPr>
        <w:t xml:space="preserve"> and </w:t>
      </w:r>
      <w:r w:rsidRPr="004903F8">
        <w:rPr>
          <w:rFonts w:eastAsia="MS Mincho"/>
          <w:lang w:eastAsia="ja-JP"/>
        </w:rPr>
        <w:t xml:space="preserve">AIDS, sexually transmitted infections and opportunistic infections. </w:t>
      </w:r>
      <w:r w:rsidR="00ED7332">
        <w:rPr>
          <w:rFonts w:eastAsia="MS Mincho"/>
          <w:lang w:eastAsia="ja-JP"/>
        </w:rPr>
        <w:t xml:space="preserve"> </w:t>
      </w:r>
      <w:r w:rsidR="004903F8" w:rsidRPr="004903F8">
        <w:rPr>
          <w:rFonts w:eastAsia="MS Mincho"/>
          <w:lang w:eastAsia="ja-JP"/>
        </w:rPr>
        <w:t>Services to be delivered by NGOs will include prevention services for most at risk groups (including comprehensive harm reduction activities, behavior change communication, condom promotion and distribution), community based services and referrals for diagnosis, treatment and care of STIs and HIV.</w:t>
      </w:r>
    </w:p>
    <w:p w:rsidR="004903F8" w:rsidRDefault="004903F8" w:rsidP="00331EB7">
      <w:pPr>
        <w:pStyle w:val="ListParagraph"/>
        <w:autoSpaceDE w:val="0"/>
        <w:autoSpaceDN w:val="0"/>
        <w:adjustRightInd w:val="0"/>
        <w:ind w:left="0"/>
        <w:jc w:val="both"/>
        <w:rPr>
          <w:rFonts w:eastAsia="MS Mincho"/>
          <w:i/>
          <w:lang w:eastAsia="ja-JP"/>
        </w:rPr>
      </w:pPr>
    </w:p>
    <w:p w:rsidR="00284D6B" w:rsidRDefault="00284D6B" w:rsidP="00331EB7">
      <w:pPr>
        <w:pStyle w:val="ListParagraph"/>
        <w:autoSpaceDE w:val="0"/>
        <w:autoSpaceDN w:val="0"/>
        <w:adjustRightInd w:val="0"/>
        <w:ind w:left="0"/>
        <w:jc w:val="both"/>
        <w:rPr>
          <w:rFonts w:eastAsia="MS Mincho"/>
          <w:lang w:eastAsia="ja-JP"/>
        </w:rPr>
      </w:pPr>
      <w:r w:rsidRPr="00405688">
        <w:rPr>
          <w:rFonts w:eastAsia="MS Mincho"/>
          <w:i/>
          <w:lang w:eastAsia="ja-JP"/>
        </w:rPr>
        <w:t>Further reducing the mortality and morbidity associated with pregnancy and child birth:</w:t>
      </w:r>
      <w:r w:rsidRPr="00DB3470">
        <w:rPr>
          <w:rFonts w:eastAsia="MS Mincho"/>
          <w:i/>
          <w:lang w:eastAsia="ja-JP"/>
        </w:rPr>
        <w:t xml:space="preserve"> </w:t>
      </w:r>
      <w:r>
        <w:rPr>
          <w:rFonts w:eastAsia="MS Mincho"/>
          <w:lang w:eastAsia="ja-JP"/>
        </w:rPr>
        <w:t xml:space="preserve">The project will continue efforts to further reduce maternal mortality by increasing the percentage of births attended by trained health workers, especially among the poor and under-served. </w:t>
      </w:r>
      <w:r w:rsidR="001D361A">
        <w:rPr>
          <w:rFonts w:eastAsia="MS Mincho"/>
          <w:lang w:eastAsia="ja-JP"/>
        </w:rPr>
        <w:t xml:space="preserve"> </w:t>
      </w:r>
      <w:r>
        <w:rPr>
          <w:rFonts w:eastAsia="MS Mincho"/>
          <w:lang w:eastAsia="ja-JP"/>
        </w:rPr>
        <w:t xml:space="preserve">Ante-natal attendance will be improved by providing incentives for pregnant mothers to attend at least four ante-natal consultations and </w:t>
      </w:r>
      <w:r w:rsidR="004903F8">
        <w:rPr>
          <w:rFonts w:eastAsia="MS Mincho"/>
          <w:lang w:eastAsia="ja-JP"/>
        </w:rPr>
        <w:t xml:space="preserve">a behavior change communication campaign will target reducing </w:t>
      </w:r>
      <w:r>
        <w:rPr>
          <w:rFonts w:eastAsia="MS Mincho"/>
          <w:lang w:eastAsia="ja-JP"/>
        </w:rPr>
        <w:t>teen-age pregnancies.</w:t>
      </w:r>
    </w:p>
    <w:p w:rsidR="00284D6B" w:rsidRDefault="00284D6B" w:rsidP="00284D6B">
      <w:pPr>
        <w:pStyle w:val="BodyText"/>
        <w:ind w:left="-720" w:hanging="720"/>
        <w:jc w:val="both"/>
        <w:rPr>
          <w:b/>
          <w:bCs/>
          <w:highlight w:val="yellow"/>
        </w:rPr>
      </w:pPr>
    </w:p>
    <w:p w:rsidR="00626C09" w:rsidRPr="000D0DAA" w:rsidRDefault="00626C09" w:rsidP="000D0DAA">
      <w:pPr>
        <w:pStyle w:val="BodyText"/>
        <w:jc w:val="both"/>
        <w:rPr>
          <w:bCs/>
          <w:iCs/>
          <w:u w:val="single"/>
        </w:rPr>
      </w:pPr>
      <w:r w:rsidRPr="000D0DAA">
        <w:rPr>
          <w:bCs/>
          <w:iCs/>
          <w:u w:val="single"/>
        </w:rPr>
        <w:t>Component 2 –Health Systems Strengthening:</w:t>
      </w:r>
    </w:p>
    <w:p w:rsidR="00283D48" w:rsidRDefault="00283D48" w:rsidP="00626C09">
      <w:pPr>
        <w:autoSpaceDE w:val="0"/>
        <w:autoSpaceDN w:val="0"/>
        <w:adjustRightInd w:val="0"/>
        <w:jc w:val="both"/>
        <w:rPr>
          <w:rFonts w:eastAsia="MS Mincho"/>
          <w:b/>
          <w:i/>
          <w:lang w:eastAsia="ja-JP"/>
        </w:rPr>
      </w:pPr>
    </w:p>
    <w:p w:rsidR="00284D6B" w:rsidRDefault="00284D6B" w:rsidP="00331EB7">
      <w:pPr>
        <w:pStyle w:val="ListParagraph"/>
        <w:autoSpaceDE w:val="0"/>
        <w:autoSpaceDN w:val="0"/>
        <w:adjustRightInd w:val="0"/>
        <w:ind w:left="0"/>
        <w:jc w:val="both"/>
        <w:rPr>
          <w:rFonts w:eastAsia="MS Mincho"/>
          <w:lang w:eastAsia="ja-JP"/>
        </w:rPr>
      </w:pPr>
      <w:proofErr w:type="gramStart"/>
      <w:r w:rsidRPr="00405688">
        <w:rPr>
          <w:rFonts w:eastAsia="MS Mincho"/>
          <w:i/>
          <w:lang w:eastAsia="ja-JP"/>
        </w:rPr>
        <w:t>Improving the availability of human resources for health, especially in under-served areas:</w:t>
      </w:r>
      <w:r w:rsidRPr="00405688">
        <w:rPr>
          <w:rFonts w:eastAsia="MS Mincho"/>
          <w:lang w:eastAsia="ja-JP"/>
        </w:rPr>
        <w:t xml:space="preserve"> </w:t>
      </w:r>
      <w:r>
        <w:rPr>
          <w:rFonts w:eastAsia="MS Mincho"/>
          <w:lang w:eastAsia="ja-JP"/>
        </w:rPr>
        <w:t>The MOHP will initiate an organization and management survey to assess the human resource requirement of the ministry.</w:t>
      </w:r>
      <w:proofErr w:type="gramEnd"/>
      <w:r>
        <w:rPr>
          <w:rFonts w:eastAsia="MS Mincho"/>
          <w:lang w:eastAsia="ja-JP"/>
        </w:rPr>
        <w:t xml:space="preserve"> </w:t>
      </w:r>
      <w:r w:rsidR="001D361A">
        <w:rPr>
          <w:rFonts w:eastAsia="MS Mincho"/>
          <w:lang w:eastAsia="ja-JP"/>
        </w:rPr>
        <w:t xml:space="preserve"> </w:t>
      </w:r>
      <w:r>
        <w:rPr>
          <w:rFonts w:eastAsia="MS Mincho"/>
          <w:lang w:eastAsia="ja-JP"/>
        </w:rPr>
        <w:t xml:space="preserve">The results of the survey, together with staffing norms, will be used to obtain approval for new positions. The MOHP’s human resource strategy will be revised to ensure staffing. </w:t>
      </w:r>
      <w:r w:rsidR="001D361A">
        <w:rPr>
          <w:rFonts w:eastAsia="MS Mincho"/>
          <w:lang w:eastAsia="ja-JP"/>
        </w:rPr>
        <w:t xml:space="preserve"> </w:t>
      </w:r>
      <w:r w:rsidR="00405688">
        <w:rPr>
          <w:rFonts w:eastAsia="MS Mincho"/>
          <w:lang w:eastAsia="ja-JP"/>
        </w:rPr>
        <w:t>T</w:t>
      </w:r>
      <w:r>
        <w:rPr>
          <w:rFonts w:eastAsia="MS Mincho"/>
          <w:lang w:eastAsia="ja-JP"/>
        </w:rPr>
        <w:t xml:space="preserve">he ministry will implement deployment and retention strategies to staff facilities in remote areas. </w:t>
      </w:r>
      <w:r w:rsidR="001D361A">
        <w:rPr>
          <w:rFonts w:eastAsia="MS Mincho"/>
          <w:lang w:eastAsia="ja-JP"/>
        </w:rPr>
        <w:t xml:space="preserve"> </w:t>
      </w:r>
      <w:r>
        <w:rPr>
          <w:rFonts w:eastAsia="MS Mincho"/>
          <w:lang w:eastAsia="ja-JP"/>
        </w:rPr>
        <w:t xml:space="preserve">The outcome of these strategies will be assessed regularly to improve performance. </w:t>
      </w:r>
      <w:r w:rsidR="001D361A">
        <w:rPr>
          <w:rFonts w:eastAsia="MS Mincho"/>
          <w:lang w:eastAsia="ja-JP"/>
        </w:rPr>
        <w:t xml:space="preserve"> </w:t>
      </w:r>
      <w:r>
        <w:rPr>
          <w:rFonts w:eastAsia="MS Mincho"/>
          <w:lang w:eastAsia="ja-JP"/>
        </w:rPr>
        <w:t>A human resources study focusing on recruitment, deployment and retention of health workers in remote areas will be conducted during the first year</w:t>
      </w:r>
      <w:r w:rsidR="00405688">
        <w:rPr>
          <w:rFonts w:eastAsia="MS Mincho"/>
          <w:lang w:eastAsia="ja-JP"/>
        </w:rPr>
        <w:t xml:space="preserve"> of project implementation</w:t>
      </w:r>
      <w:r>
        <w:rPr>
          <w:rFonts w:eastAsia="MS Mincho"/>
          <w:lang w:eastAsia="ja-JP"/>
        </w:rPr>
        <w:t xml:space="preserve">.   </w:t>
      </w:r>
    </w:p>
    <w:p w:rsidR="00405688" w:rsidRDefault="00405688" w:rsidP="00331EB7">
      <w:pPr>
        <w:pStyle w:val="ListParagraph"/>
        <w:autoSpaceDE w:val="0"/>
        <w:autoSpaceDN w:val="0"/>
        <w:adjustRightInd w:val="0"/>
        <w:ind w:left="0"/>
        <w:jc w:val="both"/>
        <w:rPr>
          <w:rFonts w:eastAsia="MS Mincho"/>
          <w:i/>
          <w:lang w:eastAsia="ja-JP"/>
        </w:rPr>
      </w:pPr>
    </w:p>
    <w:p w:rsidR="00284D6B" w:rsidRDefault="004903F8" w:rsidP="00331EB7">
      <w:pPr>
        <w:pStyle w:val="ListParagraph"/>
        <w:autoSpaceDE w:val="0"/>
        <w:autoSpaceDN w:val="0"/>
        <w:adjustRightInd w:val="0"/>
        <w:ind w:left="0"/>
        <w:jc w:val="both"/>
        <w:rPr>
          <w:rFonts w:eastAsia="Calibri"/>
          <w:color w:val="000000"/>
        </w:rPr>
      </w:pPr>
      <w:proofErr w:type="gramStart"/>
      <w:r>
        <w:rPr>
          <w:rFonts w:eastAsia="MS Mincho"/>
          <w:i/>
          <w:lang w:eastAsia="ja-JP"/>
        </w:rPr>
        <w:t xml:space="preserve">Improving the sustainability of </w:t>
      </w:r>
      <w:r w:rsidR="00284D6B" w:rsidRPr="00405688">
        <w:rPr>
          <w:rFonts w:eastAsia="MS Mincho"/>
          <w:i/>
          <w:lang w:eastAsia="ja-JP"/>
        </w:rPr>
        <w:t xml:space="preserve">financing </w:t>
      </w:r>
      <w:r>
        <w:rPr>
          <w:rFonts w:eastAsia="MS Mincho"/>
          <w:i/>
          <w:lang w:eastAsia="ja-JP"/>
        </w:rPr>
        <w:t>the sector and designing mechanisms to provide</w:t>
      </w:r>
      <w:r w:rsidR="00284D6B" w:rsidRPr="00405688">
        <w:rPr>
          <w:rFonts w:eastAsia="MS Mincho"/>
          <w:i/>
          <w:lang w:eastAsia="ja-JP"/>
        </w:rPr>
        <w:t xml:space="preserve"> protection against impoverishment due to ill-health:</w:t>
      </w:r>
      <w:r w:rsidR="00284D6B" w:rsidRPr="00405688">
        <w:t xml:space="preserve"> The project</w:t>
      </w:r>
      <w:r w:rsidR="00284D6B">
        <w:t xml:space="preserve"> will assist with analytical work to </w:t>
      </w:r>
      <w:r w:rsidR="00405688">
        <w:t>e</w:t>
      </w:r>
      <w:r w:rsidR="00284D6B">
        <w:rPr>
          <w:color w:val="000000"/>
        </w:rPr>
        <w:t>xplor</w:t>
      </w:r>
      <w:r w:rsidR="00405688">
        <w:rPr>
          <w:color w:val="000000"/>
        </w:rPr>
        <w:t>e</w:t>
      </w:r>
      <w:r w:rsidR="00284D6B">
        <w:rPr>
          <w:color w:val="000000"/>
        </w:rPr>
        <w:t xml:space="preserve"> options of health care financing in Nepal that respon</w:t>
      </w:r>
      <w:r w:rsidR="00405688">
        <w:rPr>
          <w:color w:val="000000"/>
        </w:rPr>
        <w:t>d</w:t>
      </w:r>
      <w:r w:rsidR="00284D6B">
        <w:rPr>
          <w:color w:val="000000"/>
        </w:rPr>
        <w:t xml:space="preserve"> to emerging interest in publicly financed and provided free health care and financial protection against health </w:t>
      </w:r>
      <w:r w:rsidR="00284D6B" w:rsidRPr="00360AF1">
        <w:t>shocks</w:t>
      </w:r>
      <w:r w:rsidR="00284D6B">
        <w:rPr>
          <w:color w:val="000000"/>
        </w:rPr>
        <w:t>.</w:t>
      </w:r>
      <w:proofErr w:type="gramEnd"/>
      <w:r w:rsidR="00284D6B">
        <w:rPr>
          <w:color w:val="000000"/>
        </w:rPr>
        <w:t xml:space="preserve"> </w:t>
      </w:r>
      <w:r w:rsidR="001D361A">
        <w:rPr>
          <w:color w:val="000000"/>
        </w:rPr>
        <w:t xml:space="preserve"> </w:t>
      </w:r>
      <w:r w:rsidR="00284D6B">
        <w:rPr>
          <w:color w:val="000000"/>
        </w:rPr>
        <w:t xml:space="preserve">This work would also assist the government and its partners to develop </w:t>
      </w:r>
      <w:r w:rsidR="00284D6B" w:rsidRPr="006907E2">
        <w:rPr>
          <w:color w:val="000000"/>
        </w:rPr>
        <w:t>options to increase the long-term sustai</w:t>
      </w:r>
      <w:r w:rsidR="00284D6B">
        <w:rPr>
          <w:color w:val="000000"/>
        </w:rPr>
        <w:t>nability of health care financing</w:t>
      </w:r>
      <w:r w:rsidR="00284D6B" w:rsidRPr="006907E2">
        <w:rPr>
          <w:color w:val="000000"/>
        </w:rPr>
        <w:t xml:space="preserve"> in Nepal.</w:t>
      </w:r>
      <w:r w:rsidR="001D361A">
        <w:rPr>
          <w:color w:val="000000"/>
        </w:rPr>
        <w:t xml:space="preserve"> </w:t>
      </w:r>
      <w:r w:rsidR="00284D6B" w:rsidRPr="006907E2">
        <w:rPr>
          <w:color w:val="000000"/>
        </w:rPr>
        <w:t xml:space="preserve"> </w:t>
      </w:r>
      <w:r w:rsidR="00284D6B">
        <w:rPr>
          <w:color w:val="000000"/>
        </w:rPr>
        <w:t xml:space="preserve">It is envisaged that the analytical work and consultations will help MOHP develop a sound health care financing strategy.  </w:t>
      </w:r>
    </w:p>
    <w:p w:rsidR="00284D6B" w:rsidRDefault="00284D6B" w:rsidP="00284D6B">
      <w:pPr>
        <w:autoSpaceDE w:val="0"/>
        <w:autoSpaceDN w:val="0"/>
        <w:adjustRightInd w:val="0"/>
        <w:jc w:val="both"/>
      </w:pPr>
    </w:p>
    <w:p w:rsidR="00284D6B" w:rsidRDefault="00284D6B" w:rsidP="00331EB7">
      <w:pPr>
        <w:pStyle w:val="ListParagraph"/>
        <w:autoSpaceDE w:val="0"/>
        <w:autoSpaceDN w:val="0"/>
        <w:adjustRightInd w:val="0"/>
        <w:ind w:left="0"/>
        <w:jc w:val="both"/>
      </w:pPr>
      <w:r w:rsidRPr="00405688">
        <w:rPr>
          <w:rFonts w:eastAsia="MS Mincho"/>
          <w:i/>
          <w:lang w:eastAsia="ja-JP"/>
        </w:rPr>
        <w:t>Strengthen</w:t>
      </w:r>
      <w:r w:rsidR="00C413D9" w:rsidRPr="00405688">
        <w:rPr>
          <w:rFonts w:eastAsia="MS Mincho"/>
          <w:i/>
          <w:lang w:eastAsia="ja-JP"/>
        </w:rPr>
        <w:t>ing and expanding the scope of monitoring and e</w:t>
      </w:r>
      <w:r w:rsidRPr="00405688">
        <w:rPr>
          <w:rFonts w:eastAsia="MS Mincho"/>
          <w:i/>
          <w:lang w:eastAsia="ja-JP"/>
        </w:rPr>
        <w:t xml:space="preserve">valuation: </w:t>
      </w:r>
      <w:r w:rsidRPr="00405688">
        <w:t>This</w:t>
      </w:r>
      <w:r>
        <w:t xml:space="preserve"> activity will support the MOHP’s effort to </w:t>
      </w:r>
      <w:r w:rsidRPr="003031BA">
        <w:t xml:space="preserve">continue </w:t>
      </w:r>
      <w:r>
        <w:t xml:space="preserve">monitoring </w:t>
      </w:r>
      <w:r w:rsidRPr="003031BA">
        <w:t xml:space="preserve">progress </w:t>
      </w:r>
      <w:r>
        <w:t xml:space="preserve">towards the objectives of the health sector program including quality of care and inclusion. </w:t>
      </w:r>
      <w:r w:rsidR="001D361A">
        <w:t xml:space="preserve"> </w:t>
      </w:r>
      <w:r>
        <w:t xml:space="preserve">The project will support </w:t>
      </w:r>
      <w:r w:rsidR="00A91C34">
        <w:t>GON</w:t>
      </w:r>
      <w:r>
        <w:t xml:space="preserve">’s effort to collect </w:t>
      </w:r>
      <w:r>
        <w:lastRenderedPageBreak/>
        <w:t>disaggregated data using the HMIS and so that key indicators are disaggregated by gender and social characteristics.</w:t>
      </w:r>
      <w:r w:rsidR="001D361A">
        <w:t xml:space="preserve"> </w:t>
      </w:r>
      <w:r>
        <w:t xml:space="preserve"> </w:t>
      </w:r>
      <w:r w:rsidRPr="003031BA">
        <w:t>To complement</w:t>
      </w:r>
      <w:r>
        <w:t xml:space="preserve"> data generated by the existing systems, including </w:t>
      </w:r>
      <w:r w:rsidRPr="003031BA">
        <w:t>HMIS</w:t>
      </w:r>
      <w:r>
        <w:t xml:space="preserve">, the project will support </w:t>
      </w:r>
      <w:r w:rsidRPr="003031BA">
        <w:t>annual facility surveys</w:t>
      </w:r>
      <w:r>
        <w:t>,</w:t>
      </w:r>
      <w:r w:rsidRPr="003031BA">
        <w:t xml:space="preserve"> </w:t>
      </w:r>
      <w:r>
        <w:t>one household survey</w:t>
      </w:r>
      <w:r w:rsidRPr="003031BA">
        <w:t xml:space="preserve"> and</w:t>
      </w:r>
      <w:r>
        <w:t xml:space="preserve"> a social auditing system including the use of</w:t>
      </w:r>
      <w:r w:rsidRPr="003031BA">
        <w:t xml:space="preserve"> community score cards</w:t>
      </w:r>
      <w:r>
        <w:t xml:space="preserve">. </w:t>
      </w:r>
      <w:r w:rsidR="001D361A">
        <w:t xml:space="preserve"> </w:t>
      </w:r>
      <w:r w:rsidR="00A91C34">
        <w:t>T</w:t>
      </w:r>
      <w:r w:rsidRPr="00FF0906">
        <w:t xml:space="preserve">he current practice of conducting studies on the governance aspect of quality and availability of drugs, the functioning and specification of equipment, and civil works will continue as part of the </w:t>
      </w:r>
      <w:r>
        <w:t>Governance and Accountability Action Plan (</w:t>
      </w:r>
      <w:r w:rsidRPr="00FF0906">
        <w:t>GAAP</w:t>
      </w:r>
      <w:r>
        <w:t>)</w:t>
      </w:r>
      <w:r w:rsidRPr="00FF0906">
        <w:t xml:space="preserve">. </w:t>
      </w:r>
      <w:r w:rsidR="001D361A">
        <w:t xml:space="preserve"> </w:t>
      </w:r>
      <w:r>
        <w:t xml:space="preserve">At least one </w:t>
      </w:r>
      <w:r w:rsidRPr="00FF0906">
        <w:t xml:space="preserve">equipment study, </w:t>
      </w:r>
      <w:r>
        <w:t>one</w:t>
      </w:r>
      <w:r w:rsidRPr="00FF0906">
        <w:t xml:space="preserve"> civil works study and two drug studies will be conducted</w:t>
      </w:r>
      <w:r>
        <w:t xml:space="preserve"> during the life of the project. </w:t>
      </w:r>
      <w:r w:rsidR="001D361A">
        <w:t xml:space="preserve"> </w:t>
      </w:r>
      <w:r>
        <w:t xml:space="preserve">To assess the impact of community based interventions in HIV/AIDS related services, biannual Integrated Bio-Behavioral Surveillance Surveys (IBBS) will be carried out. </w:t>
      </w:r>
    </w:p>
    <w:p w:rsidR="00284D6B" w:rsidRDefault="00284D6B" w:rsidP="00284D6B">
      <w:pPr>
        <w:autoSpaceDE w:val="0"/>
        <w:autoSpaceDN w:val="0"/>
        <w:adjustRightInd w:val="0"/>
        <w:jc w:val="both"/>
        <w:rPr>
          <w:rFonts w:eastAsia="MS Mincho"/>
          <w:i/>
          <w:lang w:eastAsia="ja-JP"/>
        </w:rPr>
      </w:pPr>
    </w:p>
    <w:p w:rsidR="00284D6B" w:rsidRDefault="00284D6B" w:rsidP="00331EB7">
      <w:pPr>
        <w:pStyle w:val="ListParagraph"/>
        <w:autoSpaceDE w:val="0"/>
        <w:autoSpaceDN w:val="0"/>
        <w:adjustRightInd w:val="0"/>
        <w:ind w:left="0"/>
        <w:jc w:val="both"/>
      </w:pPr>
      <w:r w:rsidRPr="008F24D5">
        <w:rPr>
          <w:rFonts w:eastAsia="MS Mincho"/>
          <w:i/>
          <w:lang w:eastAsia="ja-JP"/>
        </w:rPr>
        <w:t>Improving governance and accountability in the health sector:</w:t>
      </w:r>
      <w:r w:rsidRPr="008F24D5">
        <w:rPr>
          <w:rFonts w:eastAsia="MS Mincho"/>
          <w:lang w:eastAsia="ja-JP"/>
        </w:rPr>
        <w:t xml:space="preserve"> A</w:t>
      </w:r>
      <w:r>
        <w:rPr>
          <w:rFonts w:eastAsia="MS Mincho"/>
          <w:lang w:eastAsia="ja-JP"/>
        </w:rPr>
        <w:t xml:space="preserve"> comprehensive description of the related results and activities is reflected in the GAAP.</w:t>
      </w:r>
      <w:r w:rsidR="001D361A">
        <w:rPr>
          <w:rFonts w:eastAsia="MS Mincho"/>
          <w:lang w:eastAsia="ja-JP"/>
        </w:rPr>
        <w:t xml:space="preserve"> </w:t>
      </w:r>
      <w:r>
        <w:rPr>
          <w:rFonts w:eastAsia="MS Mincho"/>
          <w:lang w:eastAsia="ja-JP"/>
        </w:rPr>
        <w:t xml:space="preserve"> It refers to actions that will mitigate</w:t>
      </w:r>
      <w:r w:rsidRPr="007561B2">
        <w:rPr>
          <w:rFonts w:eastAsia="MS Mincho"/>
          <w:lang w:eastAsia="ja-JP"/>
        </w:rPr>
        <w:t xml:space="preserve"> the risks related to procurement</w:t>
      </w:r>
      <w:r>
        <w:rPr>
          <w:rFonts w:eastAsia="MS Mincho"/>
          <w:lang w:eastAsia="ja-JP"/>
        </w:rPr>
        <w:t>, financial management, exclusion, and monitoring and evaluation.</w:t>
      </w:r>
      <w:r w:rsidR="00C413D9">
        <w:rPr>
          <w:rFonts w:eastAsia="MS Mincho"/>
          <w:lang w:eastAsia="ja-JP"/>
        </w:rPr>
        <w:t xml:space="preserve"> </w:t>
      </w:r>
      <w:r w:rsidR="001D361A">
        <w:rPr>
          <w:rFonts w:eastAsia="MS Mincho"/>
          <w:lang w:eastAsia="ja-JP"/>
        </w:rPr>
        <w:t xml:space="preserve"> </w:t>
      </w:r>
      <w:r w:rsidR="008F24D5">
        <w:rPr>
          <w:rFonts w:eastAsia="MS Mincho"/>
          <w:lang w:eastAsia="ja-JP"/>
        </w:rPr>
        <w:t>Wh</w:t>
      </w:r>
      <w:r>
        <w:t xml:space="preserve">ile the governance environment remains precarious, a procurement arrangement will be put in place that will shield the MOHP against inefficiency and other risks of fraud and corruption. </w:t>
      </w:r>
      <w:r w:rsidR="001D361A">
        <w:t xml:space="preserve"> </w:t>
      </w:r>
      <w:r>
        <w:t xml:space="preserve">Progress in the implementation of the GAAP will be reviewed regularly during the Joint Annual Review. </w:t>
      </w:r>
    </w:p>
    <w:p w:rsidR="00284D6B" w:rsidRPr="003857FE" w:rsidRDefault="00284D6B" w:rsidP="00284D6B">
      <w:pPr>
        <w:pStyle w:val="ListParagraph"/>
        <w:autoSpaceDE w:val="0"/>
        <w:autoSpaceDN w:val="0"/>
        <w:adjustRightInd w:val="0"/>
        <w:ind w:left="0"/>
        <w:jc w:val="both"/>
      </w:pPr>
    </w:p>
    <w:p w:rsidR="00284D6B" w:rsidRDefault="00284D6B" w:rsidP="00331EB7">
      <w:pPr>
        <w:pStyle w:val="ListParagraph"/>
        <w:autoSpaceDE w:val="0"/>
        <w:autoSpaceDN w:val="0"/>
        <w:adjustRightInd w:val="0"/>
        <w:ind w:left="0"/>
        <w:jc w:val="both"/>
      </w:pPr>
      <w:r w:rsidRPr="008F24D5">
        <w:t xml:space="preserve">The project </w:t>
      </w:r>
      <w:r w:rsidR="008F24D5">
        <w:t xml:space="preserve">will </w:t>
      </w:r>
      <w:r w:rsidRPr="008F24D5">
        <w:t>support</w:t>
      </w:r>
      <w:r w:rsidR="008F24D5">
        <w:t xml:space="preserve"> the expansion of</w:t>
      </w:r>
      <w:r w:rsidRPr="008F24D5">
        <w:t xml:space="preserve"> the results focus and results-based mechanisms in the ministry’s program. </w:t>
      </w:r>
      <w:r w:rsidR="001D361A">
        <w:t xml:space="preserve"> </w:t>
      </w:r>
      <w:r>
        <w:t>The project will support MOHP during the first year of implementation of results-oriented programs in three areas: a) the project will introduce an in-kind transfer of fortified food for pregnant women once they present themselves for antenatal care and for children 6-24 months when they are brought for growth monitoring and promotion, in a limited nu</w:t>
      </w:r>
      <w:r w:rsidR="008F24D5">
        <w:t>mber of food insecure districts</w:t>
      </w:r>
      <w:r>
        <w:t xml:space="preserve">; b) the project will make additional resources available </w:t>
      </w:r>
      <w:r w:rsidR="001D361A">
        <w:t>for</w:t>
      </w:r>
      <w:r>
        <w:t xml:space="preserve"> the training and deployment of an additional 2,000 of skilled birth attendants </w:t>
      </w:r>
      <w:r w:rsidR="004903F8">
        <w:t xml:space="preserve">(SBAs) </w:t>
      </w:r>
      <w:r>
        <w:t>in year 1 of the program</w:t>
      </w:r>
      <w:r w:rsidR="004903F8">
        <w:t xml:space="preserve"> and, upon deployment of these SBAs, finance the associated additional recurrent costs</w:t>
      </w:r>
      <w:r>
        <w:t xml:space="preserve">; and c) the project will support the expansion and quality improvement of the ongoing incentive program for health facilities who offer delivery services free of charge to the client.   </w:t>
      </w:r>
    </w:p>
    <w:p w:rsidR="00284D6B" w:rsidRPr="003857FE" w:rsidRDefault="00284D6B" w:rsidP="00284D6B">
      <w:pPr>
        <w:pStyle w:val="ListParagraph"/>
        <w:rPr>
          <w:b/>
        </w:rPr>
      </w:pPr>
    </w:p>
    <w:bookmarkEnd w:id="16"/>
    <w:p w:rsidR="00626C09" w:rsidRDefault="00626C09">
      <w:pPr>
        <w:numPr>
          <w:ilvl w:val="0"/>
          <w:numId w:val="6"/>
        </w:numPr>
        <w:tabs>
          <w:tab w:val="clear" w:pos="720"/>
          <w:tab w:val="num" w:pos="360"/>
        </w:tabs>
        <w:ind w:left="360"/>
        <w:rPr>
          <w:b/>
        </w:rPr>
      </w:pPr>
      <w:r w:rsidRPr="00CE6F99">
        <w:rPr>
          <w:b/>
        </w:rPr>
        <w:t>Financing</w:t>
      </w:r>
    </w:p>
    <w:p w:rsidR="00CE6F99" w:rsidRPr="00CE6F99" w:rsidRDefault="00CE6F99" w:rsidP="00CE6F99">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4313"/>
        <w:gridCol w:w="1746"/>
        <w:gridCol w:w="1754"/>
        <w:gridCol w:w="1763"/>
      </w:tblGrid>
      <w:tr w:rsidR="00284D6B" w:rsidTr="00CE6F99">
        <w:tc>
          <w:tcPr>
            <w:tcW w:w="9576" w:type="dxa"/>
            <w:gridSpan w:val="4"/>
            <w:tcBorders>
              <w:top w:val="single" w:sz="4" w:space="0" w:color="auto"/>
              <w:bottom w:val="single" w:sz="4" w:space="0" w:color="auto"/>
            </w:tcBorders>
            <w:shd w:val="clear" w:color="auto" w:fill="D9D9D9"/>
          </w:tcPr>
          <w:p w:rsidR="00284D6B" w:rsidRDefault="00284D6B" w:rsidP="007C7A63">
            <w:pPr>
              <w:jc w:val="center"/>
              <w:rPr>
                <w:b/>
                <w:bCs/>
              </w:rPr>
            </w:pPr>
            <w:bookmarkStart w:id="17" w:name="FINANCINGTAB_PID"/>
            <w:bookmarkEnd w:id="17"/>
            <w:r>
              <w:rPr>
                <w:b/>
                <w:bCs/>
              </w:rPr>
              <w:t>Project Financing Data</w:t>
            </w:r>
          </w:p>
        </w:tc>
      </w:tr>
      <w:tr w:rsidR="00284D6B" w:rsidTr="00CE6F99">
        <w:tc>
          <w:tcPr>
            <w:tcW w:w="9576" w:type="dxa"/>
            <w:gridSpan w:val="4"/>
            <w:tcBorders>
              <w:top w:val="nil"/>
              <w:bottom w:val="nil"/>
              <w:right w:val="single" w:sz="4" w:space="0" w:color="auto"/>
            </w:tcBorders>
          </w:tcPr>
          <w:p w:rsidR="00284D6B" w:rsidRDefault="00284D6B" w:rsidP="007C7A63">
            <w:r>
              <w:t>Total Bank financing (</w:t>
            </w:r>
            <w:proofErr w:type="spellStart"/>
            <w:r>
              <w:t>US$m</w:t>
            </w:r>
            <w:proofErr w:type="spellEnd"/>
            <w:r>
              <w:t xml:space="preserve">.):  </w:t>
            </w:r>
            <w:bookmarkStart w:id="18" w:name="BANK_FINANCING"/>
            <w:r w:rsidR="006862E9">
              <w:t>115</w:t>
            </w:r>
            <w:r>
              <w:t>.00</w:t>
            </w:r>
            <w:bookmarkEnd w:id="18"/>
          </w:p>
        </w:tc>
      </w:tr>
      <w:tr w:rsidR="00284D6B" w:rsidTr="00CE6F99">
        <w:trPr>
          <w:cantSplit/>
        </w:trPr>
        <w:tc>
          <w:tcPr>
            <w:tcW w:w="9576" w:type="dxa"/>
            <w:gridSpan w:val="4"/>
            <w:tcBorders>
              <w:bottom w:val="single" w:sz="4" w:space="0" w:color="auto"/>
            </w:tcBorders>
            <w:shd w:val="clear" w:color="auto" w:fill="D9D9D9"/>
          </w:tcPr>
          <w:p w:rsidR="00284D6B" w:rsidRDefault="00284D6B" w:rsidP="007C7A63">
            <w:pPr>
              <w:jc w:val="center"/>
              <w:rPr>
                <w:b/>
                <w:bCs/>
              </w:rPr>
            </w:pPr>
            <w:bookmarkStart w:id="19" w:name="PROPOSED_TERMS"/>
            <w:bookmarkEnd w:id="19"/>
            <w:r>
              <w:rPr>
                <w:b/>
                <w:bCs/>
              </w:rPr>
              <w:t>Financing Plan (</w:t>
            </w:r>
            <w:proofErr w:type="spellStart"/>
            <w:r>
              <w:rPr>
                <w:b/>
                <w:bCs/>
              </w:rPr>
              <w:t>US$m</w:t>
            </w:r>
            <w:proofErr w:type="spellEnd"/>
            <w:r>
              <w:rPr>
                <w:b/>
                <w:bCs/>
              </w:rPr>
              <w:t>)</w:t>
            </w:r>
          </w:p>
        </w:tc>
      </w:tr>
      <w:tr w:rsidR="00284D6B" w:rsidTr="00CE6F99">
        <w:tc>
          <w:tcPr>
            <w:tcW w:w="4313" w:type="dxa"/>
            <w:tcBorders>
              <w:bottom w:val="single" w:sz="4" w:space="0" w:color="auto"/>
            </w:tcBorders>
            <w:shd w:val="clear" w:color="auto" w:fill="D9D9D9"/>
          </w:tcPr>
          <w:p w:rsidR="00284D6B" w:rsidRDefault="00284D6B" w:rsidP="007C7A63">
            <w:pPr>
              <w:jc w:val="center"/>
              <w:rPr>
                <w:b/>
                <w:bCs/>
              </w:rPr>
            </w:pPr>
            <w:r>
              <w:rPr>
                <w:b/>
                <w:bCs/>
              </w:rPr>
              <w:t>Source</w:t>
            </w:r>
          </w:p>
        </w:tc>
        <w:tc>
          <w:tcPr>
            <w:tcW w:w="1746" w:type="dxa"/>
            <w:tcBorders>
              <w:bottom w:val="single" w:sz="4" w:space="0" w:color="auto"/>
            </w:tcBorders>
            <w:shd w:val="clear" w:color="auto" w:fill="D9D9D9"/>
          </w:tcPr>
          <w:p w:rsidR="00284D6B" w:rsidRDefault="00284D6B" w:rsidP="007C7A63">
            <w:pPr>
              <w:jc w:val="center"/>
              <w:rPr>
                <w:b/>
                <w:bCs/>
              </w:rPr>
            </w:pPr>
            <w:r>
              <w:rPr>
                <w:b/>
                <w:bCs/>
              </w:rPr>
              <w:t>Local</w:t>
            </w:r>
          </w:p>
        </w:tc>
        <w:tc>
          <w:tcPr>
            <w:tcW w:w="1754" w:type="dxa"/>
            <w:tcBorders>
              <w:bottom w:val="single" w:sz="4" w:space="0" w:color="auto"/>
            </w:tcBorders>
            <w:shd w:val="clear" w:color="auto" w:fill="D9D9D9"/>
          </w:tcPr>
          <w:p w:rsidR="00284D6B" w:rsidRDefault="00284D6B" w:rsidP="007C7A63">
            <w:pPr>
              <w:jc w:val="center"/>
              <w:rPr>
                <w:b/>
                <w:bCs/>
              </w:rPr>
            </w:pPr>
            <w:r>
              <w:rPr>
                <w:b/>
                <w:bCs/>
              </w:rPr>
              <w:t>Foreign</w:t>
            </w:r>
          </w:p>
        </w:tc>
        <w:tc>
          <w:tcPr>
            <w:tcW w:w="1763" w:type="dxa"/>
            <w:tcBorders>
              <w:bottom w:val="single" w:sz="4" w:space="0" w:color="auto"/>
            </w:tcBorders>
            <w:shd w:val="clear" w:color="auto" w:fill="D9D9D9"/>
          </w:tcPr>
          <w:p w:rsidR="00284D6B" w:rsidRDefault="00284D6B" w:rsidP="007C7A63">
            <w:pPr>
              <w:jc w:val="center"/>
              <w:rPr>
                <w:b/>
                <w:bCs/>
              </w:rPr>
            </w:pPr>
            <w:r>
              <w:rPr>
                <w:b/>
                <w:bCs/>
              </w:rPr>
              <w:t>Total</w:t>
            </w:r>
          </w:p>
        </w:tc>
      </w:tr>
      <w:tr w:rsidR="00284D6B" w:rsidTr="00CE6F99">
        <w:trPr>
          <w:trHeight w:val="197"/>
        </w:trPr>
        <w:tc>
          <w:tcPr>
            <w:tcW w:w="4313" w:type="dxa"/>
            <w:tcBorders>
              <w:top w:val="single" w:sz="4" w:space="0" w:color="auto"/>
              <w:left w:val="single" w:sz="4" w:space="0" w:color="auto"/>
              <w:bottom w:val="nil"/>
              <w:right w:val="single" w:sz="4" w:space="0" w:color="auto"/>
            </w:tcBorders>
          </w:tcPr>
          <w:p w:rsidR="00284D6B" w:rsidRDefault="00284D6B" w:rsidP="007C7A63">
            <w:r>
              <w:t>BORROWER/RECIPIENT</w:t>
            </w:r>
          </w:p>
        </w:tc>
        <w:tc>
          <w:tcPr>
            <w:tcW w:w="1746" w:type="dxa"/>
            <w:tcBorders>
              <w:top w:val="single" w:sz="4" w:space="0" w:color="auto"/>
              <w:left w:val="single" w:sz="4" w:space="0" w:color="auto"/>
              <w:bottom w:val="single" w:sz="4" w:space="0" w:color="auto"/>
              <w:right w:val="single" w:sz="4" w:space="0" w:color="auto"/>
            </w:tcBorders>
          </w:tcPr>
          <w:p w:rsidR="00284D6B" w:rsidRDefault="00284D6B" w:rsidP="007C7A63">
            <w:pPr>
              <w:tabs>
                <w:tab w:val="decimal" w:pos="607"/>
              </w:tabs>
            </w:pPr>
            <w:r>
              <w:t xml:space="preserve">       489.8</w:t>
            </w:r>
          </w:p>
        </w:tc>
        <w:tc>
          <w:tcPr>
            <w:tcW w:w="1754" w:type="dxa"/>
            <w:tcBorders>
              <w:top w:val="single" w:sz="4" w:space="0" w:color="auto"/>
              <w:left w:val="single" w:sz="4" w:space="0" w:color="auto"/>
              <w:bottom w:val="single" w:sz="4" w:space="0" w:color="auto"/>
              <w:right w:val="single" w:sz="4" w:space="0" w:color="auto"/>
            </w:tcBorders>
          </w:tcPr>
          <w:p w:rsidR="00284D6B" w:rsidRDefault="00284D6B" w:rsidP="007C7A63">
            <w:pPr>
              <w:tabs>
                <w:tab w:val="decimal" w:pos="607"/>
              </w:tabs>
            </w:pPr>
            <w:r>
              <w:t xml:space="preserve">           0.00</w:t>
            </w:r>
          </w:p>
        </w:tc>
        <w:tc>
          <w:tcPr>
            <w:tcW w:w="1763" w:type="dxa"/>
            <w:tcBorders>
              <w:top w:val="single" w:sz="4" w:space="0" w:color="auto"/>
              <w:left w:val="single" w:sz="4" w:space="0" w:color="auto"/>
              <w:bottom w:val="nil"/>
              <w:right w:val="single" w:sz="4" w:space="0" w:color="auto"/>
            </w:tcBorders>
          </w:tcPr>
          <w:p w:rsidR="00284D6B" w:rsidRDefault="00284D6B" w:rsidP="007C7A63">
            <w:pPr>
              <w:tabs>
                <w:tab w:val="decimal" w:pos="607"/>
              </w:tabs>
            </w:pPr>
            <w:r>
              <w:t xml:space="preserve">       489.80</w:t>
            </w:r>
          </w:p>
        </w:tc>
      </w:tr>
      <w:tr w:rsidR="00284D6B" w:rsidTr="00CE6F99">
        <w:trPr>
          <w:trHeight w:val="197"/>
        </w:trPr>
        <w:tc>
          <w:tcPr>
            <w:tcW w:w="4313" w:type="dxa"/>
            <w:tcBorders>
              <w:top w:val="single" w:sz="4" w:space="0" w:color="auto"/>
              <w:left w:val="single" w:sz="4" w:space="0" w:color="auto"/>
              <w:bottom w:val="nil"/>
              <w:right w:val="single" w:sz="4" w:space="0" w:color="auto"/>
            </w:tcBorders>
          </w:tcPr>
          <w:p w:rsidR="00284D6B" w:rsidRDefault="00284D6B" w:rsidP="007C7A63">
            <w:r>
              <w:t>International Development Association (IDA) Credit</w:t>
            </w:r>
          </w:p>
        </w:tc>
        <w:tc>
          <w:tcPr>
            <w:tcW w:w="1746" w:type="dxa"/>
            <w:tcBorders>
              <w:top w:val="single" w:sz="4" w:space="0" w:color="auto"/>
              <w:left w:val="single" w:sz="4" w:space="0" w:color="auto"/>
              <w:bottom w:val="single" w:sz="4" w:space="0" w:color="auto"/>
              <w:right w:val="single" w:sz="4" w:space="0" w:color="auto"/>
            </w:tcBorders>
          </w:tcPr>
          <w:p w:rsidR="00284D6B" w:rsidRDefault="006862E9" w:rsidP="007C7A63">
            <w:pPr>
              <w:jc w:val="center"/>
              <w:rPr>
                <w:color w:val="000000"/>
              </w:rPr>
            </w:pPr>
            <w:r>
              <w:rPr>
                <w:color w:val="000000"/>
              </w:rPr>
              <w:t>38</w:t>
            </w:r>
            <w:r w:rsidR="00284D6B">
              <w:rPr>
                <w:color w:val="000000"/>
              </w:rPr>
              <w:t>.</w:t>
            </w:r>
            <w:r>
              <w:rPr>
                <w:color w:val="000000"/>
              </w:rPr>
              <w:t>12</w:t>
            </w:r>
          </w:p>
        </w:tc>
        <w:tc>
          <w:tcPr>
            <w:tcW w:w="1754"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1</w:t>
            </w:r>
            <w:r w:rsidR="006862E9">
              <w:rPr>
                <w:color w:val="000000"/>
              </w:rPr>
              <w:t>1.39</w:t>
            </w:r>
          </w:p>
        </w:tc>
        <w:tc>
          <w:tcPr>
            <w:tcW w:w="1763" w:type="dxa"/>
            <w:tcBorders>
              <w:top w:val="single" w:sz="4" w:space="0" w:color="auto"/>
              <w:left w:val="single" w:sz="4" w:space="0" w:color="auto"/>
              <w:bottom w:val="nil"/>
              <w:right w:val="single" w:sz="4" w:space="0" w:color="auto"/>
            </w:tcBorders>
          </w:tcPr>
          <w:p w:rsidR="00284D6B" w:rsidRDefault="00284D6B" w:rsidP="007C7A63">
            <w:pPr>
              <w:jc w:val="center"/>
              <w:rPr>
                <w:color w:val="000000"/>
              </w:rPr>
            </w:pPr>
            <w:r>
              <w:rPr>
                <w:color w:val="000000"/>
              </w:rPr>
              <w:t>4</w:t>
            </w:r>
            <w:r w:rsidR="006862E9">
              <w:rPr>
                <w:color w:val="000000"/>
              </w:rPr>
              <w:t>9.50</w:t>
            </w:r>
          </w:p>
        </w:tc>
      </w:tr>
      <w:tr w:rsidR="00284D6B" w:rsidTr="00CE6F99">
        <w:trPr>
          <w:trHeight w:val="197"/>
        </w:trPr>
        <w:tc>
          <w:tcPr>
            <w:tcW w:w="4313" w:type="dxa"/>
            <w:tcBorders>
              <w:top w:val="single" w:sz="4" w:space="0" w:color="auto"/>
              <w:left w:val="single" w:sz="4" w:space="0" w:color="auto"/>
              <w:bottom w:val="nil"/>
              <w:right w:val="single" w:sz="4" w:space="0" w:color="auto"/>
            </w:tcBorders>
          </w:tcPr>
          <w:p w:rsidR="00284D6B" w:rsidRDefault="00284D6B" w:rsidP="007C7A63">
            <w:r>
              <w:t>IDA Grant</w:t>
            </w:r>
          </w:p>
        </w:tc>
        <w:tc>
          <w:tcPr>
            <w:tcW w:w="1746" w:type="dxa"/>
            <w:tcBorders>
              <w:top w:val="single" w:sz="4" w:space="0" w:color="auto"/>
              <w:left w:val="single" w:sz="4" w:space="0" w:color="auto"/>
              <w:bottom w:val="single" w:sz="4" w:space="0" w:color="auto"/>
              <w:right w:val="single" w:sz="4" w:space="0" w:color="auto"/>
            </w:tcBorders>
          </w:tcPr>
          <w:p w:rsidR="00284D6B" w:rsidRDefault="006862E9" w:rsidP="006862E9">
            <w:pPr>
              <w:jc w:val="center"/>
              <w:rPr>
                <w:color w:val="000000"/>
              </w:rPr>
            </w:pPr>
            <w:r>
              <w:rPr>
                <w:color w:val="000000"/>
              </w:rPr>
              <w:t>31.19</w:t>
            </w:r>
          </w:p>
        </w:tc>
        <w:tc>
          <w:tcPr>
            <w:tcW w:w="1754" w:type="dxa"/>
            <w:tcBorders>
              <w:top w:val="single" w:sz="4" w:space="0" w:color="auto"/>
              <w:left w:val="single" w:sz="4" w:space="0" w:color="auto"/>
              <w:bottom w:val="single" w:sz="4" w:space="0" w:color="auto"/>
              <w:right w:val="single" w:sz="4" w:space="0" w:color="auto"/>
            </w:tcBorders>
          </w:tcPr>
          <w:p w:rsidR="00284D6B" w:rsidRDefault="006862E9" w:rsidP="007C7A63">
            <w:pPr>
              <w:jc w:val="center"/>
              <w:rPr>
                <w:color w:val="000000"/>
              </w:rPr>
            </w:pPr>
            <w:r>
              <w:rPr>
                <w:color w:val="000000"/>
              </w:rPr>
              <w:t>9.32</w:t>
            </w:r>
          </w:p>
        </w:tc>
        <w:tc>
          <w:tcPr>
            <w:tcW w:w="1763" w:type="dxa"/>
            <w:tcBorders>
              <w:top w:val="single" w:sz="4" w:space="0" w:color="auto"/>
              <w:left w:val="single" w:sz="4" w:space="0" w:color="auto"/>
              <w:bottom w:val="nil"/>
              <w:right w:val="single" w:sz="4" w:space="0" w:color="auto"/>
            </w:tcBorders>
          </w:tcPr>
          <w:p w:rsidR="00284D6B" w:rsidRDefault="006862E9" w:rsidP="007C7A63">
            <w:pPr>
              <w:jc w:val="center"/>
              <w:rPr>
                <w:color w:val="000000"/>
              </w:rPr>
            </w:pPr>
            <w:r>
              <w:rPr>
                <w:color w:val="000000"/>
              </w:rPr>
              <w:t>40.50</w:t>
            </w:r>
          </w:p>
        </w:tc>
      </w:tr>
      <w:tr w:rsidR="00284D6B" w:rsidTr="00CE6F99">
        <w:trPr>
          <w:trHeight w:val="197"/>
        </w:trPr>
        <w:tc>
          <w:tcPr>
            <w:tcW w:w="4313" w:type="dxa"/>
            <w:tcBorders>
              <w:top w:val="single" w:sz="4" w:space="0" w:color="auto"/>
              <w:left w:val="single" w:sz="4" w:space="0" w:color="auto"/>
              <w:bottom w:val="nil"/>
              <w:right w:val="single" w:sz="4" w:space="0" w:color="auto"/>
            </w:tcBorders>
          </w:tcPr>
          <w:p w:rsidR="00284D6B" w:rsidRDefault="00284D6B" w:rsidP="007C7A63">
            <w:r>
              <w:t>IDA (Crises Response Window) Credit</w:t>
            </w:r>
          </w:p>
        </w:tc>
        <w:tc>
          <w:tcPr>
            <w:tcW w:w="1746"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10.59</w:t>
            </w:r>
          </w:p>
        </w:tc>
        <w:tc>
          <w:tcPr>
            <w:tcW w:w="1754"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3.16</w:t>
            </w:r>
          </w:p>
        </w:tc>
        <w:tc>
          <w:tcPr>
            <w:tcW w:w="1763" w:type="dxa"/>
            <w:tcBorders>
              <w:top w:val="single" w:sz="4" w:space="0" w:color="auto"/>
              <w:left w:val="single" w:sz="4" w:space="0" w:color="auto"/>
              <w:bottom w:val="nil"/>
              <w:right w:val="single" w:sz="4" w:space="0" w:color="auto"/>
            </w:tcBorders>
          </w:tcPr>
          <w:p w:rsidR="00284D6B" w:rsidRDefault="00284D6B" w:rsidP="007C7A63">
            <w:pPr>
              <w:jc w:val="center"/>
              <w:rPr>
                <w:color w:val="000000"/>
              </w:rPr>
            </w:pPr>
            <w:r>
              <w:rPr>
                <w:color w:val="000000"/>
              </w:rPr>
              <w:t>13.75</w:t>
            </w:r>
          </w:p>
        </w:tc>
      </w:tr>
      <w:tr w:rsidR="00284D6B" w:rsidTr="00CE6F99">
        <w:trPr>
          <w:trHeight w:val="197"/>
        </w:trPr>
        <w:tc>
          <w:tcPr>
            <w:tcW w:w="4313" w:type="dxa"/>
            <w:tcBorders>
              <w:top w:val="single" w:sz="4" w:space="0" w:color="auto"/>
              <w:left w:val="single" w:sz="4" w:space="0" w:color="auto"/>
              <w:bottom w:val="nil"/>
              <w:right w:val="single" w:sz="4" w:space="0" w:color="auto"/>
            </w:tcBorders>
          </w:tcPr>
          <w:p w:rsidR="00284D6B" w:rsidRDefault="00284D6B" w:rsidP="007C7A63">
            <w:r>
              <w:t>IDA (Crises Response Window) Grant</w:t>
            </w:r>
          </w:p>
        </w:tc>
        <w:tc>
          <w:tcPr>
            <w:tcW w:w="1746"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8.66</w:t>
            </w:r>
          </w:p>
        </w:tc>
        <w:tc>
          <w:tcPr>
            <w:tcW w:w="1754"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2.59</w:t>
            </w:r>
          </w:p>
        </w:tc>
        <w:tc>
          <w:tcPr>
            <w:tcW w:w="1763" w:type="dxa"/>
            <w:tcBorders>
              <w:top w:val="single" w:sz="4" w:space="0" w:color="auto"/>
              <w:left w:val="single" w:sz="4" w:space="0" w:color="auto"/>
              <w:bottom w:val="nil"/>
              <w:right w:val="single" w:sz="4" w:space="0" w:color="auto"/>
            </w:tcBorders>
          </w:tcPr>
          <w:p w:rsidR="00284D6B" w:rsidRDefault="00284D6B" w:rsidP="007C7A63">
            <w:pPr>
              <w:jc w:val="center"/>
              <w:rPr>
                <w:color w:val="000000"/>
              </w:rPr>
            </w:pPr>
            <w:r>
              <w:rPr>
                <w:color w:val="000000"/>
              </w:rPr>
              <w:t>11.25</w:t>
            </w:r>
          </w:p>
        </w:tc>
      </w:tr>
      <w:tr w:rsidR="00284D6B" w:rsidTr="00CE6F99">
        <w:trPr>
          <w:trHeight w:val="197"/>
        </w:trPr>
        <w:tc>
          <w:tcPr>
            <w:tcW w:w="4313" w:type="dxa"/>
            <w:tcBorders>
              <w:top w:val="single" w:sz="4" w:space="0" w:color="auto"/>
              <w:left w:val="single" w:sz="4" w:space="0" w:color="auto"/>
              <w:bottom w:val="nil"/>
              <w:right w:val="single" w:sz="4" w:space="0" w:color="auto"/>
            </w:tcBorders>
          </w:tcPr>
          <w:p w:rsidR="00284D6B" w:rsidRDefault="00284D6B" w:rsidP="007C7A63">
            <w:r>
              <w:t>AUSTRALIA: Australian Agency for International Development</w:t>
            </w:r>
          </w:p>
        </w:tc>
        <w:tc>
          <w:tcPr>
            <w:tcW w:w="1746"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23.1</w:t>
            </w:r>
          </w:p>
        </w:tc>
        <w:tc>
          <w:tcPr>
            <w:tcW w:w="1754"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6.9</w:t>
            </w:r>
          </w:p>
        </w:tc>
        <w:tc>
          <w:tcPr>
            <w:tcW w:w="1763" w:type="dxa"/>
            <w:tcBorders>
              <w:top w:val="single" w:sz="4" w:space="0" w:color="auto"/>
              <w:left w:val="single" w:sz="4" w:space="0" w:color="auto"/>
              <w:bottom w:val="nil"/>
              <w:right w:val="single" w:sz="4" w:space="0" w:color="auto"/>
            </w:tcBorders>
          </w:tcPr>
          <w:p w:rsidR="00284D6B" w:rsidRDefault="00284D6B" w:rsidP="007C7A63">
            <w:pPr>
              <w:jc w:val="center"/>
              <w:rPr>
                <w:color w:val="000000"/>
              </w:rPr>
            </w:pPr>
            <w:r>
              <w:rPr>
                <w:color w:val="000000"/>
              </w:rPr>
              <w:t>30.00</w:t>
            </w:r>
          </w:p>
        </w:tc>
      </w:tr>
      <w:tr w:rsidR="00284D6B" w:rsidTr="00CE6F99">
        <w:trPr>
          <w:trHeight w:val="197"/>
        </w:trPr>
        <w:tc>
          <w:tcPr>
            <w:tcW w:w="4313" w:type="dxa"/>
            <w:tcBorders>
              <w:top w:val="single" w:sz="4" w:space="0" w:color="auto"/>
              <w:left w:val="single" w:sz="4" w:space="0" w:color="auto"/>
              <w:bottom w:val="nil"/>
              <w:right w:val="single" w:sz="4" w:space="0" w:color="auto"/>
            </w:tcBorders>
          </w:tcPr>
          <w:p w:rsidR="00284D6B" w:rsidRDefault="00284D6B" w:rsidP="007C7A63">
            <w:r>
              <w:t>UK: British Department for International Development (DFID)</w:t>
            </w:r>
          </w:p>
        </w:tc>
        <w:tc>
          <w:tcPr>
            <w:tcW w:w="1746"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61.6</w:t>
            </w:r>
          </w:p>
        </w:tc>
        <w:tc>
          <w:tcPr>
            <w:tcW w:w="1754"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18.4</w:t>
            </w:r>
          </w:p>
        </w:tc>
        <w:tc>
          <w:tcPr>
            <w:tcW w:w="1763" w:type="dxa"/>
            <w:tcBorders>
              <w:top w:val="single" w:sz="4" w:space="0" w:color="auto"/>
              <w:left w:val="single" w:sz="4" w:space="0" w:color="auto"/>
              <w:bottom w:val="nil"/>
              <w:right w:val="single" w:sz="4" w:space="0" w:color="auto"/>
            </w:tcBorders>
          </w:tcPr>
          <w:p w:rsidR="00284D6B" w:rsidRDefault="00284D6B" w:rsidP="007C7A63">
            <w:pPr>
              <w:jc w:val="center"/>
              <w:rPr>
                <w:color w:val="000000"/>
              </w:rPr>
            </w:pPr>
            <w:r>
              <w:rPr>
                <w:color w:val="000000"/>
              </w:rPr>
              <w:t>80.00</w:t>
            </w:r>
          </w:p>
        </w:tc>
      </w:tr>
      <w:tr w:rsidR="00284D6B" w:rsidTr="00CE6F99">
        <w:trPr>
          <w:trHeight w:val="197"/>
        </w:trPr>
        <w:tc>
          <w:tcPr>
            <w:tcW w:w="4313" w:type="dxa"/>
            <w:tcBorders>
              <w:top w:val="single" w:sz="4" w:space="0" w:color="auto"/>
              <w:left w:val="single" w:sz="4" w:space="0" w:color="auto"/>
              <w:bottom w:val="nil"/>
              <w:right w:val="single" w:sz="4" w:space="0" w:color="auto"/>
            </w:tcBorders>
          </w:tcPr>
          <w:p w:rsidR="00284D6B" w:rsidRDefault="00284D6B" w:rsidP="007C7A63">
            <w:r>
              <w:lastRenderedPageBreak/>
              <w:t>Bilateral Agencies/Other sources (unidentified)</w:t>
            </w:r>
          </w:p>
        </w:tc>
        <w:tc>
          <w:tcPr>
            <w:tcW w:w="1746" w:type="dxa"/>
            <w:tcBorders>
              <w:top w:val="single" w:sz="4" w:space="0" w:color="auto"/>
              <w:left w:val="single" w:sz="4" w:space="0" w:color="auto"/>
              <w:bottom w:val="single" w:sz="4" w:space="0" w:color="auto"/>
              <w:right w:val="single" w:sz="4" w:space="0" w:color="auto"/>
            </w:tcBorders>
          </w:tcPr>
          <w:p w:rsidR="00284D6B" w:rsidRDefault="006862E9" w:rsidP="007C7A63">
            <w:pPr>
              <w:jc w:val="center"/>
              <w:rPr>
                <w:color w:val="000000"/>
              </w:rPr>
            </w:pPr>
            <w:r>
              <w:rPr>
                <w:color w:val="000000"/>
              </w:rPr>
              <w:t>812</w:t>
            </w:r>
            <w:r w:rsidR="00284D6B">
              <w:rPr>
                <w:color w:val="000000"/>
              </w:rPr>
              <w:t>.53</w:t>
            </w:r>
          </w:p>
        </w:tc>
        <w:tc>
          <w:tcPr>
            <w:tcW w:w="1754" w:type="dxa"/>
            <w:tcBorders>
              <w:top w:val="single" w:sz="4" w:space="0" w:color="auto"/>
              <w:left w:val="single" w:sz="4" w:space="0" w:color="auto"/>
              <w:bottom w:val="single" w:sz="4" w:space="0" w:color="auto"/>
              <w:right w:val="single" w:sz="4" w:space="0" w:color="auto"/>
            </w:tcBorders>
          </w:tcPr>
          <w:p w:rsidR="00284D6B" w:rsidRDefault="00284D6B" w:rsidP="007C7A63">
            <w:pPr>
              <w:jc w:val="center"/>
              <w:rPr>
                <w:color w:val="000000"/>
              </w:rPr>
            </w:pPr>
            <w:r>
              <w:rPr>
                <w:color w:val="000000"/>
              </w:rPr>
              <w:t>0.00</w:t>
            </w:r>
          </w:p>
        </w:tc>
        <w:tc>
          <w:tcPr>
            <w:tcW w:w="1763" w:type="dxa"/>
            <w:tcBorders>
              <w:top w:val="single" w:sz="4" w:space="0" w:color="auto"/>
              <w:left w:val="single" w:sz="4" w:space="0" w:color="auto"/>
              <w:bottom w:val="nil"/>
              <w:right w:val="single" w:sz="4" w:space="0" w:color="auto"/>
            </w:tcBorders>
          </w:tcPr>
          <w:p w:rsidR="00284D6B" w:rsidRDefault="006862E9" w:rsidP="007C7A63">
            <w:pPr>
              <w:jc w:val="center"/>
              <w:rPr>
                <w:color w:val="000000"/>
              </w:rPr>
            </w:pPr>
            <w:r>
              <w:rPr>
                <w:color w:val="000000"/>
              </w:rPr>
              <w:t>812</w:t>
            </w:r>
            <w:r w:rsidR="00284D6B">
              <w:rPr>
                <w:color w:val="000000"/>
              </w:rPr>
              <w:t>.53</w:t>
            </w:r>
          </w:p>
        </w:tc>
      </w:tr>
      <w:tr w:rsidR="00284D6B" w:rsidTr="00CE6F99">
        <w:trPr>
          <w:trHeight w:val="197"/>
        </w:trPr>
        <w:tc>
          <w:tcPr>
            <w:tcW w:w="4313" w:type="dxa"/>
            <w:tcBorders>
              <w:top w:val="single" w:sz="4" w:space="0" w:color="auto"/>
              <w:left w:val="single" w:sz="4" w:space="0" w:color="auto"/>
              <w:bottom w:val="nil"/>
              <w:right w:val="single" w:sz="4" w:space="0" w:color="auto"/>
            </w:tcBorders>
          </w:tcPr>
          <w:p w:rsidR="00284D6B" w:rsidRDefault="00284D6B" w:rsidP="007C7A63">
            <w:bookmarkStart w:id="20" w:name="FINANCINGTAB"/>
            <w:bookmarkEnd w:id="20"/>
            <w:r>
              <w:t>Total:</w:t>
            </w:r>
          </w:p>
        </w:tc>
        <w:tc>
          <w:tcPr>
            <w:tcW w:w="1746" w:type="dxa"/>
            <w:tcBorders>
              <w:top w:val="single" w:sz="4" w:space="0" w:color="auto"/>
              <w:left w:val="single" w:sz="4" w:space="0" w:color="auto"/>
              <w:bottom w:val="single" w:sz="4" w:space="0" w:color="auto"/>
              <w:right w:val="single" w:sz="4" w:space="0" w:color="auto"/>
            </w:tcBorders>
          </w:tcPr>
          <w:p w:rsidR="00284D6B" w:rsidRDefault="00284D6B" w:rsidP="007C7A63">
            <w:pPr>
              <w:tabs>
                <w:tab w:val="decimal" w:pos="607"/>
              </w:tabs>
              <w:jc w:val="center"/>
            </w:pPr>
            <w:r>
              <w:t>1,476.73</w:t>
            </w:r>
          </w:p>
        </w:tc>
        <w:tc>
          <w:tcPr>
            <w:tcW w:w="1754" w:type="dxa"/>
            <w:tcBorders>
              <w:top w:val="single" w:sz="4" w:space="0" w:color="auto"/>
              <w:left w:val="single" w:sz="4" w:space="0" w:color="auto"/>
              <w:bottom w:val="single" w:sz="4" w:space="0" w:color="auto"/>
              <w:right w:val="single" w:sz="4" w:space="0" w:color="auto"/>
            </w:tcBorders>
          </w:tcPr>
          <w:p w:rsidR="00284D6B" w:rsidRDefault="006862E9" w:rsidP="007C7A63">
            <w:pPr>
              <w:tabs>
                <w:tab w:val="decimal" w:pos="607"/>
              </w:tabs>
            </w:pPr>
            <w:r>
              <w:t xml:space="preserve">   51</w:t>
            </w:r>
            <w:r w:rsidR="00284D6B">
              <w:t>.</w:t>
            </w:r>
            <w:r>
              <w:t>76</w:t>
            </w:r>
          </w:p>
        </w:tc>
        <w:tc>
          <w:tcPr>
            <w:tcW w:w="1763" w:type="dxa"/>
            <w:tcBorders>
              <w:top w:val="single" w:sz="4" w:space="0" w:color="auto"/>
              <w:left w:val="single" w:sz="4" w:space="0" w:color="auto"/>
              <w:bottom w:val="nil"/>
              <w:right w:val="single" w:sz="4" w:space="0" w:color="auto"/>
            </w:tcBorders>
          </w:tcPr>
          <w:p w:rsidR="00284D6B" w:rsidRDefault="00284D6B" w:rsidP="007C7A63">
            <w:pPr>
              <w:tabs>
                <w:tab w:val="decimal" w:pos="607"/>
              </w:tabs>
              <w:jc w:val="center"/>
            </w:pPr>
            <w:r>
              <w:t>1,527.33</w:t>
            </w:r>
          </w:p>
        </w:tc>
      </w:tr>
      <w:tr w:rsidR="00284D6B" w:rsidTr="00CE6F99">
        <w:trPr>
          <w:trHeight w:hRule="exact" w:val="20"/>
        </w:trPr>
        <w:tc>
          <w:tcPr>
            <w:tcW w:w="9576" w:type="dxa"/>
            <w:gridSpan w:val="4"/>
            <w:tcBorders>
              <w:top w:val="nil"/>
              <w:bottom w:val="single" w:sz="4" w:space="0" w:color="auto"/>
            </w:tcBorders>
          </w:tcPr>
          <w:p w:rsidR="00284D6B" w:rsidRDefault="00284D6B" w:rsidP="007C7A63"/>
        </w:tc>
      </w:tr>
    </w:tbl>
    <w:p w:rsidR="00626C09" w:rsidRDefault="00626C09"/>
    <w:p w:rsidR="00626C09" w:rsidRDefault="00626C09">
      <w:pPr>
        <w:numPr>
          <w:ilvl w:val="0"/>
          <w:numId w:val="6"/>
        </w:numPr>
        <w:tabs>
          <w:tab w:val="clear" w:pos="720"/>
          <w:tab w:val="num" w:pos="360"/>
        </w:tabs>
        <w:ind w:left="360"/>
        <w:rPr>
          <w:b/>
        </w:rPr>
      </w:pPr>
      <w:r w:rsidRPr="00CE6F99">
        <w:rPr>
          <w:b/>
        </w:rPr>
        <w:t>Implementation</w:t>
      </w:r>
      <w:bookmarkStart w:id="21" w:name="Implementation"/>
    </w:p>
    <w:p w:rsidR="00782724" w:rsidRDefault="00782724" w:rsidP="00782724">
      <w:pPr>
        <w:autoSpaceDE w:val="0"/>
        <w:autoSpaceDN w:val="0"/>
        <w:adjustRightInd w:val="0"/>
        <w:jc w:val="both"/>
        <w:rPr>
          <w:b/>
        </w:rPr>
      </w:pPr>
    </w:p>
    <w:p w:rsidR="008F4698" w:rsidRDefault="008F4698" w:rsidP="00782724">
      <w:pPr>
        <w:autoSpaceDE w:val="0"/>
        <w:autoSpaceDN w:val="0"/>
        <w:adjustRightInd w:val="0"/>
        <w:jc w:val="both"/>
      </w:pPr>
      <w:r w:rsidRPr="008F4698">
        <w:t xml:space="preserve">Three development partners, IDA, </w:t>
      </w:r>
      <w:proofErr w:type="spellStart"/>
      <w:r w:rsidRPr="008F4698">
        <w:t>DfID</w:t>
      </w:r>
      <w:proofErr w:type="spellEnd"/>
      <w:r w:rsidRPr="008F4698">
        <w:t xml:space="preserve"> and </w:t>
      </w:r>
      <w:proofErr w:type="spellStart"/>
      <w:r w:rsidRPr="008F4698">
        <w:t>AusAID</w:t>
      </w:r>
      <w:proofErr w:type="spellEnd"/>
      <w:r w:rsidRPr="008F4698">
        <w:t xml:space="preserve">, have agreed to pool financing which will be disbursed against the MOHP annual work plan and budget. </w:t>
      </w:r>
      <w:r w:rsidR="001D361A">
        <w:t xml:space="preserve"> </w:t>
      </w:r>
      <w:r w:rsidRPr="008F4698">
        <w:t xml:space="preserve">Development partners who are involved in the </w:t>
      </w:r>
      <w:proofErr w:type="spellStart"/>
      <w:r w:rsidRPr="008F4698">
        <w:t>SWAp</w:t>
      </w:r>
      <w:proofErr w:type="spellEnd"/>
      <w:r w:rsidRPr="008F4698">
        <w:t xml:space="preserve"> arrangement but</w:t>
      </w:r>
      <w:r w:rsidRPr="005B22ED">
        <w:t xml:space="preserve"> who do not pool their funding provide technical and/or financial assistance to the implementation of the annual </w:t>
      </w:r>
      <w:r>
        <w:t>work plan</w:t>
      </w:r>
      <w:r w:rsidRPr="005B22ED">
        <w:t xml:space="preserve"> and budget. </w:t>
      </w:r>
      <w:r w:rsidR="001D361A">
        <w:t xml:space="preserve"> </w:t>
      </w:r>
      <w:r w:rsidRPr="005B22ED">
        <w:t>Detailed arrangements for disbursing, managing and reporting upon the use of</w:t>
      </w:r>
      <w:r>
        <w:t xml:space="preserve"> the</w:t>
      </w:r>
      <w:r w:rsidRPr="005B22ED">
        <w:t xml:space="preserve"> pooled</w:t>
      </w:r>
      <w:r>
        <w:t xml:space="preserve"> funds</w:t>
      </w:r>
      <w:r w:rsidRPr="005B22ED">
        <w:t xml:space="preserve"> are described in a </w:t>
      </w:r>
      <w:r>
        <w:t>J</w:t>
      </w:r>
      <w:r w:rsidRPr="005B22ED">
        <w:t xml:space="preserve">oint </w:t>
      </w:r>
      <w:r>
        <w:t>Financing A</w:t>
      </w:r>
      <w:r w:rsidRPr="005B22ED">
        <w:t>rrangement</w:t>
      </w:r>
      <w:r>
        <w:t xml:space="preserve"> (JFA)</w:t>
      </w:r>
      <w:r w:rsidRPr="005B22ED">
        <w:t xml:space="preserve"> which has been agreed between the </w:t>
      </w:r>
      <w:proofErr w:type="spellStart"/>
      <w:r>
        <w:t>GoN</w:t>
      </w:r>
      <w:proofErr w:type="spellEnd"/>
      <w:r w:rsidRPr="005B22ED">
        <w:t xml:space="preserve"> and the three pooled funding partners.  </w:t>
      </w:r>
    </w:p>
    <w:p w:rsidR="008F4698" w:rsidRDefault="008F4698" w:rsidP="00782724">
      <w:pPr>
        <w:autoSpaceDE w:val="0"/>
        <w:autoSpaceDN w:val="0"/>
        <w:adjustRightInd w:val="0"/>
        <w:jc w:val="both"/>
      </w:pPr>
    </w:p>
    <w:p w:rsidR="00782724" w:rsidRDefault="00782724" w:rsidP="00782724">
      <w:pPr>
        <w:autoSpaceDE w:val="0"/>
        <w:autoSpaceDN w:val="0"/>
        <w:adjustRightInd w:val="0"/>
        <w:jc w:val="both"/>
      </w:pPr>
      <w:r w:rsidRPr="00782724">
        <w:t xml:space="preserve">The project supports the sector program developed by the government and implemented by the MOHP with its existing structures. </w:t>
      </w:r>
      <w:r w:rsidR="001D361A">
        <w:t xml:space="preserve"> </w:t>
      </w:r>
      <w:r w:rsidRPr="00782724">
        <w:t>The government is responsible for the implementation of the program and will take the lead in areas that require the collaboration of other ministries for successful implementation.</w:t>
      </w:r>
      <w:r>
        <w:t xml:space="preserve"> </w:t>
      </w:r>
      <w:r w:rsidR="001D361A">
        <w:t xml:space="preserve"> </w:t>
      </w:r>
      <w:r>
        <w:t>The MOHP takes the overall responsibility for implementation. Internationally recruited technical assistance (TA) will advise the Ministry in the implementation of the sector program.</w:t>
      </w:r>
      <w:r w:rsidRPr="00A44803">
        <w:t> </w:t>
      </w:r>
      <w:r w:rsidR="001D361A">
        <w:t xml:space="preserve"> </w:t>
      </w:r>
      <w:r w:rsidRPr="00A44803">
        <w:t>On behalf of the pool</w:t>
      </w:r>
      <w:r>
        <w:t>ed funding partners</w:t>
      </w:r>
      <w:r w:rsidRPr="00A44803">
        <w:t xml:space="preserve">, </w:t>
      </w:r>
      <w:proofErr w:type="spellStart"/>
      <w:r>
        <w:t>DfID</w:t>
      </w:r>
      <w:proofErr w:type="spellEnd"/>
      <w:r>
        <w:t xml:space="preserve"> </w:t>
      </w:r>
      <w:r w:rsidRPr="00A44803">
        <w:t>will procure the TA following a consultation process</w:t>
      </w:r>
      <w:r>
        <w:t xml:space="preserve"> with MOHP</w:t>
      </w:r>
      <w:r w:rsidRPr="00A44803">
        <w:t xml:space="preserve">. </w:t>
      </w:r>
    </w:p>
    <w:p w:rsidR="00782724" w:rsidRPr="00CE6F99" w:rsidRDefault="00782724" w:rsidP="00782724">
      <w:pPr>
        <w:rPr>
          <w:b/>
        </w:rPr>
      </w:pPr>
    </w:p>
    <w:p w:rsidR="00782724" w:rsidRPr="0046630D" w:rsidRDefault="00782724" w:rsidP="00782724">
      <w:pPr>
        <w:pStyle w:val="ListParagraph"/>
        <w:autoSpaceDE w:val="0"/>
        <w:autoSpaceDN w:val="0"/>
        <w:adjustRightInd w:val="0"/>
        <w:ind w:left="0"/>
        <w:jc w:val="both"/>
      </w:pPr>
      <w:r w:rsidRPr="00782724">
        <w:t>Under the l</w:t>
      </w:r>
      <w:r w:rsidR="00545213">
        <w:t>eadership of the Ministry, the D</w:t>
      </w:r>
      <w:r w:rsidRPr="00782724">
        <w:t xml:space="preserve">epartment of Health Services (DOHS) will be responsible for implementing the service delivery component. </w:t>
      </w:r>
      <w:r w:rsidR="001D361A">
        <w:t xml:space="preserve"> </w:t>
      </w:r>
      <w:r w:rsidRPr="00782724">
        <w:t xml:space="preserve">Specific divisions under this department will be responsible for the respective EHCS interventions. </w:t>
      </w:r>
      <w:r w:rsidR="001D361A">
        <w:t xml:space="preserve"> </w:t>
      </w:r>
      <w:r w:rsidRPr="00782724">
        <w:t xml:space="preserve">Similarly, the nutrition </w:t>
      </w:r>
      <w:r w:rsidR="00545213">
        <w:t>unit under the Child Health D</w:t>
      </w:r>
      <w:r w:rsidRPr="00782724">
        <w:t>ivision</w:t>
      </w:r>
      <w:r>
        <w:t xml:space="preserve"> will be responsible for implementing the subcomponent of i</w:t>
      </w:r>
      <w:r w:rsidRPr="00397CA1">
        <w:rPr>
          <w:rFonts w:eastAsia="MS Mincho"/>
          <w:lang w:eastAsia="ja-JP"/>
        </w:rPr>
        <w:t xml:space="preserve">mprovement in the nutritional status </w:t>
      </w:r>
      <w:r>
        <w:rPr>
          <w:rFonts w:eastAsia="MS Mincho"/>
          <w:lang w:eastAsia="ja-JP"/>
        </w:rPr>
        <w:t xml:space="preserve">of children and pregnant women. </w:t>
      </w:r>
      <w:r w:rsidR="001D361A">
        <w:rPr>
          <w:rFonts w:eastAsia="MS Mincho"/>
          <w:lang w:eastAsia="ja-JP"/>
        </w:rPr>
        <w:t xml:space="preserve"> </w:t>
      </w:r>
      <w:r w:rsidR="008F4698">
        <w:rPr>
          <w:rFonts w:eastAsia="MS Mincho"/>
          <w:lang w:eastAsia="ja-JP"/>
        </w:rPr>
        <w:t>T</w:t>
      </w:r>
      <w:r w:rsidRPr="00D37EBC">
        <w:t xml:space="preserve">he National Center for AIDS &amp; STD Control (NCASC) will be responsible for the implementation of </w:t>
      </w:r>
      <w:r w:rsidR="008F4698">
        <w:t xml:space="preserve">both </w:t>
      </w:r>
      <w:r w:rsidRPr="00D37EBC">
        <w:t xml:space="preserve">the state and non-state response. </w:t>
      </w:r>
      <w:r w:rsidR="001D361A">
        <w:t xml:space="preserve"> </w:t>
      </w:r>
      <w:r w:rsidRPr="00D37EBC">
        <w:t xml:space="preserve">It will oversee the delivery of services through the MOHP’s network of health facilities and health workers and will be responsible for contracting out NGO-delivered prevention, diagnosis and treatment services to reach </w:t>
      </w:r>
      <w:r w:rsidR="00545213">
        <w:t xml:space="preserve">the </w:t>
      </w:r>
      <w:r w:rsidRPr="00D37EBC">
        <w:t xml:space="preserve">most at risk populations in their communities and ensure the quality of services. </w:t>
      </w:r>
      <w:r w:rsidR="001D361A">
        <w:t xml:space="preserve"> </w:t>
      </w:r>
      <w:r w:rsidRPr="00D37EBC">
        <w:t xml:space="preserve">The HIV/AIDS </w:t>
      </w:r>
      <w:r>
        <w:t xml:space="preserve">and STI </w:t>
      </w:r>
      <w:r w:rsidRPr="00D37EBC">
        <w:t xml:space="preserve">Control Board (HSCB) will coordinate the </w:t>
      </w:r>
      <w:r>
        <w:t>overall national, multi</w:t>
      </w:r>
      <w:r w:rsidR="008F4698">
        <w:t>-</w:t>
      </w:r>
      <w:proofErr w:type="spellStart"/>
      <w:r>
        <w:t>sectoral</w:t>
      </w:r>
      <w:proofErr w:type="spellEnd"/>
      <w:r>
        <w:t xml:space="preserve"> </w:t>
      </w:r>
      <w:r w:rsidRPr="00D37EBC">
        <w:t>response through strategic planning exercise</w:t>
      </w:r>
      <w:r>
        <w:t>s</w:t>
      </w:r>
      <w:r w:rsidRPr="00D37EBC">
        <w:t xml:space="preserve"> and </w:t>
      </w:r>
      <w:r>
        <w:t xml:space="preserve">overall national </w:t>
      </w:r>
      <w:r w:rsidRPr="00D37EBC">
        <w:t>policy formulation</w:t>
      </w:r>
      <w:r>
        <w:t>.</w:t>
      </w:r>
    </w:p>
    <w:p w:rsidR="00557051" w:rsidRPr="00B65772" w:rsidRDefault="00557051" w:rsidP="00557051"/>
    <w:p w:rsidR="00782724" w:rsidRPr="00782724" w:rsidRDefault="00782724" w:rsidP="00782724">
      <w:pPr>
        <w:pStyle w:val="ListParagraph"/>
        <w:autoSpaceDE w:val="0"/>
        <w:autoSpaceDN w:val="0"/>
        <w:adjustRightInd w:val="0"/>
        <w:ind w:left="0"/>
        <w:jc w:val="both"/>
      </w:pPr>
      <w:r w:rsidRPr="00782724">
        <w:t xml:space="preserve">Pooled funding support from IDA, </w:t>
      </w:r>
      <w:proofErr w:type="spellStart"/>
      <w:r w:rsidRPr="00782724">
        <w:t>DfID</w:t>
      </w:r>
      <w:proofErr w:type="spellEnd"/>
      <w:r w:rsidRPr="00782724">
        <w:t xml:space="preserve"> and </w:t>
      </w:r>
      <w:proofErr w:type="spellStart"/>
      <w:r w:rsidRPr="00782724">
        <w:t>AusAid</w:t>
      </w:r>
      <w:proofErr w:type="spellEnd"/>
      <w:r w:rsidRPr="00782724">
        <w:t xml:space="preserve"> will finance a share of the government’s budget expenditures. </w:t>
      </w:r>
      <w:r w:rsidR="001D361A">
        <w:t xml:space="preserve"> </w:t>
      </w:r>
      <w:r w:rsidRPr="00782724">
        <w:t xml:space="preserve">The proportion of MOHP expenditures under its budget to be financed by IDA will be determined annually based on performance.  The annual work plan and budget to be agreed with pooled funding partners will form the basis for program implementation and disbursement.   </w:t>
      </w:r>
    </w:p>
    <w:p w:rsidR="00557051" w:rsidRDefault="00557051" w:rsidP="00266227">
      <w:pPr>
        <w:jc w:val="both"/>
      </w:pPr>
    </w:p>
    <w:bookmarkEnd w:id="21"/>
    <w:p w:rsidR="00626C09" w:rsidRPr="00782724" w:rsidRDefault="00626C09">
      <w:pPr>
        <w:numPr>
          <w:ilvl w:val="0"/>
          <w:numId w:val="6"/>
        </w:numPr>
        <w:tabs>
          <w:tab w:val="clear" w:pos="720"/>
          <w:tab w:val="num" w:pos="360"/>
        </w:tabs>
        <w:ind w:left="360"/>
        <w:rPr>
          <w:b/>
        </w:rPr>
      </w:pPr>
      <w:r w:rsidRPr="00782724">
        <w:rPr>
          <w:b/>
        </w:rPr>
        <w:t>Sustainability</w:t>
      </w:r>
      <w:bookmarkStart w:id="22" w:name="Sustainability"/>
    </w:p>
    <w:p w:rsidR="00626C09" w:rsidRDefault="00626C09" w:rsidP="00626C09"/>
    <w:p w:rsidR="00E92D40" w:rsidRDefault="00557051" w:rsidP="007C7A63">
      <w:pPr>
        <w:pStyle w:val="ListParagraph"/>
        <w:autoSpaceDE w:val="0"/>
        <w:autoSpaceDN w:val="0"/>
        <w:adjustRightInd w:val="0"/>
        <w:ind w:left="0"/>
        <w:jc w:val="both"/>
        <w:rPr>
          <w:iCs/>
        </w:rPr>
      </w:pPr>
      <w:r w:rsidRPr="00043A5E">
        <w:rPr>
          <w:iCs/>
        </w:rPr>
        <w:t xml:space="preserve">The </w:t>
      </w:r>
      <w:r w:rsidR="00545213">
        <w:rPr>
          <w:iCs/>
        </w:rPr>
        <w:t xml:space="preserve">next phase of the health sector program is being prepared </w:t>
      </w:r>
      <w:r w:rsidRPr="00043A5E">
        <w:rPr>
          <w:iCs/>
        </w:rPr>
        <w:t xml:space="preserve">with </w:t>
      </w:r>
      <w:r w:rsidR="001D361A">
        <w:rPr>
          <w:iCs/>
        </w:rPr>
        <w:t>broad participation and consul</w:t>
      </w:r>
      <w:r w:rsidRPr="00043A5E">
        <w:rPr>
          <w:iCs/>
        </w:rPr>
        <w:t>t</w:t>
      </w:r>
      <w:r w:rsidR="00545213">
        <w:rPr>
          <w:iCs/>
        </w:rPr>
        <w:t>ation</w:t>
      </w:r>
      <w:r w:rsidR="00E92D40">
        <w:rPr>
          <w:iCs/>
        </w:rPr>
        <w:t xml:space="preserve">. </w:t>
      </w:r>
      <w:r w:rsidR="001D361A">
        <w:rPr>
          <w:iCs/>
        </w:rPr>
        <w:t xml:space="preserve"> </w:t>
      </w:r>
      <w:r w:rsidR="00E92D40">
        <w:rPr>
          <w:iCs/>
        </w:rPr>
        <w:t>S</w:t>
      </w:r>
      <w:r w:rsidRPr="00043A5E">
        <w:rPr>
          <w:rFonts w:eastAsia="Calibri"/>
        </w:rPr>
        <w:t xml:space="preserve">takeholder consultation will </w:t>
      </w:r>
      <w:r w:rsidR="00545213">
        <w:rPr>
          <w:rFonts w:eastAsia="Calibri"/>
        </w:rPr>
        <w:t xml:space="preserve">continue </w:t>
      </w:r>
      <w:r w:rsidRPr="00043A5E">
        <w:rPr>
          <w:rFonts w:eastAsia="Calibri"/>
        </w:rPr>
        <w:t xml:space="preserve">during implementation to sustain the broad support for the program. </w:t>
      </w:r>
      <w:r w:rsidR="001D361A">
        <w:rPr>
          <w:rFonts w:eastAsia="Calibri"/>
        </w:rPr>
        <w:t xml:space="preserve"> </w:t>
      </w:r>
      <w:r w:rsidR="008F4698">
        <w:rPr>
          <w:rFonts w:eastAsia="Calibri"/>
        </w:rPr>
        <w:t xml:space="preserve">The community score card generation process will ensure regular </w:t>
      </w:r>
      <w:r w:rsidR="008F4698">
        <w:rPr>
          <w:rFonts w:eastAsia="Calibri"/>
        </w:rPr>
        <w:lastRenderedPageBreak/>
        <w:t xml:space="preserve">participation of the community. </w:t>
      </w:r>
      <w:r w:rsidR="001D361A">
        <w:rPr>
          <w:rFonts w:eastAsia="Calibri"/>
        </w:rPr>
        <w:t xml:space="preserve"> </w:t>
      </w:r>
      <w:r w:rsidRPr="007C7A63">
        <w:rPr>
          <w:iCs/>
        </w:rPr>
        <w:t xml:space="preserve">The project will be implemented through the regular government system and does not entail establishment of </w:t>
      </w:r>
      <w:r w:rsidR="007C7A63">
        <w:rPr>
          <w:iCs/>
        </w:rPr>
        <w:t>new units or</w:t>
      </w:r>
      <w:r w:rsidRPr="007C7A63">
        <w:rPr>
          <w:iCs/>
        </w:rPr>
        <w:t xml:space="preserve"> institution</w:t>
      </w:r>
      <w:r w:rsidR="007C7A63">
        <w:rPr>
          <w:iCs/>
        </w:rPr>
        <w:t>s</w:t>
      </w:r>
      <w:r w:rsidRPr="007C7A63">
        <w:rPr>
          <w:iCs/>
        </w:rPr>
        <w:t>.</w:t>
      </w:r>
      <w:r w:rsidR="007C7A63">
        <w:rPr>
          <w:iCs/>
        </w:rPr>
        <w:t xml:space="preserve"> </w:t>
      </w:r>
    </w:p>
    <w:p w:rsidR="00E92D40" w:rsidRDefault="00E92D40" w:rsidP="007C7A63">
      <w:pPr>
        <w:pStyle w:val="ListParagraph"/>
        <w:autoSpaceDE w:val="0"/>
        <w:autoSpaceDN w:val="0"/>
        <w:adjustRightInd w:val="0"/>
        <w:ind w:left="0"/>
        <w:jc w:val="both"/>
        <w:rPr>
          <w:iCs/>
        </w:rPr>
      </w:pPr>
    </w:p>
    <w:p w:rsidR="007C7A63" w:rsidRDefault="008F4698" w:rsidP="00CE6F99">
      <w:pPr>
        <w:pStyle w:val="ListParagraph"/>
        <w:autoSpaceDE w:val="0"/>
        <w:autoSpaceDN w:val="0"/>
        <w:adjustRightInd w:val="0"/>
        <w:ind w:left="0"/>
        <w:jc w:val="both"/>
        <w:rPr>
          <w:color w:val="000000"/>
        </w:rPr>
      </w:pPr>
      <w:r>
        <w:rPr>
          <w:iCs/>
        </w:rPr>
        <w:t>T</w:t>
      </w:r>
      <w:r w:rsidR="007C7A63">
        <w:rPr>
          <w:iCs/>
        </w:rPr>
        <w:t>he space for increasing public spending is limited</w:t>
      </w:r>
      <w:r w:rsidR="007C7A63" w:rsidRPr="007C7A63">
        <w:rPr>
          <w:iCs/>
        </w:rPr>
        <w:t xml:space="preserve">. </w:t>
      </w:r>
      <w:r w:rsidR="001D361A">
        <w:rPr>
          <w:iCs/>
        </w:rPr>
        <w:t xml:space="preserve"> </w:t>
      </w:r>
      <w:r w:rsidR="002015A4" w:rsidRPr="00A45458">
        <w:rPr>
          <w:iCs/>
        </w:rPr>
        <w:t xml:space="preserve">Projections indicate that maintaining the current level of government spending on domestic resources base is unsustainable. </w:t>
      </w:r>
      <w:r w:rsidR="001D361A">
        <w:rPr>
          <w:iCs/>
        </w:rPr>
        <w:t xml:space="preserve"> </w:t>
      </w:r>
      <w:r w:rsidR="002015A4" w:rsidRPr="00A45458">
        <w:rPr>
          <w:iCs/>
        </w:rPr>
        <w:t xml:space="preserve">Assuming an optimistic scenario </w:t>
      </w:r>
      <w:r w:rsidR="002015A4">
        <w:rPr>
          <w:iCs/>
        </w:rPr>
        <w:t>of a real GDP growth of 4 to 5 percent</w:t>
      </w:r>
      <w:r w:rsidR="002015A4" w:rsidRPr="00A45458">
        <w:rPr>
          <w:iCs/>
        </w:rPr>
        <w:t xml:space="preserve"> and revenue increasing to 16</w:t>
      </w:r>
      <w:r w:rsidR="002015A4">
        <w:rPr>
          <w:iCs/>
        </w:rPr>
        <w:t xml:space="preserve"> percent</w:t>
      </w:r>
      <w:r w:rsidR="002015A4" w:rsidRPr="00A45458">
        <w:rPr>
          <w:iCs/>
        </w:rPr>
        <w:t xml:space="preserve"> of GDP, maintaining the government spending at its current nominal level would require increasing </w:t>
      </w:r>
      <w:r w:rsidR="00545213">
        <w:rPr>
          <w:iCs/>
        </w:rPr>
        <w:t xml:space="preserve">the </w:t>
      </w:r>
      <w:r w:rsidR="002015A4" w:rsidRPr="00A45458">
        <w:rPr>
          <w:iCs/>
        </w:rPr>
        <w:t>fiscal deficit to 5.3</w:t>
      </w:r>
      <w:r w:rsidR="002015A4">
        <w:rPr>
          <w:iCs/>
        </w:rPr>
        <w:t xml:space="preserve"> percent</w:t>
      </w:r>
      <w:r w:rsidR="002015A4" w:rsidRPr="00A45458">
        <w:rPr>
          <w:iCs/>
        </w:rPr>
        <w:t xml:space="preserve"> throughout the years 2010-2015. </w:t>
      </w:r>
      <w:r w:rsidR="001D361A">
        <w:rPr>
          <w:iCs/>
        </w:rPr>
        <w:t xml:space="preserve"> </w:t>
      </w:r>
      <w:r w:rsidR="002015A4" w:rsidRPr="00FF4398">
        <w:t xml:space="preserve">The potential to generate space through effective prioritization with the MTFE exercise and enhancing absorptive capacity is limited. </w:t>
      </w:r>
      <w:r w:rsidR="007C7A63" w:rsidRPr="007C7A63">
        <w:rPr>
          <w:iCs/>
        </w:rPr>
        <w:t>The share of health in total public expenditure has increased from</w:t>
      </w:r>
      <w:r w:rsidR="007C7A63">
        <w:rPr>
          <w:iCs/>
        </w:rPr>
        <w:t xml:space="preserve"> 5.2 percent in 2003/04 to 6.0 percent in 2005/06 and to 7.3 percent in 2006/07</w:t>
      </w:r>
      <w:r w:rsidR="002015A4">
        <w:rPr>
          <w:iCs/>
        </w:rPr>
        <w:t xml:space="preserve"> and GON</w:t>
      </w:r>
      <w:r w:rsidR="007C7A63">
        <w:rPr>
          <w:iCs/>
        </w:rPr>
        <w:t xml:space="preserve"> is committed to maintaining the share of public health expenditure in the coming years. </w:t>
      </w:r>
      <w:r w:rsidR="001D361A">
        <w:rPr>
          <w:iCs/>
        </w:rPr>
        <w:t xml:space="preserve"> </w:t>
      </w:r>
      <w:r w:rsidR="007C7A63" w:rsidRPr="00DE5740">
        <w:rPr>
          <w:iCs/>
        </w:rPr>
        <w:t xml:space="preserve">At the projected level of GDP and revenue growth, maintaining </w:t>
      </w:r>
      <w:r w:rsidR="00316FC5" w:rsidRPr="00A45458">
        <w:rPr>
          <w:iCs/>
        </w:rPr>
        <w:t>public spending in health at its current level</w:t>
      </w:r>
      <w:r w:rsidR="00316FC5">
        <w:rPr>
          <w:iCs/>
        </w:rPr>
        <w:t xml:space="preserve"> of </w:t>
      </w:r>
      <w:r w:rsidR="00316FC5" w:rsidRPr="00A45458">
        <w:rPr>
          <w:iCs/>
        </w:rPr>
        <w:t>7</w:t>
      </w:r>
      <w:r w:rsidR="00316FC5">
        <w:rPr>
          <w:iCs/>
        </w:rPr>
        <w:t xml:space="preserve"> percent</w:t>
      </w:r>
      <w:r w:rsidR="00316FC5" w:rsidRPr="00A45458">
        <w:rPr>
          <w:iCs/>
        </w:rPr>
        <w:t xml:space="preserve"> would require </w:t>
      </w:r>
      <w:r w:rsidR="00316FC5">
        <w:rPr>
          <w:iCs/>
        </w:rPr>
        <w:t xml:space="preserve">significant </w:t>
      </w:r>
      <w:r w:rsidR="00316FC5" w:rsidRPr="00A45458">
        <w:rPr>
          <w:iCs/>
        </w:rPr>
        <w:t>mobilization of external resources</w:t>
      </w:r>
      <w:r w:rsidR="00316FC5">
        <w:rPr>
          <w:iCs/>
        </w:rPr>
        <w:t xml:space="preserve">, </w:t>
      </w:r>
      <w:r w:rsidR="007C7A63">
        <w:rPr>
          <w:iCs/>
        </w:rPr>
        <w:t xml:space="preserve">an </w:t>
      </w:r>
      <w:r w:rsidR="007C7A63" w:rsidRPr="00DE5740">
        <w:rPr>
          <w:iCs/>
        </w:rPr>
        <w:t>increase in grant</w:t>
      </w:r>
      <w:r w:rsidR="007C7A63">
        <w:rPr>
          <w:iCs/>
        </w:rPr>
        <w:t>s</w:t>
      </w:r>
      <w:r w:rsidR="007C7A63" w:rsidRPr="00DE5740">
        <w:rPr>
          <w:iCs/>
        </w:rPr>
        <w:t xml:space="preserve"> to 3.6</w:t>
      </w:r>
      <w:r w:rsidR="007C7A63">
        <w:rPr>
          <w:iCs/>
        </w:rPr>
        <w:t xml:space="preserve"> percent</w:t>
      </w:r>
      <w:r w:rsidR="007C7A63" w:rsidRPr="00DE5740">
        <w:rPr>
          <w:iCs/>
        </w:rPr>
        <w:t xml:space="preserve"> from the 2008 level of 2.5</w:t>
      </w:r>
      <w:r w:rsidR="007C7A63">
        <w:rPr>
          <w:iCs/>
        </w:rPr>
        <w:t xml:space="preserve"> percent</w:t>
      </w:r>
      <w:r w:rsidR="007C7A63" w:rsidRPr="00DE5740">
        <w:rPr>
          <w:iCs/>
        </w:rPr>
        <w:t xml:space="preserve"> and increase in net external</w:t>
      </w:r>
      <w:r w:rsidR="007C7A63">
        <w:rPr>
          <w:iCs/>
        </w:rPr>
        <w:t xml:space="preserve"> borrowing</w:t>
      </w:r>
      <w:r w:rsidR="007C7A63" w:rsidRPr="00DE5740">
        <w:rPr>
          <w:iCs/>
        </w:rPr>
        <w:t xml:space="preserve"> to 0.5</w:t>
      </w:r>
      <w:r w:rsidR="007C7A63">
        <w:rPr>
          <w:iCs/>
        </w:rPr>
        <w:t xml:space="preserve"> percent</w:t>
      </w:r>
      <w:r w:rsidR="007C7A63" w:rsidRPr="00DE5740">
        <w:rPr>
          <w:iCs/>
        </w:rPr>
        <w:t xml:space="preserve"> from the 2008 level of 0.1</w:t>
      </w:r>
      <w:r w:rsidR="007C7A63">
        <w:rPr>
          <w:iCs/>
        </w:rPr>
        <w:t xml:space="preserve"> percent</w:t>
      </w:r>
      <w:r w:rsidR="007C7A63" w:rsidRPr="00DE5740">
        <w:rPr>
          <w:iCs/>
        </w:rPr>
        <w:t>.</w:t>
      </w:r>
      <w:r w:rsidR="001D361A">
        <w:rPr>
          <w:iCs/>
        </w:rPr>
        <w:t xml:space="preserve"> </w:t>
      </w:r>
      <w:r w:rsidR="007C7A63" w:rsidRPr="00DE5740">
        <w:rPr>
          <w:iCs/>
        </w:rPr>
        <w:t xml:space="preserve"> </w:t>
      </w:r>
      <w:r w:rsidR="00557051" w:rsidRPr="00FF4398">
        <w:rPr>
          <w:iCs/>
        </w:rPr>
        <w:t xml:space="preserve">The project will support </w:t>
      </w:r>
      <w:r w:rsidR="00557051" w:rsidRPr="00FF4398">
        <w:rPr>
          <w:color w:val="000000"/>
        </w:rPr>
        <w:t>the GON i</w:t>
      </w:r>
      <w:r w:rsidR="00E92D40">
        <w:rPr>
          <w:color w:val="000000"/>
        </w:rPr>
        <w:t>n</w:t>
      </w:r>
      <w:r w:rsidR="00557051" w:rsidRPr="00FF4398">
        <w:rPr>
          <w:color w:val="000000"/>
        </w:rPr>
        <w:t xml:space="preserve"> </w:t>
      </w:r>
      <w:r w:rsidR="00316FC5">
        <w:rPr>
          <w:color w:val="000000"/>
        </w:rPr>
        <w:t xml:space="preserve">developing </w:t>
      </w:r>
      <w:r w:rsidR="00557051" w:rsidRPr="00FF4398">
        <w:rPr>
          <w:color w:val="000000"/>
        </w:rPr>
        <w:t xml:space="preserve">a health financing strategy to enhance its strategic thinking </w:t>
      </w:r>
      <w:r w:rsidR="00E92D40">
        <w:rPr>
          <w:color w:val="000000"/>
        </w:rPr>
        <w:t xml:space="preserve">on </w:t>
      </w:r>
      <w:r w:rsidR="00557051" w:rsidRPr="00FF4398">
        <w:rPr>
          <w:color w:val="000000"/>
        </w:rPr>
        <w:t xml:space="preserve">the long-term sustainability of the sector financing and on the efficiency of spending. </w:t>
      </w:r>
    </w:p>
    <w:p w:rsidR="00E92D40" w:rsidRPr="00FF4398" w:rsidRDefault="00E92D40" w:rsidP="00CE6F99">
      <w:pPr>
        <w:pStyle w:val="ListParagraph"/>
        <w:autoSpaceDE w:val="0"/>
        <w:autoSpaceDN w:val="0"/>
        <w:adjustRightInd w:val="0"/>
        <w:ind w:left="0"/>
        <w:jc w:val="both"/>
        <w:rPr>
          <w:color w:val="000000"/>
        </w:rPr>
      </w:pPr>
    </w:p>
    <w:bookmarkEnd w:id="22"/>
    <w:p w:rsidR="00626C09" w:rsidRDefault="00626C09">
      <w:pPr>
        <w:numPr>
          <w:ilvl w:val="0"/>
          <w:numId w:val="6"/>
        </w:numPr>
        <w:tabs>
          <w:tab w:val="clear" w:pos="720"/>
          <w:tab w:val="num" w:pos="360"/>
        </w:tabs>
        <w:ind w:left="360"/>
        <w:rPr>
          <w:b/>
        </w:rPr>
      </w:pPr>
      <w:r w:rsidRPr="00077D02">
        <w:rPr>
          <w:b/>
        </w:rPr>
        <w:t>Lessons Learned from Past Operations in the Country/Sector</w:t>
      </w:r>
      <w:bookmarkStart w:id="23" w:name="LessonsLearned"/>
    </w:p>
    <w:p w:rsidR="002015A4" w:rsidRPr="00077D02" w:rsidRDefault="002015A4" w:rsidP="002015A4">
      <w:pPr>
        <w:rPr>
          <w:b/>
        </w:rPr>
      </w:pPr>
    </w:p>
    <w:p w:rsidR="00557051" w:rsidRDefault="00557051" w:rsidP="00CE6F99">
      <w:pPr>
        <w:pStyle w:val="ListParagraph"/>
        <w:autoSpaceDE w:val="0"/>
        <w:autoSpaceDN w:val="0"/>
        <w:adjustRightInd w:val="0"/>
        <w:ind w:left="0"/>
        <w:jc w:val="both"/>
        <w:rPr>
          <w:rFonts w:eastAsia="Calibri"/>
        </w:rPr>
      </w:pPr>
      <w:r w:rsidRPr="00316FC5">
        <w:rPr>
          <w:rFonts w:eastAsia="Calibri"/>
          <w:i/>
        </w:rPr>
        <w:t>An environment of unstable law and order and a fluid political situation can undermine improvements in governance and particularly in procurement capacity</w:t>
      </w:r>
      <w:r w:rsidRPr="00E92D40">
        <w:rPr>
          <w:rFonts w:eastAsia="Calibri"/>
        </w:rPr>
        <w:t xml:space="preserve">. </w:t>
      </w:r>
      <w:r w:rsidR="001D361A">
        <w:rPr>
          <w:rFonts w:eastAsia="Calibri"/>
        </w:rPr>
        <w:t xml:space="preserve"> </w:t>
      </w:r>
      <w:r w:rsidR="00AA3DAD">
        <w:rPr>
          <w:rFonts w:eastAsia="Calibri"/>
        </w:rPr>
        <w:t xml:space="preserve">While </w:t>
      </w:r>
      <w:r w:rsidRPr="00E92D40">
        <w:rPr>
          <w:rFonts w:eastAsia="Calibri"/>
        </w:rPr>
        <w:t xml:space="preserve">procurement </w:t>
      </w:r>
      <w:r w:rsidR="002015A4" w:rsidRPr="00E92D40">
        <w:rPr>
          <w:rFonts w:eastAsia="Calibri"/>
        </w:rPr>
        <w:t xml:space="preserve">capacity has </w:t>
      </w:r>
      <w:r w:rsidRPr="00E92D40">
        <w:rPr>
          <w:rFonts w:eastAsia="Calibri"/>
        </w:rPr>
        <w:t>improved</w:t>
      </w:r>
      <w:r w:rsidR="002015A4" w:rsidRPr="00E92D40">
        <w:rPr>
          <w:rFonts w:eastAsia="Calibri"/>
        </w:rPr>
        <w:t xml:space="preserve">, </w:t>
      </w:r>
      <w:r w:rsidRPr="00E92D40">
        <w:rPr>
          <w:rFonts w:eastAsia="Calibri"/>
        </w:rPr>
        <w:t>procurement</w:t>
      </w:r>
      <w:r>
        <w:rPr>
          <w:rFonts w:eastAsia="Calibri"/>
        </w:rPr>
        <w:t xml:space="preserve"> processes are interfered with through collusion, intimidation and corruption. </w:t>
      </w:r>
      <w:r w:rsidR="001D361A">
        <w:rPr>
          <w:rFonts w:eastAsia="Calibri"/>
        </w:rPr>
        <w:t xml:space="preserve"> </w:t>
      </w:r>
      <w:r>
        <w:rPr>
          <w:rFonts w:eastAsia="Calibri"/>
        </w:rPr>
        <w:t>Risks related to procurement need to be mitigated</w:t>
      </w:r>
      <w:r w:rsidR="00AA3DAD">
        <w:rPr>
          <w:rFonts w:eastAsia="Calibri"/>
        </w:rPr>
        <w:t>,</w:t>
      </w:r>
      <w:r>
        <w:rPr>
          <w:rFonts w:eastAsia="Calibri"/>
        </w:rPr>
        <w:t xml:space="preserve"> </w:t>
      </w:r>
      <w:r w:rsidR="00AA3DAD">
        <w:rPr>
          <w:rFonts w:eastAsia="Calibri"/>
        </w:rPr>
        <w:t xml:space="preserve">including </w:t>
      </w:r>
      <w:r>
        <w:rPr>
          <w:rFonts w:eastAsia="Calibri"/>
        </w:rPr>
        <w:t xml:space="preserve">through the contracting of an independent procurement assistance consultancy and greater use of surveys on the quality of drugs and equipment procured. </w:t>
      </w:r>
      <w:r w:rsidR="001D361A">
        <w:rPr>
          <w:rFonts w:eastAsia="Calibri"/>
        </w:rPr>
        <w:t xml:space="preserve"> </w:t>
      </w:r>
      <w:r w:rsidRPr="00F10015">
        <w:rPr>
          <w:rFonts w:eastAsia="Calibri"/>
        </w:rPr>
        <w:t xml:space="preserve">The </w:t>
      </w:r>
      <w:r>
        <w:rPr>
          <w:rFonts w:eastAsia="Calibri"/>
        </w:rPr>
        <w:t xml:space="preserve">project design, therefore, includes the use of </w:t>
      </w:r>
      <w:r w:rsidR="002015A4">
        <w:rPr>
          <w:rFonts w:eastAsia="Calibri"/>
        </w:rPr>
        <w:t xml:space="preserve">an </w:t>
      </w:r>
      <w:r>
        <w:rPr>
          <w:rFonts w:eastAsia="Calibri"/>
        </w:rPr>
        <w:t>independent procurement assistance consultancy</w:t>
      </w:r>
      <w:r w:rsidR="00316FC5">
        <w:rPr>
          <w:rFonts w:eastAsia="Calibri"/>
        </w:rPr>
        <w:t xml:space="preserve">, </w:t>
      </w:r>
      <w:r w:rsidRPr="00F10015">
        <w:rPr>
          <w:rFonts w:eastAsia="Calibri"/>
        </w:rPr>
        <w:t xml:space="preserve">local communities </w:t>
      </w:r>
      <w:r>
        <w:rPr>
          <w:rFonts w:eastAsia="Calibri"/>
        </w:rPr>
        <w:t>for health facility management</w:t>
      </w:r>
      <w:r w:rsidR="00316FC5">
        <w:rPr>
          <w:rFonts w:eastAsia="Calibri"/>
        </w:rPr>
        <w:t xml:space="preserve">, </w:t>
      </w:r>
      <w:r w:rsidRPr="00F10015">
        <w:rPr>
          <w:rFonts w:eastAsia="Calibri"/>
        </w:rPr>
        <w:t>stakeholders and</w:t>
      </w:r>
      <w:r w:rsidR="00316FC5">
        <w:rPr>
          <w:rFonts w:eastAsia="Calibri"/>
        </w:rPr>
        <w:t xml:space="preserve"> the use of </w:t>
      </w:r>
      <w:r>
        <w:rPr>
          <w:rFonts w:eastAsia="Calibri"/>
        </w:rPr>
        <w:t>independent sources of data for</w:t>
      </w:r>
      <w:r w:rsidRPr="00F10015">
        <w:rPr>
          <w:rFonts w:eastAsia="Calibri"/>
        </w:rPr>
        <w:t xml:space="preserve"> monitoring.  </w:t>
      </w:r>
    </w:p>
    <w:p w:rsidR="00557051" w:rsidRDefault="00557051" w:rsidP="00557051">
      <w:pPr>
        <w:jc w:val="both"/>
        <w:rPr>
          <w:rFonts w:eastAsia="Calibri"/>
        </w:rPr>
      </w:pPr>
    </w:p>
    <w:p w:rsidR="00557051" w:rsidRDefault="002015A4" w:rsidP="00CE6F99">
      <w:pPr>
        <w:pStyle w:val="ListParagraph"/>
        <w:autoSpaceDE w:val="0"/>
        <w:autoSpaceDN w:val="0"/>
        <w:adjustRightInd w:val="0"/>
        <w:ind w:left="0"/>
        <w:jc w:val="both"/>
        <w:rPr>
          <w:rFonts w:eastAsia="Calibri"/>
        </w:rPr>
      </w:pPr>
      <w:r w:rsidRPr="00316FC5">
        <w:rPr>
          <w:rFonts w:eastAsia="Calibri"/>
          <w:i/>
        </w:rPr>
        <w:t xml:space="preserve">The expansion of </w:t>
      </w:r>
      <w:r w:rsidR="00557051" w:rsidRPr="00316FC5">
        <w:rPr>
          <w:rFonts w:eastAsia="Calibri"/>
          <w:i/>
        </w:rPr>
        <w:t>essential services to the population</w:t>
      </w:r>
      <w:r w:rsidRPr="00316FC5">
        <w:rPr>
          <w:rFonts w:eastAsia="Calibri"/>
          <w:i/>
        </w:rPr>
        <w:t>s</w:t>
      </w:r>
      <w:r w:rsidR="00557051" w:rsidRPr="00316FC5">
        <w:rPr>
          <w:rFonts w:eastAsia="Calibri"/>
          <w:i/>
        </w:rPr>
        <w:t xml:space="preserve"> in need</w:t>
      </w:r>
      <w:r w:rsidRPr="00316FC5">
        <w:rPr>
          <w:rFonts w:eastAsia="Calibri"/>
          <w:i/>
        </w:rPr>
        <w:t xml:space="preserve"> </w:t>
      </w:r>
      <w:r w:rsidR="00557051" w:rsidRPr="00316FC5">
        <w:rPr>
          <w:rFonts w:eastAsia="Calibri"/>
          <w:i/>
        </w:rPr>
        <w:t>has not always translated to improved health</w:t>
      </w:r>
      <w:r w:rsidR="00557051">
        <w:rPr>
          <w:rFonts w:eastAsia="Calibri"/>
        </w:rPr>
        <w:t xml:space="preserve">. </w:t>
      </w:r>
      <w:r w:rsidR="001D361A">
        <w:rPr>
          <w:rFonts w:eastAsia="Calibri"/>
        </w:rPr>
        <w:t xml:space="preserve"> </w:t>
      </w:r>
      <w:r w:rsidR="007C7A63">
        <w:rPr>
          <w:rFonts w:eastAsia="Calibri"/>
        </w:rPr>
        <w:t>Q</w:t>
      </w:r>
      <w:r w:rsidR="00557051">
        <w:rPr>
          <w:rFonts w:eastAsia="Calibri"/>
        </w:rPr>
        <w:t>uality of services will be regularly monitored under the project, particularly in view of the fact that the free care policy eliminated sources of income facilities previously relied on.</w:t>
      </w:r>
      <w:r w:rsidR="001D361A">
        <w:rPr>
          <w:rFonts w:eastAsia="Calibri"/>
        </w:rPr>
        <w:t xml:space="preserve"> </w:t>
      </w:r>
      <w:r w:rsidR="00557051">
        <w:rPr>
          <w:rFonts w:eastAsia="Calibri"/>
        </w:rPr>
        <w:t xml:space="preserve"> This will be done through the scaling up of social auditing mechanisms, periodic surveys and reviews of goods and works </w:t>
      </w:r>
      <w:r w:rsidR="00695DC8">
        <w:rPr>
          <w:rFonts w:eastAsia="Calibri"/>
        </w:rPr>
        <w:t>procured</w:t>
      </w:r>
      <w:r w:rsidR="00557051">
        <w:rPr>
          <w:rFonts w:eastAsia="Calibri"/>
        </w:rPr>
        <w:t xml:space="preserve"> and periodic facility surveys.</w:t>
      </w:r>
    </w:p>
    <w:p w:rsidR="00557051" w:rsidRDefault="00557051" w:rsidP="00557051">
      <w:pPr>
        <w:jc w:val="both"/>
        <w:rPr>
          <w:rFonts w:eastAsia="Calibri"/>
        </w:rPr>
      </w:pPr>
    </w:p>
    <w:p w:rsidR="00AA3DAD" w:rsidRDefault="00AA3DAD" w:rsidP="00AA3DAD">
      <w:pPr>
        <w:pStyle w:val="ListParagraph"/>
        <w:autoSpaceDE w:val="0"/>
        <w:autoSpaceDN w:val="0"/>
        <w:adjustRightInd w:val="0"/>
        <w:ind w:left="0"/>
        <w:jc w:val="both"/>
        <w:rPr>
          <w:rFonts w:eastAsia="Calibri"/>
        </w:rPr>
      </w:pPr>
      <w:r w:rsidRPr="00316FC5">
        <w:rPr>
          <w:rFonts w:eastAsia="Calibri"/>
          <w:bCs/>
          <w:i/>
          <w:iCs/>
        </w:rPr>
        <w:t>Performance-based incentives have the potential to achieve results</w:t>
      </w:r>
      <w:r w:rsidRPr="00AA3DAD">
        <w:rPr>
          <w:rFonts w:eastAsia="Calibri"/>
          <w:bCs/>
          <w:iCs/>
        </w:rPr>
        <w:t xml:space="preserve">. </w:t>
      </w:r>
      <w:r w:rsidR="001D361A">
        <w:rPr>
          <w:rFonts w:eastAsia="Calibri"/>
          <w:bCs/>
          <w:iCs/>
        </w:rPr>
        <w:t xml:space="preserve"> </w:t>
      </w:r>
      <w:r w:rsidR="009E203E">
        <w:rPr>
          <w:rFonts w:eastAsia="Calibri"/>
          <w:bCs/>
          <w:iCs/>
        </w:rPr>
        <w:t>E</w:t>
      </w:r>
      <w:r w:rsidRPr="00AA3DAD">
        <w:rPr>
          <w:rFonts w:eastAsia="Calibri"/>
        </w:rPr>
        <w:t xml:space="preserve">mphasis will be given to feasible results or reform areas where performance has been lagging. Performance incentives will be disbursed against achievement of the stated and verified results or reforms. </w:t>
      </w:r>
    </w:p>
    <w:p w:rsidR="00AA3DAD" w:rsidRPr="00AA3DAD" w:rsidRDefault="00AA3DAD" w:rsidP="00AA3DAD">
      <w:pPr>
        <w:pStyle w:val="ListParagraph"/>
        <w:autoSpaceDE w:val="0"/>
        <w:autoSpaceDN w:val="0"/>
        <w:adjustRightInd w:val="0"/>
        <w:ind w:left="0"/>
        <w:jc w:val="both"/>
        <w:rPr>
          <w:szCs w:val="22"/>
        </w:rPr>
      </w:pPr>
    </w:p>
    <w:p w:rsidR="00695DC8" w:rsidRDefault="00557051" w:rsidP="00CE6F99">
      <w:pPr>
        <w:pStyle w:val="ListParagraph"/>
        <w:autoSpaceDE w:val="0"/>
        <w:autoSpaceDN w:val="0"/>
        <w:adjustRightInd w:val="0"/>
        <w:ind w:left="0"/>
        <w:jc w:val="both"/>
      </w:pPr>
      <w:r w:rsidRPr="00316FC5">
        <w:rPr>
          <w:i/>
        </w:rPr>
        <w:t xml:space="preserve">Adherence to </w:t>
      </w:r>
      <w:r w:rsidR="00316FC5">
        <w:rPr>
          <w:i/>
        </w:rPr>
        <w:t xml:space="preserve">an </w:t>
      </w:r>
      <w:r w:rsidRPr="00316FC5">
        <w:rPr>
          <w:i/>
        </w:rPr>
        <w:t>agreed work</w:t>
      </w:r>
      <w:r w:rsidR="002015A4" w:rsidRPr="00316FC5">
        <w:rPr>
          <w:i/>
        </w:rPr>
        <w:t xml:space="preserve"> </w:t>
      </w:r>
      <w:r w:rsidRPr="00316FC5">
        <w:rPr>
          <w:i/>
        </w:rPr>
        <w:t>plan and budget and the budget allocation process is critical in order to expedite annual commitments by pooled funding partners</w:t>
      </w:r>
      <w:r w:rsidRPr="00AA3DAD">
        <w:t xml:space="preserve">. </w:t>
      </w:r>
      <w:r w:rsidR="001D361A">
        <w:t xml:space="preserve"> </w:t>
      </w:r>
      <w:r w:rsidRPr="00AA3DAD">
        <w:t xml:space="preserve">To ensure the budget allocation reflects consultations </w:t>
      </w:r>
      <w:r w:rsidR="00695DC8">
        <w:t xml:space="preserve">and agreement </w:t>
      </w:r>
      <w:r w:rsidRPr="00AA3DAD">
        <w:t xml:space="preserve">with </w:t>
      </w:r>
      <w:r w:rsidR="00695DC8">
        <w:t xml:space="preserve">external </w:t>
      </w:r>
      <w:r w:rsidR="00316FC5">
        <w:t>development partners</w:t>
      </w:r>
      <w:r w:rsidR="00695DC8">
        <w:t xml:space="preserve"> (EDPs)</w:t>
      </w:r>
      <w:r w:rsidRPr="00AA3DAD">
        <w:t xml:space="preserve">, the consultative process will be continuous. </w:t>
      </w:r>
    </w:p>
    <w:p w:rsidR="00695DC8" w:rsidRDefault="00695DC8" w:rsidP="00CE6F99">
      <w:pPr>
        <w:pStyle w:val="ListParagraph"/>
        <w:autoSpaceDE w:val="0"/>
        <w:autoSpaceDN w:val="0"/>
        <w:adjustRightInd w:val="0"/>
        <w:ind w:left="0"/>
        <w:jc w:val="both"/>
      </w:pPr>
    </w:p>
    <w:p w:rsidR="00557051" w:rsidRDefault="00AA3DAD" w:rsidP="00CE6F99">
      <w:pPr>
        <w:pStyle w:val="ListParagraph"/>
        <w:autoSpaceDE w:val="0"/>
        <w:autoSpaceDN w:val="0"/>
        <w:adjustRightInd w:val="0"/>
        <w:ind w:left="0"/>
        <w:jc w:val="both"/>
      </w:pPr>
      <w:r w:rsidRPr="00316FC5">
        <w:rPr>
          <w:i/>
        </w:rPr>
        <w:lastRenderedPageBreak/>
        <w:t>A</w:t>
      </w:r>
      <w:r w:rsidR="00557051" w:rsidRPr="00316FC5">
        <w:rPr>
          <w:i/>
        </w:rPr>
        <w:t xml:space="preserve">n independent performance assessment will enhance the Joint </w:t>
      </w:r>
      <w:r w:rsidRPr="00316FC5">
        <w:rPr>
          <w:i/>
        </w:rPr>
        <w:t xml:space="preserve">Annual </w:t>
      </w:r>
      <w:r w:rsidR="00557051" w:rsidRPr="00316FC5">
        <w:rPr>
          <w:i/>
        </w:rPr>
        <w:t xml:space="preserve">Review </w:t>
      </w:r>
      <w:r w:rsidRPr="00316FC5">
        <w:rPr>
          <w:i/>
        </w:rPr>
        <w:t xml:space="preserve">(JAR) </w:t>
      </w:r>
      <w:r w:rsidR="00557051" w:rsidRPr="00316FC5">
        <w:rPr>
          <w:i/>
        </w:rPr>
        <w:t>process</w:t>
      </w:r>
      <w:r w:rsidR="00557051" w:rsidRPr="00AA3DAD">
        <w:t xml:space="preserve">. </w:t>
      </w:r>
      <w:r w:rsidR="00695DC8">
        <w:t>Currently</w:t>
      </w:r>
      <w:r w:rsidR="00557051" w:rsidRPr="00AA3DAD">
        <w:t xml:space="preserve">, HMIS generated data and process targets are used to prepare the Annual Progress Report. </w:t>
      </w:r>
      <w:r w:rsidR="001D361A">
        <w:t xml:space="preserve"> </w:t>
      </w:r>
      <w:r w:rsidR="00557051" w:rsidRPr="00AA3DAD">
        <w:t xml:space="preserve">Given the unknown quality of the HMIS data, future JARs will use </w:t>
      </w:r>
      <w:r>
        <w:t xml:space="preserve">an </w:t>
      </w:r>
      <w:r w:rsidR="00557051" w:rsidRPr="00AA3DAD">
        <w:t xml:space="preserve">independent party to carry out the assessment to provide an independent view of program progress. </w:t>
      </w:r>
      <w:r w:rsidR="001D361A">
        <w:t xml:space="preserve"> </w:t>
      </w:r>
      <w:r w:rsidR="00557051" w:rsidRPr="00AA3DAD">
        <w:t>Similarly, an ind</w:t>
      </w:r>
      <w:r w:rsidR="00557051">
        <w:t xml:space="preserve">ependent assessment of </w:t>
      </w:r>
      <w:r w:rsidR="00695DC8">
        <w:t xml:space="preserve">EDP </w:t>
      </w:r>
      <w:r w:rsidR="00557051">
        <w:t>performance is planned to add value to the joint reviews.</w:t>
      </w:r>
    </w:p>
    <w:p w:rsidR="00557051" w:rsidRDefault="00557051" w:rsidP="00557051">
      <w:pPr>
        <w:jc w:val="both"/>
        <w:rPr>
          <w:i/>
        </w:rPr>
      </w:pPr>
    </w:p>
    <w:p w:rsidR="00557051" w:rsidRPr="00AA3DAD" w:rsidRDefault="00557051" w:rsidP="00CE6F99">
      <w:pPr>
        <w:pStyle w:val="ListParagraph"/>
        <w:autoSpaceDE w:val="0"/>
        <w:autoSpaceDN w:val="0"/>
        <w:adjustRightInd w:val="0"/>
        <w:ind w:left="0"/>
        <w:jc w:val="both"/>
        <w:rPr>
          <w:rFonts w:eastAsia="Calibri"/>
        </w:rPr>
      </w:pPr>
      <w:r w:rsidRPr="00316FC5">
        <w:rPr>
          <w:i/>
        </w:rPr>
        <w:t xml:space="preserve">The management of the </w:t>
      </w:r>
      <w:proofErr w:type="spellStart"/>
      <w:r w:rsidRPr="00316FC5">
        <w:rPr>
          <w:i/>
        </w:rPr>
        <w:t>SWAp</w:t>
      </w:r>
      <w:proofErr w:type="spellEnd"/>
      <w:r w:rsidRPr="00316FC5">
        <w:rPr>
          <w:i/>
        </w:rPr>
        <w:t xml:space="preserve"> arrangement needs more clarity on the roles of all players</w:t>
      </w:r>
      <w:r w:rsidRPr="00AA3DAD">
        <w:t xml:space="preserve">. </w:t>
      </w:r>
      <w:r w:rsidR="001D361A">
        <w:t xml:space="preserve"> </w:t>
      </w:r>
      <w:r w:rsidRPr="00AA3DAD">
        <w:rPr>
          <w:rFonts w:eastAsia="Calibri"/>
        </w:rPr>
        <w:t xml:space="preserve">An </w:t>
      </w:r>
      <w:r w:rsidRPr="00AA3DAD">
        <w:t>understanding</w:t>
      </w:r>
      <w:r w:rsidRPr="00AA3DAD">
        <w:rPr>
          <w:rFonts w:eastAsia="Calibri"/>
        </w:rPr>
        <w:t xml:space="preserve"> of clear rules of engagement for coordination and management of the </w:t>
      </w:r>
      <w:proofErr w:type="spellStart"/>
      <w:r w:rsidRPr="00AA3DAD">
        <w:rPr>
          <w:rFonts w:eastAsia="Calibri"/>
        </w:rPr>
        <w:t>SWAp</w:t>
      </w:r>
      <w:proofErr w:type="spellEnd"/>
      <w:r w:rsidRPr="00AA3DAD">
        <w:rPr>
          <w:rFonts w:eastAsia="Calibri"/>
        </w:rPr>
        <w:t xml:space="preserve"> will be defined, to ensure decisions are taken swiftly, that time is not consumed by numerous meetings to reach consensus, and to maintain the focus of the program. </w:t>
      </w:r>
    </w:p>
    <w:p w:rsidR="00077D02" w:rsidRPr="007D58DC" w:rsidRDefault="00077D02" w:rsidP="00626C09">
      <w:pPr>
        <w:jc w:val="both"/>
        <w:rPr>
          <w:rFonts w:eastAsia="Calibri"/>
        </w:rPr>
      </w:pPr>
    </w:p>
    <w:bookmarkEnd w:id="23"/>
    <w:p w:rsidR="00626C09" w:rsidRPr="00077D02" w:rsidRDefault="00626C09">
      <w:pPr>
        <w:numPr>
          <w:ilvl w:val="0"/>
          <w:numId w:val="6"/>
        </w:numPr>
        <w:tabs>
          <w:tab w:val="clear" w:pos="720"/>
          <w:tab w:val="num" w:pos="360"/>
        </w:tabs>
        <w:ind w:left="360"/>
        <w:rPr>
          <w:b/>
        </w:rPr>
      </w:pPr>
      <w:r w:rsidRPr="00077D02">
        <w:rPr>
          <w:b/>
        </w:rPr>
        <w:t>Safeguard Policies (including public consultation)</w:t>
      </w:r>
      <w:bookmarkStart w:id="24" w:name="SafeguardPolicies"/>
    </w:p>
    <w:p w:rsidR="00626C09" w:rsidRDefault="00626C09"/>
    <w:tbl>
      <w:tblPr>
        <w:tblW w:w="0" w:type="auto"/>
        <w:jc w:val="center"/>
        <w:tblInd w:w="-1044" w:type="dxa"/>
        <w:tblBorders>
          <w:top w:val="single" w:sz="12" w:space="0" w:color="auto"/>
          <w:bottom w:val="single" w:sz="12" w:space="0" w:color="auto"/>
        </w:tblBorders>
        <w:tblLayout w:type="fixed"/>
        <w:tblLook w:val="0000"/>
      </w:tblPr>
      <w:tblGrid>
        <w:gridCol w:w="6066"/>
        <w:gridCol w:w="1593"/>
        <w:gridCol w:w="1593"/>
      </w:tblGrid>
      <w:tr w:rsidR="00626C09">
        <w:trPr>
          <w:jc w:val="center"/>
        </w:trPr>
        <w:tc>
          <w:tcPr>
            <w:tcW w:w="6066" w:type="dxa"/>
            <w:tcBorders>
              <w:top w:val="single" w:sz="12" w:space="0" w:color="auto"/>
              <w:left w:val="nil"/>
              <w:bottom w:val="single" w:sz="4" w:space="0" w:color="auto"/>
              <w:right w:val="nil"/>
            </w:tcBorders>
          </w:tcPr>
          <w:p w:rsidR="00626C09" w:rsidRDefault="00626C09">
            <w:pPr>
              <w:rPr>
                <w:b/>
                <w:bCs/>
                <w:sz w:val="20"/>
                <w:szCs w:val="20"/>
              </w:rPr>
            </w:pPr>
            <w:r>
              <w:rPr>
                <w:b/>
                <w:bCs/>
              </w:rPr>
              <w:t>Safeguard Policies Triggered by the Project</w:t>
            </w:r>
          </w:p>
        </w:tc>
        <w:tc>
          <w:tcPr>
            <w:tcW w:w="1593" w:type="dxa"/>
            <w:tcBorders>
              <w:top w:val="single" w:sz="12" w:space="0" w:color="auto"/>
              <w:left w:val="nil"/>
              <w:bottom w:val="single" w:sz="4" w:space="0" w:color="auto"/>
              <w:right w:val="nil"/>
            </w:tcBorders>
            <w:vAlign w:val="center"/>
          </w:tcPr>
          <w:p w:rsidR="00626C09" w:rsidRDefault="00626C09">
            <w:pPr>
              <w:jc w:val="center"/>
              <w:rPr>
                <w:sz w:val="20"/>
                <w:szCs w:val="20"/>
              </w:rPr>
            </w:pPr>
            <w:r>
              <w:t>Yes</w:t>
            </w:r>
          </w:p>
        </w:tc>
        <w:tc>
          <w:tcPr>
            <w:tcW w:w="1593" w:type="dxa"/>
            <w:tcBorders>
              <w:top w:val="single" w:sz="12" w:space="0" w:color="auto"/>
              <w:left w:val="nil"/>
              <w:bottom w:val="single" w:sz="4" w:space="0" w:color="auto"/>
              <w:right w:val="nil"/>
            </w:tcBorders>
            <w:vAlign w:val="center"/>
          </w:tcPr>
          <w:p w:rsidR="00626C09" w:rsidRDefault="00626C09">
            <w:pPr>
              <w:jc w:val="center"/>
              <w:rPr>
                <w:sz w:val="20"/>
                <w:szCs w:val="20"/>
              </w:rPr>
            </w:pPr>
            <w:r>
              <w:t>No</w:t>
            </w:r>
          </w:p>
        </w:tc>
      </w:tr>
      <w:bookmarkStart w:id="25" w:name="OPBPGP401No" w:colFirst="2" w:colLast="2"/>
      <w:bookmarkStart w:id="26" w:name="OPBPGP401" w:colFirst="1" w:colLast="1"/>
      <w:tr w:rsidR="00626C09">
        <w:trPr>
          <w:trHeight w:val="20"/>
          <w:jc w:val="center"/>
        </w:trPr>
        <w:tc>
          <w:tcPr>
            <w:tcW w:w="6066" w:type="dxa"/>
            <w:tcBorders>
              <w:top w:val="single" w:sz="4" w:space="0" w:color="auto"/>
              <w:left w:val="nil"/>
              <w:bottom w:val="nil"/>
              <w:right w:val="nil"/>
            </w:tcBorders>
            <w:vAlign w:val="center"/>
          </w:tcPr>
          <w:p w:rsidR="00626C09" w:rsidRDefault="0061182F">
            <w:r>
              <w:fldChar w:fldCharType="begin"/>
            </w:r>
            <w:r w:rsidR="00626C09">
              <w:instrText xml:space="preserve"> HYPERLINK "http://www.worldbank.org/environmentalassessment" </w:instrText>
            </w:r>
            <w:r>
              <w:fldChar w:fldCharType="separate"/>
            </w:r>
            <w:r w:rsidR="00626C09">
              <w:rPr>
                <w:rStyle w:val="Hyperlink"/>
              </w:rPr>
              <w:t>Environmental Assessment</w:t>
            </w:r>
            <w:r>
              <w:fldChar w:fldCharType="end"/>
            </w:r>
            <w:r w:rsidR="00626C09">
              <w:t xml:space="preserve"> (</w:t>
            </w:r>
            <w:hyperlink r:id="rId8" w:history="1">
              <w:r w:rsidR="00626C09">
                <w:rPr>
                  <w:rStyle w:val="Hyperlink"/>
                </w:rPr>
                <w:t>OP</w:t>
              </w:r>
            </w:hyperlink>
            <w:r w:rsidR="00626C09">
              <w:t>/</w:t>
            </w:r>
            <w:hyperlink r:id="rId9" w:history="1">
              <w:r w:rsidR="00626C09">
                <w:rPr>
                  <w:rStyle w:val="Hyperlink"/>
                </w:rPr>
                <w:t>BP</w:t>
              </w:r>
            </w:hyperlink>
            <w:r w:rsidR="00626C09">
              <w:t xml:space="preserve"> 4.01)</w:t>
            </w:r>
          </w:p>
        </w:tc>
        <w:tc>
          <w:tcPr>
            <w:tcW w:w="1593" w:type="dxa"/>
            <w:tcBorders>
              <w:top w:val="single" w:sz="4" w:space="0" w:color="auto"/>
              <w:left w:val="nil"/>
              <w:bottom w:val="nil"/>
              <w:right w:val="nil"/>
            </w:tcBorders>
            <w:vAlign w:val="center"/>
          </w:tcPr>
          <w:p w:rsidR="00626C09" w:rsidRDefault="00626C09" w:rsidP="00626C09">
            <w:pPr>
              <w:jc w:val="center"/>
            </w:pPr>
            <w:r>
              <w:t>[X]</w:t>
            </w:r>
          </w:p>
        </w:tc>
        <w:tc>
          <w:tcPr>
            <w:tcW w:w="1593" w:type="dxa"/>
            <w:tcBorders>
              <w:top w:val="single" w:sz="4" w:space="0" w:color="auto"/>
              <w:left w:val="nil"/>
              <w:bottom w:val="nil"/>
              <w:right w:val="nil"/>
            </w:tcBorders>
            <w:vAlign w:val="center"/>
          </w:tcPr>
          <w:p w:rsidR="00626C09" w:rsidRDefault="00626C09">
            <w:pPr>
              <w:jc w:val="center"/>
            </w:pPr>
            <w:r>
              <w:t>[ ]</w:t>
            </w:r>
          </w:p>
        </w:tc>
      </w:tr>
      <w:tr w:rsidR="00626C09">
        <w:trPr>
          <w:trHeight w:val="20"/>
          <w:jc w:val="center"/>
        </w:trPr>
        <w:tc>
          <w:tcPr>
            <w:tcW w:w="6066" w:type="dxa"/>
            <w:tcBorders>
              <w:top w:val="nil"/>
              <w:left w:val="nil"/>
              <w:bottom w:val="nil"/>
              <w:right w:val="nil"/>
            </w:tcBorders>
            <w:vAlign w:val="center"/>
          </w:tcPr>
          <w:p w:rsidR="00626C09" w:rsidRDefault="00626C09">
            <w:pPr>
              <w:rPr>
                <w:sz w:val="20"/>
                <w:szCs w:val="20"/>
              </w:rPr>
            </w:pPr>
            <w:bookmarkStart w:id="27" w:name="OPBP404No" w:colFirst="2" w:colLast="2"/>
            <w:bookmarkStart w:id="28" w:name="OPBP404" w:colFirst="1" w:colLast="1"/>
            <w:bookmarkEnd w:id="25"/>
            <w:bookmarkEnd w:id="26"/>
            <w:r>
              <w:t>Natural Habitats (</w:t>
            </w:r>
            <w:hyperlink r:id="rId10" w:history="1">
              <w:r>
                <w:rPr>
                  <w:rStyle w:val="Hyperlink"/>
                </w:rPr>
                <w:t>OP</w:t>
              </w:r>
            </w:hyperlink>
            <w:r>
              <w:t>/</w:t>
            </w:r>
            <w:hyperlink r:id="rId11" w:history="1">
              <w:r>
                <w:rPr>
                  <w:rStyle w:val="Hyperlink"/>
                </w:rPr>
                <w:t>BP</w:t>
              </w:r>
            </w:hyperlink>
            <w:r>
              <w:t xml:space="preserve"> 4.04)</w:t>
            </w:r>
          </w:p>
        </w:tc>
        <w:tc>
          <w:tcPr>
            <w:tcW w:w="1593" w:type="dxa"/>
            <w:tcBorders>
              <w:top w:val="nil"/>
              <w:left w:val="nil"/>
              <w:bottom w:val="nil"/>
              <w:right w:val="nil"/>
            </w:tcBorders>
            <w:vAlign w:val="center"/>
          </w:tcPr>
          <w:p w:rsidR="00626C09" w:rsidRDefault="00626C09">
            <w:pPr>
              <w:jc w:val="center"/>
            </w:pPr>
            <w:r>
              <w:t>[ ]</w:t>
            </w:r>
          </w:p>
        </w:tc>
        <w:tc>
          <w:tcPr>
            <w:tcW w:w="1593" w:type="dxa"/>
            <w:tcBorders>
              <w:top w:val="nil"/>
              <w:left w:val="nil"/>
              <w:bottom w:val="nil"/>
              <w:right w:val="nil"/>
            </w:tcBorders>
            <w:vAlign w:val="center"/>
          </w:tcPr>
          <w:p w:rsidR="00626C09" w:rsidRDefault="00626C09">
            <w:pPr>
              <w:jc w:val="center"/>
            </w:pPr>
            <w:r>
              <w:t>[X]</w:t>
            </w:r>
          </w:p>
        </w:tc>
      </w:tr>
      <w:tr w:rsidR="00626C09">
        <w:trPr>
          <w:trHeight w:val="20"/>
          <w:jc w:val="center"/>
        </w:trPr>
        <w:tc>
          <w:tcPr>
            <w:tcW w:w="6066" w:type="dxa"/>
            <w:tcBorders>
              <w:top w:val="nil"/>
              <w:left w:val="nil"/>
              <w:bottom w:val="nil"/>
              <w:right w:val="nil"/>
            </w:tcBorders>
            <w:vAlign w:val="center"/>
          </w:tcPr>
          <w:p w:rsidR="00626C09" w:rsidRDefault="00626C09">
            <w:pPr>
              <w:rPr>
                <w:sz w:val="20"/>
                <w:szCs w:val="20"/>
              </w:rPr>
            </w:pPr>
            <w:bookmarkStart w:id="29" w:name="OP409No" w:colFirst="2" w:colLast="2"/>
            <w:bookmarkStart w:id="30" w:name="OP409" w:colFirst="1" w:colLast="1"/>
            <w:bookmarkEnd w:id="27"/>
            <w:bookmarkEnd w:id="28"/>
            <w:r>
              <w:t>Pest Management (</w:t>
            </w:r>
            <w:hyperlink r:id="rId12" w:history="1">
              <w:r>
                <w:rPr>
                  <w:rStyle w:val="Hyperlink"/>
                </w:rPr>
                <w:t>OP 4.09</w:t>
              </w:r>
            </w:hyperlink>
            <w:r>
              <w:t>)</w:t>
            </w:r>
          </w:p>
        </w:tc>
        <w:tc>
          <w:tcPr>
            <w:tcW w:w="1593" w:type="dxa"/>
            <w:tcBorders>
              <w:top w:val="nil"/>
              <w:left w:val="nil"/>
              <w:bottom w:val="nil"/>
              <w:right w:val="nil"/>
            </w:tcBorders>
            <w:vAlign w:val="center"/>
          </w:tcPr>
          <w:p w:rsidR="00626C09" w:rsidRDefault="00626C09">
            <w:pPr>
              <w:jc w:val="center"/>
            </w:pPr>
            <w:r>
              <w:t>[ ]</w:t>
            </w:r>
          </w:p>
        </w:tc>
        <w:tc>
          <w:tcPr>
            <w:tcW w:w="1593" w:type="dxa"/>
            <w:tcBorders>
              <w:top w:val="nil"/>
              <w:left w:val="nil"/>
              <w:bottom w:val="nil"/>
              <w:right w:val="nil"/>
            </w:tcBorders>
            <w:vAlign w:val="center"/>
          </w:tcPr>
          <w:p w:rsidR="00626C09" w:rsidRDefault="00626C09">
            <w:pPr>
              <w:jc w:val="center"/>
            </w:pPr>
            <w:r>
              <w:t>[X]</w:t>
            </w:r>
          </w:p>
        </w:tc>
      </w:tr>
      <w:tr w:rsidR="00626C09">
        <w:trPr>
          <w:trHeight w:val="20"/>
          <w:jc w:val="center"/>
        </w:trPr>
        <w:tc>
          <w:tcPr>
            <w:tcW w:w="6066" w:type="dxa"/>
            <w:tcBorders>
              <w:top w:val="nil"/>
              <w:left w:val="nil"/>
              <w:bottom w:val="nil"/>
              <w:right w:val="nil"/>
            </w:tcBorders>
            <w:vAlign w:val="center"/>
          </w:tcPr>
          <w:p w:rsidR="00626C09" w:rsidRDefault="00626C09">
            <w:pPr>
              <w:rPr>
                <w:szCs w:val="20"/>
              </w:rPr>
            </w:pPr>
            <w:bookmarkStart w:id="31" w:name="OPN1103No" w:colFirst="2" w:colLast="2"/>
            <w:bookmarkStart w:id="32" w:name="OPN1103" w:colFirst="1" w:colLast="1"/>
            <w:bookmarkStart w:id="33" w:name="OPBP411" w:colFirst="1" w:colLast="1"/>
            <w:bookmarkStart w:id="34" w:name="OPBP411No" w:colFirst="2" w:colLast="2"/>
            <w:bookmarkEnd w:id="29"/>
            <w:bookmarkEnd w:id="30"/>
            <w:r>
              <w:t>Physical Cultural Resources (</w:t>
            </w:r>
            <w:hyperlink r:id="rId13" w:history="1">
              <w:r>
                <w:rPr>
                  <w:rStyle w:val="Hyperlink"/>
                </w:rPr>
                <w:t>OP/BP 4.11</w:t>
              </w:r>
            </w:hyperlink>
            <w:r>
              <w:t>)</w:t>
            </w:r>
          </w:p>
        </w:tc>
        <w:tc>
          <w:tcPr>
            <w:tcW w:w="1593" w:type="dxa"/>
            <w:tcBorders>
              <w:top w:val="nil"/>
              <w:left w:val="nil"/>
              <w:bottom w:val="nil"/>
              <w:right w:val="nil"/>
            </w:tcBorders>
            <w:vAlign w:val="center"/>
          </w:tcPr>
          <w:p w:rsidR="00626C09" w:rsidRDefault="00626C09">
            <w:pPr>
              <w:jc w:val="center"/>
            </w:pPr>
            <w:r>
              <w:t>[ ]</w:t>
            </w:r>
          </w:p>
        </w:tc>
        <w:tc>
          <w:tcPr>
            <w:tcW w:w="1593" w:type="dxa"/>
            <w:tcBorders>
              <w:top w:val="nil"/>
              <w:left w:val="nil"/>
              <w:bottom w:val="nil"/>
              <w:right w:val="nil"/>
            </w:tcBorders>
            <w:vAlign w:val="center"/>
          </w:tcPr>
          <w:p w:rsidR="00626C09" w:rsidRDefault="00626C09">
            <w:pPr>
              <w:jc w:val="center"/>
            </w:pPr>
            <w:r>
              <w:t>[X]</w:t>
            </w:r>
          </w:p>
        </w:tc>
      </w:tr>
      <w:tr w:rsidR="00626C09">
        <w:trPr>
          <w:trHeight w:val="20"/>
          <w:jc w:val="center"/>
        </w:trPr>
        <w:tc>
          <w:tcPr>
            <w:tcW w:w="6066" w:type="dxa"/>
            <w:tcBorders>
              <w:top w:val="nil"/>
              <w:left w:val="nil"/>
              <w:bottom w:val="nil"/>
              <w:right w:val="nil"/>
            </w:tcBorders>
            <w:vAlign w:val="center"/>
          </w:tcPr>
          <w:p w:rsidR="00626C09" w:rsidRDefault="00626C09">
            <w:pPr>
              <w:rPr>
                <w:sz w:val="20"/>
                <w:szCs w:val="20"/>
              </w:rPr>
            </w:pPr>
            <w:bookmarkStart w:id="35" w:name="OPBP412No" w:colFirst="2" w:colLast="2"/>
            <w:bookmarkStart w:id="36" w:name="OPBP412" w:colFirst="1" w:colLast="1"/>
            <w:bookmarkEnd w:id="31"/>
            <w:bookmarkEnd w:id="32"/>
            <w:bookmarkEnd w:id="33"/>
            <w:bookmarkEnd w:id="34"/>
            <w:r>
              <w:t>Involuntary Resettlement (</w:t>
            </w:r>
            <w:hyperlink r:id="rId14" w:history="1">
              <w:r>
                <w:rPr>
                  <w:rStyle w:val="Hyperlink"/>
                </w:rPr>
                <w:t>OP</w:t>
              </w:r>
            </w:hyperlink>
            <w:r>
              <w:t>/</w:t>
            </w:r>
            <w:hyperlink r:id="rId15" w:history="1">
              <w:r>
                <w:rPr>
                  <w:rStyle w:val="Hyperlink"/>
                </w:rPr>
                <w:t>BP</w:t>
              </w:r>
            </w:hyperlink>
            <w:r>
              <w:t xml:space="preserve"> 4.12)</w:t>
            </w:r>
          </w:p>
        </w:tc>
        <w:tc>
          <w:tcPr>
            <w:tcW w:w="1593" w:type="dxa"/>
            <w:tcBorders>
              <w:top w:val="nil"/>
              <w:left w:val="nil"/>
              <w:bottom w:val="nil"/>
              <w:right w:val="nil"/>
            </w:tcBorders>
            <w:vAlign w:val="center"/>
          </w:tcPr>
          <w:p w:rsidR="00626C09" w:rsidRDefault="006C54CA">
            <w:pPr>
              <w:jc w:val="center"/>
            </w:pPr>
            <w:r>
              <w:t>[</w:t>
            </w:r>
            <w:r w:rsidR="00557051">
              <w:t>X</w:t>
            </w:r>
            <w:r w:rsidR="00626C09">
              <w:t>]</w:t>
            </w:r>
          </w:p>
        </w:tc>
        <w:tc>
          <w:tcPr>
            <w:tcW w:w="1593" w:type="dxa"/>
            <w:tcBorders>
              <w:top w:val="nil"/>
              <w:left w:val="nil"/>
              <w:bottom w:val="nil"/>
              <w:right w:val="nil"/>
            </w:tcBorders>
            <w:vAlign w:val="center"/>
          </w:tcPr>
          <w:p w:rsidR="00626C09" w:rsidRDefault="00626C09" w:rsidP="00557051">
            <w:pPr>
              <w:jc w:val="center"/>
            </w:pPr>
            <w:r>
              <w:t>[</w:t>
            </w:r>
            <w:r w:rsidR="00782724">
              <w:t xml:space="preserve"> </w:t>
            </w:r>
            <w:r>
              <w:t>]</w:t>
            </w:r>
          </w:p>
        </w:tc>
      </w:tr>
      <w:tr w:rsidR="00626C09">
        <w:trPr>
          <w:trHeight w:val="20"/>
          <w:jc w:val="center"/>
        </w:trPr>
        <w:tc>
          <w:tcPr>
            <w:tcW w:w="6066" w:type="dxa"/>
            <w:tcBorders>
              <w:top w:val="nil"/>
              <w:left w:val="nil"/>
              <w:bottom w:val="nil"/>
              <w:right w:val="nil"/>
            </w:tcBorders>
            <w:vAlign w:val="center"/>
          </w:tcPr>
          <w:p w:rsidR="00626C09" w:rsidRDefault="00626C09">
            <w:pPr>
              <w:rPr>
                <w:sz w:val="20"/>
                <w:szCs w:val="20"/>
              </w:rPr>
            </w:pPr>
            <w:bookmarkStart w:id="37" w:name="OD420No" w:colFirst="2" w:colLast="2"/>
            <w:bookmarkStart w:id="38" w:name="OD420" w:colFirst="1" w:colLast="1"/>
            <w:bookmarkEnd w:id="35"/>
            <w:bookmarkEnd w:id="36"/>
            <w:r>
              <w:t>Indigenous Peoples (</w:t>
            </w:r>
            <w:hyperlink r:id="rId16" w:history="1">
              <w:r>
                <w:rPr>
                  <w:rStyle w:val="Hyperlink"/>
                </w:rPr>
                <w:t>OP</w:t>
              </w:r>
            </w:hyperlink>
            <w:r>
              <w:t>/</w:t>
            </w:r>
            <w:hyperlink r:id="rId17" w:history="1">
              <w:r>
                <w:rPr>
                  <w:rStyle w:val="Hyperlink"/>
                </w:rPr>
                <w:t>BP</w:t>
              </w:r>
            </w:hyperlink>
            <w:r>
              <w:t xml:space="preserve"> 4.10)</w:t>
            </w:r>
          </w:p>
        </w:tc>
        <w:tc>
          <w:tcPr>
            <w:tcW w:w="1593" w:type="dxa"/>
            <w:tcBorders>
              <w:top w:val="nil"/>
              <w:left w:val="nil"/>
              <w:bottom w:val="nil"/>
              <w:right w:val="nil"/>
            </w:tcBorders>
            <w:vAlign w:val="center"/>
          </w:tcPr>
          <w:p w:rsidR="00626C09" w:rsidRDefault="00626C09">
            <w:pPr>
              <w:jc w:val="center"/>
            </w:pPr>
            <w:r>
              <w:t>[X]</w:t>
            </w:r>
          </w:p>
        </w:tc>
        <w:tc>
          <w:tcPr>
            <w:tcW w:w="1593" w:type="dxa"/>
            <w:tcBorders>
              <w:top w:val="nil"/>
              <w:left w:val="nil"/>
              <w:bottom w:val="nil"/>
              <w:right w:val="nil"/>
            </w:tcBorders>
            <w:vAlign w:val="center"/>
          </w:tcPr>
          <w:p w:rsidR="00626C09" w:rsidRDefault="00626C09">
            <w:pPr>
              <w:jc w:val="center"/>
            </w:pPr>
            <w:r>
              <w:t>[ ]</w:t>
            </w:r>
          </w:p>
        </w:tc>
      </w:tr>
      <w:tr w:rsidR="00626C09">
        <w:trPr>
          <w:trHeight w:val="20"/>
          <w:jc w:val="center"/>
        </w:trPr>
        <w:tc>
          <w:tcPr>
            <w:tcW w:w="6066" w:type="dxa"/>
            <w:tcBorders>
              <w:top w:val="nil"/>
              <w:left w:val="nil"/>
              <w:bottom w:val="nil"/>
              <w:right w:val="nil"/>
            </w:tcBorders>
            <w:vAlign w:val="center"/>
          </w:tcPr>
          <w:p w:rsidR="00626C09" w:rsidRDefault="00626C09">
            <w:pPr>
              <w:rPr>
                <w:sz w:val="20"/>
                <w:szCs w:val="20"/>
              </w:rPr>
            </w:pPr>
            <w:bookmarkStart w:id="39" w:name="OPBP436No" w:colFirst="2" w:colLast="2"/>
            <w:bookmarkStart w:id="40" w:name="OPBP436" w:colFirst="1" w:colLast="1"/>
            <w:bookmarkEnd w:id="37"/>
            <w:bookmarkEnd w:id="38"/>
            <w:r>
              <w:t>Forests (</w:t>
            </w:r>
            <w:hyperlink r:id="rId18" w:history="1">
              <w:r>
                <w:rPr>
                  <w:rStyle w:val="Hyperlink"/>
                </w:rPr>
                <w:t>OP</w:t>
              </w:r>
            </w:hyperlink>
            <w:r>
              <w:t>/</w:t>
            </w:r>
            <w:hyperlink r:id="rId19" w:history="1">
              <w:r>
                <w:rPr>
                  <w:rStyle w:val="Hyperlink"/>
                </w:rPr>
                <w:t>BP</w:t>
              </w:r>
            </w:hyperlink>
            <w:r>
              <w:t xml:space="preserve"> 4.36)</w:t>
            </w:r>
          </w:p>
        </w:tc>
        <w:tc>
          <w:tcPr>
            <w:tcW w:w="1593" w:type="dxa"/>
            <w:tcBorders>
              <w:top w:val="nil"/>
              <w:left w:val="nil"/>
              <w:bottom w:val="nil"/>
              <w:right w:val="nil"/>
            </w:tcBorders>
            <w:vAlign w:val="center"/>
          </w:tcPr>
          <w:p w:rsidR="00626C09" w:rsidRDefault="00626C09">
            <w:pPr>
              <w:jc w:val="center"/>
            </w:pPr>
            <w:r>
              <w:t>[ ]</w:t>
            </w:r>
          </w:p>
        </w:tc>
        <w:tc>
          <w:tcPr>
            <w:tcW w:w="1593" w:type="dxa"/>
            <w:tcBorders>
              <w:top w:val="nil"/>
              <w:left w:val="nil"/>
              <w:bottom w:val="nil"/>
              <w:right w:val="nil"/>
            </w:tcBorders>
            <w:vAlign w:val="center"/>
          </w:tcPr>
          <w:p w:rsidR="00626C09" w:rsidRDefault="00626C09">
            <w:pPr>
              <w:jc w:val="center"/>
            </w:pPr>
            <w:r>
              <w:t>[X]</w:t>
            </w:r>
          </w:p>
        </w:tc>
      </w:tr>
      <w:tr w:rsidR="00626C09">
        <w:trPr>
          <w:trHeight w:val="20"/>
          <w:jc w:val="center"/>
        </w:trPr>
        <w:tc>
          <w:tcPr>
            <w:tcW w:w="6066" w:type="dxa"/>
            <w:tcBorders>
              <w:top w:val="nil"/>
              <w:left w:val="nil"/>
              <w:bottom w:val="nil"/>
              <w:right w:val="nil"/>
            </w:tcBorders>
            <w:vAlign w:val="center"/>
          </w:tcPr>
          <w:p w:rsidR="00626C09" w:rsidRDefault="00626C09">
            <w:pPr>
              <w:rPr>
                <w:sz w:val="20"/>
                <w:szCs w:val="20"/>
              </w:rPr>
            </w:pPr>
            <w:bookmarkStart w:id="41" w:name="OPBP437No" w:colFirst="2" w:colLast="2"/>
            <w:bookmarkStart w:id="42" w:name="OPBP437" w:colFirst="1" w:colLast="1"/>
            <w:bookmarkEnd w:id="39"/>
            <w:bookmarkEnd w:id="40"/>
            <w:r>
              <w:t>Safety of Dams (</w:t>
            </w:r>
            <w:hyperlink r:id="rId20" w:history="1">
              <w:r>
                <w:rPr>
                  <w:rStyle w:val="Hyperlink"/>
                </w:rPr>
                <w:t>OP</w:t>
              </w:r>
            </w:hyperlink>
            <w:r>
              <w:t>/</w:t>
            </w:r>
            <w:hyperlink r:id="rId21" w:history="1">
              <w:r>
                <w:rPr>
                  <w:rStyle w:val="Hyperlink"/>
                </w:rPr>
                <w:t>BP</w:t>
              </w:r>
            </w:hyperlink>
            <w:r>
              <w:t xml:space="preserve"> 4.37)</w:t>
            </w:r>
          </w:p>
        </w:tc>
        <w:tc>
          <w:tcPr>
            <w:tcW w:w="1593" w:type="dxa"/>
            <w:tcBorders>
              <w:top w:val="nil"/>
              <w:left w:val="nil"/>
              <w:bottom w:val="nil"/>
              <w:right w:val="nil"/>
            </w:tcBorders>
            <w:vAlign w:val="center"/>
          </w:tcPr>
          <w:p w:rsidR="00626C09" w:rsidRDefault="00626C09">
            <w:pPr>
              <w:jc w:val="center"/>
            </w:pPr>
            <w:r>
              <w:t>[ ]</w:t>
            </w:r>
          </w:p>
        </w:tc>
        <w:tc>
          <w:tcPr>
            <w:tcW w:w="1593" w:type="dxa"/>
            <w:tcBorders>
              <w:top w:val="nil"/>
              <w:left w:val="nil"/>
              <w:bottom w:val="nil"/>
              <w:right w:val="nil"/>
            </w:tcBorders>
            <w:vAlign w:val="center"/>
          </w:tcPr>
          <w:p w:rsidR="00626C09" w:rsidRDefault="00626C09">
            <w:pPr>
              <w:jc w:val="center"/>
            </w:pPr>
            <w:r>
              <w:t>[X]</w:t>
            </w:r>
          </w:p>
        </w:tc>
      </w:tr>
      <w:tr w:rsidR="00626C09">
        <w:trPr>
          <w:trHeight w:val="20"/>
          <w:jc w:val="center"/>
        </w:trPr>
        <w:tc>
          <w:tcPr>
            <w:tcW w:w="6066" w:type="dxa"/>
            <w:tcBorders>
              <w:top w:val="nil"/>
              <w:left w:val="nil"/>
              <w:bottom w:val="nil"/>
              <w:right w:val="nil"/>
            </w:tcBorders>
            <w:vAlign w:val="center"/>
          </w:tcPr>
          <w:p w:rsidR="00626C09" w:rsidRDefault="00626C09">
            <w:pPr>
              <w:rPr>
                <w:sz w:val="20"/>
                <w:szCs w:val="20"/>
              </w:rPr>
            </w:pPr>
            <w:bookmarkStart w:id="43" w:name="OPBPGP760No" w:colFirst="2" w:colLast="2"/>
            <w:bookmarkStart w:id="44" w:name="OPBPGP760" w:colFirst="1" w:colLast="1"/>
            <w:bookmarkEnd w:id="41"/>
            <w:bookmarkEnd w:id="42"/>
            <w:r>
              <w:t>Projects in Disputed Areas (</w:t>
            </w:r>
            <w:hyperlink r:id="rId22" w:history="1">
              <w:r>
                <w:rPr>
                  <w:rStyle w:val="Hyperlink"/>
                </w:rPr>
                <w:t>OP</w:t>
              </w:r>
            </w:hyperlink>
            <w:r>
              <w:t>/</w:t>
            </w:r>
            <w:hyperlink r:id="rId23" w:history="1">
              <w:r>
                <w:rPr>
                  <w:rStyle w:val="Hyperlink"/>
                </w:rPr>
                <w:t>BP</w:t>
              </w:r>
            </w:hyperlink>
            <w:r>
              <w:t xml:space="preserve"> 7.60)</w:t>
            </w:r>
            <w:r>
              <w:rPr>
                <w:rStyle w:val="FootnoteReference"/>
              </w:rPr>
              <w:footnoteReference w:customMarkFollows="1" w:id="5"/>
              <w:t>*</w:t>
            </w:r>
          </w:p>
        </w:tc>
        <w:tc>
          <w:tcPr>
            <w:tcW w:w="1593" w:type="dxa"/>
            <w:tcBorders>
              <w:top w:val="nil"/>
              <w:left w:val="nil"/>
              <w:bottom w:val="nil"/>
              <w:right w:val="nil"/>
            </w:tcBorders>
            <w:vAlign w:val="center"/>
          </w:tcPr>
          <w:p w:rsidR="00626C09" w:rsidRDefault="00626C09">
            <w:pPr>
              <w:jc w:val="center"/>
            </w:pPr>
            <w:r>
              <w:t>[ ]</w:t>
            </w:r>
          </w:p>
        </w:tc>
        <w:tc>
          <w:tcPr>
            <w:tcW w:w="1593" w:type="dxa"/>
            <w:tcBorders>
              <w:top w:val="nil"/>
              <w:left w:val="nil"/>
              <w:bottom w:val="nil"/>
              <w:right w:val="nil"/>
            </w:tcBorders>
            <w:vAlign w:val="center"/>
          </w:tcPr>
          <w:p w:rsidR="00626C09" w:rsidRDefault="00626C09">
            <w:pPr>
              <w:jc w:val="center"/>
            </w:pPr>
            <w:r>
              <w:t>[X]</w:t>
            </w:r>
          </w:p>
        </w:tc>
      </w:tr>
      <w:tr w:rsidR="00626C09">
        <w:trPr>
          <w:trHeight w:val="20"/>
          <w:jc w:val="center"/>
        </w:trPr>
        <w:tc>
          <w:tcPr>
            <w:tcW w:w="6066" w:type="dxa"/>
            <w:tcBorders>
              <w:top w:val="nil"/>
              <w:left w:val="nil"/>
              <w:bottom w:val="single" w:sz="12" w:space="0" w:color="auto"/>
              <w:right w:val="nil"/>
            </w:tcBorders>
            <w:vAlign w:val="center"/>
          </w:tcPr>
          <w:p w:rsidR="00626C09" w:rsidRDefault="00626C09">
            <w:pPr>
              <w:rPr>
                <w:sz w:val="20"/>
                <w:szCs w:val="20"/>
              </w:rPr>
            </w:pPr>
            <w:bookmarkStart w:id="45" w:name="OPBPGP750No" w:colFirst="2" w:colLast="2"/>
            <w:bookmarkStart w:id="46" w:name="OPBPGP750" w:colFirst="1" w:colLast="1"/>
            <w:bookmarkEnd w:id="43"/>
            <w:bookmarkEnd w:id="44"/>
            <w:r>
              <w:t>Projects on International Waterways (</w:t>
            </w:r>
            <w:hyperlink r:id="rId24" w:history="1">
              <w:r>
                <w:rPr>
                  <w:rStyle w:val="Hyperlink"/>
                </w:rPr>
                <w:t>OP</w:t>
              </w:r>
            </w:hyperlink>
            <w:r>
              <w:t>/</w:t>
            </w:r>
            <w:hyperlink r:id="rId25" w:history="1">
              <w:r>
                <w:rPr>
                  <w:rStyle w:val="Hyperlink"/>
                </w:rPr>
                <w:t>BP</w:t>
              </w:r>
            </w:hyperlink>
            <w:r>
              <w:t xml:space="preserve"> 7.50)</w:t>
            </w:r>
          </w:p>
        </w:tc>
        <w:tc>
          <w:tcPr>
            <w:tcW w:w="1593" w:type="dxa"/>
            <w:tcBorders>
              <w:top w:val="nil"/>
              <w:left w:val="nil"/>
              <w:bottom w:val="single" w:sz="12" w:space="0" w:color="auto"/>
              <w:right w:val="nil"/>
            </w:tcBorders>
            <w:vAlign w:val="center"/>
          </w:tcPr>
          <w:p w:rsidR="00626C09" w:rsidRDefault="00626C09">
            <w:pPr>
              <w:jc w:val="center"/>
            </w:pPr>
            <w:r>
              <w:t>[ ]</w:t>
            </w:r>
          </w:p>
        </w:tc>
        <w:tc>
          <w:tcPr>
            <w:tcW w:w="1593" w:type="dxa"/>
            <w:tcBorders>
              <w:top w:val="nil"/>
              <w:left w:val="nil"/>
              <w:bottom w:val="single" w:sz="12" w:space="0" w:color="auto"/>
              <w:right w:val="nil"/>
            </w:tcBorders>
            <w:vAlign w:val="center"/>
          </w:tcPr>
          <w:p w:rsidR="00626C09" w:rsidRDefault="00626C09">
            <w:pPr>
              <w:jc w:val="center"/>
            </w:pPr>
            <w:r>
              <w:t>[X]</w:t>
            </w:r>
          </w:p>
        </w:tc>
      </w:tr>
      <w:bookmarkEnd w:id="45"/>
      <w:bookmarkEnd w:id="46"/>
    </w:tbl>
    <w:p w:rsidR="00626C09" w:rsidRDefault="00626C09"/>
    <w:p w:rsidR="00626C09" w:rsidRDefault="00626C09"/>
    <w:bookmarkEnd w:id="24"/>
    <w:p w:rsidR="00626C09" w:rsidRPr="00077D02" w:rsidRDefault="00626C09">
      <w:pPr>
        <w:numPr>
          <w:ilvl w:val="0"/>
          <w:numId w:val="6"/>
        </w:numPr>
        <w:tabs>
          <w:tab w:val="clear" w:pos="720"/>
          <w:tab w:val="num" w:pos="360"/>
        </w:tabs>
        <w:ind w:left="360"/>
        <w:rPr>
          <w:b/>
        </w:rPr>
      </w:pPr>
      <w:r w:rsidRPr="00077D02">
        <w:rPr>
          <w:b/>
        </w:rPr>
        <w:t>List of Factual Technical Documents</w:t>
      </w:r>
      <w:bookmarkStart w:id="47" w:name="FactualTechnicalDocuments"/>
    </w:p>
    <w:p w:rsidR="00626C09" w:rsidRDefault="00626C09"/>
    <w:p w:rsidR="00D929AB" w:rsidRDefault="00D929AB" w:rsidP="009923A2">
      <w:pPr>
        <w:pStyle w:val="ListParagraph"/>
        <w:numPr>
          <w:ilvl w:val="0"/>
          <w:numId w:val="11"/>
        </w:numPr>
      </w:pPr>
      <w:r>
        <w:t xml:space="preserve">Environmental Health Impact Assessment Plan, NHSP </w:t>
      </w:r>
      <w:r w:rsidR="004A6A33">
        <w:t>II</w:t>
      </w:r>
    </w:p>
    <w:p w:rsidR="00D929AB" w:rsidRDefault="00D929AB" w:rsidP="009923A2">
      <w:pPr>
        <w:pStyle w:val="ListParagraph"/>
        <w:numPr>
          <w:ilvl w:val="0"/>
          <w:numId w:val="11"/>
        </w:numPr>
      </w:pPr>
      <w:r>
        <w:t>Environmental Management Framework for Physical Infrastructure Works, NHSP II</w:t>
      </w:r>
    </w:p>
    <w:p w:rsidR="00D929AB" w:rsidRDefault="00D929AB" w:rsidP="009923A2">
      <w:pPr>
        <w:pStyle w:val="ListParagraph"/>
        <w:numPr>
          <w:ilvl w:val="0"/>
          <w:numId w:val="11"/>
        </w:numPr>
      </w:pPr>
      <w:r>
        <w:t>Indigenous People’s Development Framework, NHSP II</w:t>
      </w:r>
    </w:p>
    <w:p w:rsidR="00D929AB" w:rsidRDefault="00D929AB" w:rsidP="009923A2">
      <w:pPr>
        <w:pStyle w:val="ListParagraph"/>
        <w:numPr>
          <w:ilvl w:val="0"/>
          <w:numId w:val="11"/>
        </w:numPr>
      </w:pPr>
      <w:r>
        <w:t>Framework for Land Acquisition and Resettlement, NHSP II</w:t>
      </w:r>
    </w:p>
    <w:p w:rsidR="00640D8A" w:rsidRDefault="00D929AB" w:rsidP="00D929AB">
      <w:pPr>
        <w:pStyle w:val="ListParagraph"/>
        <w:numPr>
          <w:ilvl w:val="0"/>
          <w:numId w:val="11"/>
        </w:numPr>
      </w:pPr>
      <w:r>
        <w:t>Health Sector Gender Equality and Social Inclusion (GESI) Strategy</w:t>
      </w:r>
    </w:p>
    <w:p w:rsidR="009923A2" w:rsidRDefault="009923A2" w:rsidP="00D929AB">
      <w:pPr>
        <w:pStyle w:val="ListParagraph"/>
        <w:numPr>
          <w:ilvl w:val="0"/>
          <w:numId w:val="11"/>
        </w:numPr>
      </w:pPr>
      <w:r>
        <w:t>Vulnerable Community Development Plan</w:t>
      </w:r>
      <w:r w:rsidR="004A6A33">
        <w:t xml:space="preserve"> for Nepal Health Sector </w:t>
      </w:r>
      <w:proofErr w:type="spellStart"/>
      <w:r w:rsidR="004A6A33">
        <w:t>Programme</w:t>
      </w:r>
      <w:proofErr w:type="spellEnd"/>
      <w:r w:rsidR="004A6A33">
        <w:t xml:space="preserve"> Implementation Plan (2004/5 – 2008/9)</w:t>
      </w:r>
    </w:p>
    <w:p w:rsidR="009923A2" w:rsidRDefault="009923A2" w:rsidP="009923A2">
      <w:pPr>
        <w:pStyle w:val="ListParagraph"/>
        <w:numPr>
          <w:ilvl w:val="0"/>
          <w:numId w:val="11"/>
        </w:numPr>
      </w:pPr>
      <w:r>
        <w:t>Health Care Waste Management Strategy and Action Plan, NHSP I</w:t>
      </w:r>
    </w:p>
    <w:p w:rsidR="009923A2" w:rsidRDefault="009923A2" w:rsidP="009923A2">
      <w:pPr>
        <w:pStyle w:val="ListParagraph"/>
        <w:numPr>
          <w:ilvl w:val="0"/>
          <w:numId w:val="11"/>
        </w:numPr>
      </w:pPr>
      <w:r>
        <w:t xml:space="preserve">Health Care Waste Management </w:t>
      </w:r>
      <w:r w:rsidR="004A6A33">
        <w:t>Strategy and Action Plan, NHSP II</w:t>
      </w:r>
    </w:p>
    <w:p w:rsidR="009923A2" w:rsidRDefault="009923A2" w:rsidP="009923A2">
      <w:pPr>
        <w:pStyle w:val="ListParagraph"/>
        <w:numPr>
          <w:ilvl w:val="0"/>
          <w:numId w:val="11"/>
        </w:numPr>
      </w:pPr>
      <w:r>
        <w:t>Environmental Impact Assessment (EIA) of Nepal Health Sector Program-Implementation Plan, (NHSP-IP-2004-2009)</w:t>
      </w:r>
    </w:p>
    <w:p w:rsidR="009923A2" w:rsidRDefault="009923A2" w:rsidP="009923A2">
      <w:pPr>
        <w:pStyle w:val="ListParagraph"/>
        <w:numPr>
          <w:ilvl w:val="0"/>
          <w:numId w:val="11"/>
        </w:numPr>
      </w:pPr>
      <w:r>
        <w:t>Governance and Accountability Action Plan (GAAP)</w:t>
      </w:r>
    </w:p>
    <w:p w:rsidR="009923A2" w:rsidRDefault="009923A2" w:rsidP="00D929AB">
      <w:pPr>
        <w:pStyle w:val="ListParagraph"/>
      </w:pPr>
    </w:p>
    <w:p w:rsidR="00626C09" w:rsidRDefault="00626C09"/>
    <w:bookmarkEnd w:id="47"/>
    <w:p w:rsidR="00626C09" w:rsidRPr="00077D02" w:rsidRDefault="00626C09">
      <w:pPr>
        <w:numPr>
          <w:ilvl w:val="0"/>
          <w:numId w:val="6"/>
        </w:numPr>
        <w:tabs>
          <w:tab w:val="clear" w:pos="720"/>
          <w:tab w:val="num" w:pos="360"/>
        </w:tabs>
        <w:ind w:left="360"/>
        <w:rPr>
          <w:b/>
        </w:rPr>
      </w:pPr>
      <w:r w:rsidRPr="00077D02">
        <w:rPr>
          <w:b/>
        </w:rPr>
        <w:t>Contact point</w:t>
      </w:r>
    </w:p>
    <w:p w:rsidR="00626C09" w:rsidRDefault="00626C09" w:rsidP="00626C09"/>
    <w:p w:rsidR="00626C09" w:rsidRDefault="00626C09">
      <w:bookmarkStart w:id="48" w:name="ContactInfo"/>
      <w:r>
        <w:t xml:space="preserve">Contact: </w:t>
      </w:r>
      <w:proofErr w:type="spellStart"/>
      <w:r>
        <w:t>Albertus</w:t>
      </w:r>
      <w:proofErr w:type="spellEnd"/>
      <w:r>
        <w:t xml:space="preserve"> </w:t>
      </w:r>
      <w:proofErr w:type="spellStart"/>
      <w:r>
        <w:t>Voetberg</w:t>
      </w:r>
      <w:proofErr w:type="spellEnd"/>
    </w:p>
    <w:p w:rsidR="00626C09" w:rsidRDefault="00626C09">
      <w:r>
        <w:t>Title: Lead Health Specialist</w:t>
      </w:r>
    </w:p>
    <w:p w:rsidR="00626C09" w:rsidRDefault="00626C09">
      <w:r>
        <w:t>Tel: 5770+166 / 977-1-422-6792</w:t>
      </w:r>
    </w:p>
    <w:p w:rsidR="00626C09" w:rsidRDefault="00626C09">
      <w:r>
        <w:t xml:space="preserve">Fax: </w:t>
      </w:r>
      <w:r w:rsidRPr="00626C09">
        <w:t>977-1</w:t>
      </w:r>
      <w:r>
        <w:t>-</w:t>
      </w:r>
      <w:r w:rsidRPr="00626C09">
        <w:t xml:space="preserve"> 4225112</w:t>
      </w:r>
    </w:p>
    <w:p w:rsidR="00626C09" w:rsidRDefault="00626C09">
      <w:r>
        <w:t>Email: Avoetberg@worldbank.org</w:t>
      </w:r>
    </w:p>
    <w:p w:rsidR="00626C09" w:rsidRDefault="00626C09">
      <w:r>
        <w:t>Location: Kathmandu, Nepal (IBRD)</w:t>
      </w:r>
      <w:bookmarkEnd w:id="48"/>
    </w:p>
    <w:p w:rsidR="00626C09" w:rsidRPr="00077D02" w:rsidRDefault="00626C09">
      <w:pPr>
        <w:rPr>
          <w:b/>
        </w:rPr>
      </w:pPr>
    </w:p>
    <w:p w:rsidR="00626C09" w:rsidRPr="00077D02" w:rsidRDefault="00626C09">
      <w:pPr>
        <w:numPr>
          <w:ilvl w:val="0"/>
          <w:numId w:val="6"/>
        </w:numPr>
        <w:tabs>
          <w:tab w:val="clear" w:pos="720"/>
          <w:tab w:val="num" w:pos="360"/>
        </w:tabs>
        <w:ind w:left="360"/>
        <w:rPr>
          <w:b/>
        </w:rPr>
      </w:pPr>
      <w:r w:rsidRPr="00077D02">
        <w:rPr>
          <w:b/>
        </w:rPr>
        <w:t>For more information contact:</w:t>
      </w:r>
    </w:p>
    <w:p w:rsidR="00626C09" w:rsidRDefault="00626C09">
      <w:pPr>
        <w:ind w:left="720"/>
      </w:pPr>
    </w:p>
    <w:p w:rsidR="00626C09" w:rsidRDefault="00626C09" w:rsidP="00626C09">
      <w:r>
        <w:t xml:space="preserve">The </w:t>
      </w:r>
      <w:proofErr w:type="spellStart"/>
      <w:r>
        <w:t>InfoShop</w:t>
      </w:r>
      <w:proofErr w:type="spellEnd"/>
    </w:p>
    <w:p w:rsidR="00626C09" w:rsidRDefault="00626C09" w:rsidP="00626C09">
      <w:r>
        <w:t>The World Bank</w:t>
      </w:r>
    </w:p>
    <w:p w:rsidR="00626C09" w:rsidRDefault="00626C09" w:rsidP="00626C09">
      <w:r>
        <w:t>1818 H Street, NW</w:t>
      </w:r>
    </w:p>
    <w:p w:rsidR="00626C09" w:rsidRDefault="00626C09" w:rsidP="00626C09">
      <w:r>
        <w:t>Washington, D.C. 20433</w:t>
      </w:r>
    </w:p>
    <w:p w:rsidR="00626C09" w:rsidRDefault="00626C09" w:rsidP="00626C09">
      <w:r>
        <w:t>Telephone:  (202) 458-4500</w:t>
      </w:r>
    </w:p>
    <w:p w:rsidR="00626C09" w:rsidRDefault="00626C09" w:rsidP="00626C09">
      <w:r>
        <w:t>Fax:  (202) 522-1500</w:t>
      </w:r>
    </w:p>
    <w:p w:rsidR="00626C09" w:rsidRDefault="00626C09" w:rsidP="00626C09">
      <w:r>
        <w:t>Email: pic@worldbank.org</w:t>
      </w:r>
    </w:p>
    <w:p w:rsidR="00626C09" w:rsidRDefault="00626C09" w:rsidP="00626C09">
      <w:r>
        <w:t>Web: http://www.worldbank.org/infoshop</w:t>
      </w:r>
    </w:p>
    <w:sectPr w:rsidR="00626C09" w:rsidSect="00046554">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00" w:rsidRDefault="006C4700" w:rsidP="00626C09">
      <w:r>
        <w:separator/>
      </w:r>
    </w:p>
  </w:endnote>
  <w:endnote w:type="continuationSeparator" w:id="0">
    <w:p w:rsidR="006C4700" w:rsidRDefault="006C4700" w:rsidP="00626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4303"/>
      <w:docPartObj>
        <w:docPartGallery w:val="Page Numbers (Bottom of Page)"/>
        <w:docPartUnique/>
      </w:docPartObj>
    </w:sdtPr>
    <w:sdtContent>
      <w:p w:rsidR="006C4700" w:rsidRDefault="006C4700">
        <w:pPr>
          <w:pStyle w:val="Footer"/>
          <w:jc w:val="center"/>
        </w:pPr>
        <w:fldSimple w:instr=" PAGE   \* MERGEFORMAT ">
          <w:r w:rsidR="001D361A">
            <w:rPr>
              <w:noProof/>
            </w:rPr>
            <w:t>11</w:t>
          </w:r>
        </w:fldSimple>
      </w:p>
    </w:sdtContent>
  </w:sdt>
  <w:p w:rsidR="006C4700" w:rsidRDefault="006C4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00" w:rsidRDefault="006C4700" w:rsidP="00626C09">
      <w:r>
        <w:separator/>
      </w:r>
    </w:p>
  </w:footnote>
  <w:footnote w:type="continuationSeparator" w:id="0">
    <w:p w:rsidR="006C4700" w:rsidRDefault="006C4700" w:rsidP="00626C09">
      <w:r>
        <w:continuationSeparator/>
      </w:r>
    </w:p>
  </w:footnote>
  <w:footnote w:id="1">
    <w:p w:rsidR="006C4700" w:rsidRDefault="006C4700" w:rsidP="00CA25C8">
      <w:pPr>
        <w:pStyle w:val="FootnoteText"/>
      </w:pPr>
      <w:r>
        <w:rPr>
          <w:rStyle w:val="FootnoteReference"/>
        </w:rPr>
        <w:footnoteRef/>
      </w:r>
      <w:r>
        <w:t xml:space="preserve">  The list includes </w:t>
      </w:r>
      <w:proofErr w:type="spellStart"/>
      <w:r>
        <w:t>AusAID</w:t>
      </w:r>
      <w:proofErr w:type="spellEnd"/>
      <w:r>
        <w:t>: Australian Agency for International Development, DFID: Department for Inter</w:t>
      </w:r>
      <w:r w:rsidR="00ED7332">
        <w:t>national Development (UK), GTZ:</w:t>
      </w:r>
      <w:r w:rsidRPr="00244F7E">
        <w:t xml:space="preserve"> </w:t>
      </w:r>
      <w:proofErr w:type="spellStart"/>
      <w:r w:rsidRPr="00244F7E">
        <w:t>Gesellschaft</w:t>
      </w:r>
      <w:proofErr w:type="spellEnd"/>
      <w:r w:rsidRPr="00244F7E">
        <w:t xml:space="preserve"> </w:t>
      </w:r>
      <w:proofErr w:type="spellStart"/>
      <w:r>
        <w:t>f</w:t>
      </w:r>
      <w:r w:rsidR="00ED7332">
        <w:t>ür</w:t>
      </w:r>
      <w:proofErr w:type="spellEnd"/>
      <w:r w:rsidR="00ED7332">
        <w:t xml:space="preserve"> </w:t>
      </w:r>
      <w:proofErr w:type="spellStart"/>
      <w:r w:rsidR="00ED7332">
        <w:t>Technische</w:t>
      </w:r>
      <w:proofErr w:type="spellEnd"/>
      <w:r w:rsidR="00ED7332">
        <w:t xml:space="preserve"> </w:t>
      </w:r>
      <w:proofErr w:type="spellStart"/>
      <w:r w:rsidR="00ED7332">
        <w:t>Zusammenarbeit</w:t>
      </w:r>
      <w:proofErr w:type="spellEnd"/>
      <w:r w:rsidR="00ED7332">
        <w:t xml:space="preserve">, </w:t>
      </w:r>
      <w:proofErr w:type="spellStart"/>
      <w:r w:rsidR="00ED7332">
        <w:t>Kf</w:t>
      </w:r>
      <w:r>
        <w:t>W</w:t>
      </w:r>
      <w:proofErr w:type="spellEnd"/>
      <w:r>
        <w:t xml:space="preserve">: </w:t>
      </w:r>
      <w:proofErr w:type="spellStart"/>
      <w:r w:rsidR="00ED7332">
        <w:t>Kreditanstalt</w:t>
      </w:r>
      <w:proofErr w:type="spellEnd"/>
      <w:r w:rsidR="00ED7332">
        <w:t xml:space="preserve"> </w:t>
      </w:r>
      <w:proofErr w:type="spellStart"/>
      <w:r w:rsidR="00ED7332">
        <w:t>für</w:t>
      </w:r>
      <w:proofErr w:type="spellEnd"/>
      <w:r w:rsidR="00ED7332">
        <w:t xml:space="preserve"> </w:t>
      </w:r>
      <w:proofErr w:type="spellStart"/>
      <w:r w:rsidR="00ED7332">
        <w:t>Wiederaufbau</w:t>
      </w:r>
      <w:proofErr w:type="spellEnd"/>
      <w:r>
        <w:t xml:space="preserve">, SDC: Swiss Development Corporation, UNAIDS – UN Joint program on HIV and AIDS, UNFPA: United Nations Population Fund, UNICEF: United Nations Children’s Fund, USAID: United States Agency for International Development, WHO: World Health Organization, Global Alliance for  Vaccine Immunization (GAVI). </w:t>
      </w:r>
    </w:p>
  </w:footnote>
  <w:footnote w:id="2">
    <w:p w:rsidR="006C4700" w:rsidRDefault="006C4700" w:rsidP="00117DE0">
      <w:pPr>
        <w:pStyle w:val="FootnoteText"/>
      </w:pPr>
      <w:r>
        <w:rPr>
          <w:rStyle w:val="FootnoteReference"/>
        </w:rPr>
        <w:footnoteRef/>
      </w:r>
      <w:r w:rsidRPr="006B68D8">
        <w:t xml:space="preserve"> Estimates for 2008 (H</w:t>
      </w:r>
      <w:r w:rsidRPr="00F56342">
        <w:t>IV</w:t>
      </w:r>
      <w:r>
        <w:t>, AIDS and STI Control Board, Government of Nepal, 2009).</w:t>
      </w:r>
    </w:p>
  </w:footnote>
  <w:footnote w:id="3">
    <w:p w:rsidR="006C4700" w:rsidRDefault="006C4700" w:rsidP="00284D6B">
      <w:pPr>
        <w:pStyle w:val="FootnoteText"/>
      </w:pPr>
      <w:r>
        <w:rPr>
          <w:rStyle w:val="FootnoteReference"/>
        </w:rPr>
        <w:footnoteRef/>
      </w:r>
      <w:r>
        <w:t xml:space="preserve"> Free health care in refers to the publicly financed free-to-user services.</w:t>
      </w:r>
    </w:p>
  </w:footnote>
  <w:footnote w:id="4">
    <w:p w:rsidR="006C4700" w:rsidRDefault="006C4700" w:rsidP="00D459A3">
      <w:pPr>
        <w:pStyle w:val="FootnoteText"/>
      </w:pPr>
      <w:r>
        <w:rPr>
          <w:rStyle w:val="FootnoteReference"/>
        </w:rPr>
        <w:footnoteRef/>
      </w:r>
      <w:r>
        <w:t xml:space="preserve"> </w:t>
      </w:r>
      <w:proofErr w:type="gramStart"/>
      <w:r>
        <w:t>IEG, Nepal CAE, 2009.</w:t>
      </w:r>
      <w:proofErr w:type="gramEnd"/>
    </w:p>
  </w:footnote>
  <w:footnote w:id="5">
    <w:p w:rsidR="006C4700" w:rsidRDefault="006C4700">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F57C3F12"/>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B5E0A"/>
    <w:multiLevelType w:val="hybridMultilevel"/>
    <w:tmpl w:val="9BD6C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34E60"/>
    <w:multiLevelType w:val="hybridMultilevel"/>
    <w:tmpl w:val="E1E2426E"/>
    <w:lvl w:ilvl="0" w:tplc="6D9EBD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06D95"/>
    <w:multiLevelType w:val="hybridMultilevel"/>
    <w:tmpl w:val="4B88F40A"/>
    <w:lvl w:ilvl="0" w:tplc="DDB62F36">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EE1340"/>
    <w:multiLevelType w:val="hybridMultilevel"/>
    <w:tmpl w:val="6B4C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C51D8"/>
    <w:multiLevelType w:val="hybridMultilevel"/>
    <w:tmpl w:val="1202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D5113"/>
    <w:multiLevelType w:val="hybridMultilevel"/>
    <w:tmpl w:val="A50E8158"/>
    <w:lvl w:ilvl="0" w:tplc="0E04167E">
      <w:start w:val="1"/>
      <w:numFmt w:val="lowerLetter"/>
      <w:lvlText w:val="(%1)"/>
      <w:lvlJc w:val="left"/>
      <w:pPr>
        <w:tabs>
          <w:tab w:val="num" w:pos="36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2"/>
  </w:num>
  <w:num w:numId="4">
    <w:abstractNumId w:val="3"/>
  </w:num>
  <w:num w:numId="5">
    <w:abstractNumId w:val="10"/>
  </w:num>
  <w:num w:numId="6">
    <w:abstractNumId w:val="0"/>
  </w:num>
  <w:num w:numId="7">
    <w:abstractNumId w:val="1"/>
  </w:num>
  <w:num w:numId="8">
    <w:abstractNumId w:val="11"/>
  </w:num>
  <w:num w:numId="9">
    <w:abstractNumId w:val="4"/>
  </w:num>
  <w:num w:numId="10">
    <w:abstractNumId w:val="9"/>
  </w:num>
  <w:num w:numId="11">
    <w:abstractNumId w:val="7"/>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626C09"/>
    <w:rsid w:val="00000434"/>
    <w:rsid w:val="00046554"/>
    <w:rsid w:val="00077D02"/>
    <w:rsid w:val="000A656F"/>
    <w:rsid w:val="000D0DAA"/>
    <w:rsid w:val="000D17A0"/>
    <w:rsid w:val="000F0A7C"/>
    <w:rsid w:val="001134E3"/>
    <w:rsid w:val="00117DE0"/>
    <w:rsid w:val="00143AF0"/>
    <w:rsid w:val="001D361A"/>
    <w:rsid w:val="002015A4"/>
    <w:rsid w:val="0021157C"/>
    <w:rsid w:val="00266227"/>
    <w:rsid w:val="00283D48"/>
    <w:rsid w:val="00284D6B"/>
    <w:rsid w:val="00306BA4"/>
    <w:rsid w:val="00315119"/>
    <w:rsid w:val="00316FC5"/>
    <w:rsid w:val="00331EB7"/>
    <w:rsid w:val="00391C1B"/>
    <w:rsid w:val="00405688"/>
    <w:rsid w:val="0049036D"/>
    <w:rsid w:val="004903F8"/>
    <w:rsid w:val="004A6A33"/>
    <w:rsid w:val="004C45E6"/>
    <w:rsid w:val="00512E06"/>
    <w:rsid w:val="00545213"/>
    <w:rsid w:val="00557051"/>
    <w:rsid w:val="005B6DF0"/>
    <w:rsid w:val="005D69F2"/>
    <w:rsid w:val="0061182F"/>
    <w:rsid w:val="00626C09"/>
    <w:rsid w:val="006341F8"/>
    <w:rsid w:val="00640D8A"/>
    <w:rsid w:val="00676668"/>
    <w:rsid w:val="006862E9"/>
    <w:rsid w:val="00695DC8"/>
    <w:rsid w:val="006C4700"/>
    <w:rsid w:val="006C54CA"/>
    <w:rsid w:val="006C69C7"/>
    <w:rsid w:val="006F42B6"/>
    <w:rsid w:val="006F4915"/>
    <w:rsid w:val="00782724"/>
    <w:rsid w:val="007A5CDB"/>
    <w:rsid w:val="007B0E03"/>
    <w:rsid w:val="007C7A63"/>
    <w:rsid w:val="007D58DC"/>
    <w:rsid w:val="007E0EE6"/>
    <w:rsid w:val="00881784"/>
    <w:rsid w:val="008A74CF"/>
    <w:rsid w:val="008F24D5"/>
    <w:rsid w:val="008F4698"/>
    <w:rsid w:val="009923A2"/>
    <w:rsid w:val="00994E91"/>
    <w:rsid w:val="009B4836"/>
    <w:rsid w:val="009D5C76"/>
    <w:rsid w:val="009E203E"/>
    <w:rsid w:val="00A021A0"/>
    <w:rsid w:val="00A22042"/>
    <w:rsid w:val="00A337B6"/>
    <w:rsid w:val="00A42545"/>
    <w:rsid w:val="00A765E0"/>
    <w:rsid w:val="00A83645"/>
    <w:rsid w:val="00A85838"/>
    <w:rsid w:val="00A91C34"/>
    <w:rsid w:val="00AA3DAD"/>
    <w:rsid w:val="00B0496D"/>
    <w:rsid w:val="00B14C00"/>
    <w:rsid w:val="00B34456"/>
    <w:rsid w:val="00BD6B4B"/>
    <w:rsid w:val="00BF020F"/>
    <w:rsid w:val="00C413D9"/>
    <w:rsid w:val="00C95C40"/>
    <w:rsid w:val="00CA25C8"/>
    <w:rsid w:val="00CD51E2"/>
    <w:rsid w:val="00CE6F99"/>
    <w:rsid w:val="00D40F54"/>
    <w:rsid w:val="00D459A3"/>
    <w:rsid w:val="00D929AB"/>
    <w:rsid w:val="00DA4444"/>
    <w:rsid w:val="00DB7110"/>
    <w:rsid w:val="00DC20A0"/>
    <w:rsid w:val="00DC7E76"/>
    <w:rsid w:val="00DD41D7"/>
    <w:rsid w:val="00E61190"/>
    <w:rsid w:val="00E70A8E"/>
    <w:rsid w:val="00E92D40"/>
    <w:rsid w:val="00E977FB"/>
    <w:rsid w:val="00EB5EC3"/>
    <w:rsid w:val="00ED0F85"/>
    <w:rsid w:val="00ED7332"/>
    <w:rsid w:val="00F06B4C"/>
    <w:rsid w:val="00F128D9"/>
    <w:rsid w:val="00F95A34"/>
    <w:rsid w:val="00FC44E3"/>
    <w:rsid w:val="00FD7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54"/>
    <w:rPr>
      <w:sz w:val="24"/>
      <w:szCs w:val="24"/>
    </w:rPr>
  </w:style>
  <w:style w:type="paragraph" w:styleId="Heading1">
    <w:name w:val="heading 1"/>
    <w:basedOn w:val="Normal"/>
    <w:next w:val="Normal"/>
    <w:qFormat/>
    <w:rsid w:val="00046554"/>
    <w:pPr>
      <w:keepNext/>
      <w:outlineLvl w:val="0"/>
    </w:pPr>
    <w:rPr>
      <w:b/>
      <w:bCs/>
    </w:rPr>
  </w:style>
  <w:style w:type="paragraph" w:styleId="Heading2">
    <w:name w:val="heading 2"/>
    <w:basedOn w:val="Normal"/>
    <w:next w:val="Normal"/>
    <w:qFormat/>
    <w:rsid w:val="0004655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46554"/>
    <w:pPr>
      <w:ind w:left="-108"/>
      <w:jc w:val="both"/>
    </w:pPr>
  </w:style>
  <w:style w:type="paragraph" w:styleId="CommentText">
    <w:name w:val="annotation text"/>
    <w:basedOn w:val="Normal"/>
    <w:link w:val="CommentTextChar"/>
    <w:semiHidden/>
    <w:rsid w:val="00046554"/>
    <w:rPr>
      <w:sz w:val="20"/>
      <w:szCs w:val="20"/>
    </w:rPr>
  </w:style>
  <w:style w:type="character" w:styleId="CommentReference">
    <w:name w:val="annotation reference"/>
    <w:basedOn w:val="DefaultParagraphFont"/>
    <w:semiHidden/>
    <w:rsid w:val="00046554"/>
    <w:rPr>
      <w:sz w:val="16"/>
      <w:szCs w:val="16"/>
    </w:rPr>
  </w:style>
  <w:style w:type="paragraph" w:styleId="BalloonText">
    <w:name w:val="Balloon Text"/>
    <w:basedOn w:val="Normal"/>
    <w:semiHidden/>
    <w:rsid w:val="00046554"/>
    <w:rPr>
      <w:rFonts w:ascii="Tahoma" w:hAnsi="Tahoma" w:cs="Tahoma"/>
      <w:sz w:val="16"/>
      <w:szCs w:val="16"/>
    </w:rPr>
  </w:style>
  <w:style w:type="character" w:styleId="Hyperlink">
    <w:name w:val="Hyperlink"/>
    <w:basedOn w:val="DefaultParagraphFont"/>
    <w:semiHidden/>
    <w:rsid w:val="00046554"/>
    <w:rPr>
      <w:color w:val="0000FF"/>
      <w:u w:val="single"/>
    </w:rPr>
  </w:style>
  <w:style w:type="paragraph" w:styleId="FootnoteText">
    <w:name w:val="footnote text"/>
    <w:aliases w:val="single space,footnote text,FOOTNOTES,fn,Geneva 9,Font: Geneva 9,Boston 10,f,Footnote Text Char Char Char Char Char Char,Footnote Text Char Char Char Char1,Footnote Text Char Char Char Char Char1,Footnote Text Char Char Char Char Char,ft"/>
    <w:basedOn w:val="Normal"/>
    <w:link w:val="FootnoteTextChar"/>
    <w:rsid w:val="00046554"/>
    <w:rPr>
      <w:sz w:val="20"/>
      <w:szCs w:val="20"/>
    </w:rPr>
  </w:style>
  <w:style w:type="character" w:styleId="FootnoteReference">
    <w:name w:val="footnote reference"/>
    <w:aliases w:val="ftref"/>
    <w:basedOn w:val="DefaultParagraphFont"/>
    <w:rsid w:val="00046554"/>
    <w:rPr>
      <w:vertAlign w:val="superscript"/>
    </w:rPr>
  </w:style>
  <w:style w:type="character" w:customStyle="1" w:styleId="FootnoteTextChar">
    <w:name w:val="Footnote Text Char"/>
    <w:aliases w:val="single space Char,footnote text Char,FOOTNOTES Char,fn Char,Geneva 9 Char,Font: Geneva 9 Char,Boston 10 Char,f Char,Footnote Text Char Char Char Char Char Char Char,Footnote Text Char Char Char Char1 Char,ft Char"/>
    <w:basedOn w:val="DefaultParagraphFont"/>
    <w:link w:val="FootnoteText"/>
    <w:rsid w:val="00626C09"/>
  </w:style>
  <w:style w:type="paragraph" w:styleId="HTMLPreformatted">
    <w:name w:val="HTML Preformatted"/>
    <w:basedOn w:val="Normal"/>
    <w:link w:val="HTMLPreformattedChar"/>
    <w:uiPriority w:val="99"/>
    <w:unhideWhenUsed/>
    <w:rsid w:val="0062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26C09"/>
    <w:rPr>
      <w:rFonts w:ascii="Courier New" w:hAnsi="Courier New" w:cs="Courier New"/>
    </w:rPr>
  </w:style>
  <w:style w:type="character" w:styleId="Strong">
    <w:name w:val="Strong"/>
    <w:basedOn w:val="DefaultParagraphFont"/>
    <w:uiPriority w:val="22"/>
    <w:qFormat/>
    <w:rsid w:val="00626C09"/>
    <w:rPr>
      <w:b/>
      <w:bCs/>
    </w:rPr>
  </w:style>
  <w:style w:type="paragraph" w:styleId="BodyText">
    <w:name w:val="Body Text"/>
    <w:basedOn w:val="Normal"/>
    <w:link w:val="BodyTextChar"/>
    <w:uiPriority w:val="99"/>
    <w:semiHidden/>
    <w:unhideWhenUsed/>
    <w:rsid w:val="00626C09"/>
    <w:pPr>
      <w:spacing w:after="120"/>
    </w:pPr>
  </w:style>
  <w:style w:type="character" w:customStyle="1" w:styleId="BodyTextChar">
    <w:name w:val="Body Text Char"/>
    <w:basedOn w:val="DefaultParagraphFont"/>
    <w:link w:val="BodyText"/>
    <w:uiPriority w:val="99"/>
    <w:semiHidden/>
    <w:rsid w:val="00626C09"/>
    <w:rPr>
      <w:sz w:val="24"/>
      <w:szCs w:val="24"/>
    </w:rPr>
  </w:style>
  <w:style w:type="paragraph" w:styleId="BodyTextIndent2">
    <w:name w:val="Body Text Indent 2"/>
    <w:basedOn w:val="Normal"/>
    <w:link w:val="BodyTextIndent2Char"/>
    <w:uiPriority w:val="99"/>
    <w:semiHidden/>
    <w:unhideWhenUsed/>
    <w:rsid w:val="00626C09"/>
    <w:pPr>
      <w:spacing w:after="120" w:line="480" w:lineRule="auto"/>
      <w:ind w:left="360"/>
    </w:pPr>
  </w:style>
  <w:style w:type="character" w:customStyle="1" w:styleId="BodyTextIndent2Char">
    <w:name w:val="Body Text Indent 2 Char"/>
    <w:basedOn w:val="DefaultParagraphFont"/>
    <w:link w:val="BodyTextIndent2"/>
    <w:uiPriority w:val="99"/>
    <w:semiHidden/>
    <w:rsid w:val="00626C09"/>
    <w:rPr>
      <w:sz w:val="24"/>
      <w:szCs w:val="24"/>
    </w:rPr>
  </w:style>
  <w:style w:type="paragraph" w:styleId="Footer">
    <w:name w:val="footer"/>
    <w:basedOn w:val="Normal"/>
    <w:link w:val="FooterChar"/>
    <w:uiPriority w:val="99"/>
    <w:rsid w:val="00626C09"/>
    <w:pPr>
      <w:tabs>
        <w:tab w:val="center" w:pos="4320"/>
        <w:tab w:val="right" w:pos="8640"/>
      </w:tabs>
    </w:pPr>
  </w:style>
  <w:style w:type="character" w:customStyle="1" w:styleId="FooterChar">
    <w:name w:val="Footer Char"/>
    <w:basedOn w:val="DefaultParagraphFont"/>
    <w:link w:val="Footer"/>
    <w:uiPriority w:val="99"/>
    <w:rsid w:val="00626C09"/>
    <w:rPr>
      <w:sz w:val="24"/>
      <w:szCs w:val="24"/>
    </w:rPr>
  </w:style>
  <w:style w:type="paragraph" w:styleId="BodyText2">
    <w:name w:val="Body Text 2"/>
    <w:basedOn w:val="Normal"/>
    <w:link w:val="BodyText2Char"/>
    <w:uiPriority w:val="99"/>
    <w:semiHidden/>
    <w:unhideWhenUsed/>
    <w:rsid w:val="00626C09"/>
    <w:pPr>
      <w:spacing w:after="120" w:line="480" w:lineRule="auto"/>
    </w:pPr>
  </w:style>
  <w:style w:type="character" w:customStyle="1" w:styleId="BodyText2Char">
    <w:name w:val="Body Text 2 Char"/>
    <w:basedOn w:val="DefaultParagraphFont"/>
    <w:link w:val="BodyText2"/>
    <w:uiPriority w:val="99"/>
    <w:semiHidden/>
    <w:rsid w:val="00626C09"/>
    <w:rPr>
      <w:sz w:val="24"/>
      <w:szCs w:val="24"/>
    </w:rPr>
  </w:style>
  <w:style w:type="paragraph" w:styleId="ListParagraph">
    <w:name w:val="List Paragraph"/>
    <w:basedOn w:val="Normal"/>
    <w:uiPriority w:val="99"/>
    <w:qFormat/>
    <w:rsid w:val="00266227"/>
    <w:pPr>
      <w:ind w:left="720"/>
      <w:contextualSpacing/>
    </w:pPr>
  </w:style>
  <w:style w:type="paragraph" w:customStyle="1" w:styleId="BankNumbered">
    <w:name w:val="BankNumbered"/>
    <w:basedOn w:val="BodyText"/>
    <w:link w:val="BankNumberedChar"/>
    <w:rsid w:val="00676668"/>
    <w:pPr>
      <w:tabs>
        <w:tab w:val="left" w:pos="540"/>
        <w:tab w:val="num" w:pos="720"/>
      </w:tabs>
      <w:spacing w:before="160" w:after="0"/>
      <w:ind w:left="720" w:hanging="720"/>
    </w:pPr>
  </w:style>
  <w:style w:type="character" w:customStyle="1" w:styleId="BankNumberedChar">
    <w:name w:val="BankNumbered Char"/>
    <w:basedOn w:val="DefaultParagraphFont"/>
    <w:link w:val="BankNumbered"/>
    <w:rsid w:val="00676668"/>
    <w:rPr>
      <w:sz w:val="24"/>
      <w:szCs w:val="24"/>
    </w:rPr>
  </w:style>
  <w:style w:type="paragraph" w:styleId="CommentSubject">
    <w:name w:val="annotation subject"/>
    <w:basedOn w:val="CommentText"/>
    <w:next w:val="CommentText"/>
    <w:link w:val="CommentSubjectChar"/>
    <w:uiPriority w:val="99"/>
    <w:semiHidden/>
    <w:unhideWhenUsed/>
    <w:rsid w:val="00676668"/>
    <w:rPr>
      <w:b/>
      <w:bCs/>
    </w:rPr>
  </w:style>
  <w:style w:type="character" w:customStyle="1" w:styleId="CommentTextChar">
    <w:name w:val="Comment Text Char"/>
    <w:basedOn w:val="DefaultParagraphFont"/>
    <w:link w:val="CommentText"/>
    <w:semiHidden/>
    <w:rsid w:val="00676668"/>
  </w:style>
  <w:style w:type="character" w:customStyle="1" w:styleId="CommentSubjectChar">
    <w:name w:val="Comment Subject Char"/>
    <w:basedOn w:val="CommentTextChar"/>
    <w:link w:val="CommentSubject"/>
    <w:rsid w:val="00676668"/>
  </w:style>
  <w:style w:type="paragraph" w:styleId="Header">
    <w:name w:val="header"/>
    <w:basedOn w:val="Normal"/>
    <w:link w:val="HeaderChar"/>
    <w:uiPriority w:val="99"/>
    <w:semiHidden/>
    <w:unhideWhenUsed/>
    <w:rsid w:val="007A5CDB"/>
    <w:pPr>
      <w:tabs>
        <w:tab w:val="center" w:pos="4680"/>
        <w:tab w:val="right" w:pos="9360"/>
      </w:tabs>
    </w:pPr>
  </w:style>
  <w:style w:type="character" w:customStyle="1" w:styleId="HeaderChar">
    <w:name w:val="Header Char"/>
    <w:basedOn w:val="DefaultParagraphFont"/>
    <w:link w:val="Header"/>
    <w:uiPriority w:val="99"/>
    <w:semiHidden/>
    <w:rsid w:val="007A5CD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064724~pagePK:60001255~piPK:60000911~theSitePK:210385,00.html" TargetMode="External"/><Relationship Id="rId13" Type="http://schemas.openxmlformats.org/officeDocument/2006/relationships/hyperlink" Target="http://intranet.worldbank.org/WBSITE/INTRANET/OPSMANUAL/0,,contentMDK:20970738~pagePK:60001219~piPK:280527~theSitePK:210385,00.html" TargetMode="External"/><Relationship Id="rId18" Type="http://schemas.openxmlformats.org/officeDocument/2006/relationships/hyperlink" Target="http://intranet.worldbank.org/WBSITE/INTRANET/OPSMANUAL/0,,contentMDK:20064668~pagePK:60001255~piPK:60000911~theSitePK:210385,00.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ranet.worldbank.org/WBSITE/INTRANET/OPSMANUAL/0,,contentMDK:20064589~pagePK:60001255~piPK:60000911~theSitePK:210385,00.html" TargetMode="External"/><Relationship Id="rId7" Type="http://schemas.openxmlformats.org/officeDocument/2006/relationships/endnotes" Target="endnotes.xml"/><Relationship Id="rId12" Type="http://schemas.openxmlformats.org/officeDocument/2006/relationships/hyperlink" Target="http://intranet.worldbank.org/WBSITE/INTRANET/OPSMANUAL/0,,contentMDK:20064720~pagePK:60001255~piPK:60000911~theSitePK:210385,00.html" TargetMode="External"/><Relationship Id="rId17" Type="http://schemas.openxmlformats.org/officeDocument/2006/relationships/hyperlink" Target="http://intranet.worldbank.org/WBSITE/INTRANET/OPSMANUAL/0,,contentMDK:20567522~pagePK:60001255~piPK:60000911~theSitePK:210385,00.html" TargetMode="External"/><Relationship Id="rId25" Type="http://schemas.openxmlformats.org/officeDocument/2006/relationships/hyperlink" Target="http://intranet.worldbank.org/WBSITE/INTRANET/OPSMANUAL/0,,contentMDK:20064701~pagePK:60001255~piPK:60000911~theSitePK:210385,00.html" TargetMode="External"/><Relationship Id="rId2" Type="http://schemas.openxmlformats.org/officeDocument/2006/relationships/numbering" Target="numbering.xml"/><Relationship Id="rId16" Type="http://schemas.openxmlformats.org/officeDocument/2006/relationships/hyperlink" Target="http://intranet.worldbank.org/WBSITE/INTRANET/OPSMANUAL/0,,contentMDK:20567505~pagePK:60001255~piPK:60000911~theSitePK:210385,00.html" TargetMode="External"/><Relationship Id="rId20" Type="http://schemas.openxmlformats.org/officeDocument/2006/relationships/hyperlink" Target="http://intranet.worldbank.org/WBSITE/INTRANET/OPSMANUAL/0,,contentMDK:20064653~pagePK:60001255~piPK:60000911~theSitePK:210385,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worldbank.org/WBSITE/INTRANET/OPSMANUAL/0,,contentMDK:20064560~pagePK:60001255~piPK:60000911~theSitePK:210385,00.html" TargetMode="External"/><Relationship Id="rId24" Type="http://schemas.openxmlformats.org/officeDocument/2006/relationships/hyperlink" Target="http://intranet.worldbank.org/WBSITE/INTRANET/OPSMANUAL/0,,contentMDK:20064667~pagePK:60001255~piPK:60000911~theSitePK:210385,00.html" TargetMode="External"/><Relationship Id="rId5" Type="http://schemas.openxmlformats.org/officeDocument/2006/relationships/webSettings" Target="webSettings.xml"/><Relationship Id="rId15" Type="http://schemas.openxmlformats.org/officeDocument/2006/relationships/hyperlink" Target="http://intranet.worldbank.org/WBSITE/INTRANET/OPSMANUAL/0,,contentMDK:20064675~pagePK:60001255~piPK:60000911~theSitePK:210385,00.html" TargetMode="External"/><Relationship Id="rId23" Type="http://schemas.openxmlformats.org/officeDocument/2006/relationships/hyperlink" Target="http://intranet.worldbank.org/WBSITE/INTRANET/OPSMANUAL/0,,contentMDK:20064640~pagePK:60001255~piPK:60000911~theSitePK:210385,00.html" TargetMode="External"/><Relationship Id="rId28" Type="http://schemas.openxmlformats.org/officeDocument/2006/relationships/theme" Target="theme/theme1.xml"/><Relationship Id="rId10" Type="http://schemas.openxmlformats.org/officeDocument/2006/relationships/hyperlink" Target="http://intranet.worldbank.org/WBSITE/INTRANET/OPSMANUAL/0,,contentMDK:20064757~pagePK:60001255~piPK:60000911~theSitePK:210385,00.html" TargetMode="External"/><Relationship Id="rId19" Type="http://schemas.openxmlformats.org/officeDocument/2006/relationships/hyperlink" Target="http://intranet.worldbank.org/WBSITE/INTRANET/OPSMANUAL/0,,contentMDK:20141282~pagePK:60001255~piPK:60000911~theSitePK:210385,00.html" TargetMode="External"/><Relationship Id="rId4" Type="http://schemas.openxmlformats.org/officeDocument/2006/relationships/settings" Target="settings.xml"/><Relationship Id="rId9" Type="http://schemas.openxmlformats.org/officeDocument/2006/relationships/hyperlink" Target="http://intranet.worldbank.org/WBSITE/INTRANET/OPSMANUAL/0,,contentMDK:20064614~pagePK:60001255~piPK:60000911~theSitePK:210385,00.html" TargetMode="External"/><Relationship Id="rId14" Type="http://schemas.openxmlformats.org/officeDocument/2006/relationships/hyperlink" Target="http://intranet.worldbank.org/WBSITE/INTRANET/OPSMANUAL/0,,contentMDK:20064610~pagePK:60001255~piPK:60000911~theSitePK:210385,00.html" TargetMode="External"/><Relationship Id="rId22" Type="http://schemas.openxmlformats.org/officeDocument/2006/relationships/hyperlink" Target="http://intranet.worldbank.org/WBSITE/INTRANET/OPSMANUAL/0,,contentMDK:20064615~pagePK:60001255~piPK:60000911~theSitePK:210385,00.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A636-B478-42F5-B74D-B43689BB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4770</Words>
  <Characters>30152</Characters>
  <Application>Microsoft Office Word</Application>
  <DocSecurity>4</DocSecurity>
  <Lines>251</Lines>
  <Paragraphs>69</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34853</CharactersWithSpaces>
  <SharedDoc>false</SharedDoc>
  <HLinks>
    <vt:vector size="114" baseType="variant">
      <vt:variant>
        <vt:i4>5636182</vt:i4>
      </vt:variant>
      <vt:variant>
        <vt:i4>57</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54</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51</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48</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45</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42</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39</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36</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33</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30</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27</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24</vt:i4>
      </vt:variant>
      <vt:variant>
        <vt:i4>0</vt:i4>
      </vt:variant>
      <vt:variant>
        <vt:i4>5</vt:i4>
      </vt:variant>
      <vt:variant>
        <vt:lpwstr>http://intranet.worldbank.org/WBSITE/INTRANET/OPSMANUAL/0,,contentMDK:20064610~pagePK:60001255~piPK:60000911~theSitePK:210385,00.html</vt:lpwstr>
      </vt:variant>
      <vt:variant>
        <vt:lpwstr/>
      </vt:variant>
      <vt:variant>
        <vt:i4>6291563</vt:i4>
      </vt:variant>
      <vt:variant>
        <vt:i4>21</vt:i4>
      </vt:variant>
      <vt:variant>
        <vt:i4>0</vt:i4>
      </vt:variant>
      <vt:variant>
        <vt:i4>5</vt:i4>
      </vt:variant>
      <vt:variant>
        <vt:lpwstr>http://intranet.worldbank.org/WBSITE/INTRANET/OPSMANUAL/0,,contentMDK:20970738~pagePK:60001219~piPK:280527~theSitePK:210385,00.html</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wb161476</cp:lastModifiedBy>
  <cp:revision>2</cp:revision>
  <cp:lastPrinted>2010-01-27T15:51:00Z</cp:lastPrinted>
  <dcterms:created xsi:type="dcterms:W3CDTF">2010-02-23T06:01:00Z</dcterms:created>
  <dcterms:modified xsi:type="dcterms:W3CDTF">2010-02-23T06:01:00Z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AB5068</vt:lpwstr>
  </property>
  <property fmtid="{D5CDD505-2E9C-101B-9397-08002B2CF9AE}" pid="3" name="TEAMLEADER">
    <vt:lpwstr>Albertus Voetberg</vt:lpwstr>
  </property>
</Properties>
</file>